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C9BB" w14:textId="77777777" w:rsidR="002369A7" w:rsidRPr="002B5929" w:rsidRDefault="002369A7" w:rsidP="005F4EE4">
      <w:pPr>
        <w:spacing w:after="0"/>
        <w:contextualSpacing/>
      </w:pPr>
    </w:p>
    <w:p w14:paraId="7C18ED89" w14:textId="77777777" w:rsidR="005F4EE4" w:rsidRPr="002B5929" w:rsidRDefault="005F4EE4" w:rsidP="005F4EE4">
      <w:pPr>
        <w:spacing w:after="0"/>
        <w:contextualSpacing/>
      </w:pPr>
    </w:p>
    <w:p w14:paraId="2D9D72E1" w14:textId="2B943CBD" w:rsidR="00762707" w:rsidRDefault="00C7492C" w:rsidP="00C7492C">
      <w:pPr>
        <w:spacing w:after="0" w:line="360" w:lineRule="auto"/>
        <w:contextualSpacing/>
        <w:jc w:val="center"/>
        <w:rPr>
          <w:b/>
        </w:rPr>
      </w:pPr>
      <w:r w:rsidRPr="002B5929">
        <w:rPr>
          <w:b/>
        </w:rPr>
        <w:t xml:space="preserve">Prevalence of Microcephaly in </w:t>
      </w:r>
      <w:proofErr w:type="gramStart"/>
      <w:r w:rsidRPr="002B5929">
        <w:rPr>
          <w:b/>
        </w:rPr>
        <w:t>Europe</w:t>
      </w:r>
      <w:r w:rsidR="00B84E1A">
        <w:rPr>
          <w:b/>
        </w:rPr>
        <w:t xml:space="preserve"> :</w:t>
      </w:r>
      <w:proofErr w:type="gramEnd"/>
      <w:r w:rsidR="00B84E1A">
        <w:rPr>
          <w:b/>
        </w:rPr>
        <w:t xml:space="preserve"> A Population based study</w:t>
      </w:r>
    </w:p>
    <w:p w14:paraId="456878CB" w14:textId="77777777" w:rsidR="004413CD" w:rsidRPr="00DA26A2" w:rsidRDefault="004413CD" w:rsidP="00C7492C">
      <w:pPr>
        <w:spacing w:after="0" w:line="360" w:lineRule="auto"/>
        <w:contextualSpacing/>
        <w:jc w:val="center"/>
      </w:pPr>
    </w:p>
    <w:p w14:paraId="7CBD52E9" w14:textId="008E0A05" w:rsidR="00595FF4" w:rsidRPr="00DA26A2" w:rsidRDefault="00595FF4" w:rsidP="00595FF4">
      <w:pPr>
        <w:spacing w:after="0" w:line="360" w:lineRule="auto"/>
        <w:rPr>
          <w:rFonts w:ascii="Calibri" w:hAnsi="Calibri"/>
        </w:rPr>
      </w:pPr>
      <w:r w:rsidRPr="00DA26A2">
        <w:rPr>
          <w:rFonts w:ascii="Calibri" w:hAnsi="Calibri"/>
        </w:rPr>
        <w:t>Joan K Morris</w:t>
      </w:r>
      <w:r w:rsidRPr="00DA26A2">
        <w:rPr>
          <w:rFonts w:ascii="Calibri" w:hAnsi="Calibri"/>
          <w:vertAlign w:val="superscript"/>
        </w:rPr>
        <w:t>a</w:t>
      </w:r>
      <w:r w:rsidRPr="00DA26A2">
        <w:rPr>
          <w:rFonts w:ascii="Calibri" w:hAnsi="Calibri"/>
        </w:rPr>
        <w:t>, Judith Rankin</w:t>
      </w:r>
      <w:r w:rsidR="00CA6530" w:rsidRPr="00DA26A2">
        <w:rPr>
          <w:rFonts w:ascii="Calibri" w:hAnsi="Calibri"/>
          <w:vertAlign w:val="superscript"/>
        </w:rPr>
        <w:t xml:space="preserve"> </w:t>
      </w:r>
      <w:r w:rsidRPr="00DA26A2">
        <w:rPr>
          <w:rFonts w:ascii="Calibri" w:hAnsi="Calibri"/>
          <w:vertAlign w:val="superscript"/>
        </w:rPr>
        <w:t>b</w:t>
      </w:r>
      <w:r w:rsidRPr="00DA26A2">
        <w:rPr>
          <w:rFonts w:ascii="Calibri" w:hAnsi="Calibri"/>
        </w:rPr>
        <w:t xml:space="preserve">, </w:t>
      </w:r>
      <w:r w:rsidR="00D53DF1" w:rsidRPr="00DA26A2">
        <w:rPr>
          <w:rFonts w:ascii="Calibri" w:hAnsi="Calibri"/>
        </w:rPr>
        <w:t xml:space="preserve">Ester </w:t>
      </w:r>
      <w:proofErr w:type="spellStart"/>
      <w:r w:rsidR="00D53DF1" w:rsidRPr="00DA26A2">
        <w:rPr>
          <w:rFonts w:ascii="Calibri" w:hAnsi="Calibri"/>
        </w:rPr>
        <w:t>Garne</w:t>
      </w:r>
      <w:r w:rsidR="00D53DF1" w:rsidRPr="00DA26A2">
        <w:rPr>
          <w:rFonts w:ascii="Calibri" w:hAnsi="Calibri"/>
          <w:vertAlign w:val="superscript"/>
        </w:rPr>
        <w:t>c</w:t>
      </w:r>
      <w:proofErr w:type="spellEnd"/>
      <w:r w:rsidR="00D53DF1" w:rsidRPr="00DA26A2">
        <w:rPr>
          <w:rFonts w:ascii="Calibri" w:hAnsi="Calibri"/>
        </w:rPr>
        <w:t xml:space="preserve"> ,</w:t>
      </w:r>
      <w:r w:rsidR="002B327C" w:rsidRPr="00DA26A2">
        <w:rPr>
          <w:rFonts w:ascii="Calibri" w:hAnsi="Calibri"/>
        </w:rPr>
        <w:t xml:space="preserve"> </w:t>
      </w:r>
      <w:r w:rsidRPr="00DA26A2">
        <w:rPr>
          <w:rFonts w:ascii="Calibri" w:hAnsi="Calibri"/>
        </w:rPr>
        <w:t xml:space="preserve">Maria </w:t>
      </w:r>
      <w:proofErr w:type="spellStart"/>
      <w:r w:rsidRPr="00DA26A2">
        <w:rPr>
          <w:rFonts w:ascii="Calibri" w:hAnsi="Calibri"/>
        </w:rPr>
        <w:t>Loane</w:t>
      </w:r>
      <w:proofErr w:type="spellEnd"/>
      <w:r w:rsidR="00CA6530" w:rsidRPr="00DA26A2">
        <w:rPr>
          <w:rFonts w:ascii="Calibri" w:hAnsi="Calibri"/>
          <w:vertAlign w:val="superscript"/>
        </w:rPr>
        <w:t xml:space="preserve"> </w:t>
      </w:r>
      <w:r w:rsidR="00D53DF1" w:rsidRPr="00DA26A2">
        <w:rPr>
          <w:rFonts w:ascii="Calibri" w:hAnsi="Calibri"/>
          <w:vertAlign w:val="superscript"/>
        </w:rPr>
        <w:t>d</w:t>
      </w:r>
      <w:r w:rsidRPr="00DA26A2">
        <w:rPr>
          <w:rFonts w:ascii="Calibri" w:hAnsi="Calibri"/>
        </w:rPr>
        <w:t xml:space="preserve">, </w:t>
      </w:r>
      <w:r w:rsidR="000A092E" w:rsidRPr="00DA26A2">
        <w:rPr>
          <w:rFonts w:ascii="Calibri" w:hAnsi="Calibri"/>
        </w:rPr>
        <w:t xml:space="preserve">Ruth </w:t>
      </w:r>
      <w:proofErr w:type="spellStart"/>
      <w:r w:rsidR="000A092E" w:rsidRPr="00DA26A2">
        <w:rPr>
          <w:rFonts w:ascii="Calibri" w:hAnsi="Calibri"/>
        </w:rPr>
        <w:t>Greenlees</w:t>
      </w:r>
      <w:r w:rsidR="000A092E" w:rsidRPr="00DA26A2">
        <w:rPr>
          <w:rFonts w:ascii="Calibri" w:hAnsi="Calibri"/>
          <w:vertAlign w:val="superscript"/>
        </w:rPr>
        <w:t>d</w:t>
      </w:r>
      <w:proofErr w:type="spellEnd"/>
      <w:r w:rsidR="000A092E" w:rsidRPr="00DA26A2">
        <w:rPr>
          <w:rFonts w:ascii="Calibri" w:hAnsi="Calibri"/>
        </w:rPr>
        <w:t xml:space="preserve"> , </w:t>
      </w:r>
      <w:r w:rsidRPr="00DA26A2">
        <w:rPr>
          <w:rFonts w:ascii="Calibri" w:hAnsi="Calibri"/>
        </w:rPr>
        <w:t xml:space="preserve">Marie-Claude </w:t>
      </w:r>
      <w:proofErr w:type="spellStart"/>
      <w:r w:rsidRPr="00DA26A2">
        <w:rPr>
          <w:rFonts w:ascii="Calibri" w:hAnsi="Calibri"/>
        </w:rPr>
        <w:t>Addor</w:t>
      </w:r>
      <w:r w:rsidR="00D53DF1" w:rsidRPr="00DA26A2">
        <w:rPr>
          <w:rFonts w:ascii="Calibri" w:hAnsi="Calibri"/>
          <w:vertAlign w:val="superscript"/>
        </w:rPr>
        <w:t>e</w:t>
      </w:r>
      <w:proofErr w:type="spellEnd"/>
      <w:r w:rsidRPr="00DA26A2">
        <w:rPr>
          <w:rFonts w:ascii="Calibri" w:hAnsi="Calibri"/>
        </w:rPr>
        <w:t xml:space="preserve">, Larraitz </w:t>
      </w:r>
      <w:proofErr w:type="spellStart"/>
      <w:r w:rsidRPr="00DA26A2">
        <w:rPr>
          <w:rFonts w:ascii="Calibri" w:hAnsi="Calibri"/>
        </w:rPr>
        <w:t>Arriola</w:t>
      </w:r>
      <w:r w:rsidR="00D53DF1" w:rsidRPr="00DA26A2">
        <w:rPr>
          <w:rFonts w:ascii="Calibri" w:hAnsi="Calibri"/>
          <w:vertAlign w:val="superscript"/>
        </w:rPr>
        <w:t>f</w:t>
      </w:r>
      <w:proofErr w:type="spellEnd"/>
      <w:r w:rsidRPr="00DA26A2">
        <w:rPr>
          <w:rFonts w:ascii="Calibri" w:hAnsi="Calibri"/>
        </w:rPr>
        <w:t xml:space="preserve">, Ingeborg </w:t>
      </w:r>
      <w:proofErr w:type="spellStart"/>
      <w:r w:rsidRPr="00DA26A2">
        <w:rPr>
          <w:rFonts w:ascii="Calibri" w:hAnsi="Calibri"/>
        </w:rPr>
        <w:t>Barisic</w:t>
      </w:r>
      <w:r w:rsidR="00D53DF1" w:rsidRPr="00DA26A2">
        <w:rPr>
          <w:rFonts w:ascii="Calibri" w:hAnsi="Calibri"/>
          <w:vertAlign w:val="superscript"/>
        </w:rPr>
        <w:t>g</w:t>
      </w:r>
      <w:proofErr w:type="spellEnd"/>
      <w:r w:rsidRPr="00DA26A2">
        <w:rPr>
          <w:rFonts w:ascii="Calibri" w:hAnsi="Calibri"/>
        </w:rPr>
        <w:t xml:space="preserve">, </w:t>
      </w:r>
      <w:proofErr w:type="spellStart"/>
      <w:r w:rsidRPr="00DA26A2">
        <w:rPr>
          <w:rFonts w:ascii="Calibri" w:hAnsi="Calibri"/>
        </w:rPr>
        <w:t>Jorieke</w:t>
      </w:r>
      <w:proofErr w:type="spellEnd"/>
      <w:r w:rsidRPr="00DA26A2">
        <w:rPr>
          <w:rFonts w:ascii="Calibri" w:hAnsi="Calibri"/>
        </w:rPr>
        <w:t xml:space="preserve"> EH </w:t>
      </w:r>
      <w:proofErr w:type="spellStart"/>
      <w:r w:rsidRPr="00DA26A2">
        <w:rPr>
          <w:rFonts w:ascii="Calibri" w:hAnsi="Calibri"/>
        </w:rPr>
        <w:t>Bergman</w:t>
      </w:r>
      <w:r w:rsidR="00D53DF1" w:rsidRPr="00DA26A2">
        <w:rPr>
          <w:rFonts w:ascii="Calibri" w:hAnsi="Calibri"/>
          <w:vertAlign w:val="superscript"/>
        </w:rPr>
        <w:t>h</w:t>
      </w:r>
      <w:proofErr w:type="spellEnd"/>
      <w:r w:rsidRPr="00DA26A2">
        <w:rPr>
          <w:rFonts w:ascii="Calibri" w:hAnsi="Calibri"/>
        </w:rPr>
        <w:t xml:space="preserve">, Melinda </w:t>
      </w:r>
      <w:proofErr w:type="spellStart"/>
      <w:r w:rsidRPr="00DA26A2">
        <w:rPr>
          <w:rFonts w:ascii="Calibri" w:hAnsi="Calibri"/>
        </w:rPr>
        <w:t>Csaky-Szunyogh</w:t>
      </w:r>
      <w:r w:rsidR="00D53DF1" w:rsidRPr="00DA26A2">
        <w:rPr>
          <w:rFonts w:ascii="Calibri" w:hAnsi="Calibri"/>
          <w:vertAlign w:val="superscript"/>
        </w:rPr>
        <w:t>i</w:t>
      </w:r>
      <w:proofErr w:type="spellEnd"/>
      <w:r w:rsidRPr="00DA26A2">
        <w:rPr>
          <w:rFonts w:ascii="Calibri" w:hAnsi="Calibri"/>
        </w:rPr>
        <w:t xml:space="preserve">, Carlos </w:t>
      </w:r>
      <w:proofErr w:type="spellStart"/>
      <w:r w:rsidRPr="00DA26A2">
        <w:rPr>
          <w:rFonts w:ascii="Calibri" w:hAnsi="Calibri"/>
        </w:rPr>
        <w:t>Dias</w:t>
      </w:r>
      <w:r w:rsidR="00D53DF1" w:rsidRPr="00DA26A2">
        <w:rPr>
          <w:rFonts w:ascii="Calibri" w:hAnsi="Calibri"/>
          <w:vertAlign w:val="superscript"/>
        </w:rPr>
        <w:t>j</w:t>
      </w:r>
      <w:proofErr w:type="spellEnd"/>
      <w:r w:rsidRPr="00DA26A2">
        <w:rPr>
          <w:rFonts w:ascii="Calibri" w:hAnsi="Calibri"/>
        </w:rPr>
        <w:t xml:space="preserve">, Elizabeth S </w:t>
      </w:r>
      <w:proofErr w:type="spellStart"/>
      <w:r w:rsidRPr="00DA26A2">
        <w:rPr>
          <w:rFonts w:ascii="Calibri" w:hAnsi="Calibri"/>
        </w:rPr>
        <w:t>Draper</w:t>
      </w:r>
      <w:r w:rsidR="00D53DF1" w:rsidRPr="00DA26A2">
        <w:rPr>
          <w:rFonts w:ascii="Calibri" w:hAnsi="Calibri"/>
          <w:vertAlign w:val="superscript"/>
        </w:rPr>
        <w:t>k</w:t>
      </w:r>
      <w:proofErr w:type="spellEnd"/>
      <w:r w:rsidR="00060A66" w:rsidRPr="00DA26A2">
        <w:rPr>
          <w:rFonts w:ascii="Calibri" w:hAnsi="Calibri"/>
        </w:rPr>
        <w:t>,</w:t>
      </w:r>
      <w:r w:rsidR="002B327C" w:rsidRPr="00DA26A2">
        <w:rPr>
          <w:rFonts w:ascii="Calibri" w:hAnsi="Calibri"/>
        </w:rPr>
        <w:t xml:space="preserve"> </w:t>
      </w:r>
      <w:r w:rsidRPr="00DA26A2">
        <w:rPr>
          <w:rFonts w:ascii="Calibri" w:hAnsi="Calibri"/>
        </w:rPr>
        <w:t xml:space="preserve">Miriam </w:t>
      </w:r>
      <w:proofErr w:type="spellStart"/>
      <w:r w:rsidRPr="00DA26A2">
        <w:rPr>
          <w:rFonts w:ascii="Calibri" w:hAnsi="Calibri"/>
        </w:rPr>
        <w:t>Gatt</w:t>
      </w:r>
      <w:r w:rsidRPr="00DA26A2">
        <w:rPr>
          <w:rFonts w:ascii="Calibri" w:hAnsi="Calibri"/>
          <w:vertAlign w:val="superscript"/>
        </w:rPr>
        <w:t>l</w:t>
      </w:r>
      <w:proofErr w:type="spellEnd"/>
      <w:r w:rsidRPr="00DA26A2">
        <w:rPr>
          <w:rFonts w:ascii="Calibri" w:hAnsi="Calibri"/>
        </w:rPr>
        <w:t xml:space="preserve">, Babak </w:t>
      </w:r>
      <w:proofErr w:type="spellStart"/>
      <w:r w:rsidRPr="00DA26A2">
        <w:rPr>
          <w:rFonts w:ascii="Calibri" w:hAnsi="Calibri"/>
        </w:rPr>
        <w:t>Khoshnood</w:t>
      </w:r>
      <w:r w:rsidRPr="00DA26A2">
        <w:rPr>
          <w:rFonts w:ascii="Calibri" w:hAnsi="Calibri"/>
          <w:vertAlign w:val="superscript"/>
        </w:rPr>
        <w:t>m</w:t>
      </w:r>
      <w:proofErr w:type="spellEnd"/>
      <w:r w:rsidRPr="00DA26A2">
        <w:rPr>
          <w:rFonts w:ascii="Calibri" w:hAnsi="Calibri"/>
        </w:rPr>
        <w:t xml:space="preserve">, Kari </w:t>
      </w:r>
      <w:proofErr w:type="spellStart"/>
      <w:r w:rsidRPr="00DA26A2">
        <w:rPr>
          <w:rFonts w:ascii="Calibri" w:hAnsi="Calibri"/>
        </w:rPr>
        <w:t>Klungsoyr</w:t>
      </w:r>
      <w:r w:rsidRPr="00DA26A2">
        <w:rPr>
          <w:rFonts w:ascii="Calibri" w:hAnsi="Calibri"/>
          <w:vertAlign w:val="superscript"/>
        </w:rPr>
        <w:t>n</w:t>
      </w:r>
      <w:proofErr w:type="spellEnd"/>
      <w:r w:rsidRPr="00DA26A2">
        <w:rPr>
          <w:rFonts w:ascii="Calibri" w:hAnsi="Calibri"/>
        </w:rPr>
        <w:t xml:space="preserve">, </w:t>
      </w:r>
      <w:r w:rsidR="00DA22D6" w:rsidRPr="00DA26A2">
        <w:rPr>
          <w:rFonts w:ascii="Calibri" w:hAnsi="Calibri"/>
        </w:rPr>
        <w:t xml:space="preserve">Jennifer J </w:t>
      </w:r>
      <w:proofErr w:type="spellStart"/>
      <w:r w:rsidR="00DA22D6" w:rsidRPr="00DA26A2">
        <w:rPr>
          <w:rFonts w:ascii="Calibri" w:hAnsi="Calibri"/>
        </w:rPr>
        <w:t>Kurinczuk</w:t>
      </w:r>
      <w:r w:rsidR="00DA22D6" w:rsidRPr="00DA26A2">
        <w:rPr>
          <w:rFonts w:ascii="Calibri" w:hAnsi="Calibri"/>
          <w:vertAlign w:val="superscript"/>
        </w:rPr>
        <w:t>o</w:t>
      </w:r>
      <w:proofErr w:type="spellEnd"/>
      <w:r w:rsidR="00DA22D6" w:rsidRPr="00DA26A2">
        <w:rPr>
          <w:rFonts w:ascii="Calibri" w:hAnsi="Calibri"/>
        </w:rPr>
        <w:t xml:space="preserve">, </w:t>
      </w:r>
      <w:r w:rsidRPr="00DA26A2">
        <w:rPr>
          <w:rFonts w:ascii="Calibri" w:hAnsi="Calibri"/>
        </w:rPr>
        <w:t xml:space="preserve">Catherine </w:t>
      </w:r>
      <w:proofErr w:type="spellStart"/>
      <w:r w:rsidRPr="00DA26A2">
        <w:rPr>
          <w:rFonts w:ascii="Calibri" w:hAnsi="Calibri"/>
        </w:rPr>
        <w:t>Lynch</w:t>
      </w:r>
      <w:r w:rsidR="00DA22D6" w:rsidRPr="00DA26A2">
        <w:rPr>
          <w:rFonts w:ascii="Calibri" w:hAnsi="Calibri"/>
          <w:vertAlign w:val="superscript"/>
        </w:rPr>
        <w:t>p</w:t>
      </w:r>
      <w:proofErr w:type="spellEnd"/>
      <w:r w:rsidRPr="00DA26A2">
        <w:rPr>
          <w:rFonts w:ascii="Calibri" w:hAnsi="Calibri"/>
        </w:rPr>
        <w:t xml:space="preserve">, Robert </w:t>
      </w:r>
      <w:proofErr w:type="spellStart"/>
      <w:r w:rsidRPr="00DA26A2">
        <w:rPr>
          <w:rFonts w:ascii="Calibri" w:hAnsi="Calibri"/>
        </w:rPr>
        <w:t>McDonnell</w:t>
      </w:r>
      <w:r w:rsidR="00DA22D6" w:rsidRPr="00DA26A2">
        <w:rPr>
          <w:rFonts w:ascii="Calibri" w:hAnsi="Calibri"/>
          <w:vertAlign w:val="superscript"/>
        </w:rPr>
        <w:t>q</w:t>
      </w:r>
      <w:proofErr w:type="spellEnd"/>
      <w:r w:rsidRPr="00DA26A2">
        <w:rPr>
          <w:rFonts w:ascii="Calibri" w:hAnsi="Calibri"/>
        </w:rPr>
        <w:t xml:space="preserve">, Vera </w:t>
      </w:r>
      <w:proofErr w:type="spellStart"/>
      <w:r w:rsidRPr="00DA26A2">
        <w:rPr>
          <w:rFonts w:ascii="Calibri" w:hAnsi="Calibri"/>
        </w:rPr>
        <w:t>Nelen</w:t>
      </w:r>
      <w:r w:rsidR="00DA22D6" w:rsidRPr="00DA26A2">
        <w:rPr>
          <w:rFonts w:ascii="Calibri" w:hAnsi="Calibri"/>
          <w:vertAlign w:val="superscript"/>
        </w:rPr>
        <w:t>r</w:t>
      </w:r>
      <w:proofErr w:type="spellEnd"/>
      <w:r w:rsidRPr="00DA26A2">
        <w:rPr>
          <w:rFonts w:ascii="Calibri" w:hAnsi="Calibri"/>
        </w:rPr>
        <w:t xml:space="preserve">, Amanda J </w:t>
      </w:r>
      <w:proofErr w:type="spellStart"/>
      <w:r w:rsidRPr="00DA26A2">
        <w:rPr>
          <w:rFonts w:ascii="Calibri" w:hAnsi="Calibri"/>
        </w:rPr>
        <w:t>Neville</w:t>
      </w:r>
      <w:r w:rsidR="00DA22D6" w:rsidRPr="00DA26A2">
        <w:rPr>
          <w:rFonts w:ascii="Calibri" w:hAnsi="Calibri"/>
          <w:vertAlign w:val="superscript"/>
        </w:rPr>
        <w:t>s</w:t>
      </w:r>
      <w:proofErr w:type="spellEnd"/>
      <w:r w:rsidRPr="00DA26A2">
        <w:rPr>
          <w:rFonts w:ascii="Calibri" w:hAnsi="Calibri"/>
        </w:rPr>
        <w:t xml:space="preserve">, Mary </w:t>
      </w:r>
      <w:r w:rsidR="00060A66" w:rsidRPr="00DA26A2">
        <w:rPr>
          <w:rFonts w:ascii="Calibri" w:hAnsi="Calibri"/>
        </w:rPr>
        <w:t xml:space="preserve">T </w:t>
      </w:r>
      <w:r w:rsidRPr="00DA26A2">
        <w:rPr>
          <w:rFonts w:ascii="Calibri" w:hAnsi="Calibri"/>
        </w:rPr>
        <w:t>O'Mahony</w:t>
      </w:r>
      <w:r w:rsidR="00060A66" w:rsidRPr="00DA26A2">
        <w:rPr>
          <w:rFonts w:ascii="Calibri" w:hAnsi="Calibri"/>
        </w:rPr>
        <w:t xml:space="preserve"> </w:t>
      </w:r>
      <w:r w:rsidR="00DA22D6" w:rsidRPr="00DA26A2">
        <w:rPr>
          <w:rFonts w:ascii="Calibri" w:hAnsi="Calibri"/>
          <w:vertAlign w:val="superscript"/>
        </w:rPr>
        <w:t>t</w:t>
      </w:r>
      <w:r w:rsidRPr="00DA26A2">
        <w:rPr>
          <w:rFonts w:ascii="Calibri" w:hAnsi="Calibri"/>
        </w:rPr>
        <w:t xml:space="preserve">, Anna </w:t>
      </w:r>
      <w:proofErr w:type="spellStart"/>
      <w:r w:rsidRPr="00DA26A2">
        <w:rPr>
          <w:rFonts w:ascii="Calibri" w:hAnsi="Calibri"/>
        </w:rPr>
        <w:t>Pierini</w:t>
      </w:r>
      <w:r w:rsidR="00DA22D6" w:rsidRPr="00DA26A2">
        <w:rPr>
          <w:rFonts w:ascii="Calibri" w:hAnsi="Calibri"/>
          <w:vertAlign w:val="superscript"/>
        </w:rPr>
        <w:t>u</w:t>
      </w:r>
      <w:proofErr w:type="spellEnd"/>
      <w:r w:rsidRPr="00DA26A2">
        <w:rPr>
          <w:rFonts w:ascii="Calibri" w:hAnsi="Calibri"/>
        </w:rPr>
        <w:t xml:space="preserve">, Hanitra </w:t>
      </w:r>
      <w:proofErr w:type="spellStart"/>
      <w:r w:rsidRPr="00DA26A2">
        <w:rPr>
          <w:rFonts w:ascii="Calibri" w:hAnsi="Calibri"/>
        </w:rPr>
        <w:t>Randrianaivo</w:t>
      </w:r>
      <w:r w:rsidR="00DA22D6" w:rsidRPr="00DA26A2">
        <w:rPr>
          <w:rFonts w:ascii="Calibri" w:hAnsi="Calibri"/>
          <w:vertAlign w:val="superscript"/>
        </w:rPr>
        <w:t>v</w:t>
      </w:r>
      <w:proofErr w:type="spellEnd"/>
      <w:r w:rsidRPr="00DA26A2">
        <w:rPr>
          <w:rFonts w:ascii="Calibri" w:hAnsi="Calibri"/>
        </w:rPr>
        <w:t>,</w:t>
      </w:r>
      <w:r w:rsidR="002B327C" w:rsidRPr="00DA26A2">
        <w:rPr>
          <w:rFonts w:ascii="Calibri" w:hAnsi="Calibri"/>
        </w:rPr>
        <w:t xml:space="preserve"> </w:t>
      </w:r>
      <w:r w:rsidRPr="00DA26A2">
        <w:rPr>
          <w:rFonts w:ascii="Calibri" w:hAnsi="Calibri"/>
        </w:rPr>
        <w:t xml:space="preserve">Anke </w:t>
      </w:r>
      <w:proofErr w:type="spellStart"/>
      <w:r w:rsidRPr="00DA26A2">
        <w:rPr>
          <w:rFonts w:ascii="Calibri" w:hAnsi="Calibri"/>
        </w:rPr>
        <w:t>Rissmann</w:t>
      </w:r>
      <w:r w:rsidR="00DA22D6" w:rsidRPr="00DA26A2">
        <w:rPr>
          <w:rFonts w:ascii="Calibri" w:hAnsi="Calibri"/>
          <w:vertAlign w:val="superscript"/>
        </w:rPr>
        <w:t>w</w:t>
      </w:r>
      <w:proofErr w:type="spellEnd"/>
      <w:r w:rsidRPr="00DA26A2">
        <w:rPr>
          <w:rFonts w:ascii="Calibri" w:hAnsi="Calibri"/>
        </w:rPr>
        <w:t>,</w:t>
      </w:r>
      <w:r w:rsidR="002B327C" w:rsidRPr="00DA26A2">
        <w:rPr>
          <w:rFonts w:ascii="Calibri" w:hAnsi="Calibri"/>
        </w:rPr>
        <w:t xml:space="preserve"> </w:t>
      </w:r>
      <w:r w:rsidRPr="00DA26A2">
        <w:rPr>
          <w:rFonts w:ascii="Calibri" w:hAnsi="Calibri"/>
        </w:rPr>
        <w:t>David Tucker</w:t>
      </w:r>
      <w:r w:rsidR="00060A66" w:rsidRPr="00DA26A2">
        <w:rPr>
          <w:rFonts w:ascii="Calibri" w:hAnsi="Calibri"/>
          <w:vertAlign w:val="superscript"/>
        </w:rPr>
        <w:t xml:space="preserve"> </w:t>
      </w:r>
      <w:r w:rsidR="00DA22D6" w:rsidRPr="00DA26A2">
        <w:rPr>
          <w:rFonts w:ascii="Calibri" w:hAnsi="Calibri"/>
          <w:vertAlign w:val="superscript"/>
        </w:rPr>
        <w:t>x</w:t>
      </w:r>
      <w:r w:rsidRPr="00DA26A2">
        <w:rPr>
          <w:rFonts w:ascii="Calibri" w:hAnsi="Calibri"/>
        </w:rPr>
        <w:t xml:space="preserve">, Christine </w:t>
      </w:r>
      <w:proofErr w:type="spellStart"/>
      <w:r w:rsidRPr="00DA26A2">
        <w:rPr>
          <w:rFonts w:ascii="Calibri" w:hAnsi="Calibri"/>
        </w:rPr>
        <w:t>Verellen-Dumoulin</w:t>
      </w:r>
      <w:r w:rsidR="00DA22D6" w:rsidRPr="00DA26A2">
        <w:rPr>
          <w:rFonts w:ascii="Calibri" w:hAnsi="Calibri"/>
          <w:vertAlign w:val="superscript"/>
        </w:rPr>
        <w:t>y</w:t>
      </w:r>
      <w:proofErr w:type="spellEnd"/>
      <w:r w:rsidRPr="00DA26A2">
        <w:rPr>
          <w:rFonts w:ascii="Calibri" w:hAnsi="Calibri"/>
        </w:rPr>
        <w:t xml:space="preserve">, </w:t>
      </w:r>
      <w:r w:rsidR="00EA7339" w:rsidRPr="00DA26A2">
        <w:rPr>
          <w:rFonts w:ascii="Calibri" w:hAnsi="Calibri"/>
        </w:rPr>
        <w:t xml:space="preserve">Hermien E.K. de </w:t>
      </w:r>
      <w:proofErr w:type="spellStart"/>
      <w:r w:rsidR="00EA7339" w:rsidRPr="00DA26A2">
        <w:rPr>
          <w:rFonts w:ascii="Calibri" w:hAnsi="Calibri"/>
        </w:rPr>
        <w:t>Walle</w:t>
      </w:r>
      <w:r w:rsidR="00EA7339" w:rsidRPr="00DA26A2">
        <w:rPr>
          <w:rFonts w:ascii="Calibri" w:hAnsi="Calibri"/>
          <w:vertAlign w:val="superscript"/>
        </w:rPr>
        <w:t>h</w:t>
      </w:r>
      <w:proofErr w:type="spellEnd"/>
      <w:r w:rsidR="00EA7339" w:rsidRPr="00DA26A2">
        <w:rPr>
          <w:rFonts w:ascii="Calibri" w:hAnsi="Calibri"/>
        </w:rPr>
        <w:t xml:space="preserve">, </w:t>
      </w:r>
      <w:r w:rsidRPr="00DA26A2">
        <w:rPr>
          <w:rFonts w:ascii="Calibri" w:hAnsi="Calibri"/>
        </w:rPr>
        <w:t xml:space="preserve">Diana </w:t>
      </w:r>
      <w:proofErr w:type="spellStart"/>
      <w:r w:rsidR="00DA22D6" w:rsidRPr="00DA26A2">
        <w:rPr>
          <w:rFonts w:ascii="Calibri" w:hAnsi="Calibri"/>
        </w:rPr>
        <w:t>Wellesley</w:t>
      </w:r>
      <w:r w:rsidR="00DA22D6" w:rsidRPr="00DA26A2">
        <w:rPr>
          <w:rFonts w:ascii="Calibri" w:hAnsi="Calibri"/>
          <w:vertAlign w:val="superscript"/>
        </w:rPr>
        <w:t>z</w:t>
      </w:r>
      <w:proofErr w:type="spellEnd"/>
      <w:r w:rsidR="00664DDB" w:rsidRPr="00DA26A2">
        <w:rPr>
          <w:rFonts w:ascii="Calibri" w:hAnsi="Calibri"/>
        </w:rPr>
        <w:t xml:space="preserve">, </w:t>
      </w:r>
      <w:r w:rsidR="000A092E" w:rsidRPr="00DA26A2">
        <w:rPr>
          <w:rFonts w:ascii="Calibri" w:hAnsi="Calibri"/>
        </w:rPr>
        <w:t xml:space="preserve">Awi </w:t>
      </w:r>
      <w:proofErr w:type="spellStart"/>
      <w:r w:rsidR="000A092E" w:rsidRPr="00DA26A2">
        <w:rPr>
          <w:rFonts w:ascii="Calibri" w:hAnsi="Calibri"/>
        </w:rPr>
        <w:t>Wiesel</w:t>
      </w:r>
      <w:r w:rsidR="00DA22D6" w:rsidRPr="00DA26A2">
        <w:rPr>
          <w:rFonts w:ascii="Calibri" w:hAnsi="Calibri"/>
          <w:vertAlign w:val="superscript"/>
        </w:rPr>
        <w:t>aa</w:t>
      </w:r>
      <w:proofErr w:type="spellEnd"/>
      <w:r w:rsidR="000A092E" w:rsidRPr="00DA26A2">
        <w:rPr>
          <w:rFonts w:ascii="Calibri" w:hAnsi="Calibri"/>
        </w:rPr>
        <w:t xml:space="preserve">, </w:t>
      </w:r>
      <w:r w:rsidRPr="00DA26A2">
        <w:rPr>
          <w:rFonts w:ascii="Calibri" w:hAnsi="Calibri"/>
        </w:rPr>
        <w:t xml:space="preserve">Helen </w:t>
      </w:r>
      <w:proofErr w:type="spellStart"/>
      <w:r w:rsidRPr="00DA26A2">
        <w:rPr>
          <w:rFonts w:ascii="Calibri" w:hAnsi="Calibri"/>
        </w:rPr>
        <w:t>Dolk</w:t>
      </w:r>
      <w:proofErr w:type="spellEnd"/>
      <w:r w:rsidR="00060A66" w:rsidRPr="00DA26A2">
        <w:rPr>
          <w:rFonts w:ascii="Calibri" w:hAnsi="Calibri"/>
          <w:vertAlign w:val="superscript"/>
        </w:rPr>
        <w:t xml:space="preserve"> </w:t>
      </w:r>
      <w:r w:rsidR="004416FE" w:rsidRPr="00DA26A2">
        <w:rPr>
          <w:rFonts w:ascii="Calibri" w:hAnsi="Calibri"/>
          <w:vertAlign w:val="superscript"/>
        </w:rPr>
        <w:t>d</w:t>
      </w:r>
      <w:r w:rsidRPr="00DA26A2">
        <w:rPr>
          <w:rFonts w:ascii="Calibri" w:hAnsi="Calibri"/>
          <w:vertAlign w:val="superscript"/>
        </w:rPr>
        <w:t xml:space="preserve"> </w:t>
      </w:r>
    </w:p>
    <w:p w14:paraId="306B1940" w14:textId="77777777" w:rsidR="00595FF4" w:rsidRDefault="00595FF4" w:rsidP="00E269E1">
      <w:pPr>
        <w:spacing w:after="0" w:line="360" w:lineRule="auto"/>
        <w:contextualSpacing/>
        <w:rPr>
          <w:b/>
        </w:rPr>
      </w:pPr>
    </w:p>
    <w:p w14:paraId="78A1D8ED" w14:textId="4DE6FFE0" w:rsidR="00E269E1" w:rsidRPr="00FB0A0A" w:rsidRDefault="00E269E1" w:rsidP="00E269E1">
      <w:pPr>
        <w:spacing w:after="0" w:line="480" w:lineRule="auto"/>
        <w:rPr>
          <w:rFonts w:ascii="Calibri" w:hAnsi="Calibri"/>
        </w:rPr>
      </w:pPr>
      <w:proofErr w:type="gramStart"/>
      <w:r w:rsidRPr="00FB0A0A">
        <w:rPr>
          <w:rFonts w:ascii="Calibri" w:hAnsi="Calibri"/>
        </w:rPr>
        <w:t>a</w:t>
      </w:r>
      <w:proofErr w:type="gramEnd"/>
      <w:r w:rsidRPr="00FB0A0A">
        <w:rPr>
          <w:rFonts w:ascii="Calibri" w:hAnsi="Calibri"/>
        </w:rPr>
        <w:t xml:space="preserve"> </w:t>
      </w:r>
      <w:r w:rsidR="00060A66">
        <w:rPr>
          <w:rFonts w:ascii="Calibri" w:hAnsi="Calibri"/>
        </w:rPr>
        <w:t xml:space="preserve">Wolfson Institute of Preventive Medicine, </w:t>
      </w:r>
      <w:r w:rsidRPr="00FB0A0A">
        <w:rPr>
          <w:rFonts w:ascii="Calibri" w:hAnsi="Calibri"/>
        </w:rPr>
        <w:t>Queen Mary University of London, London, UK</w:t>
      </w:r>
    </w:p>
    <w:p w14:paraId="2FA08129" w14:textId="01CD2638" w:rsidR="00E269E1" w:rsidRDefault="00E269E1" w:rsidP="00E269E1">
      <w:pPr>
        <w:spacing w:after="0" w:line="480" w:lineRule="auto"/>
        <w:rPr>
          <w:rFonts w:ascii="Calibri" w:hAnsi="Calibri"/>
        </w:rPr>
      </w:pPr>
      <w:proofErr w:type="gramStart"/>
      <w:r>
        <w:rPr>
          <w:rFonts w:ascii="Calibri" w:hAnsi="Calibri"/>
        </w:rPr>
        <w:t>b</w:t>
      </w:r>
      <w:proofErr w:type="gramEnd"/>
      <w:r w:rsidRPr="00E269E1">
        <w:rPr>
          <w:rFonts w:ascii="Calibri" w:hAnsi="Calibri"/>
        </w:rPr>
        <w:t xml:space="preserve"> Institute of Health &amp; Society, Newcastle University, Newcastle upon Tyne, UK</w:t>
      </w:r>
    </w:p>
    <w:p w14:paraId="5CFC81F3" w14:textId="7AE61E00" w:rsidR="00D53DF1" w:rsidRPr="00FB0A0A" w:rsidRDefault="00D53DF1" w:rsidP="00D53DF1">
      <w:pPr>
        <w:spacing w:after="0" w:line="480" w:lineRule="auto"/>
        <w:rPr>
          <w:rFonts w:ascii="Calibri" w:hAnsi="Calibri"/>
        </w:rPr>
      </w:pPr>
      <w:proofErr w:type="gramStart"/>
      <w:r>
        <w:rPr>
          <w:rFonts w:ascii="Calibri" w:hAnsi="Calibri"/>
        </w:rPr>
        <w:t>c</w:t>
      </w:r>
      <w:proofErr w:type="gramEnd"/>
      <w:r w:rsidRPr="00077826">
        <w:rPr>
          <w:rFonts w:ascii="Calibri" w:hAnsi="Calibri"/>
        </w:rPr>
        <w:t xml:space="preserve"> </w:t>
      </w:r>
      <w:r>
        <w:rPr>
          <w:rFonts w:ascii="Calibri" w:hAnsi="Calibri"/>
        </w:rPr>
        <w:t xml:space="preserve">Paediatric department, </w:t>
      </w:r>
      <w:r w:rsidRPr="00077826">
        <w:rPr>
          <w:rFonts w:ascii="Calibri" w:hAnsi="Calibri"/>
        </w:rPr>
        <w:t xml:space="preserve">Hospital </w:t>
      </w:r>
      <w:proofErr w:type="spellStart"/>
      <w:r w:rsidRPr="00077826">
        <w:rPr>
          <w:rFonts w:ascii="Calibri" w:hAnsi="Calibri"/>
        </w:rPr>
        <w:t>Lillebaelt</w:t>
      </w:r>
      <w:proofErr w:type="spellEnd"/>
      <w:r w:rsidRPr="00077826">
        <w:rPr>
          <w:rFonts w:ascii="Calibri" w:hAnsi="Calibri"/>
        </w:rPr>
        <w:t>, Kolding, Denmark</w:t>
      </w:r>
    </w:p>
    <w:p w14:paraId="740BF182" w14:textId="238414EA" w:rsidR="00E269E1" w:rsidRPr="00FB0A0A" w:rsidRDefault="00D53DF1" w:rsidP="00E269E1">
      <w:pPr>
        <w:spacing w:after="0" w:line="480" w:lineRule="auto"/>
        <w:rPr>
          <w:rFonts w:ascii="Calibri" w:hAnsi="Calibri"/>
        </w:rPr>
      </w:pPr>
      <w:proofErr w:type="gramStart"/>
      <w:r>
        <w:rPr>
          <w:rFonts w:ascii="Calibri" w:hAnsi="Calibri"/>
        </w:rPr>
        <w:t>d</w:t>
      </w:r>
      <w:proofErr w:type="gramEnd"/>
      <w:r w:rsidR="00E269E1">
        <w:rPr>
          <w:rFonts w:ascii="Calibri" w:hAnsi="Calibri"/>
        </w:rPr>
        <w:t xml:space="preserve"> </w:t>
      </w:r>
      <w:r w:rsidR="00E269E1" w:rsidRPr="00FB0A0A">
        <w:rPr>
          <w:rFonts w:ascii="Calibri" w:hAnsi="Calibri"/>
        </w:rPr>
        <w:t>University of Ulster, Newtownabbey, UK</w:t>
      </w:r>
    </w:p>
    <w:p w14:paraId="093CFA59" w14:textId="64BE6692" w:rsidR="00E269E1" w:rsidRPr="00077826" w:rsidRDefault="00D53DF1" w:rsidP="00E269E1">
      <w:pPr>
        <w:spacing w:after="0" w:line="480" w:lineRule="auto"/>
        <w:rPr>
          <w:rFonts w:ascii="Calibri" w:hAnsi="Calibri"/>
        </w:rPr>
      </w:pPr>
      <w:proofErr w:type="gramStart"/>
      <w:r>
        <w:rPr>
          <w:rFonts w:ascii="Calibri" w:hAnsi="Calibri"/>
        </w:rPr>
        <w:t>e</w:t>
      </w:r>
      <w:proofErr w:type="gramEnd"/>
      <w:r w:rsidR="00E269E1" w:rsidRPr="00FB0A0A">
        <w:rPr>
          <w:rFonts w:ascii="Calibri" w:hAnsi="Calibri"/>
        </w:rPr>
        <w:t xml:space="preserve"> </w:t>
      </w:r>
      <w:r w:rsidR="00E269E1" w:rsidRPr="00077826">
        <w:rPr>
          <w:rFonts w:ascii="Calibri" w:hAnsi="Calibri"/>
        </w:rPr>
        <w:t>Division of Medical Genetics, Lausanne, Switzerland</w:t>
      </w:r>
    </w:p>
    <w:p w14:paraId="035CCE06" w14:textId="647902CB" w:rsidR="00E269E1" w:rsidRPr="00FB0A0A" w:rsidRDefault="00D53DF1" w:rsidP="00E269E1">
      <w:pPr>
        <w:spacing w:after="0" w:line="480" w:lineRule="auto"/>
        <w:rPr>
          <w:rFonts w:ascii="Calibri" w:hAnsi="Calibri"/>
        </w:rPr>
      </w:pPr>
      <w:r>
        <w:rPr>
          <w:rFonts w:ascii="Calibri" w:hAnsi="Calibri"/>
        </w:rPr>
        <w:t>f</w:t>
      </w:r>
      <w:r w:rsidR="00E269E1" w:rsidRPr="00077826">
        <w:rPr>
          <w:rFonts w:ascii="Calibri" w:hAnsi="Calibri"/>
        </w:rPr>
        <w:t xml:space="preserve"> Public Health Division of </w:t>
      </w:r>
      <w:proofErr w:type="spellStart"/>
      <w:r w:rsidR="00E269E1" w:rsidRPr="00077826">
        <w:rPr>
          <w:rFonts w:ascii="Calibri" w:hAnsi="Calibri"/>
        </w:rPr>
        <w:t>Gipuzkoa</w:t>
      </w:r>
      <w:proofErr w:type="spellEnd"/>
      <w:r w:rsidR="00E269E1" w:rsidRPr="00077826">
        <w:rPr>
          <w:rFonts w:ascii="Calibri" w:hAnsi="Calibri"/>
        </w:rPr>
        <w:t xml:space="preserve">, </w:t>
      </w:r>
      <w:proofErr w:type="spellStart"/>
      <w:r w:rsidR="00E269E1" w:rsidRPr="00077826">
        <w:rPr>
          <w:rFonts w:ascii="Calibri" w:hAnsi="Calibri"/>
        </w:rPr>
        <w:t>Instituto</w:t>
      </w:r>
      <w:proofErr w:type="spellEnd"/>
      <w:r w:rsidR="00E269E1" w:rsidRPr="00077826">
        <w:rPr>
          <w:rFonts w:ascii="Calibri" w:hAnsi="Calibri"/>
        </w:rPr>
        <w:t xml:space="preserve"> BIO-</w:t>
      </w:r>
      <w:proofErr w:type="spellStart"/>
      <w:r w:rsidR="00E269E1" w:rsidRPr="00077826">
        <w:rPr>
          <w:rFonts w:ascii="Calibri" w:hAnsi="Calibri"/>
        </w:rPr>
        <w:t>Donostia</w:t>
      </w:r>
      <w:proofErr w:type="spellEnd"/>
      <w:r w:rsidR="00E269E1" w:rsidRPr="00077826">
        <w:rPr>
          <w:rFonts w:ascii="Calibri" w:hAnsi="Calibri"/>
        </w:rPr>
        <w:t xml:space="preserve">, Basque Government, CIBER </w:t>
      </w:r>
      <w:proofErr w:type="spellStart"/>
      <w:r w:rsidR="00E269E1" w:rsidRPr="00077826">
        <w:rPr>
          <w:rFonts w:ascii="Calibri" w:hAnsi="Calibri"/>
        </w:rPr>
        <w:t>Epidemiologia</w:t>
      </w:r>
      <w:proofErr w:type="spellEnd"/>
      <w:r w:rsidR="00E269E1" w:rsidRPr="00077826">
        <w:rPr>
          <w:rFonts w:ascii="Calibri" w:hAnsi="Calibri"/>
        </w:rPr>
        <w:t xml:space="preserve"> y </w:t>
      </w:r>
      <w:proofErr w:type="spellStart"/>
      <w:r w:rsidR="00E269E1" w:rsidRPr="00077826">
        <w:rPr>
          <w:rFonts w:ascii="Calibri" w:hAnsi="Calibri"/>
        </w:rPr>
        <w:t>Salud</w:t>
      </w:r>
      <w:proofErr w:type="spellEnd"/>
      <w:r w:rsidR="00E269E1" w:rsidRPr="00077826">
        <w:rPr>
          <w:rFonts w:ascii="Calibri" w:hAnsi="Calibri"/>
        </w:rPr>
        <w:t xml:space="preserve"> </w:t>
      </w:r>
      <w:proofErr w:type="spellStart"/>
      <w:r w:rsidR="00E269E1" w:rsidRPr="00077826">
        <w:rPr>
          <w:rFonts w:ascii="Calibri" w:hAnsi="Calibri"/>
        </w:rPr>
        <w:t>Publica</w:t>
      </w:r>
      <w:proofErr w:type="spellEnd"/>
      <w:r w:rsidR="00E269E1" w:rsidRPr="00077826">
        <w:rPr>
          <w:rFonts w:ascii="Calibri" w:hAnsi="Calibri"/>
        </w:rPr>
        <w:t xml:space="preserve"> - CIBERESP, Spain</w:t>
      </w:r>
    </w:p>
    <w:p w14:paraId="1A587DAB" w14:textId="25770A7F" w:rsidR="00E269E1" w:rsidRPr="00077826" w:rsidRDefault="00D53DF1" w:rsidP="00E269E1">
      <w:pPr>
        <w:spacing w:after="0" w:line="480" w:lineRule="auto"/>
        <w:rPr>
          <w:rFonts w:ascii="Calibri" w:hAnsi="Calibri"/>
          <w:color w:val="3F413F"/>
        </w:rPr>
      </w:pPr>
      <w:proofErr w:type="gramStart"/>
      <w:r>
        <w:rPr>
          <w:rFonts w:ascii="Calibri" w:hAnsi="Calibri"/>
        </w:rPr>
        <w:t>g</w:t>
      </w:r>
      <w:proofErr w:type="gramEnd"/>
      <w:r w:rsidR="00E269E1" w:rsidRPr="00077826">
        <w:rPr>
          <w:rFonts w:ascii="Calibri" w:hAnsi="Calibri"/>
        </w:rPr>
        <w:t xml:space="preserve"> </w:t>
      </w:r>
      <w:r w:rsidR="00E269E1" w:rsidRPr="00412CC9">
        <w:rPr>
          <w:rFonts w:ascii="Calibri" w:hAnsi="Calibri"/>
        </w:rPr>
        <w:t>Children’s Hospital Zagreb, Medical School University of Zagreb,</w:t>
      </w:r>
      <w:r w:rsidR="00171924">
        <w:rPr>
          <w:rFonts w:ascii="Calibri" w:hAnsi="Calibri"/>
        </w:rPr>
        <w:t xml:space="preserve"> </w:t>
      </w:r>
      <w:r w:rsidR="00E269E1">
        <w:rPr>
          <w:rFonts w:ascii="Calibri" w:hAnsi="Calibri"/>
        </w:rPr>
        <w:t>Zagreb, Croatia</w:t>
      </w:r>
    </w:p>
    <w:p w14:paraId="4FD9D985" w14:textId="239601F0" w:rsidR="00E269E1" w:rsidRPr="00FB0A0A" w:rsidRDefault="00D53DF1" w:rsidP="00E269E1">
      <w:pPr>
        <w:spacing w:after="0" w:line="480" w:lineRule="auto"/>
        <w:rPr>
          <w:rFonts w:ascii="Calibri" w:hAnsi="Calibri"/>
        </w:rPr>
      </w:pPr>
      <w:proofErr w:type="gramStart"/>
      <w:r>
        <w:rPr>
          <w:rFonts w:ascii="Calibri" w:hAnsi="Calibri"/>
        </w:rPr>
        <w:t>h</w:t>
      </w:r>
      <w:proofErr w:type="gramEnd"/>
      <w:r w:rsidR="00E269E1" w:rsidRPr="00077826">
        <w:rPr>
          <w:rFonts w:ascii="Calibri" w:hAnsi="Calibri"/>
        </w:rPr>
        <w:t xml:space="preserve"> University of Groningen, University Medical </w:t>
      </w:r>
      <w:proofErr w:type="spellStart"/>
      <w:r w:rsidR="00E269E1" w:rsidRPr="00077826">
        <w:rPr>
          <w:rFonts w:ascii="Calibri" w:hAnsi="Calibri"/>
        </w:rPr>
        <w:t>Center</w:t>
      </w:r>
      <w:proofErr w:type="spellEnd"/>
      <w:r w:rsidR="00E269E1" w:rsidRPr="00077826">
        <w:rPr>
          <w:rFonts w:ascii="Calibri" w:hAnsi="Calibri"/>
        </w:rPr>
        <w:t xml:space="preserve"> Groningen, Department of Genetics, Groningen, the Netherlands</w:t>
      </w:r>
    </w:p>
    <w:p w14:paraId="737A9955" w14:textId="2714AE15" w:rsidR="00E269E1" w:rsidRPr="00FB0A0A" w:rsidRDefault="00D53DF1" w:rsidP="00E269E1">
      <w:pPr>
        <w:spacing w:after="0" w:line="480" w:lineRule="auto"/>
        <w:rPr>
          <w:rFonts w:ascii="Calibri" w:hAnsi="Calibri"/>
        </w:rPr>
      </w:pPr>
      <w:proofErr w:type="gramStart"/>
      <w:r>
        <w:rPr>
          <w:rFonts w:ascii="Calibri" w:hAnsi="Calibri"/>
        </w:rPr>
        <w:t>i</w:t>
      </w:r>
      <w:proofErr w:type="gramEnd"/>
      <w:r w:rsidR="00E269E1" w:rsidRPr="00077826">
        <w:rPr>
          <w:rFonts w:ascii="Calibri" w:hAnsi="Calibri"/>
        </w:rPr>
        <w:t xml:space="preserve"> </w:t>
      </w:r>
      <w:r w:rsidR="00E269E1" w:rsidRPr="003E1041">
        <w:rPr>
          <w:rFonts w:ascii="Calibri" w:hAnsi="Calibri"/>
        </w:rPr>
        <w:t>National Public Health and Medical Officer Service, Hungarian Congenital Abnormality Registry, Budapest, Hungary</w:t>
      </w:r>
    </w:p>
    <w:p w14:paraId="25C13802" w14:textId="5E1A926C" w:rsidR="002B327C" w:rsidRPr="00C03180" w:rsidRDefault="00D53DF1" w:rsidP="002B327C">
      <w:pPr>
        <w:spacing w:after="0" w:line="480" w:lineRule="auto"/>
        <w:rPr>
          <w:rFonts w:ascii="Calibri" w:hAnsi="Calibri"/>
          <w:lang w:val="it-IT"/>
        </w:rPr>
      </w:pPr>
      <w:r>
        <w:rPr>
          <w:rFonts w:ascii="Calibri" w:hAnsi="Calibri"/>
          <w:lang w:val="it-IT"/>
        </w:rPr>
        <w:t>j</w:t>
      </w:r>
      <w:r w:rsidR="00E269E1" w:rsidRPr="00C03180">
        <w:rPr>
          <w:rFonts w:ascii="Calibri" w:hAnsi="Calibri"/>
          <w:lang w:val="it-IT"/>
        </w:rPr>
        <w:t xml:space="preserve"> </w:t>
      </w:r>
      <w:r w:rsidR="002B327C">
        <w:rPr>
          <w:rFonts w:ascii="Calibri" w:hAnsi="Calibri"/>
          <w:lang w:val="it-IT"/>
        </w:rPr>
        <w:t>National Registry of Congenital Anomalies,  National Institute of Health Ricardo Jorge, and Centro de Investigação em Saúde Pública, Escola Nacional de Saúde Pública, Universidade NOVA de Lisboa, Portugal.</w:t>
      </w:r>
    </w:p>
    <w:p w14:paraId="17F160EF" w14:textId="0C627033" w:rsidR="00E269E1" w:rsidRPr="00FB0A0A" w:rsidRDefault="00D53DF1" w:rsidP="00E269E1">
      <w:pPr>
        <w:spacing w:after="0" w:line="480" w:lineRule="auto"/>
        <w:rPr>
          <w:rFonts w:ascii="Calibri" w:hAnsi="Calibri"/>
        </w:rPr>
      </w:pPr>
      <w:proofErr w:type="gramStart"/>
      <w:r>
        <w:rPr>
          <w:rFonts w:ascii="Calibri" w:hAnsi="Calibri"/>
        </w:rPr>
        <w:t>k</w:t>
      </w:r>
      <w:proofErr w:type="gramEnd"/>
      <w:r w:rsidR="00E269E1" w:rsidRPr="00077826">
        <w:rPr>
          <w:rFonts w:ascii="Calibri" w:hAnsi="Calibri"/>
        </w:rPr>
        <w:t xml:space="preserve"> University of Leicester, Leicester, UK</w:t>
      </w:r>
    </w:p>
    <w:p w14:paraId="51E5366D" w14:textId="0E966616" w:rsidR="00E269E1" w:rsidRPr="00FB0A0A" w:rsidRDefault="00E269E1" w:rsidP="00E269E1">
      <w:pPr>
        <w:spacing w:after="0" w:line="480" w:lineRule="auto"/>
        <w:rPr>
          <w:rFonts w:ascii="Calibri" w:hAnsi="Calibri"/>
        </w:rPr>
      </w:pPr>
      <w:proofErr w:type="gramStart"/>
      <w:r>
        <w:rPr>
          <w:rFonts w:ascii="Calibri" w:hAnsi="Calibri"/>
        </w:rPr>
        <w:t>l</w:t>
      </w:r>
      <w:proofErr w:type="gramEnd"/>
      <w:r w:rsidRPr="00077826">
        <w:rPr>
          <w:rFonts w:ascii="Calibri" w:hAnsi="Calibri"/>
        </w:rPr>
        <w:t xml:space="preserve"> Department of Health Information and Research, </w:t>
      </w:r>
      <w:proofErr w:type="spellStart"/>
      <w:r w:rsidRPr="00077826">
        <w:rPr>
          <w:rFonts w:ascii="Calibri" w:hAnsi="Calibri"/>
        </w:rPr>
        <w:t>Guardamangia</w:t>
      </w:r>
      <w:proofErr w:type="spellEnd"/>
      <w:r w:rsidRPr="00077826">
        <w:rPr>
          <w:rFonts w:ascii="Calibri" w:hAnsi="Calibri"/>
        </w:rPr>
        <w:t>, Malta</w:t>
      </w:r>
    </w:p>
    <w:p w14:paraId="6165CF02" w14:textId="6A73E080" w:rsidR="00E269E1" w:rsidRPr="00FB0A0A" w:rsidRDefault="00E269E1" w:rsidP="00E269E1">
      <w:pPr>
        <w:spacing w:after="0" w:line="480" w:lineRule="auto"/>
        <w:rPr>
          <w:rFonts w:ascii="Calibri" w:hAnsi="Calibri"/>
        </w:rPr>
      </w:pPr>
      <w:proofErr w:type="gramStart"/>
      <w:r>
        <w:rPr>
          <w:rFonts w:ascii="Calibri" w:hAnsi="Calibri"/>
        </w:rPr>
        <w:t>m</w:t>
      </w:r>
      <w:proofErr w:type="gramEnd"/>
      <w:r w:rsidRPr="00077826">
        <w:rPr>
          <w:rFonts w:ascii="Calibri" w:hAnsi="Calibri"/>
        </w:rPr>
        <w:t xml:space="preserve"> INSERM, Paris, France</w:t>
      </w:r>
    </w:p>
    <w:p w14:paraId="19C370A5" w14:textId="7BD9BA26" w:rsidR="00E269E1" w:rsidRPr="00FB0A0A" w:rsidRDefault="00E269E1" w:rsidP="00E269E1">
      <w:pPr>
        <w:spacing w:after="0" w:line="480" w:lineRule="auto"/>
        <w:rPr>
          <w:rFonts w:ascii="Calibri" w:hAnsi="Calibri"/>
        </w:rPr>
      </w:pPr>
      <w:r>
        <w:rPr>
          <w:rFonts w:ascii="Calibri" w:hAnsi="Calibri"/>
        </w:rPr>
        <w:lastRenderedPageBreak/>
        <w:t>n</w:t>
      </w:r>
      <w:r w:rsidRPr="00077826">
        <w:rPr>
          <w:rFonts w:ascii="Calibri" w:hAnsi="Calibri"/>
        </w:rPr>
        <w:t xml:space="preserve"> Department of Global Public Health and Primary Care, University of Bergen, Bergen, Norway and Medical Birth Registry of Norway, Norwegian Institute of Public Health, Bergen, Norway</w:t>
      </w:r>
    </w:p>
    <w:p w14:paraId="217C0F6B" w14:textId="4E8DB13B" w:rsidR="00DA22D6" w:rsidRDefault="00DA22D6" w:rsidP="00E269E1">
      <w:pPr>
        <w:spacing w:after="0" w:line="480" w:lineRule="auto"/>
        <w:rPr>
          <w:rFonts w:ascii="Calibri" w:hAnsi="Calibri"/>
        </w:rPr>
      </w:pPr>
      <w:proofErr w:type="gramStart"/>
      <w:r>
        <w:rPr>
          <w:rFonts w:ascii="Calibri" w:hAnsi="Calibri"/>
        </w:rPr>
        <w:t>o</w:t>
      </w:r>
      <w:proofErr w:type="gramEnd"/>
      <w:r>
        <w:rPr>
          <w:rFonts w:ascii="Calibri" w:hAnsi="Calibri"/>
        </w:rPr>
        <w:t xml:space="preserve"> National Perinatal Epidemiology Unit, </w:t>
      </w:r>
      <w:r w:rsidRPr="00FB0A0A">
        <w:rPr>
          <w:rFonts w:ascii="Calibri" w:hAnsi="Calibri"/>
        </w:rPr>
        <w:t>University of Oxford, Oxford, UK</w:t>
      </w:r>
      <w:r>
        <w:rPr>
          <w:rFonts w:ascii="Calibri" w:hAnsi="Calibri"/>
        </w:rPr>
        <w:t xml:space="preserve"> </w:t>
      </w:r>
    </w:p>
    <w:p w14:paraId="79C53983" w14:textId="3DB92789" w:rsidR="00E269E1" w:rsidRPr="00FB0A0A" w:rsidRDefault="00DA22D6" w:rsidP="00E269E1">
      <w:pPr>
        <w:spacing w:after="0" w:line="480" w:lineRule="auto"/>
        <w:rPr>
          <w:rFonts w:ascii="Calibri" w:hAnsi="Calibri"/>
        </w:rPr>
      </w:pPr>
      <w:proofErr w:type="gramStart"/>
      <w:r>
        <w:rPr>
          <w:rFonts w:ascii="Calibri" w:hAnsi="Calibri"/>
        </w:rPr>
        <w:t>p</w:t>
      </w:r>
      <w:proofErr w:type="gramEnd"/>
      <w:r w:rsidR="00E269E1" w:rsidRPr="00077826">
        <w:rPr>
          <w:rFonts w:ascii="Calibri" w:hAnsi="Calibri"/>
        </w:rPr>
        <w:t xml:space="preserve"> Health Service Executive, Kilkenny, Ireland</w:t>
      </w:r>
    </w:p>
    <w:p w14:paraId="1E3C530C" w14:textId="032E941B" w:rsidR="00E269E1" w:rsidRPr="00077826" w:rsidRDefault="00DA22D6" w:rsidP="00E269E1">
      <w:pPr>
        <w:spacing w:after="0" w:line="480" w:lineRule="auto"/>
        <w:rPr>
          <w:rFonts w:ascii="Calibri" w:hAnsi="Calibri"/>
        </w:rPr>
      </w:pPr>
      <w:proofErr w:type="gramStart"/>
      <w:r>
        <w:rPr>
          <w:rFonts w:ascii="Calibri" w:hAnsi="Calibri"/>
        </w:rPr>
        <w:t>q</w:t>
      </w:r>
      <w:proofErr w:type="gramEnd"/>
      <w:r w:rsidR="00E269E1" w:rsidRPr="00077826">
        <w:rPr>
          <w:rFonts w:ascii="Calibri" w:hAnsi="Calibri"/>
        </w:rPr>
        <w:t xml:space="preserve"> Health Service Executive, Dublin, Ireland</w:t>
      </w:r>
    </w:p>
    <w:p w14:paraId="0B4AC1F6" w14:textId="2CF4816A" w:rsidR="00E269E1" w:rsidRPr="00C03180" w:rsidRDefault="00DA22D6" w:rsidP="00E269E1">
      <w:pPr>
        <w:spacing w:after="0" w:line="480" w:lineRule="auto"/>
        <w:rPr>
          <w:rFonts w:ascii="Calibri" w:hAnsi="Calibri"/>
          <w:lang w:val="it-IT"/>
        </w:rPr>
      </w:pPr>
      <w:r>
        <w:rPr>
          <w:rFonts w:ascii="Calibri" w:hAnsi="Calibri"/>
          <w:lang w:val="it-IT"/>
        </w:rPr>
        <w:t>r</w:t>
      </w:r>
      <w:r w:rsidR="00E269E1" w:rsidRPr="00C03180">
        <w:rPr>
          <w:rFonts w:ascii="Calibri" w:hAnsi="Calibri"/>
          <w:lang w:val="it-IT"/>
        </w:rPr>
        <w:t xml:space="preserve"> Provincial Institute for Hygiene, Antwerp, Belgium</w:t>
      </w:r>
    </w:p>
    <w:p w14:paraId="4DFFC299" w14:textId="492921D1" w:rsidR="00E269E1" w:rsidRPr="00C03180" w:rsidRDefault="00DA22D6" w:rsidP="00E269E1">
      <w:pPr>
        <w:spacing w:after="0" w:line="480" w:lineRule="auto"/>
        <w:rPr>
          <w:rFonts w:ascii="Calibri" w:hAnsi="Calibri"/>
          <w:color w:val="3F413F"/>
          <w:lang w:val="it-IT"/>
        </w:rPr>
      </w:pPr>
      <w:r>
        <w:rPr>
          <w:rFonts w:ascii="Calibri" w:hAnsi="Calibri"/>
          <w:lang w:val="it-IT"/>
        </w:rPr>
        <w:t>s</w:t>
      </w:r>
      <w:r w:rsidR="00E269E1" w:rsidRPr="00C03180">
        <w:rPr>
          <w:rFonts w:ascii="Calibri" w:hAnsi="Calibri"/>
          <w:lang w:val="it-IT"/>
        </w:rPr>
        <w:t xml:space="preserve"> IMER</w:t>
      </w:r>
      <w:r w:rsidR="00E269E1">
        <w:rPr>
          <w:rFonts w:ascii="Calibri" w:hAnsi="Calibri"/>
          <w:lang w:val="it-IT"/>
        </w:rPr>
        <w:t xml:space="preserve"> Registry,</w:t>
      </w:r>
      <w:r w:rsidR="00E269E1" w:rsidRPr="00C03180">
        <w:rPr>
          <w:lang w:val="it-IT"/>
        </w:rPr>
        <w:t xml:space="preserve"> </w:t>
      </w:r>
      <w:r w:rsidR="00E269E1" w:rsidRPr="00C03180">
        <w:rPr>
          <w:rFonts w:ascii="Calibri" w:hAnsi="Calibri"/>
          <w:lang w:val="it-IT"/>
        </w:rPr>
        <w:t>Center for Clinical and Epidemiological Research, University of Ferrara and Azienda Ospedaliero- Universitaria di Ferrara</w:t>
      </w:r>
      <w:r w:rsidR="002B327C">
        <w:rPr>
          <w:lang w:val="it-IT"/>
        </w:rPr>
        <w:t xml:space="preserve"> </w:t>
      </w:r>
      <w:r w:rsidR="002B327C">
        <w:rPr>
          <w:rFonts w:ascii="Calibri" w:hAnsi="Calibri"/>
          <w:lang w:val="it-IT"/>
        </w:rPr>
        <w:t xml:space="preserve"> </w:t>
      </w:r>
      <w:r w:rsidR="00E269E1" w:rsidRPr="00C03180">
        <w:rPr>
          <w:rFonts w:ascii="Calibri" w:hAnsi="Calibri"/>
          <w:lang w:val="it-IT"/>
        </w:rPr>
        <w:t>Ferrara, Italy</w:t>
      </w:r>
    </w:p>
    <w:p w14:paraId="67D94551" w14:textId="425345ED" w:rsidR="00E269E1" w:rsidRPr="00FB0A0A" w:rsidRDefault="00DA22D6" w:rsidP="00E269E1">
      <w:pPr>
        <w:spacing w:after="0" w:line="480" w:lineRule="auto"/>
        <w:rPr>
          <w:rFonts w:ascii="Calibri" w:hAnsi="Calibri"/>
        </w:rPr>
      </w:pPr>
      <w:proofErr w:type="gramStart"/>
      <w:r>
        <w:rPr>
          <w:rFonts w:ascii="Calibri" w:hAnsi="Calibri"/>
        </w:rPr>
        <w:t>t</w:t>
      </w:r>
      <w:proofErr w:type="gramEnd"/>
      <w:r w:rsidR="00E269E1" w:rsidRPr="00077826">
        <w:rPr>
          <w:rFonts w:ascii="Calibri" w:hAnsi="Calibri"/>
        </w:rPr>
        <w:t xml:space="preserve"> Health Service Executive, Cork, Ireland</w:t>
      </w:r>
    </w:p>
    <w:p w14:paraId="169728FD" w14:textId="521CD298" w:rsidR="00E269E1" w:rsidRPr="00FB0A0A" w:rsidRDefault="00DA22D6" w:rsidP="00E269E1">
      <w:pPr>
        <w:spacing w:after="0" w:line="480" w:lineRule="auto"/>
        <w:rPr>
          <w:rFonts w:ascii="Calibri" w:hAnsi="Calibri"/>
        </w:rPr>
      </w:pPr>
      <w:proofErr w:type="gramStart"/>
      <w:r>
        <w:rPr>
          <w:rFonts w:ascii="Calibri" w:hAnsi="Calibri"/>
        </w:rPr>
        <w:t>u</w:t>
      </w:r>
      <w:proofErr w:type="gramEnd"/>
      <w:r w:rsidR="00E269E1" w:rsidRPr="00077826">
        <w:rPr>
          <w:rFonts w:ascii="Calibri" w:hAnsi="Calibri"/>
        </w:rPr>
        <w:t xml:space="preserve"> CNR Institute of Clinical Physiology, Pisa, Italy</w:t>
      </w:r>
    </w:p>
    <w:p w14:paraId="400C2D41" w14:textId="426E998B" w:rsidR="00E269E1" w:rsidRPr="00E723C0" w:rsidRDefault="00E269E1" w:rsidP="00E269E1">
      <w:pPr>
        <w:spacing w:after="0" w:line="480" w:lineRule="auto"/>
        <w:rPr>
          <w:rFonts w:ascii="Calibri" w:hAnsi="Calibri"/>
          <w:color w:val="3F413F"/>
          <w:lang w:val="it-IT"/>
        </w:rPr>
      </w:pPr>
      <w:r>
        <w:rPr>
          <w:rFonts w:ascii="Calibri" w:hAnsi="Calibri"/>
          <w:lang w:val="it-IT"/>
        </w:rPr>
        <w:t>v</w:t>
      </w:r>
      <w:r w:rsidRPr="00E723C0">
        <w:rPr>
          <w:rFonts w:ascii="Calibri" w:hAnsi="Calibri"/>
          <w:lang w:val="it-IT"/>
        </w:rPr>
        <w:t xml:space="preserve"> Registre des Malformations Congenitales de la Reunion, St Pierre Ile de la Reunion</w:t>
      </w:r>
    </w:p>
    <w:p w14:paraId="25B66D20" w14:textId="77777777" w:rsidR="00E269E1" w:rsidRPr="00FB0A0A" w:rsidRDefault="00E269E1" w:rsidP="00E269E1">
      <w:pPr>
        <w:spacing w:after="0" w:line="480" w:lineRule="auto"/>
        <w:rPr>
          <w:rFonts w:ascii="Calibri" w:hAnsi="Calibri"/>
        </w:rPr>
      </w:pPr>
      <w:proofErr w:type="gramStart"/>
      <w:r w:rsidRPr="00FB0A0A">
        <w:rPr>
          <w:rFonts w:ascii="Calibri" w:hAnsi="Calibri"/>
        </w:rPr>
        <w:t>w</w:t>
      </w:r>
      <w:proofErr w:type="gramEnd"/>
      <w:r w:rsidRPr="00FB0A0A">
        <w:rPr>
          <w:rFonts w:ascii="Calibri" w:hAnsi="Calibri"/>
        </w:rPr>
        <w:t xml:space="preserve"> </w:t>
      </w:r>
      <w:r w:rsidRPr="00DC3016">
        <w:rPr>
          <w:rFonts w:ascii="Calibri" w:hAnsi="Calibri"/>
        </w:rPr>
        <w:t xml:space="preserve">Malformation Monitoring Centre Saxony-Anhalt, </w:t>
      </w:r>
      <w:r w:rsidRPr="00FB0A0A">
        <w:rPr>
          <w:rFonts w:ascii="Calibri" w:hAnsi="Calibri"/>
        </w:rPr>
        <w:t>Medical Faculty Otto-von-Guericke University Magdeburg, Magdeburg, Germany</w:t>
      </w:r>
    </w:p>
    <w:p w14:paraId="2B21FF45" w14:textId="5CC6A8C8" w:rsidR="00E269E1" w:rsidRPr="00FB0A0A" w:rsidRDefault="00E269E1" w:rsidP="00E269E1">
      <w:pPr>
        <w:spacing w:after="0" w:line="480" w:lineRule="auto"/>
        <w:rPr>
          <w:rFonts w:ascii="Calibri" w:hAnsi="Calibri"/>
        </w:rPr>
      </w:pPr>
      <w:proofErr w:type="gramStart"/>
      <w:r w:rsidRPr="00FB0A0A">
        <w:rPr>
          <w:rFonts w:ascii="Calibri" w:hAnsi="Calibri"/>
        </w:rPr>
        <w:t>x</w:t>
      </w:r>
      <w:proofErr w:type="gramEnd"/>
      <w:r w:rsidRPr="00FB0A0A">
        <w:rPr>
          <w:rFonts w:ascii="Calibri" w:hAnsi="Calibri"/>
        </w:rPr>
        <w:t xml:space="preserve"> Public Health Wales, Swansea, UK</w:t>
      </w:r>
    </w:p>
    <w:p w14:paraId="524AB6D5" w14:textId="4C45F2B2" w:rsidR="00E269E1" w:rsidRPr="00E723C0" w:rsidRDefault="00DA22D6" w:rsidP="00E269E1">
      <w:pPr>
        <w:spacing w:after="0" w:line="480" w:lineRule="auto"/>
        <w:rPr>
          <w:rFonts w:ascii="Calibri" w:hAnsi="Calibri"/>
          <w:lang w:val="nl-NL"/>
        </w:rPr>
      </w:pPr>
      <w:r>
        <w:rPr>
          <w:rFonts w:ascii="Calibri" w:hAnsi="Calibri"/>
          <w:lang w:val="nl-NL"/>
        </w:rPr>
        <w:t>y</w:t>
      </w:r>
      <w:r w:rsidR="00E269E1" w:rsidRPr="00E723C0">
        <w:rPr>
          <w:rFonts w:ascii="Calibri" w:hAnsi="Calibri"/>
          <w:lang w:val="nl-NL"/>
        </w:rPr>
        <w:t xml:space="preserve"> Institut de </w:t>
      </w:r>
      <w:r w:rsidR="00E269E1">
        <w:rPr>
          <w:rFonts w:ascii="Calibri" w:hAnsi="Calibri"/>
          <w:lang w:val="nl-NL"/>
        </w:rPr>
        <w:t>Pathologie at de Genetique</w:t>
      </w:r>
      <w:r w:rsidR="00E269E1" w:rsidRPr="00E723C0">
        <w:rPr>
          <w:rFonts w:ascii="Calibri" w:hAnsi="Calibri"/>
          <w:lang w:val="nl-NL"/>
        </w:rPr>
        <w:t>, Charleroi, Belgium</w:t>
      </w:r>
    </w:p>
    <w:p w14:paraId="1754EF22" w14:textId="327C820A" w:rsidR="00E269E1" w:rsidRPr="00FB0A0A" w:rsidRDefault="00DA22D6" w:rsidP="00E269E1">
      <w:pPr>
        <w:spacing w:after="0" w:line="480" w:lineRule="auto"/>
        <w:rPr>
          <w:rFonts w:ascii="Calibri" w:hAnsi="Calibri"/>
        </w:rPr>
      </w:pPr>
      <w:proofErr w:type="gramStart"/>
      <w:r>
        <w:rPr>
          <w:rFonts w:ascii="Calibri" w:hAnsi="Calibri"/>
        </w:rPr>
        <w:t>z</w:t>
      </w:r>
      <w:proofErr w:type="gramEnd"/>
      <w:r w:rsidRPr="00FB0A0A">
        <w:rPr>
          <w:rFonts w:ascii="Calibri" w:hAnsi="Calibri"/>
        </w:rPr>
        <w:t xml:space="preserve"> </w:t>
      </w:r>
      <w:r w:rsidR="00E269E1" w:rsidRPr="00FB0A0A">
        <w:rPr>
          <w:rFonts w:ascii="Calibri" w:hAnsi="Calibri"/>
        </w:rPr>
        <w:t>University of Southampton and Wessex Clinical Genetics Service, Southampton, UK</w:t>
      </w:r>
    </w:p>
    <w:p w14:paraId="3066B874" w14:textId="36175E74" w:rsidR="00E269E1" w:rsidRDefault="00DA22D6" w:rsidP="00E269E1">
      <w:pPr>
        <w:spacing w:after="0" w:line="480" w:lineRule="auto"/>
        <w:rPr>
          <w:rFonts w:ascii="Calibri" w:hAnsi="Calibri"/>
        </w:rPr>
      </w:pPr>
      <w:proofErr w:type="gramStart"/>
      <w:r>
        <w:rPr>
          <w:rFonts w:ascii="Calibri" w:hAnsi="Calibri"/>
        </w:rPr>
        <w:t>aa</w:t>
      </w:r>
      <w:proofErr w:type="gramEnd"/>
      <w:r>
        <w:rPr>
          <w:rFonts w:ascii="Calibri" w:hAnsi="Calibri"/>
        </w:rPr>
        <w:t xml:space="preserve"> </w:t>
      </w:r>
      <w:r w:rsidRPr="00B92AF8">
        <w:rPr>
          <w:rFonts w:ascii="Calibri" w:hAnsi="Calibri"/>
        </w:rPr>
        <w:t>Birth Registry Mainz Model,</w:t>
      </w:r>
      <w:r>
        <w:rPr>
          <w:rFonts w:ascii="Calibri" w:hAnsi="Calibri"/>
        </w:rPr>
        <w:t xml:space="preserve"> </w:t>
      </w:r>
      <w:r w:rsidRPr="00077826">
        <w:rPr>
          <w:rFonts w:ascii="Calibri" w:hAnsi="Calibri"/>
        </w:rPr>
        <w:t xml:space="preserve">University Medical </w:t>
      </w:r>
      <w:proofErr w:type="spellStart"/>
      <w:r w:rsidRPr="00077826">
        <w:rPr>
          <w:rFonts w:ascii="Calibri" w:hAnsi="Calibri"/>
        </w:rPr>
        <w:t>Center</w:t>
      </w:r>
      <w:proofErr w:type="spellEnd"/>
      <w:r w:rsidRPr="00077826">
        <w:rPr>
          <w:rFonts w:ascii="Calibri" w:hAnsi="Calibri"/>
        </w:rPr>
        <w:t xml:space="preserve"> of the Johannes Gutenberg University, Mainz, Germany</w:t>
      </w:r>
      <w:r w:rsidR="00E269E1" w:rsidRPr="00FB0A0A">
        <w:rPr>
          <w:rFonts w:ascii="Calibri" w:hAnsi="Calibri"/>
        </w:rPr>
        <w:tab/>
      </w:r>
    </w:p>
    <w:p w14:paraId="398F5C10" w14:textId="77777777" w:rsidR="00DA22D6" w:rsidRPr="00FB0A0A" w:rsidRDefault="00DA22D6" w:rsidP="00E269E1">
      <w:pPr>
        <w:spacing w:after="0" w:line="480" w:lineRule="auto"/>
        <w:rPr>
          <w:rFonts w:ascii="Calibri" w:hAnsi="Calibri"/>
        </w:rPr>
      </w:pPr>
    </w:p>
    <w:p w14:paraId="6FBF1075" w14:textId="77F4A537" w:rsidR="00E269E1" w:rsidRDefault="00E269E1" w:rsidP="00E269E1">
      <w:pPr>
        <w:spacing w:after="0" w:line="480" w:lineRule="auto"/>
        <w:rPr>
          <w:rFonts w:ascii="Calibri" w:hAnsi="Calibri"/>
        </w:rPr>
      </w:pPr>
      <w:r w:rsidRPr="00FB0A0A">
        <w:rPr>
          <w:rFonts w:ascii="Calibri" w:hAnsi="Calibri"/>
          <w:b/>
        </w:rPr>
        <w:t xml:space="preserve">Corresponding author: </w:t>
      </w:r>
      <w:r w:rsidRPr="00FB0A0A">
        <w:rPr>
          <w:rFonts w:ascii="Calibri" w:hAnsi="Calibri"/>
        </w:rPr>
        <w:t>Professor Joan Morris, Wolfson Institute of Preventive Medicine, Queen Mary University of London, Charterhouse Square, London, EC1M 6BQ. Tel: 02078826274.</w:t>
      </w:r>
      <w:r w:rsidR="002B327C">
        <w:rPr>
          <w:rFonts w:ascii="Calibri" w:hAnsi="Calibri"/>
        </w:rPr>
        <w:t xml:space="preserve"> </w:t>
      </w:r>
      <w:r w:rsidRPr="00FB0A0A">
        <w:rPr>
          <w:rFonts w:ascii="Calibri" w:hAnsi="Calibri"/>
        </w:rPr>
        <w:t xml:space="preserve">Email: </w:t>
      </w:r>
      <w:hyperlink r:id="rId7" w:history="1">
        <w:r w:rsidRPr="00D828A0">
          <w:rPr>
            <w:rStyle w:val="Hyperlink"/>
            <w:rFonts w:ascii="Calibri" w:hAnsi="Calibri" w:cs="Arial"/>
          </w:rPr>
          <w:t>j.k.morris@qmul.ac.uk</w:t>
        </w:r>
      </w:hyperlink>
    </w:p>
    <w:p w14:paraId="7AD9E064" w14:textId="77777777" w:rsidR="00510420" w:rsidRDefault="00510420">
      <w:r>
        <w:br w:type="page"/>
      </w:r>
    </w:p>
    <w:p w14:paraId="094A0B58" w14:textId="5B7D8EBD" w:rsidR="00E269E1" w:rsidRPr="00510420" w:rsidRDefault="00D062C4" w:rsidP="00D062C4">
      <w:pPr>
        <w:spacing w:after="0" w:line="360" w:lineRule="auto"/>
        <w:contextualSpacing/>
        <w:rPr>
          <w:b/>
        </w:rPr>
      </w:pPr>
      <w:r w:rsidRPr="00510420">
        <w:rPr>
          <w:b/>
        </w:rPr>
        <w:t>Prevalence of Microcephaly in Europe</w:t>
      </w:r>
    </w:p>
    <w:p w14:paraId="0C4CED1F" w14:textId="2AE812B8" w:rsidR="002369A7" w:rsidRDefault="00EF5528" w:rsidP="00C7492C">
      <w:pPr>
        <w:spacing w:after="0" w:line="360" w:lineRule="auto"/>
        <w:contextualSpacing/>
      </w:pPr>
      <w:r w:rsidRPr="00237CE9">
        <w:t xml:space="preserve"> </w:t>
      </w:r>
    </w:p>
    <w:p w14:paraId="47950507" w14:textId="72AAA005" w:rsidR="00B12DE4" w:rsidRDefault="00B12DE4" w:rsidP="00C7492C">
      <w:pPr>
        <w:spacing w:after="0" w:line="360" w:lineRule="auto"/>
        <w:contextualSpacing/>
      </w:pPr>
      <w:r>
        <w:t>Abstract</w:t>
      </w:r>
    </w:p>
    <w:p w14:paraId="3AEEB536" w14:textId="77777777" w:rsidR="00B12DE4" w:rsidRPr="00237CE9" w:rsidRDefault="00B12DE4" w:rsidP="00C7492C">
      <w:pPr>
        <w:spacing w:after="0" w:line="360" w:lineRule="auto"/>
        <w:contextualSpacing/>
      </w:pPr>
    </w:p>
    <w:p w14:paraId="2B2FFEB3" w14:textId="77777777" w:rsidR="00240851" w:rsidRPr="00237CE9" w:rsidRDefault="00240851" w:rsidP="00C7492C">
      <w:pPr>
        <w:spacing w:after="0" w:line="360" w:lineRule="auto"/>
        <w:contextualSpacing/>
      </w:pPr>
      <w:r w:rsidRPr="00237CE9">
        <w:t>Objectives</w:t>
      </w:r>
    </w:p>
    <w:p w14:paraId="351A82E8" w14:textId="42587CDC" w:rsidR="00240851" w:rsidRPr="00237CE9" w:rsidRDefault="003C4A07" w:rsidP="00C7492C">
      <w:pPr>
        <w:spacing w:after="0" w:line="360" w:lineRule="auto"/>
        <w:contextualSpacing/>
      </w:pPr>
      <w:r w:rsidRPr="003C4A07">
        <w:t xml:space="preserve">Microcephaly is a </w:t>
      </w:r>
      <w:r w:rsidR="006D3A57">
        <w:t>congenital</w:t>
      </w:r>
      <w:r w:rsidRPr="003C4A07">
        <w:t xml:space="preserve"> anomaly where </w:t>
      </w:r>
      <w:r w:rsidR="006D3A57">
        <w:t>the</w:t>
      </w:r>
      <w:r w:rsidRPr="003C4A07">
        <w:t xml:space="preserve"> baby</w:t>
      </w:r>
      <w:r w:rsidR="006D3A57">
        <w:t>’s</w:t>
      </w:r>
      <w:r w:rsidRPr="003C4A07">
        <w:t xml:space="preserve"> head is smaller </w:t>
      </w:r>
      <w:r w:rsidR="0076528A">
        <w:t xml:space="preserve">than expected when </w:t>
      </w:r>
      <w:r w:rsidRPr="003C4A07">
        <w:t xml:space="preserve">compared </w:t>
      </w:r>
      <w:r w:rsidR="00D1620D">
        <w:t>with</w:t>
      </w:r>
      <w:r w:rsidRPr="003C4A07">
        <w:t xml:space="preserve"> babies of the same sex</w:t>
      </w:r>
      <w:r w:rsidR="009D2709">
        <w:t>,</w:t>
      </w:r>
      <w:r w:rsidRPr="003C4A07">
        <w:t xml:space="preserve"> age</w:t>
      </w:r>
      <w:r w:rsidR="009D2709">
        <w:t xml:space="preserve"> and ethnicity</w:t>
      </w:r>
      <w:r>
        <w:t>. Many of these babies will have</w:t>
      </w:r>
      <w:r w:rsidRPr="003C4A07">
        <w:t xml:space="preserve"> underdeveloped brains.</w:t>
      </w:r>
      <w:r>
        <w:t xml:space="preserve"> </w:t>
      </w:r>
      <w:r w:rsidR="00240851" w:rsidRPr="00237CE9">
        <w:t>This study aimed to provide contemporary estimates of the prevalence of microcephaly in Europe, determine if the diagnosis of microcephaly is consistent across Europe and to evaluate whether changes in prevalence would be detected using the current European surveillance performed by EUROCAT (the European Surveillance of Congenital Anomal</w:t>
      </w:r>
      <w:r w:rsidR="00BB68B3">
        <w:t>ies</w:t>
      </w:r>
      <w:r w:rsidR="00240851" w:rsidRPr="00237CE9">
        <w:t>).</w:t>
      </w:r>
    </w:p>
    <w:p w14:paraId="0256DAF7" w14:textId="77777777" w:rsidR="00240851" w:rsidRPr="00237CE9" w:rsidRDefault="00240851" w:rsidP="00C7492C">
      <w:pPr>
        <w:spacing w:after="0" w:line="360" w:lineRule="auto"/>
        <w:contextualSpacing/>
      </w:pPr>
    </w:p>
    <w:p w14:paraId="530A8C10" w14:textId="6B4AF15E" w:rsidR="00240851" w:rsidRPr="00237CE9" w:rsidRDefault="00240851" w:rsidP="00C7492C">
      <w:pPr>
        <w:spacing w:after="0" w:line="360" w:lineRule="auto"/>
        <w:contextualSpacing/>
      </w:pPr>
      <w:r w:rsidRPr="00237CE9">
        <w:t>Design</w:t>
      </w:r>
      <w:bookmarkStart w:id="0" w:name="_GoBack"/>
      <w:bookmarkEnd w:id="0"/>
    </w:p>
    <w:p w14:paraId="591ADC64" w14:textId="35689A58" w:rsidR="00240851" w:rsidRPr="00237CE9" w:rsidRDefault="00D1620D" w:rsidP="00C7492C">
      <w:pPr>
        <w:spacing w:after="0" w:line="360" w:lineRule="auto"/>
        <w:contextualSpacing/>
        <w:rPr>
          <w:lang w:val="en"/>
        </w:rPr>
      </w:pPr>
      <w:r>
        <w:rPr>
          <w:lang w:val="en"/>
        </w:rPr>
        <w:t>A questionnaire and a p</w:t>
      </w:r>
      <w:r w:rsidR="00240851" w:rsidRPr="00237CE9">
        <w:rPr>
          <w:lang w:val="en"/>
        </w:rPr>
        <w:t>opulation</w:t>
      </w:r>
      <w:r w:rsidR="00BB68B3">
        <w:rPr>
          <w:lang w:val="en"/>
        </w:rPr>
        <w:t>-</w:t>
      </w:r>
      <w:r w:rsidR="00240851" w:rsidRPr="00237CE9">
        <w:rPr>
          <w:lang w:val="en"/>
        </w:rPr>
        <w:t>based, observational study</w:t>
      </w:r>
      <w:r w:rsidR="009D2709">
        <w:rPr>
          <w:lang w:val="en"/>
        </w:rPr>
        <w:t xml:space="preserve"> </w:t>
      </w:r>
    </w:p>
    <w:p w14:paraId="1E7254D0" w14:textId="77777777" w:rsidR="00240851" w:rsidRPr="00237CE9" w:rsidRDefault="00240851" w:rsidP="00C7492C">
      <w:pPr>
        <w:spacing w:after="0" w:line="360" w:lineRule="auto"/>
        <w:contextualSpacing/>
      </w:pPr>
    </w:p>
    <w:p w14:paraId="232C6643" w14:textId="77777777" w:rsidR="00240851" w:rsidRPr="00237CE9" w:rsidRDefault="00240851" w:rsidP="00C7492C">
      <w:pPr>
        <w:spacing w:after="0" w:line="360" w:lineRule="auto"/>
        <w:contextualSpacing/>
        <w:rPr>
          <w:lang w:val="en"/>
        </w:rPr>
      </w:pPr>
      <w:r w:rsidRPr="00237CE9">
        <w:t>Setting</w:t>
      </w:r>
      <w:r w:rsidRPr="00237CE9">
        <w:rPr>
          <w:lang w:val="en"/>
        </w:rPr>
        <w:t xml:space="preserve"> </w:t>
      </w:r>
    </w:p>
    <w:p w14:paraId="27B0F28D" w14:textId="022A8229" w:rsidR="0074363D" w:rsidRPr="00237CE9" w:rsidRDefault="00A479EE" w:rsidP="00C7492C">
      <w:pPr>
        <w:spacing w:after="0" w:line="360" w:lineRule="auto"/>
        <w:contextualSpacing/>
        <w:rPr>
          <w:lang w:val="en"/>
        </w:rPr>
      </w:pPr>
      <w:proofErr w:type="gramStart"/>
      <w:r>
        <w:rPr>
          <w:lang w:val="en"/>
        </w:rPr>
        <w:t>24</w:t>
      </w:r>
      <w:r w:rsidR="00240851" w:rsidRPr="00237CE9">
        <w:rPr>
          <w:lang w:val="en"/>
        </w:rPr>
        <w:t xml:space="preserve"> EUROCAT registries covering </w:t>
      </w:r>
      <w:r w:rsidR="00720743">
        <w:rPr>
          <w:lang w:val="en"/>
        </w:rPr>
        <w:t xml:space="preserve">570,000 </w:t>
      </w:r>
      <w:r w:rsidR="0074363D" w:rsidRPr="00237CE9">
        <w:rPr>
          <w:lang w:val="en"/>
        </w:rPr>
        <w:t xml:space="preserve">births </w:t>
      </w:r>
      <w:r w:rsidR="00754589">
        <w:rPr>
          <w:lang w:val="en"/>
        </w:rPr>
        <w:t>annually</w:t>
      </w:r>
      <w:r w:rsidR="00B12DE4">
        <w:rPr>
          <w:lang w:val="en"/>
        </w:rPr>
        <w:t xml:space="preserve"> </w:t>
      </w:r>
      <w:r w:rsidR="0074363D" w:rsidRPr="00237CE9">
        <w:rPr>
          <w:lang w:val="en"/>
        </w:rPr>
        <w:t>in 15 countries</w:t>
      </w:r>
      <w:r w:rsidR="00240851" w:rsidRPr="00237CE9">
        <w:rPr>
          <w:lang w:val="en"/>
        </w:rPr>
        <w:t>.</w:t>
      </w:r>
      <w:proofErr w:type="gramEnd"/>
      <w:r w:rsidR="00240851" w:rsidRPr="00237CE9">
        <w:rPr>
          <w:lang w:val="en"/>
        </w:rPr>
        <w:t xml:space="preserve"> </w:t>
      </w:r>
    </w:p>
    <w:p w14:paraId="5A3BFFC3" w14:textId="77777777" w:rsidR="0074363D" w:rsidRPr="00237CE9" w:rsidRDefault="0074363D" w:rsidP="00C7492C">
      <w:pPr>
        <w:spacing w:after="0" w:line="360" w:lineRule="auto"/>
        <w:contextualSpacing/>
        <w:rPr>
          <w:lang w:val="en"/>
        </w:rPr>
      </w:pPr>
    </w:p>
    <w:p w14:paraId="15309D76" w14:textId="5A33F398" w:rsidR="00240851" w:rsidRPr="00237CE9" w:rsidRDefault="00240851" w:rsidP="00C7492C">
      <w:pPr>
        <w:spacing w:after="0" w:line="360" w:lineRule="auto"/>
        <w:contextualSpacing/>
      </w:pPr>
      <w:r w:rsidRPr="00237CE9">
        <w:t>Participants</w:t>
      </w:r>
    </w:p>
    <w:p w14:paraId="781300C7" w14:textId="051FFEC6" w:rsidR="0074363D" w:rsidRPr="00237CE9" w:rsidRDefault="0074363D" w:rsidP="00C7492C">
      <w:pPr>
        <w:spacing w:after="0" w:line="360" w:lineRule="auto"/>
        <w:contextualSpacing/>
      </w:pPr>
      <w:r w:rsidRPr="00237CE9">
        <w:t xml:space="preserve">2443 cases of microcephaly not associated with </w:t>
      </w:r>
      <w:r w:rsidR="00BB68B3">
        <w:t xml:space="preserve">a </w:t>
      </w:r>
      <w:r w:rsidR="00DA26A2">
        <w:t>genetic condition</w:t>
      </w:r>
      <w:r w:rsidR="00715951">
        <w:t>, among live</w:t>
      </w:r>
      <w:r w:rsidR="00430DCC">
        <w:t xml:space="preserve"> </w:t>
      </w:r>
      <w:r w:rsidR="00715951">
        <w:t xml:space="preserve">births, </w:t>
      </w:r>
      <w:proofErr w:type="spellStart"/>
      <w:r w:rsidR="00715951">
        <w:t>fetal</w:t>
      </w:r>
      <w:proofErr w:type="spellEnd"/>
      <w:r w:rsidR="00715951">
        <w:t xml:space="preserve"> deaths from 20 weeks gestational age and terminations of pregnancy for </w:t>
      </w:r>
      <w:proofErr w:type="spellStart"/>
      <w:r w:rsidR="00715951">
        <w:t>fetal</w:t>
      </w:r>
      <w:proofErr w:type="spellEnd"/>
      <w:r w:rsidR="00715951">
        <w:t xml:space="preserve"> anomaly</w:t>
      </w:r>
      <w:r w:rsidR="00430DCC">
        <w:t xml:space="preserve"> at any gestation</w:t>
      </w:r>
      <w:r w:rsidR="00715951">
        <w:t>.</w:t>
      </w:r>
      <w:r w:rsidR="002B327C">
        <w:t xml:space="preserve"> </w:t>
      </w:r>
    </w:p>
    <w:p w14:paraId="64D2AA73" w14:textId="77777777" w:rsidR="0074363D" w:rsidRPr="00237CE9" w:rsidRDefault="0074363D" w:rsidP="00C7492C">
      <w:pPr>
        <w:spacing w:after="0" w:line="360" w:lineRule="auto"/>
        <w:contextualSpacing/>
      </w:pPr>
    </w:p>
    <w:p w14:paraId="20BB6C8A" w14:textId="57BAE960" w:rsidR="00240851" w:rsidRPr="00237CE9" w:rsidRDefault="003343B1" w:rsidP="00C7492C">
      <w:pPr>
        <w:spacing w:after="0" w:line="360" w:lineRule="auto"/>
        <w:contextualSpacing/>
      </w:pPr>
      <w:r w:rsidRPr="00237CE9">
        <w:t>Main Outcome Measures</w:t>
      </w:r>
    </w:p>
    <w:p w14:paraId="18E9F1A2" w14:textId="16956C24" w:rsidR="003343B1" w:rsidRPr="00237CE9" w:rsidRDefault="00C56187" w:rsidP="00C7492C">
      <w:pPr>
        <w:spacing w:after="0" w:line="360" w:lineRule="auto"/>
        <w:contextualSpacing/>
        <w:rPr>
          <w:lang w:val="en"/>
        </w:rPr>
      </w:pPr>
      <w:r>
        <w:t>P</w:t>
      </w:r>
      <w:r w:rsidR="003343B1" w:rsidRPr="00237CE9">
        <w:t>revalence of microcephaly (</w:t>
      </w:r>
      <w:r w:rsidR="00BB68B3">
        <w:rPr>
          <w:lang w:val="en"/>
        </w:rPr>
        <w:t>1</w:t>
      </w:r>
      <w:r w:rsidR="00BB68B3" w:rsidRPr="00291434">
        <w:rPr>
          <w:vertAlign w:val="superscript"/>
          <w:lang w:val="en"/>
        </w:rPr>
        <w:t>st</w:t>
      </w:r>
      <w:r w:rsidR="00C9402C">
        <w:rPr>
          <w:lang w:val="en"/>
        </w:rPr>
        <w:t xml:space="preserve"> Jan</w:t>
      </w:r>
      <w:r w:rsidR="00BB68B3">
        <w:rPr>
          <w:lang w:val="en"/>
        </w:rPr>
        <w:t xml:space="preserve"> 2003</w:t>
      </w:r>
      <w:r w:rsidR="003343B1" w:rsidRPr="00237CE9">
        <w:t>-</w:t>
      </w:r>
      <w:r w:rsidR="00BB68B3">
        <w:t xml:space="preserve"> </w:t>
      </w:r>
      <w:r w:rsidR="00BB68B3">
        <w:rPr>
          <w:lang w:val="en"/>
        </w:rPr>
        <w:t>31</w:t>
      </w:r>
      <w:r w:rsidR="00BB68B3" w:rsidRPr="00291434">
        <w:rPr>
          <w:vertAlign w:val="superscript"/>
          <w:lang w:val="en"/>
        </w:rPr>
        <w:t>st</w:t>
      </w:r>
      <w:r w:rsidR="00BB68B3">
        <w:rPr>
          <w:lang w:val="en"/>
        </w:rPr>
        <w:t xml:space="preserve"> Dec</w:t>
      </w:r>
      <w:r w:rsidR="00BB68B3" w:rsidRPr="00237CE9">
        <w:t xml:space="preserve"> </w:t>
      </w:r>
      <w:r w:rsidR="003343B1" w:rsidRPr="00237CE9">
        <w:t xml:space="preserve">2012) </w:t>
      </w:r>
      <w:proofErr w:type="spellStart"/>
      <w:r w:rsidR="003343B1" w:rsidRPr="00237CE9">
        <w:rPr>
          <w:lang w:val="en"/>
        </w:rPr>
        <w:t>analysed</w:t>
      </w:r>
      <w:proofErr w:type="spellEnd"/>
      <w:r w:rsidR="003343B1" w:rsidRPr="00237CE9">
        <w:rPr>
          <w:lang w:val="en"/>
        </w:rPr>
        <w:t xml:space="preserve"> using random effects Poisson regression models to account for heterogeneit</w:t>
      </w:r>
      <w:r w:rsidR="00D70FBA" w:rsidRPr="00237CE9">
        <w:rPr>
          <w:lang w:val="en"/>
        </w:rPr>
        <w:t xml:space="preserve">y </w:t>
      </w:r>
      <w:r w:rsidR="003343B1" w:rsidRPr="00237CE9">
        <w:rPr>
          <w:lang w:val="en"/>
        </w:rPr>
        <w:t>across registries</w:t>
      </w:r>
      <w:r w:rsidR="0076528A">
        <w:rPr>
          <w:lang w:val="en"/>
        </w:rPr>
        <w:t>.</w:t>
      </w:r>
    </w:p>
    <w:p w14:paraId="5498BAB8" w14:textId="77777777" w:rsidR="003343B1" w:rsidRPr="00237CE9" w:rsidRDefault="003343B1" w:rsidP="00C7492C">
      <w:pPr>
        <w:spacing w:after="0" w:line="360" w:lineRule="auto"/>
        <w:contextualSpacing/>
        <w:rPr>
          <w:lang w:val="en"/>
        </w:rPr>
      </w:pPr>
    </w:p>
    <w:p w14:paraId="024014F1" w14:textId="385C90CE" w:rsidR="003343B1" w:rsidRPr="00237CE9" w:rsidRDefault="003343B1" w:rsidP="00C7492C">
      <w:pPr>
        <w:spacing w:after="0" w:line="360" w:lineRule="auto"/>
        <w:contextualSpacing/>
        <w:rPr>
          <w:lang w:val="en"/>
        </w:rPr>
      </w:pPr>
      <w:r w:rsidRPr="00237CE9">
        <w:rPr>
          <w:lang w:val="en"/>
        </w:rPr>
        <w:t>Results</w:t>
      </w:r>
    </w:p>
    <w:p w14:paraId="3B319B33" w14:textId="1323F3E3" w:rsidR="00414898" w:rsidRDefault="00414898" w:rsidP="00B46ED3">
      <w:pPr>
        <w:spacing w:after="0" w:line="360" w:lineRule="auto"/>
        <w:contextualSpacing/>
        <w:rPr>
          <w:lang w:val="en"/>
        </w:rPr>
      </w:pPr>
      <w:r>
        <w:rPr>
          <w:lang w:val="en"/>
        </w:rPr>
        <w:t>Sixteen registries responded to the questionnaire of whom 44% (7/16) used the EUROCAT definition of microcephaly (a</w:t>
      </w:r>
      <w:r w:rsidRPr="00E975BF">
        <w:rPr>
          <w:lang w:val="en"/>
        </w:rPr>
        <w:t xml:space="preserve"> reduction in the size of the brain</w:t>
      </w:r>
      <w:r>
        <w:rPr>
          <w:lang w:val="en"/>
        </w:rPr>
        <w:t xml:space="preserve"> with a skull circumference more</w:t>
      </w:r>
      <w:r w:rsidRPr="00E975BF">
        <w:rPr>
          <w:lang w:val="en"/>
        </w:rPr>
        <w:t xml:space="preserve"> than </w:t>
      </w:r>
      <w:r w:rsidR="00140559">
        <w:rPr>
          <w:lang w:val="en"/>
        </w:rPr>
        <w:t>3</w:t>
      </w:r>
      <w:r w:rsidRPr="00E975BF">
        <w:rPr>
          <w:lang w:val="en"/>
        </w:rPr>
        <w:t xml:space="preserve"> standard deviations</w:t>
      </w:r>
      <w:r w:rsidR="00C9402C">
        <w:rPr>
          <w:lang w:val="en"/>
        </w:rPr>
        <w:t xml:space="preserve"> (SD)</w:t>
      </w:r>
      <w:r w:rsidRPr="00E975BF">
        <w:rPr>
          <w:lang w:val="en"/>
        </w:rPr>
        <w:t xml:space="preserve"> below the mean for sex, age and ethnic origin</w:t>
      </w:r>
      <w:r>
        <w:rPr>
          <w:lang w:val="en"/>
        </w:rPr>
        <w:t>), 19</w:t>
      </w:r>
      <w:r w:rsidRPr="000F545B">
        <w:rPr>
          <w:lang w:val="en"/>
        </w:rPr>
        <w:t>%</w:t>
      </w:r>
      <w:r>
        <w:rPr>
          <w:lang w:val="en"/>
        </w:rPr>
        <w:t xml:space="preserve"> (3/16</w:t>
      </w:r>
      <w:r w:rsidRPr="000F545B">
        <w:rPr>
          <w:lang w:val="en"/>
        </w:rPr>
        <w:t xml:space="preserve">) used a </w:t>
      </w:r>
      <w:r w:rsidR="00140559">
        <w:rPr>
          <w:lang w:val="en"/>
        </w:rPr>
        <w:t>2</w:t>
      </w:r>
      <w:r w:rsidRPr="000F545B">
        <w:rPr>
          <w:lang w:val="en"/>
        </w:rPr>
        <w:t xml:space="preserve"> </w:t>
      </w:r>
      <w:r w:rsidR="00C9402C">
        <w:rPr>
          <w:lang w:val="en"/>
        </w:rPr>
        <w:t>SD</w:t>
      </w:r>
      <w:r w:rsidRPr="000F545B">
        <w:rPr>
          <w:lang w:val="en"/>
        </w:rPr>
        <w:t xml:space="preserve"> cut-off</w:t>
      </w:r>
      <w:r>
        <w:rPr>
          <w:lang w:val="en"/>
        </w:rPr>
        <w:t>, 31</w:t>
      </w:r>
      <w:r w:rsidRPr="000F545B">
        <w:rPr>
          <w:lang w:val="en"/>
        </w:rPr>
        <w:t>%</w:t>
      </w:r>
      <w:r>
        <w:rPr>
          <w:lang w:val="en"/>
        </w:rPr>
        <w:t xml:space="preserve"> (5/16</w:t>
      </w:r>
      <w:r w:rsidRPr="000F545B">
        <w:rPr>
          <w:lang w:val="en"/>
        </w:rPr>
        <w:t>) were reliant on the criteria used by individual clinicians</w:t>
      </w:r>
      <w:r>
        <w:rPr>
          <w:lang w:val="en"/>
        </w:rPr>
        <w:t xml:space="preserve"> and one registry changed criteria between 2003 and 2012</w:t>
      </w:r>
      <w:r w:rsidRPr="000F545B">
        <w:rPr>
          <w:lang w:val="en"/>
        </w:rPr>
        <w:t>.</w:t>
      </w:r>
    </w:p>
    <w:p w14:paraId="7F3BFDE8" w14:textId="77777777" w:rsidR="006F33B8" w:rsidRDefault="006F33B8" w:rsidP="00B46ED3">
      <w:pPr>
        <w:spacing w:after="0" w:line="360" w:lineRule="auto"/>
        <w:contextualSpacing/>
        <w:rPr>
          <w:lang w:val="en"/>
        </w:rPr>
      </w:pPr>
    </w:p>
    <w:p w14:paraId="624D2F65" w14:textId="1871A613" w:rsidR="002C4B77" w:rsidRDefault="00A924C7" w:rsidP="00B46ED3">
      <w:pPr>
        <w:spacing w:after="0" w:line="360" w:lineRule="auto"/>
        <w:contextualSpacing/>
        <w:rPr>
          <w:lang w:val="en"/>
        </w:rPr>
      </w:pPr>
      <w:r>
        <w:rPr>
          <w:lang w:val="en"/>
        </w:rPr>
        <w:t>P</w:t>
      </w:r>
      <w:r w:rsidR="003343B1" w:rsidRPr="00237CE9">
        <w:rPr>
          <w:lang w:val="en"/>
        </w:rPr>
        <w:t xml:space="preserve">revalence of microcephaly in Europe was 1.53 (95% </w:t>
      </w:r>
      <w:proofErr w:type="gramStart"/>
      <w:r w:rsidR="003343B1" w:rsidRPr="00237CE9">
        <w:rPr>
          <w:lang w:val="en"/>
        </w:rPr>
        <w:t>CI :</w:t>
      </w:r>
      <w:proofErr w:type="gramEnd"/>
      <w:r w:rsidR="003343B1" w:rsidRPr="00237CE9">
        <w:rPr>
          <w:lang w:val="en"/>
        </w:rPr>
        <w:t xml:space="preserve"> 1.16-1.96) per 10,000 births</w:t>
      </w:r>
      <w:r w:rsidR="00A3705A">
        <w:rPr>
          <w:lang w:val="en"/>
        </w:rPr>
        <w:t xml:space="preserve"> </w:t>
      </w:r>
      <w:r w:rsidR="00BE1B4D">
        <w:rPr>
          <w:lang w:val="en"/>
        </w:rPr>
        <w:t xml:space="preserve">with registries </w:t>
      </w:r>
      <w:r w:rsidR="00A3705A">
        <w:rPr>
          <w:lang w:val="en"/>
        </w:rPr>
        <w:t xml:space="preserve">varying from 0.4 </w:t>
      </w:r>
      <w:r w:rsidR="00A3705A" w:rsidRPr="00A3705A">
        <w:rPr>
          <w:lang w:val="en"/>
        </w:rPr>
        <w:t xml:space="preserve">(95% CI : </w:t>
      </w:r>
      <w:r w:rsidR="00A3705A">
        <w:rPr>
          <w:lang w:val="en"/>
        </w:rPr>
        <w:t>0.2-0.7</w:t>
      </w:r>
      <w:r w:rsidR="00A3705A" w:rsidRPr="00A3705A">
        <w:rPr>
          <w:lang w:val="en"/>
        </w:rPr>
        <w:t>)</w:t>
      </w:r>
      <w:r w:rsidR="00A3705A">
        <w:rPr>
          <w:lang w:val="en"/>
        </w:rPr>
        <w:t xml:space="preserve"> to 4.3 (95% CI : 3.8-4.8</w:t>
      </w:r>
      <w:r w:rsidR="00A3705A" w:rsidRPr="00A3705A">
        <w:rPr>
          <w:lang w:val="en"/>
        </w:rPr>
        <w:t>)</w:t>
      </w:r>
      <w:r w:rsidR="00A3705A">
        <w:rPr>
          <w:lang w:val="en"/>
        </w:rPr>
        <w:t xml:space="preserve"> per 10,000</w:t>
      </w:r>
      <w:r w:rsidR="002B327C">
        <w:rPr>
          <w:lang w:val="en"/>
        </w:rPr>
        <w:t xml:space="preserve"> </w:t>
      </w:r>
      <w:r w:rsidR="003343B1" w:rsidRPr="00237CE9">
        <w:rPr>
          <w:lang w:val="en"/>
        </w:rPr>
        <w:t>(Chi-squared =338 with 23 degrees of freedom, I</w:t>
      </w:r>
      <w:r w:rsidR="003343B1" w:rsidRPr="00237CE9">
        <w:rPr>
          <w:vertAlign w:val="superscript"/>
          <w:lang w:val="en"/>
        </w:rPr>
        <w:t>2</w:t>
      </w:r>
      <w:r w:rsidR="003343B1" w:rsidRPr="00237CE9">
        <w:rPr>
          <w:lang w:val="en"/>
        </w:rPr>
        <w:t xml:space="preserve"> = 93%).</w:t>
      </w:r>
      <w:r w:rsidR="00B46ED3" w:rsidRPr="00237CE9">
        <w:rPr>
          <w:lang w:val="en"/>
        </w:rPr>
        <w:t xml:space="preserve"> </w:t>
      </w:r>
      <w:r w:rsidR="006F33B8">
        <w:rPr>
          <w:lang w:val="en"/>
        </w:rPr>
        <w:t xml:space="preserve">Registries </w:t>
      </w:r>
      <w:r w:rsidR="00BE1B4D">
        <w:rPr>
          <w:lang w:val="en"/>
        </w:rPr>
        <w:t>with</w:t>
      </w:r>
      <w:r w:rsidR="006F33B8" w:rsidRPr="006F33B8">
        <w:rPr>
          <w:lang w:val="en"/>
        </w:rPr>
        <w:t xml:space="preserve"> the 3 SD cut-off </w:t>
      </w:r>
      <w:r w:rsidR="006F33B8">
        <w:rPr>
          <w:lang w:val="en"/>
        </w:rPr>
        <w:t>r</w:t>
      </w:r>
      <w:r w:rsidR="006F33B8" w:rsidRPr="006F33B8">
        <w:rPr>
          <w:lang w:val="en"/>
        </w:rPr>
        <w:t>eported a prevalence of 1.74 per 10,000 (95% CI: 0.86-2.93)</w:t>
      </w:r>
      <w:r w:rsidR="006F33B8">
        <w:rPr>
          <w:lang w:val="en"/>
        </w:rPr>
        <w:t xml:space="preserve"> compared with those </w:t>
      </w:r>
      <w:r w:rsidR="00BE1B4D">
        <w:rPr>
          <w:lang w:val="en"/>
        </w:rPr>
        <w:t>with</w:t>
      </w:r>
      <w:r w:rsidR="006F33B8" w:rsidRPr="006F33B8">
        <w:rPr>
          <w:lang w:val="en"/>
        </w:rPr>
        <w:t xml:space="preserve"> </w:t>
      </w:r>
      <w:r w:rsidR="002B327C">
        <w:rPr>
          <w:lang w:val="en"/>
        </w:rPr>
        <w:t xml:space="preserve">the less stringent </w:t>
      </w:r>
      <w:r w:rsidR="00914E30">
        <w:rPr>
          <w:lang w:val="en"/>
        </w:rPr>
        <w:t xml:space="preserve">2 SD cut-off of </w:t>
      </w:r>
      <w:r w:rsidR="006F33B8" w:rsidRPr="006F33B8">
        <w:rPr>
          <w:lang w:val="en"/>
        </w:rPr>
        <w:t>1.21 per 10,000 (95% CI: 0.21-2.93)</w:t>
      </w:r>
      <w:r w:rsidR="006F33B8">
        <w:rPr>
          <w:lang w:val="en"/>
        </w:rPr>
        <w:t>.</w:t>
      </w:r>
    </w:p>
    <w:p w14:paraId="0B831FE8" w14:textId="77777777" w:rsidR="006F33B8" w:rsidRDefault="006F33B8" w:rsidP="00B46ED3">
      <w:pPr>
        <w:spacing w:after="0" w:line="360" w:lineRule="auto"/>
        <w:contextualSpacing/>
        <w:rPr>
          <w:lang w:val="en"/>
        </w:rPr>
      </w:pPr>
    </w:p>
    <w:p w14:paraId="0526D7E8" w14:textId="6D48A17C" w:rsidR="003343B1" w:rsidRPr="00237CE9" w:rsidRDefault="00DA26A2" w:rsidP="00B46ED3">
      <w:pPr>
        <w:spacing w:after="0" w:line="360" w:lineRule="auto"/>
        <w:contextualSpacing/>
        <w:rPr>
          <w:lang w:val="en"/>
        </w:rPr>
      </w:pPr>
      <w:r>
        <w:rPr>
          <w:lang w:val="en"/>
        </w:rPr>
        <w:t>T</w:t>
      </w:r>
      <w:r w:rsidR="001449D0">
        <w:rPr>
          <w:lang w:val="en"/>
        </w:rPr>
        <w:t xml:space="preserve">he prevalence </w:t>
      </w:r>
      <w:r>
        <w:rPr>
          <w:lang w:val="en"/>
        </w:rPr>
        <w:t xml:space="preserve">of microcephaly </w:t>
      </w:r>
      <w:r w:rsidR="001449D0">
        <w:rPr>
          <w:lang w:val="en"/>
        </w:rPr>
        <w:t>woul</w:t>
      </w:r>
      <w:r w:rsidR="00914E30">
        <w:rPr>
          <w:lang w:val="en"/>
        </w:rPr>
        <w:t xml:space="preserve">d need to increase </w:t>
      </w:r>
      <w:r>
        <w:rPr>
          <w:lang w:val="en"/>
        </w:rPr>
        <w:t xml:space="preserve">in 1 year </w:t>
      </w:r>
      <w:r w:rsidR="00914E30">
        <w:rPr>
          <w:lang w:val="en"/>
        </w:rPr>
        <w:t xml:space="preserve">by over 35% </w:t>
      </w:r>
      <w:r w:rsidR="001449D0">
        <w:rPr>
          <w:lang w:val="en"/>
        </w:rPr>
        <w:t xml:space="preserve">in Europe or by </w:t>
      </w:r>
      <w:r w:rsidR="002B327C">
        <w:rPr>
          <w:lang w:val="en"/>
        </w:rPr>
        <w:t xml:space="preserve">over 300% in a single registry </w:t>
      </w:r>
      <w:r>
        <w:rPr>
          <w:lang w:val="en"/>
        </w:rPr>
        <w:t>t</w:t>
      </w:r>
      <w:r>
        <w:rPr>
          <w:lang w:val="en"/>
        </w:rPr>
        <w:t>o reach statistical significance (p&lt;0.01)</w:t>
      </w:r>
      <w:r>
        <w:rPr>
          <w:lang w:val="en"/>
        </w:rPr>
        <w:t>.</w:t>
      </w:r>
    </w:p>
    <w:p w14:paraId="5780F7DB" w14:textId="77777777" w:rsidR="00D70FBA" w:rsidRPr="00237CE9" w:rsidRDefault="00D70FBA" w:rsidP="00B46ED3">
      <w:pPr>
        <w:spacing w:after="0" w:line="360" w:lineRule="auto"/>
        <w:contextualSpacing/>
        <w:rPr>
          <w:lang w:val="en"/>
        </w:rPr>
      </w:pPr>
    </w:p>
    <w:p w14:paraId="6F700AD5" w14:textId="7F7AD953" w:rsidR="003343B1" w:rsidRPr="00237CE9" w:rsidRDefault="003343B1" w:rsidP="00C7492C">
      <w:pPr>
        <w:spacing w:after="0" w:line="360" w:lineRule="auto"/>
        <w:contextualSpacing/>
        <w:rPr>
          <w:lang w:val="en"/>
        </w:rPr>
      </w:pPr>
      <w:r w:rsidRPr="00237CE9">
        <w:rPr>
          <w:lang w:val="en"/>
        </w:rPr>
        <w:t>Conclusions</w:t>
      </w:r>
    </w:p>
    <w:p w14:paraId="2FFFA8A1" w14:textId="50D87A39" w:rsidR="0052088B" w:rsidRDefault="00914E30" w:rsidP="00C7492C">
      <w:pPr>
        <w:spacing w:after="0" w:line="360" w:lineRule="auto"/>
        <w:contextualSpacing/>
      </w:pPr>
      <w:r>
        <w:t xml:space="preserve">EUROCAT could detect increases in the prevalence of microcephaly due to the </w:t>
      </w:r>
      <w:proofErr w:type="spellStart"/>
      <w:r>
        <w:t>Zika</w:t>
      </w:r>
      <w:proofErr w:type="spellEnd"/>
      <w:r>
        <w:t xml:space="preserve"> virus of a similar magnitude to those observed in Brazil. However, d</w:t>
      </w:r>
      <w:r w:rsidR="00B46ED3" w:rsidRPr="00237CE9">
        <w:t>ue to</w:t>
      </w:r>
      <w:r>
        <w:t xml:space="preserve"> the rarity of microcephaly and </w:t>
      </w:r>
      <w:r w:rsidR="00B46ED3" w:rsidRPr="00237CE9">
        <w:t>discrepant diagnostic criteria</w:t>
      </w:r>
      <w:r>
        <w:t>, the smaller increases</w:t>
      </w:r>
      <w:r w:rsidR="00B46ED3" w:rsidRPr="00237CE9">
        <w:t xml:space="preserve"> </w:t>
      </w:r>
      <w:r>
        <w:t xml:space="preserve">expected in Europe </w:t>
      </w:r>
      <w:r w:rsidR="00B46ED3" w:rsidRPr="00237CE9">
        <w:t>would be unlikely to be detected.</w:t>
      </w:r>
      <w:r w:rsidR="00D70FBA" w:rsidRPr="00237CE9">
        <w:t xml:space="preserve"> Clear diagnostic criteria for microcephaly must be adopted across Europe.</w:t>
      </w:r>
    </w:p>
    <w:p w14:paraId="21490015" w14:textId="77777777" w:rsidR="0052088B" w:rsidRDefault="0052088B">
      <w:r>
        <w:br w:type="page"/>
      </w:r>
    </w:p>
    <w:p w14:paraId="0FA126FE" w14:textId="77777777" w:rsidR="00B46ED3" w:rsidRPr="00237CE9" w:rsidRDefault="00B46ED3" w:rsidP="00C7492C">
      <w:pPr>
        <w:spacing w:after="0" w:line="360" w:lineRule="auto"/>
        <w:contextualSpacing/>
      </w:pPr>
    </w:p>
    <w:p w14:paraId="3A0871F7" w14:textId="6DE3173F" w:rsidR="00B46ED3" w:rsidRPr="00C53F04" w:rsidRDefault="00C53F04" w:rsidP="00C7492C">
      <w:pPr>
        <w:spacing w:after="0" w:line="360" w:lineRule="auto"/>
        <w:contextualSpacing/>
        <w:rPr>
          <w:b/>
        </w:rPr>
      </w:pPr>
      <w:r w:rsidRPr="00C53F04">
        <w:rPr>
          <w:b/>
        </w:rPr>
        <w:t>What this paper adds</w:t>
      </w:r>
    </w:p>
    <w:p w14:paraId="2EB19663" w14:textId="3AF49FBF" w:rsidR="00C53F04" w:rsidRDefault="00C53F04" w:rsidP="00C7492C">
      <w:pPr>
        <w:spacing w:after="0" w:line="360" w:lineRule="auto"/>
        <w:contextualSpacing/>
        <w:rPr>
          <w:b/>
        </w:rPr>
      </w:pPr>
      <w:r w:rsidRPr="00C53F04">
        <w:rPr>
          <w:b/>
        </w:rPr>
        <w:t xml:space="preserve">What is already known on this </w:t>
      </w:r>
      <w:proofErr w:type="gramStart"/>
      <w:r w:rsidRPr="00C53F04">
        <w:rPr>
          <w:b/>
        </w:rPr>
        <w:t>subject</w:t>
      </w:r>
      <w:proofErr w:type="gramEnd"/>
    </w:p>
    <w:p w14:paraId="55A12AB1" w14:textId="0DDB87DC" w:rsidR="00C53F04" w:rsidRDefault="00C53F04" w:rsidP="00C53F04">
      <w:pPr>
        <w:pStyle w:val="ListParagraph"/>
        <w:numPr>
          <w:ilvl w:val="0"/>
          <w:numId w:val="3"/>
        </w:numPr>
        <w:spacing w:after="0" w:line="360" w:lineRule="auto"/>
      </w:pPr>
      <w:r w:rsidRPr="00C53F04">
        <w:t>Zika virus infection during the first trimester of pregnancy increases the risk of microcephaly in the baby</w:t>
      </w:r>
      <w:r w:rsidR="002976BF">
        <w:t>.</w:t>
      </w:r>
    </w:p>
    <w:p w14:paraId="42F96858" w14:textId="327D0CC3" w:rsidR="00C53F04" w:rsidRDefault="00C53F04" w:rsidP="00C53F04">
      <w:pPr>
        <w:pStyle w:val="ListParagraph"/>
        <w:numPr>
          <w:ilvl w:val="0"/>
          <w:numId w:val="3"/>
        </w:numPr>
        <w:spacing w:after="0" w:line="360" w:lineRule="auto"/>
      </w:pPr>
      <w:r>
        <w:t xml:space="preserve">In South America </w:t>
      </w:r>
      <w:r w:rsidR="00DD7E5E">
        <w:t xml:space="preserve">clinicians noticed </w:t>
      </w:r>
      <w:r>
        <w:t xml:space="preserve">a </w:t>
      </w:r>
      <w:r w:rsidRPr="00C53F04">
        <w:t>dramatic increase in the prevalence of microcephaly</w:t>
      </w:r>
      <w:r w:rsidR="00DD7E5E">
        <w:t>, which was confirmed by</w:t>
      </w:r>
      <w:r w:rsidR="00DD7E5E" w:rsidRPr="00DD7E5E">
        <w:t xml:space="preserve"> </w:t>
      </w:r>
      <w:r w:rsidR="00DD7E5E" w:rsidRPr="00C53F04">
        <w:t xml:space="preserve">congenital anomaly </w:t>
      </w:r>
      <w:r w:rsidR="00DD7E5E">
        <w:t>registries.</w:t>
      </w:r>
    </w:p>
    <w:p w14:paraId="4F492363" w14:textId="368E0270" w:rsidR="00C53F04" w:rsidRPr="00C53F04" w:rsidRDefault="00C53F04" w:rsidP="00C53F04">
      <w:pPr>
        <w:pStyle w:val="ListParagraph"/>
        <w:numPr>
          <w:ilvl w:val="0"/>
          <w:numId w:val="3"/>
        </w:numPr>
        <w:autoSpaceDE w:val="0"/>
        <w:autoSpaceDN w:val="0"/>
        <w:adjustRightInd w:val="0"/>
        <w:spacing w:after="0" w:line="360" w:lineRule="auto"/>
      </w:pPr>
      <w:r w:rsidRPr="002B5929">
        <w:t xml:space="preserve">European surveillance </w:t>
      </w:r>
      <w:r>
        <w:t xml:space="preserve">of congenital anomalies is </w:t>
      </w:r>
      <w:r w:rsidRPr="002B5929">
        <w:t>performed by EUROCAT (the European Surveillance of Congenital Anomal</w:t>
      </w:r>
      <w:r>
        <w:t>ies;</w:t>
      </w:r>
      <w:r w:rsidRPr="00C53F04">
        <w:rPr>
          <w:rFonts w:ascii="Calibri" w:hAnsi="Calibri" w:cs="AdvPS94BA"/>
          <w:color w:val="000000"/>
        </w:rPr>
        <w:t xml:space="preserve"> </w:t>
      </w:r>
      <w:hyperlink r:id="rId8" w:history="1">
        <w:r w:rsidRPr="00C53F04">
          <w:rPr>
            <w:rStyle w:val="Hyperlink"/>
            <w:rFonts w:ascii="Calibri" w:hAnsi="Calibri" w:cs="AdvPS94BA"/>
          </w:rPr>
          <w:t>http://www.eurocat-network.eu/</w:t>
        </w:r>
      </w:hyperlink>
      <w:r w:rsidRPr="00C53F04">
        <w:rPr>
          <w:rFonts w:ascii="Calibri" w:hAnsi="Calibri" w:cs="AdvPS94BA"/>
          <w:color w:val="000000"/>
        </w:rPr>
        <w:t>)</w:t>
      </w:r>
      <w:r w:rsidRPr="002B5929">
        <w:t>.</w:t>
      </w:r>
    </w:p>
    <w:p w14:paraId="4705613E" w14:textId="77777777" w:rsidR="00C53F04" w:rsidRDefault="00C53F04" w:rsidP="00C7492C">
      <w:pPr>
        <w:spacing w:after="0" w:line="360" w:lineRule="auto"/>
        <w:contextualSpacing/>
        <w:rPr>
          <w:b/>
        </w:rPr>
      </w:pPr>
    </w:p>
    <w:p w14:paraId="22EFAD02" w14:textId="76187C84" w:rsidR="00C53F04" w:rsidRDefault="00C53F04" w:rsidP="00C7492C">
      <w:pPr>
        <w:spacing w:after="0" w:line="360" w:lineRule="auto"/>
        <w:contextualSpacing/>
        <w:rPr>
          <w:b/>
        </w:rPr>
      </w:pPr>
      <w:r w:rsidRPr="00C53F04">
        <w:rPr>
          <w:b/>
        </w:rPr>
        <w:t>What this study adds</w:t>
      </w:r>
    </w:p>
    <w:p w14:paraId="777780ED" w14:textId="5F67FF74" w:rsidR="00C53F04" w:rsidRDefault="00C53F04" w:rsidP="00C53F04">
      <w:pPr>
        <w:pStyle w:val="ListParagraph"/>
        <w:numPr>
          <w:ilvl w:val="0"/>
          <w:numId w:val="4"/>
        </w:numPr>
        <w:spacing w:after="0" w:line="360" w:lineRule="auto"/>
      </w:pPr>
      <w:r w:rsidRPr="00C53F04">
        <w:t xml:space="preserve">The </w:t>
      </w:r>
      <w:r>
        <w:t xml:space="preserve">reported </w:t>
      </w:r>
      <w:r w:rsidRPr="00C53F04">
        <w:t>prevalence of microcephaly across Europe varies considerably, due to t</w:t>
      </w:r>
      <w:r>
        <w:t xml:space="preserve">he </w:t>
      </w:r>
      <w:r w:rsidR="00C8036B">
        <w:t xml:space="preserve">different </w:t>
      </w:r>
      <w:r>
        <w:t xml:space="preserve">diagnostic criteria applied and </w:t>
      </w:r>
      <w:r w:rsidR="00C8036B">
        <w:t>varying</w:t>
      </w:r>
      <w:r w:rsidRPr="00C53F04">
        <w:t xml:space="preserve"> levels of </w:t>
      </w:r>
      <w:r>
        <w:t>ascertainment</w:t>
      </w:r>
      <w:r w:rsidR="002976BF">
        <w:t>.</w:t>
      </w:r>
    </w:p>
    <w:p w14:paraId="166D3752" w14:textId="77777777" w:rsidR="00914E30" w:rsidRDefault="00914E30" w:rsidP="00914E30">
      <w:pPr>
        <w:pStyle w:val="ListParagraph"/>
        <w:numPr>
          <w:ilvl w:val="0"/>
          <w:numId w:val="4"/>
        </w:numPr>
        <w:spacing w:after="0" w:line="360" w:lineRule="auto"/>
      </w:pPr>
      <w:r w:rsidRPr="00914E30">
        <w:t xml:space="preserve">EUROCAT could detect increases in the prevalence of microcephaly due to the </w:t>
      </w:r>
      <w:proofErr w:type="spellStart"/>
      <w:r w:rsidRPr="00914E30">
        <w:t>Zika</w:t>
      </w:r>
      <w:proofErr w:type="spellEnd"/>
      <w:r w:rsidRPr="00914E30">
        <w:t xml:space="preserve"> virus of a similar magnitude to those observed in Brazil. </w:t>
      </w:r>
    </w:p>
    <w:p w14:paraId="243FF68E" w14:textId="19DBB869" w:rsidR="00C53F04" w:rsidRPr="00C53F04" w:rsidRDefault="00914E30" w:rsidP="002B327C">
      <w:pPr>
        <w:pStyle w:val="ListParagraph"/>
        <w:numPr>
          <w:ilvl w:val="0"/>
          <w:numId w:val="4"/>
        </w:numPr>
        <w:spacing w:after="0" w:line="360" w:lineRule="auto"/>
        <w:rPr>
          <w:b/>
        </w:rPr>
      </w:pPr>
      <w:r>
        <w:t>S</w:t>
      </w:r>
      <w:r w:rsidRPr="00914E30">
        <w:t xml:space="preserve">maller increases </w:t>
      </w:r>
      <w:r>
        <w:t xml:space="preserve">in the prevalence of </w:t>
      </w:r>
      <w:proofErr w:type="gramStart"/>
      <w:r>
        <w:t>microcephaly ,</w:t>
      </w:r>
      <w:proofErr w:type="gramEnd"/>
      <w:r>
        <w:t xml:space="preserve"> due to </w:t>
      </w:r>
      <w:r w:rsidR="002B327C" w:rsidRPr="002B327C">
        <w:t xml:space="preserve">the </w:t>
      </w:r>
      <w:proofErr w:type="spellStart"/>
      <w:r w:rsidR="002B327C" w:rsidRPr="002B327C">
        <w:rPr>
          <w:i/>
        </w:rPr>
        <w:t>Aedes</w:t>
      </w:r>
      <w:proofErr w:type="spellEnd"/>
      <w:r w:rsidR="002B327C" w:rsidRPr="002B327C">
        <w:t xml:space="preserve"> mosquitos not being indigenous in Europe</w:t>
      </w:r>
      <w:r w:rsidR="002B327C">
        <w:t>.</w:t>
      </w:r>
      <w:r w:rsidR="002B327C" w:rsidRPr="002B327C">
        <w:t xml:space="preserve"> </w:t>
      </w:r>
      <w:proofErr w:type="gramStart"/>
      <w:r w:rsidRPr="00914E30">
        <w:t>would</w:t>
      </w:r>
      <w:proofErr w:type="gramEnd"/>
      <w:r w:rsidRPr="00914E30">
        <w:t xml:space="preserve"> be unlikely to be detected. </w:t>
      </w:r>
    </w:p>
    <w:p w14:paraId="2BE556B3" w14:textId="77777777" w:rsidR="002976BF" w:rsidRDefault="002976BF">
      <w:pPr>
        <w:rPr>
          <w:b/>
        </w:rPr>
      </w:pPr>
      <w:r>
        <w:rPr>
          <w:b/>
        </w:rPr>
        <w:br w:type="page"/>
      </w:r>
    </w:p>
    <w:p w14:paraId="31F31243" w14:textId="5D5F4BA1" w:rsidR="00060A66" w:rsidRPr="002B5929" w:rsidRDefault="00D70FBA" w:rsidP="00C7492C">
      <w:pPr>
        <w:spacing w:after="0" w:line="360" w:lineRule="auto"/>
        <w:contextualSpacing/>
        <w:rPr>
          <w:b/>
        </w:rPr>
      </w:pPr>
      <w:r>
        <w:rPr>
          <w:b/>
        </w:rPr>
        <w:t>Introdu</w:t>
      </w:r>
      <w:r w:rsidR="002704E6">
        <w:rPr>
          <w:b/>
        </w:rPr>
        <w:t>c</w:t>
      </w:r>
      <w:r>
        <w:rPr>
          <w:b/>
        </w:rPr>
        <w:t>tion</w:t>
      </w:r>
    </w:p>
    <w:p w14:paraId="2099AC7A" w14:textId="6AF808C4" w:rsidR="009F2AB0" w:rsidRDefault="000A67AF" w:rsidP="000A67AF">
      <w:pPr>
        <w:autoSpaceDE w:val="0"/>
        <w:autoSpaceDN w:val="0"/>
        <w:adjustRightInd w:val="0"/>
        <w:spacing w:after="0" w:line="360" w:lineRule="auto"/>
        <w:contextualSpacing/>
      </w:pPr>
      <w:r>
        <w:t>Microcephaly is a</w:t>
      </w:r>
      <w:r w:rsidR="002B327C">
        <w:t xml:space="preserve"> </w:t>
      </w:r>
      <w:r w:rsidR="00C8036B">
        <w:t xml:space="preserve">congenital </w:t>
      </w:r>
      <w:r w:rsidR="009E19EB">
        <w:t xml:space="preserve">anomaly </w:t>
      </w:r>
      <w:r>
        <w:t>where a baby</w:t>
      </w:r>
      <w:r w:rsidR="00C8036B">
        <w:t>’s</w:t>
      </w:r>
      <w:r>
        <w:t xml:space="preserve"> head is smaller</w:t>
      </w:r>
      <w:r w:rsidR="002B327C">
        <w:t xml:space="preserve"> </w:t>
      </w:r>
      <w:r>
        <w:t>compared with other babies of the same sex</w:t>
      </w:r>
      <w:r w:rsidR="00127ED3">
        <w:t>,</w:t>
      </w:r>
      <w:r>
        <w:t xml:space="preserve"> age</w:t>
      </w:r>
      <w:r w:rsidR="00127ED3">
        <w:t xml:space="preserve"> and ethnicity</w:t>
      </w:r>
      <w:r>
        <w:t>.</w:t>
      </w:r>
      <w:r w:rsidR="009F2AB0">
        <w:t xml:space="preserve"> The definition of “smaller </w:t>
      </w:r>
      <w:proofErr w:type="gramStart"/>
      <w:r w:rsidR="009F2AB0">
        <w:t>“ varies</w:t>
      </w:r>
      <w:proofErr w:type="gramEnd"/>
      <w:r w:rsidR="009F2AB0">
        <w:t xml:space="preserve"> from a head circumference </w:t>
      </w:r>
      <w:r w:rsidR="00937AE4">
        <w:t xml:space="preserve">more </w:t>
      </w:r>
      <w:r w:rsidR="009F2AB0">
        <w:t xml:space="preserve">than 2 standard deviations </w:t>
      </w:r>
      <w:r w:rsidR="00615A31">
        <w:t xml:space="preserve">(SD) </w:t>
      </w:r>
      <w:r w:rsidR="009F2AB0">
        <w:t>below the mean</w:t>
      </w:r>
      <w:r w:rsidR="002B327C">
        <w:t xml:space="preserve"> </w:t>
      </w:r>
      <w:r w:rsidR="009F2AB0">
        <w:t>to</w:t>
      </w:r>
      <w:r w:rsidR="002B327C">
        <w:t xml:space="preserve"> </w:t>
      </w:r>
      <w:r w:rsidR="00937AE4">
        <w:t xml:space="preserve">more </w:t>
      </w:r>
      <w:r w:rsidR="009F2AB0">
        <w:t xml:space="preserve">than </w:t>
      </w:r>
      <w:r w:rsidR="00C8036B">
        <w:t>3</w:t>
      </w:r>
      <w:r w:rsidR="009F2AB0">
        <w:t xml:space="preserve"> </w:t>
      </w:r>
      <w:r w:rsidR="00615A31">
        <w:t>SDs</w:t>
      </w:r>
      <w:r w:rsidR="009F2AB0">
        <w:t xml:space="preserve"> below the mean. The more extreme the definition of “smaller” the greater the proportion of </w:t>
      </w:r>
      <w:r>
        <w:t xml:space="preserve">babies </w:t>
      </w:r>
      <w:r w:rsidR="009F2AB0">
        <w:t xml:space="preserve">diagnosed with microcephaly who will </w:t>
      </w:r>
      <w:r>
        <w:t xml:space="preserve">have smaller underdeveloped brains and </w:t>
      </w:r>
      <w:r w:rsidR="009F2AB0">
        <w:t xml:space="preserve">who are </w:t>
      </w:r>
      <w:r>
        <w:t xml:space="preserve">consequently at risk of developmental delay, intellectual disability and physical disabilities such as hearing and </w:t>
      </w:r>
      <w:r w:rsidR="009F2AB0">
        <w:t>vision impairment</w:t>
      </w:r>
      <w:r w:rsidR="00D1620D">
        <w:t>.</w:t>
      </w:r>
      <w:r w:rsidR="009F2AB0">
        <w:t>[1]</w:t>
      </w:r>
      <w:r w:rsidR="000F79B4">
        <w:t xml:space="preserve"> </w:t>
      </w:r>
      <w:r w:rsidR="0006609D">
        <w:t>In a cohort of 680 children with m</w:t>
      </w:r>
      <w:r w:rsidR="000F79B4">
        <w:t xml:space="preserve">icrocephaly </w:t>
      </w:r>
      <w:r w:rsidR="0006609D">
        <w:t xml:space="preserve">the </w:t>
      </w:r>
      <w:r w:rsidR="002B327C">
        <w:t>a</w:t>
      </w:r>
      <w:r w:rsidR="00621514">
        <w:t>etiology of 31</w:t>
      </w:r>
      <w:r w:rsidR="0006609D">
        <w:t>% was genetic, 27% perinatal brain injuries (including 4% maternal exposure to teratogens), 2% postnatal brain injur</w:t>
      </w:r>
      <w:r w:rsidR="00621514">
        <w:t xml:space="preserve">ies, </w:t>
      </w:r>
      <w:r w:rsidR="0006609D">
        <w:t>and 41% unknown.[2]</w:t>
      </w:r>
    </w:p>
    <w:p w14:paraId="6F2A6097" w14:textId="77777777" w:rsidR="009F2AB0" w:rsidRDefault="009F2AB0" w:rsidP="000A67AF">
      <w:pPr>
        <w:autoSpaceDE w:val="0"/>
        <w:autoSpaceDN w:val="0"/>
        <w:adjustRightInd w:val="0"/>
        <w:spacing w:after="0" w:line="360" w:lineRule="auto"/>
        <w:contextualSpacing/>
      </w:pPr>
    </w:p>
    <w:p w14:paraId="7E316765" w14:textId="6550139E" w:rsidR="00211851" w:rsidRPr="002B5929" w:rsidRDefault="00C3026D" w:rsidP="000A67AF">
      <w:pPr>
        <w:autoSpaceDE w:val="0"/>
        <w:autoSpaceDN w:val="0"/>
        <w:adjustRightInd w:val="0"/>
        <w:spacing w:after="0" w:line="360" w:lineRule="auto"/>
        <w:contextualSpacing/>
      </w:pPr>
      <w:r>
        <w:t>In late 2015</w:t>
      </w:r>
      <w:r w:rsidR="00C8036B">
        <w:t>,</w:t>
      </w:r>
      <w:r>
        <w:t xml:space="preserve"> there were reports of a dramatic increase in the prevalence of microcephaly </w:t>
      </w:r>
      <w:r w:rsidR="00547969">
        <w:t xml:space="preserve">in Brazil coinciding with an outbreak of the </w:t>
      </w:r>
      <w:proofErr w:type="spellStart"/>
      <w:r w:rsidR="00547969">
        <w:t>Zika</w:t>
      </w:r>
      <w:proofErr w:type="spellEnd"/>
      <w:r w:rsidR="00547969">
        <w:t xml:space="preserve"> </w:t>
      </w:r>
      <w:r w:rsidR="00C8036B">
        <w:t>v</w:t>
      </w:r>
      <w:r w:rsidR="00547969">
        <w:t>irus several months earlier</w:t>
      </w:r>
      <w:r>
        <w:t xml:space="preserve">. </w:t>
      </w:r>
      <w:r w:rsidR="00547969">
        <w:t>[</w:t>
      </w:r>
      <w:r w:rsidR="0006609D">
        <w:t>3</w:t>
      </w:r>
      <w:r w:rsidR="00547969">
        <w:t>]</w:t>
      </w:r>
      <w:r w:rsidR="008A6990">
        <w:t xml:space="preserve"> </w:t>
      </w:r>
      <w:r>
        <w:t>There is now suffi</w:t>
      </w:r>
      <w:r w:rsidR="00C53F04">
        <w:t>cient evidence to confirm that</w:t>
      </w:r>
      <w:r>
        <w:t xml:space="preserve"> Zika virus infection during the first trimester of pregnancy increases the risk of microcephaly in the baby</w:t>
      </w:r>
      <w:r w:rsidR="00D1620D">
        <w:t>.</w:t>
      </w:r>
      <w:r>
        <w:t xml:space="preserve"> [</w:t>
      </w:r>
      <w:r w:rsidR="0006609D">
        <w:t>4</w:t>
      </w:r>
      <w:proofErr w:type="gramStart"/>
      <w:r w:rsidR="0006609D">
        <w:t>,5</w:t>
      </w:r>
      <w:proofErr w:type="gramEnd"/>
      <w:r>
        <w:t>]</w:t>
      </w:r>
      <w:r w:rsidR="00C8036B">
        <w:t xml:space="preserve"> </w:t>
      </w:r>
      <w:r w:rsidR="002369A7" w:rsidRPr="002B5929">
        <w:t>The</w:t>
      </w:r>
      <w:r w:rsidR="00D710BA" w:rsidRPr="002B5929">
        <w:t xml:space="preserve"> emerging microcephaly epidemic across South America</w:t>
      </w:r>
      <w:r w:rsidR="00655B89" w:rsidRPr="002B5929">
        <w:t xml:space="preserve"> </w:t>
      </w:r>
      <w:r w:rsidR="00EF5528" w:rsidRPr="002B5929">
        <w:t xml:space="preserve">has highlighted the necessity of accurate </w:t>
      </w:r>
      <w:r w:rsidR="00BB68B3">
        <w:t>congenital anomaly</w:t>
      </w:r>
      <w:r w:rsidR="00EF5528" w:rsidRPr="002B5929">
        <w:t xml:space="preserve"> surveillance</w:t>
      </w:r>
      <w:r w:rsidR="00655B89" w:rsidRPr="002B5929">
        <w:t>.</w:t>
      </w:r>
      <w:r w:rsidR="00274DFC" w:rsidRPr="002B5929">
        <w:t xml:space="preserve"> </w:t>
      </w:r>
      <w:r w:rsidR="002369A7" w:rsidRPr="002B5929">
        <w:t xml:space="preserve">This study aimed to </w:t>
      </w:r>
      <w:r w:rsidR="00274DFC" w:rsidRPr="002B5929">
        <w:t xml:space="preserve">provide contemporary estimates of </w:t>
      </w:r>
      <w:r w:rsidR="00EF5528" w:rsidRPr="002B5929">
        <w:t xml:space="preserve">the </w:t>
      </w:r>
      <w:r w:rsidR="00274DFC" w:rsidRPr="002B5929">
        <w:t>prevalence</w:t>
      </w:r>
      <w:r w:rsidR="00EB3290" w:rsidRPr="002B5929">
        <w:t xml:space="preserve"> of microcephaly </w:t>
      </w:r>
      <w:r w:rsidR="00274DFC" w:rsidRPr="002B5929">
        <w:t xml:space="preserve">in Europe, </w:t>
      </w:r>
      <w:r w:rsidR="002369A7" w:rsidRPr="002B5929">
        <w:t>determine if t</w:t>
      </w:r>
      <w:r w:rsidR="005F4EE4" w:rsidRPr="002B5929">
        <w:t xml:space="preserve">he diagnosis </w:t>
      </w:r>
      <w:r w:rsidR="00274DFC" w:rsidRPr="002B5929">
        <w:t xml:space="preserve">of microcephaly </w:t>
      </w:r>
      <w:r w:rsidR="00EF5528" w:rsidRPr="002B5929">
        <w:t xml:space="preserve">is consistent across Europe </w:t>
      </w:r>
      <w:r w:rsidR="005F4EE4" w:rsidRPr="002B5929">
        <w:t>and t</w:t>
      </w:r>
      <w:r w:rsidR="00D710BA" w:rsidRPr="002B5929">
        <w:t xml:space="preserve">o evaluate </w:t>
      </w:r>
      <w:r w:rsidR="00D67D0C">
        <w:t>whether</w:t>
      </w:r>
      <w:r w:rsidR="00D67D0C" w:rsidRPr="002B5929">
        <w:t xml:space="preserve"> </w:t>
      </w:r>
      <w:r w:rsidR="00D710BA" w:rsidRPr="002B5929">
        <w:t>changes in preval</w:t>
      </w:r>
      <w:r w:rsidR="005F4EE4" w:rsidRPr="002B5929">
        <w:t>e</w:t>
      </w:r>
      <w:r w:rsidR="00D710BA" w:rsidRPr="002B5929">
        <w:t>n</w:t>
      </w:r>
      <w:r w:rsidR="005F4EE4" w:rsidRPr="002B5929">
        <w:t>c</w:t>
      </w:r>
      <w:r w:rsidR="00D710BA" w:rsidRPr="002B5929">
        <w:t>e</w:t>
      </w:r>
      <w:r w:rsidR="005F4EE4" w:rsidRPr="002B5929">
        <w:t xml:space="preserve"> would be detected </w:t>
      </w:r>
      <w:r w:rsidR="00C44A3E" w:rsidRPr="002B5929">
        <w:t xml:space="preserve">using the current European surveillance performed by </w:t>
      </w:r>
      <w:r w:rsidR="00655B89" w:rsidRPr="002B5929">
        <w:t>EUROCAT (</w:t>
      </w:r>
      <w:r w:rsidR="00EF5528" w:rsidRPr="002B5929">
        <w:t>the European Surveillance of Congenital Anomal</w:t>
      </w:r>
      <w:r w:rsidR="00BB68B3">
        <w:t>ies</w:t>
      </w:r>
      <w:r w:rsidR="004207AF">
        <w:t>;</w:t>
      </w:r>
      <w:r w:rsidR="004207AF" w:rsidRPr="00010367">
        <w:rPr>
          <w:rFonts w:ascii="Calibri" w:hAnsi="Calibri" w:cs="AdvPS94BA"/>
          <w:color w:val="000000"/>
        </w:rPr>
        <w:t xml:space="preserve"> </w:t>
      </w:r>
      <w:hyperlink r:id="rId9" w:history="1">
        <w:r w:rsidR="00BB68B3" w:rsidRPr="00BB68B3">
          <w:rPr>
            <w:rStyle w:val="Hyperlink"/>
            <w:rFonts w:ascii="Calibri" w:hAnsi="Calibri" w:cs="AdvPS94BA"/>
          </w:rPr>
          <w:t>http://www.eurocat-network.eu/</w:t>
        </w:r>
      </w:hyperlink>
      <w:r w:rsidR="004207AF" w:rsidRPr="00010367">
        <w:rPr>
          <w:rFonts w:ascii="Calibri" w:hAnsi="Calibri" w:cs="AdvPS94BA"/>
          <w:color w:val="000000"/>
        </w:rPr>
        <w:t>)</w:t>
      </w:r>
      <w:r w:rsidR="005F4EE4" w:rsidRPr="002B5929">
        <w:t>.</w:t>
      </w:r>
    </w:p>
    <w:p w14:paraId="04ED52AC" w14:textId="77777777" w:rsidR="00655B89" w:rsidRDefault="00655B89" w:rsidP="00C7492C">
      <w:pPr>
        <w:autoSpaceDE w:val="0"/>
        <w:autoSpaceDN w:val="0"/>
        <w:adjustRightInd w:val="0"/>
        <w:spacing w:after="0" w:line="360" w:lineRule="auto"/>
        <w:contextualSpacing/>
      </w:pPr>
    </w:p>
    <w:p w14:paraId="11C5F0B0" w14:textId="6D431772" w:rsidR="0011146B" w:rsidRPr="00026783" w:rsidRDefault="002704E6" w:rsidP="00C7492C">
      <w:pPr>
        <w:autoSpaceDE w:val="0"/>
        <w:autoSpaceDN w:val="0"/>
        <w:adjustRightInd w:val="0"/>
        <w:spacing w:after="0" w:line="360" w:lineRule="auto"/>
        <w:contextualSpacing/>
        <w:rPr>
          <w:b/>
        </w:rPr>
      </w:pPr>
      <w:r w:rsidRPr="00026783">
        <w:rPr>
          <w:b/>
        </w:rPr>
        <w:t>Methods</w:t>
      </w:r>
    </w:p>
    <w:p w14:paraId="73473367" w14:textId="4C0D9187" w:rsidR="00FD7038" w:rsidRDefault="00FD7038" w:rsidP="00FD7038">
      <w:pPr>
        <w:spacing w:after="0" w:line="360" w:lineRule="auto"/>
        <w:contextualSpacing/>
      </w:pPr>
      <w:r w:rsidRPr="00EC5682">
        <w:t>EUROCAT is a European</w:t>
      </w:r>
      <w:r w:rsidRPr="00EC5682">
        <w:rPr>
          <w:i/>
        </w:rPr>
        <w:t xml:space="preserve"> </w:t>
      </w:r>
      <w:r w:rsidRPr="00EC5682">
        <w:t>network</w:t>
      </w:r>
      <w:r w:rsidRPr="00EC5682">
        <w:rPr>
          <w:i/>
        </w:rPr>
        <w:t xml:space="preserve"> </w:t>
      </w:r>
      <w:r w:rsidRPr="00EC5682">
        <w:t xml:space="preserve">of </w:t>
      </w:r>
      <w:r w:rsidRPr="00EC5682">
        <w:rPr>
          <w:rFonts w:cs="AdvP7C2E"/>
          <w:color w:val="231F20"/>
        </w:rPr>
        <w:t xml:space="preserve">almost all population-based congenital anomaly registries in Europe </w:t>
      </w:r>
      <w:r w:rsidR="00C8036B" w:rsidRPr="00EC5682">
        <w:rPr>
          <w:rFonts w:cs="AdvP7C2E"/>
          <w:color w:val="231F20"/>
        </w:rPr>
        <w:t>and currently</w:t>
      </w:r>
      <w:r w:rsidR="002B327C" w:rsidRPr="00EC5682">
        <w:rPr>
          <w:rFonts w:cs="AdvP7C2E"/>
          <w:color w:val="231F20"/>
        </w:rPr>
        <w:t xml:space="preserve"> </w:t>
      </w:r>
      <w:r w:rsidRPr="00EC5682">
        <w:rPr>
          <w:rFonts w:cs="AdvP7C2E"/>
          <w:color w:val="231F20"/>
        </w:rPr>
        <w:t xml:space="preserve">provides the most complete information on congenital anomalies </w:t>
      </w:r>
      <w:r w:rsidR="00C8036B" w:rsidRPr="00EC5682">
        <w:rPr>
          <w:rFonts w:cs="AdvP7C2E"/>
          <w:color w:val="231F20"/>
        </w:rPr>
        <w:t xml:space="preserve">occurring </w:t>
      </w:r>
      <w:r w:rsidRPr="00EC5682">
        <w:rPr>
          <w:rFonts w:cs="AdvP7C2E"/>
          <w:color w:val="231F20"/>
        </w:rPr>
        <w:t>in Europe</w:t>
      </w:r>
      <w:r w:rsidRPr="00EC5682">
        <w:t xml:space="preserve">. EUROCAT was established in 1979 and there are currently 43 registries in 23 countries covering more than 29% of European births (1.7 million) per year. </w:t>
      </w:r>
      <w:r w:rsidR="006501B9" w:rsidRPr="00EC5682">
        <w:t>The European Union</w:t>
      </w:r>
      <w:r w:rsidRPr="00EC5682">
        <w:t xml:space="preserve"> has provided funding for a central registry to coordinate the network, and the member registries are funded locally by national or regional governments, research, or other bodies.</w:t>
      </w:r>
      <w:r w:rsidR="002B327C" w:rsidRPr="00EC5682">
        <w:t xml:space="preserve"> </w:t>
      </w:r>
      <w:r w:rsidRPr="00EC5682">
        <w:t xml:space="preserve"> </w:t>
      </w:r>
      <w:r w:rsidRPr="00EC5682">
        <w:rPr>
          <w:rFonts w:cs="AdvP7C2E"/>
          <w:color w:val="231F20"/>
        </w:rPr>
        <w:t xml:space="preserve">All </w:t>
      </w:r>
      <w:r w:rsidRPr="00EC5682">
        <w:t xml:space="preserve">EUROCAT registries </w:t>
      </w:r>
      <w:r w:rsidR="00B06B55" w:rsidRPr="00EC5682">
        <w:t>have a</w:t>
      </w:r>
      <w:r w:rsidRPr="00EC5682">
        <w:t xml:space="preserve"> defined geographical coverage</w:t>
      </w:r>
      <w:r w:rsidR="00720743" w:rsidRPr="00EC5682">
        <w:t xml:space="preserve"> (see map </w:t>
      </w:r>
      <w:r w:rsidR="002B7850" w:rsidRPr="00EC5682">
        <w:t>for registries included in EUROCAT</w:t>
      </w:r>
      <w:r w:rsidR="00C9402C" w:rsidRPr="00EC5682">
        <w:t xml:space="preserve"> </w:t>
      </w:r>
      <w:r w:rsidR="00720743" w:rsidRPr="00EC5682">
        <w:t>at http://</w:t>
      </w:r>
      <w:r w:rsidR="00720743" w:rsidRPr="00932F6B">
        <w:t>www.eurocat-network.eu/content/EUROCAT-Population-Table-I-Year2012.pdf</w:t>
      </w:r>
      <w:r w:rsidR="002B7850">
        <w:t>)</w:t>
      </w:r>
      <w:r>
        <w:t xml:space="preserve">; in some countries all births are covered by a registry (for example Hungary, Malta, Norway, Poland and Sweden) and in some countries less than 10% of </w:t>
      </w:r>
      <w:r w:rsidR="00C8036B">
        <w:t xml:space="preserve">that country’s birth population </w:t>
      </w:r>
      <w:r>
        <w:t>are covered by a registry (for example Germany, the Netherlands and Ukraine).</w:t>
      </w:r>
    </w:p>
    <w:p w14:paraId="2B4CC887" w14:textId="77777777" w:rsidR="00EC5682" w:rsidRDefault="00EC5682" w:rsidP="00FD7038">
      <w:pPr>
        <w:spacing w:after="0" w:line="360" w:lineRule="auto"/>
        <w:contextualSpacing/>
      </w:pPr>
    </w:p>
    <w:p w14:paraId="46E11C14" w14:textId="794EFCD9" w:rsidR="005F4EE4" w:rsidRPr="002B5929" w:rsidRDefault="00FD7038" w:rsidP="004B615D">
      <w:pPr>
        <w:spacing w:after="0" w:line="360" w:lineRule="auto"/>
        <w:contextualSpacing/>
      </w:pPr>
      <w:r>
        <w:t xml:space="preserve">All </w:t>
      </w:r>
      <w:r w:rsidR="005F4EE4" w:rsidRPr="002B5929">
        <w:t xml:space="preserve">EUROCAT </w:t>
      </w:r>
      <w:proofErr w:type="gramStart"/>
      <w:r w:rsidR="005F4EE4" w:rsidRPr="002B5929">
        <w:t>registries</w:t>
      </w:r>
      <w:r w:rsidR="002B327C">
        <w:t xml:space="preserve"> </w:t>
      </w:r>
      <w:r w:rsidR="00EB7FF2" w:rsidRPr="002B5929">
        <w:t xml:space="preserve"> </w:t>
      </w:r>
      <w:r w:rsidR="005F4EE4" w:rsidRPr="002B5929">
        <w:t>use</w:t>
      </w:r>
      <w:proofErr w:type="gramEnd"/>
      <w:r w:rsidR="005F4EE4" w:rsidRPr="002B5929">
        <w:t xml:space="preserve"> multiple sources of information to ascertain cases in live birth</w:t>
      </w:r>
      <w:r w:rsidR="003D0AB2" w:rsidRPr="002B5929">
        <w:t>s</w:t>
      </w:r>
      <w:r w:rsidR="005F4EE4" w:rsidRPr="002B5929">
        <w:t xml:space="preserve">, late </w:t>
      </w:r>
      <w:proofErr w:type="spellStart"/>
      <w:r w:rsidR="005F4EE4" w:rsidRPr="002B5929">
        <w:t>fetal</w:t>
      </w:r>
      <w:proofErr w:type="spellEnd"/>
      <w:r w:rsidR="005F4EE4" w:rsidRPr="002B5929">
        <w:t xml:space="preserve"> death</w:t>
      </w:r>
      <w:r w:rsidR="00274DFC" w:rsidRPr="002B5929">
        <w:t>s</w:t>
      </w:r>
      <w:r w:rsidR="005F4EE4" w:rsidRPr="002B5929">
        <w:t xml:space="preserve"> (</w:t>
      </w:r>
      <w:r w:rsidR="00410FEA" w:rsidRPr="00720743">
        <w:rPr>
          <w:u w:val="single"/>
        </w:rPr>
        <w:t>&gt;</w:t>
      </w:r>
      <w:r w:rsidR="005F4EE4" w:rsidRPr="002B5929">
        <w:t>20 weeks’ gestation), and termination</w:t>
      </w:r>
      <w:r w:rsidR="00274DFC" w:rsidRPr="002B5929">
        <w:t>s</w:t>
      </w:r>
      <w:r w:rsidR="005F4EE4" w:rsidRPr="002B5929">
        <w:t xml:space="preserve"> of pregnancy for </w:t>
      </w:r>
      <w:proofErr w:type="spellStart"/>
      <w:r w:rsidR="005F4EE4" w:rsidRPr="002B5929">
        <w:t>fetal</w:t>
      </w:r>
      <w:proofErr w:type="spellEnd"/>
      <w:r w:rsidR="005F4EE4" w:rsidRPr="002B5929">
        <w:t xml:space="preserve"> anomaly</w:t>
      </w:r>
      <w:r w:rsidR="002B327C">
        <w:t xml:space="preserve"> </w:t>
      </w:r>
      <w:r w:rsidR="005F4EE4" w:rsidRPr="002B5929">
        <w:t>at any gestation.</w:t>
      </w:r>
      <w:r w:rsidR="00BB68B3">
        <w:t xml:space="preserve"> </w:t>
      </w:r>
      <w:r w:rsidR="004207AF">
        <w:t>[</w:t>
      </w:r>
      <w:r w:rsidR="0006609D">
        <w:t>6</w:t>
      </w:r>
      <w:r w:rsidR="004207AF">
        <w:t xml:space="preserve">] </w:t>
      </w:r>
      <w:r w:rsidR="005F4EE4" w:rsidRPr="002B5929">
        <w:t xml:space="preserve">Data sources, depending on registry, include maternity, neonatal, and paediatric records; fetal medicine, cytogenetic, pathology, and medical genetics records; specialist services including paediatric cardiology; and hospital discharge and child health records. </w:t>
      </w:r>
      <w:r w:rsidRPr="00FD7038">
        <w:t>The</w:t>
      </w:r>
      <w:r w:rsidR="00410FEA">
        <w:t xml:space="preserve"> EUROCAT</w:t>
      </w:r>
      <w:r w:rsidRPr="00FD7038">
        <w:t xml:space="preserve"> central database is hosted by the European Commission Joint Research Centre in </w:t>
      </w:r>
      <w:proofErr w:type="spellStart"/>
      <w:r w:rsidRPr="00FD7038">
        <w:t>Ispra</w:t>
      </w:r>
      <w:proofErr w:type="spellEnd"/>
      <w:r w:rsidR="00410FEA">
        <w:t>, Italy</w:t>
      </w:r>
      <w:r w:rsidRPr="00FD7038">
        <w:t xml:space="preserve">. </w:t>
      </w:r>
      <w:r w:rsidR="00B06B55">
        <w:t>Re</w:t>
      </w:r>
      <w:r w:rsidRPr="00FD7038">
        <w:t xml:space="preserve">gistries </w:t>
      </w:r>
      <w:r w:rsidR="00B06B55">
        <w:t xml:space="preserve">either </w:t>
      </w:r>
      <w:r w:rsidRPr="00FD7038">
        <w:t>submit individual anonymised record</w:t>
      </w:r>
      <w:r w:rsidR="00675830">
        <w:t>s of cases of congenital anomalies</w:t>
      </w:r>
      <w:r w:rsidRPr="00FD7038">
        <w:t xml:space="preserve"> </w:t>
      </w:r>
      <w:r w:rsidR="00B06B55">
        <w:t xml:space="preserve">(full members) or submit </w:t>
      </w:r>
      <w:r w:rsidRPr="00FD7038">
        <w:t xml:space="preserve">the same data </w:t>
      </w:r>
      <w:r w:rsidR="00127ED3">
        <w:t xml:space="preserve">in </w:t>
      </w:r>
      <w:r w:rsidRPr="00FD7038">
        <w:t>aggregate</w:t>
      </w:r>
      <w:r w:rsidR="00127ED3">
        <w:t xml:space="preserve"> form</w:t>
      </w:r>
      <w:r w:rsidR="00B06B55">
        <w:t xml:space="preserve"> (associate members)</w:t>
      </w:r>
      <w:r w:rsidRPr="00FD7038">
        <w:t>.</w:t>
      </w:r>
      <w:r w:rsidR="002B327C">
        <w:t xml:space="preserve"> </w:t>
      </w:r>
      <w:r w:rsidR="005F4EE4" w:rsidRPr="002B5929">
        <w:t xml:space="preserve">All cases are coded to the International Classification of Diseases (ICD) version 9 or 10 with 1-digit </w:t>
      </w:r>
      <w:r w:rsidR="00C9402C" w:rsidRPr="00C9402C">
        <w:t>British Paediatric Association (</w:t>
      </w:r>
      <w:r w:rsidR="005F4EE4" w:rsidRPr="002B5929">
        <w:t>BPA</w:t>
      </w:r>
      <w:r w:rsidR="00C9402C">
        <w:t>)</w:t>
      </w:r>
      <w:r w:rsidR="005F4EE4" w:rsidRPr="002B5929">
        <w:t xml:space="preserve"> extension. </w:t>
      </w:r>
      <w:r w:rsidR="00410FEA">
        <w:t>Each c</w:t>
      </w:r>
      <w:r w:rsidR="005F4EE4" w:rsidRPr="002B5929">
        <w:t xml:space="preserve">ase can have one syndrome and up to eight malformation codes. All coding is </w:t>
      </w:r>
      <w:r w:rsidR="00B06B55">
        <w:t xml:space="preserve">standardised by </w:t>
      </w:r>
      <w:r w:rsidR="005F4EE4" w:rsidRPr="002B5929">
        <w:t>using the EUROCAT guide</w:t>
      </w:r>
      <w:r w:rsidR="00B4165D">
        <w:t xml:space="preserve"> </w:t>
      </w:r>
      <w:r w:rsidR="00C44A3E" w:rsidRPr="002B5929">
        <w:t>(version 1.</w:t>
      </w:r>
      <w:r w:rsidR="008A6990">
        <w:t>4</w:t>
      </w:r>
      <w:r w:rsidR="00C44A3E" w:rsidRPr="002B5929">
        <w:t xml:space="preserve">) </w:t>
      </w:r>
      <w:r w:rsidR="005F4EE4" w:rsidRPr="002B5929">
        <w:t xml:space="preserve">with </w:t>
      </w:r>
      <w:r w:rsidR="00C9402C">
        <w:t xml:space="preserve">isolated </w:t>
      </w:r>
      <w:r w:rsidR="005F4EE4" w:rsidRPr="002B5929">
        <w:t>minor anomalies</w:t>
      </w:r>
      <w:r w:rsidR="00D67D0C">
        <w:t>,</w:t>
      </w:r>
      <w:r w:rsidR="005F4EE4" w:rsidRPr="002B5929">
        <w:t xml:space="preserve"> </w:t>
      </w:r>
      <w:r w:rsidR="00274DFC" w:rsidRPr="002B5929">
        <w:t>e.g</w:t>
      </w:r>
      <w:r w:rsidR="00D67D0C">
        <w:t>.</w:t>
      </w:r>
      <w:r w:rsidR="00274DFC" w:rsidRPr="002B5929">
        <w:t xml:space="preserve"> skin tags</w:t>
      </w:r>
      <w:r w:rsidR="00B4165D">
        <w:t>,</w:t>
      </w:r>
      <w:r w:rsidR="00274DFC" w:rsidRPr="002B5929">
        <w:t xml:space="preserve"> </w:t>
      </w:r>
      <w:r w:rsidR="005F4EE4" w:rsidRPr="002B5929">
        <w:t xml:space="preserve">being excluded. </w:t>
      </w:r>
      <w:r w:rsidR="004207AF">
        <w:t>[</w:t>
      </w:r>
      <w:r w:rsidR="0006609D">
        <w:t>7</w:t>
      </w:r>
      <w:r w:rsidR="002E5E06" w:rsidRPr="002B5929">
        <w:t>]</w:t>
      </w:r>
      <w:r w:rsidR="002B327C">
        <w:t xml:space="preserve"> </w:t>
      </w:r>
    </w:p>
    <w:p w14:paraId="5FE11FFA" w14:textId="77777777" w:rsidR="00FD7038" w:rsidRDefault="00FD7038" w:rsidP="00FD7038">
      <w:pPr>
        <w:spacing w:after="0" w:line="360" w:lineRule="auto"/>
        <w:contextualSpacing/>
      </w:pPr>
    </w:p>
    <w:p w14:paraId="754939A3" w14:textId="6FF25D1E" w:rsidR="00B02FC2" w:rsidRDefault="00FD7038" w:rsidP="00B02FC2">
      <w:pPr>
        <w:spacing w:after="0" w:line="360" w:lineRule="auto"/>
        <w:contextualSpacing/>
      </w:pPr>
      <w:r>
        <w:t xml:space="preserve">A set of 30 data </w:t>
      </w:r>
      <w:r w:rsidR="00645712">
        <w:t>quality indicators</w:t>
      </w:r>
      <w:r w:rsidR="00D1620D">
        <w:t xml:space="preserve"> is</w:t>
      </w:r>
      <w:r w:rsidR="00645712">
        <w:t xml:space="preserve"> used to </w:t>
      </w:r>
      <w:r w:rsidR="009E4DCC">
        <w:t>assess</w:t>
      </w:r>
      <w:r>
        <w:t xml:space="preserve"> five key elements of data quality: completeness of case ascertainment, accuracy of diagnosis, completeness of information on EUROCAT variables, timeliness of data transmission, and availability of population </w:t>
      </w:r>
      <w:r w:rsidR="008848BC">
        <w:t>denominator information.</w:t>
      </w:r>
      <w:r w:rsidR="00D42421">
        <w:t xml:space="preserve"> </w:t>
      </w:r>
      <w:r w:rsidR="008848BC">
        <w:t>[</w:t>
      </w:r>
      <w:r w:rsidR="0006609D">
        <w:t>8</w:t>
      </w:r>
      <w:r>
        <w:t>] Surveillance and research are performed using data only from registries with sufficiently high data quality.</w:t>
      </w:r>
      <w:r w:rsidR="002B327C">
        <w:t xml:space="preserve"> </w:t>
      </w:r>
      <w:r w:rsidR="004B615D">
        <w:t>For inclusion in the</w:t>
      </w:r>
      <w:r w:rsidR="00505090" w:rsidRPr="00505090">
        <w:t xml:space="preserve"> annual monitoring of trends</w:t>
      </w:r>
      <w:r w:rsidR="00505090">
        <w:t xml:space="preserve"> </w:t>
      </w:r>
      <w:r w:rsidR="005F4EE4" w:rsidRPr="002B5929">
        <w:t xml:space="preserve">registries </w:t>
      </w:r>
      <w:r w:rsidR="004B615D">
        <w:t xml:space="preserve">must </w:t>
      </w:r>
      <w:r w:rsidR="00B06B55" w:rsidRPr="00B06B55">
        <w:t>not be more than 1 year behind in data transmission</w:t>
      </w:r>
      <w:r w:rsidR="00845DF0">
        <w:t xml:space="preserve"> and have provided data </w:t>
      </w:r>
      <w:r w:rsidR="005F4EE4" w:rsidRPr="002B5929">
        <w:t xml:space="preserve">for at least nine </w:t>
      </w:r>
      <w:r w:rsidR="00655B89" w:rsidRPr="002B5929">
        <w:t xml:space="preserve">of the previous ten </w:t>
      </w:r>
      <w:r w:rsidR="005F4EE4" w:rsidRPr="002B5929">
        <w:t>years</w:t>
      </w:r>
      <w:r w:rsidR="00C44A3E" w:rsidRPr="002B5929">
        <w:t xml:space="preserve">. </w:t>
      </w:r>
      <w:r w:rsidR="004207AF">
        <w:t>[</w:t>
      </w:r>
      <w:r w:rsidR="0006609D">
        <w:t>9</w:t>
      </w:r>
      <w:r w:rsidR="004207AF">
        <w:t>]</w:t>
      </w:r>
      <w:r w:rsidR="00BB68B3">
        <w:t xml:space="preserve"> </w:t>
      </w:r>
      <w:r w:rsidR="00B4165D">
        <w:t>Twenty-five</w:t>
      </w:r>
      <w:r w:rsidR="00C44A3E" w:rsidRPr="002B5929">
        <w:t xml:space="preserve"> </w:t>
      </w:r>
      <w:r w:rsidR="00B4165D" w:rsidRPr="002B5929">
        <w:t>registries</w:t>
      </w:r>
      <w:r w:rsidR="00594C64">
        <w:t xml:space="preserve"> satisfied th</w:t>
      </w:r>
      <w:r w:rsidR="006B6ED5">
        <w:t>is</w:t>
      </w:r>
      <w:r w:rsidR="00C44A3E" w:rsidRPr="002B5929">
        <w:t xml:space="preserve"> criteri</w:t>
      </w:r>
      <w:r w:rsidR="006B6ED5">
        <w:t>on</w:t>
      </w:r>
      <w:r w:rsidR="00C44A3E" w:rsidRPr="002B5929">
        <w:t xml:space="preserve"> </w:t>
      </w:r>
      <w:r w:rsidR="00655B89" w:rsidRPr="002B5929">
        <w:t>f</w:t>
      </w:r>
      <w:r w:rsidR="00C44A3E" w:rsidRPr="002B5929">
        <w:t>or</w:t>
      </w:r>
      <w:r w:rsidR="00655B89" w:rsidRPr="002B5929">
        <w:t xml:space="preserve"> </w:t>
      </w:r>
      <w:r w:rsidR="00171924">
        <w:t>1</w:t>
      </w:r>
      <w:r w:rsidR="00171924" w:rsidRPr="003D5B7C">
        <w:rPr>
          <w:vertAlign w:val="superscript"/>
        </w:rPr>
        <w:t>st</w:t>
      </w:r>
      <w:r w:rsidR="00171924">
        <w:t xml:space="preserve"> </w:t>
      </w:r>
      <w:r w:rsidR="00A479EE">
        <w:t>January</w:t>
      </w:r>
      <w:r w:rsidR="00171924">
        <w:t xml:space="preserve"> 2003</w:t>
      </w:r>
      <w:r w:rsidR="00655B89" w:rsidRPr="002B5929">
        <w:t xml:space="preserve"> to </w:t>
      </w:r>
      <w:r w:rsidR="00171924">
        <w:t>31</w:t>
      </w:r>
      <w:r w:rsidR="00171924" w:rsidRPr="003D5B7C">
        <w:rPr>
          <w:vertAlign w:val="superscript"/>
        </w:rPr>
        <w:t>st</w:t>
      </w:r>
      <w:r w:rsidR="00171924">
        <w:t xml:space="preserve"> December </w:t>
      </w:r>
      <w:r w:rsidR="00655B89" w:rsidRPr="002B5929">
        <w:t xml:space="preserve">2012. </w:t>
      </w:r>
    </w:p>
    <w:p w14:paraId="3361EA04" w14:textId="77777777" w:rsidR="00B02FC2" w:rsidRDefault="00B02FC2" w:rsidP="004E3A09">
      <w:pPr>
        <w:spacing w:after="0" w:line="360" w:lineRule="auto"/>
        <w:contextualSpacing/>
      </w:pPr>
    </w:p>
    <w:p w14:paraId="6DECF5EA" w14:textId="18611589" w:rsidR="004B615D" w:rsidRPr="002B7850" w:rsidRDefault="00A12DA5" w:rsidP="00377633">
      <w:pPr>
        <w:spacing w:after="0" w:line="360" w:lineRule="auto"/>
        <w:contextualSpacing/>
        <w:rPr>
          <w:rFonts w:ascii="AdvP7C2E" w:hAnsi="AdvP7C2E" w:cs="AdvP7C2E"/>
          <w:color w:val="231F20"/>
          <w:sz w:val="18"/>
          <w:szCs w:val="18"/>
        </w:rPr>
      </w:pPr>
      <w:r>
        <w:t>In EUROCAT’s annual monitoring of t</w:t>
      </w:r>
      <w:r w:rsidR="00B70F8E">
        <w:t>rends for</w:t>
      </w:r>
      <w:r w:rsidR="004B615D">
        <w:t xml:space="preserve"> </w:t>
      </w:r>
      <w:r w:rsidR="00675830">
        <w:t>congenital anomal</w:t>
      </w:r>
      <w:r w:rsidR="00B02FC2">
        <w:t>ies</w:t>
      </w:r>
      <w:r w:rsidR="00DA26A2">
        <w:t xml:space="preserve"> excluding genetic conditions</w:t>
      </w:r>
      <w:r w:rsidR="00D42421">
        <w:t>,</w:t>
      </w:r>
      <w:r w:rsidR="00675830">
        <w:t xml:space="preserve"> all</w:t>
      </w:r>
      <w:r w:rsidR="002B327C">
        <w:t xml:space="preserve"> </w:t>
      </w:r>
      <w:r w:rsidR="00675830">
        <w:t>cases with a chromosomal anomaly</w:t>
      </w:r>
      <w:r w:rsidR="00DA26A2">
        <w:t>, genetic syndrome,</w:t>
      </w:r>
      <w:r w:rsidR="00B02FC2">
        <w:t xml:space="preserve"> microdeletion </w:t>
      </w:r>
      <w:r w:rsidR="00DA26A2">
        <w:t xml:space="preserve">or skeletal dysplasia </w:t>
      </w:r>
      <w:r w:rsidR="00B70F8E">
        <w:t xml:space="preserve">are excluded </w:t>
      </w:r>
      <w:r w:rsidR="00E66DE6">
        <w:t>for two reasons. Firstly</w:t>
      </w:r>
      <w:r w:rsidR="00D42421">
        <w:t>,</w:t>
      </w:r>
      <w:r w:rsidR="00E66DE6">
        <w:t xml:space="preserve"> </w:t>
      </w:r>
      <w:r w:rsidR="00377633">
        <w:t xml:space="preserve">registries differ in their reporting of associated anomalies in cases with a </w:t>
      </w:r>
      <w:r w:rsidR="00DA26A2">
        <w:t>genetic condition</w:t>
      </w:r>
      <w:r w:rsidR="00377633">
        <w:t xml:space="preserve"> and secondly</w:t>
      </w:r>
      <w:r w:rsidR="00D42421">
        <w:t>,</w:t>
      </w:r>
      <w:r w:rsidR="00377633">
        <w:t xml:space="preserve"> </w:t>
      </w:r>
      <w:r w:rsidR="00B02FC2">
        <w:t xml:space="preserve">these </w:t>
      </w:r>
      <w:r w:rsidR="00DA26A2">
        <w:t>genetic condition</w:t>
      </w:r>
      <w:r w:rsidR="004B615D">
        <w:t xml:space="preserve">s are </w:t>
      </w:r>
      <w:r w:rsidR="00D42421">
        <w:t>a</w:t>
      </w:r>
      <w:r w:rsidR="004B615D">
        <w:t>etiologically different from</w:t>
      </w:r>
      <w:r w:rsidR="00B02FC2">
        <w:t xml:space="preserve"> other </w:t>
      </w:r>
      <w:r w:rsidR="004B615D">
        <w:t>anomalies</w:t>
      </w:r>
      <w:r w:rsidR="00752433" w:rsidRPr="00752433">
        <w:t>. For example</w:t>
      </w:r>
      <w:r w:rsidR="006B6ED5">
        <w:t>,</w:t>
      </w:r>
      <w:r w:rsidR="00752433" w:rsidRPr="00752433">
        <w:t xml:space="preserve"> </w:t>
      </w:r>
      <w:r w:rsidR="00B70F8E">
        <w:t xml:space="preserve">over 10% of </w:t>
      </w:r>
      <w:r w:rsidR="00752433" w:rsidRPr="00752433">
        <w:t xml:space="preserve">cases with </w:t>
      </w:r>
      <w:proofErr w:type="spellStart"/>
      <w:r w:rsidR="00B70F8E">
        <w:t>Patau</w:t>
      </w:r>
      <w:proofErr w:type="spellEnd"/>
      <w:r w:rsidR="00752433" w:rsidRPr="00752433">
        <w:t xml:space="preserve"> syndrome have </w:t>
      </w:r>
      <w:r w:rsidR="00E66DE6">
        <w:t>microcephaly</w:t>
      </w:r>
      <w:r w:rsidR="00752433" w:rsidRPr="00752433">
        <w:t xml:space="preserve"> </w:t>
      </w:r>
      <w:r w:rsidR="008848BC">
        <w:t>[</w:t>
      </w:r>
      <w:r w:rsidR="0006609D">
        <w:t>10</w:t>
      </w:r>
      <w:r w:rsidR="00B70F8E">
        <w:t xml:space="preserve">] </w:t>
      </w:r>
      <w:r w:rsidR="00752433" w:rsidRPr="00752433">
        <w:t xml:space="preserve">and </w:t>
      </w:r>
      <w:r w:rsidR="00B70F8E">
        <w:t xml:space="preserve">the risk of a </w:t>
      </w:r>
      <w:r w:rsidR="00DA26A2">
        <w:t xml:space="preserve">pregnancy with </w:t>
      </w:r>
      <w:proofErr w:type="spellStart"/>
      <w:r w:rsidR="00B70F8E">
        <w:t>Patau</w:t>
      </w:r>
      <w:proofErr w:type="spellEnd"/>
      <w:r w:rsidR="00B70F8E">
        <w:t xml:space="preserve"> syndrome increases with maternal age. Therefore</w:t>
      </w:r>
      <w:r w:rsidR="006B6ED5">
        <w:t>,</w:t>
      </w:r>
      <w:r w:rsidR="00B70F8E">
        <w:t xml:space="preserve"> if mean maternal age </w:t>
      </w:r>
      <w:r w:rsidR="00B02FC2">
        <w:t xml:space="preserve">increased in a </w:t>
      </w:r>
      <w:r w:rsidR="00B02FC2" w:rsidRPr="00D1620D">
        <w:t>population</w:t>
      </w:r>
      <w:r w:rsidR="006B6ED5" w:rsidRPr="00D1620D">
        <w:t>,</w:t>
      </w:r>
      <w:r w:rsidR="00B02FC2" w:rsidRPr="00D1620D">
        <w:t xml:space="preserve"> </w:t>
      </w:r>
      <w:r w:rsidR="00B70F8E" w:rsidRPr="00D1620D">
        <w:t>more cases with Patau</w:t>
      </w:r>
      <w:r w:rsidR="00752433" w:rsidRPr="00D1620D">
        <w:t xml:space="preserve"> syndrome </w:t>
      </w:r>
      <w:r w:rsidR="00B02FC2" w:rsidRPr="00D1620D">
        <w:t xml:space="preserve">would occur and hence </w:t>
      </w:r>
      <w:r w:rsidR="00752433" w:rsidRPr="00D1620D">
        <w:t xml:space="preserve">more cases with </w:t>
      </w:r>
      <w:r w:rsidR="00B70F8E" w:rsidRPr="00D1620D">
        <w:t>microcephaly</w:t>
      </w:r>
      <w:r w:rsidR="00752433" w:rsidRPr="00D1620D">
        <w:t xml:space="preserve"> </w:t>
      </w:r>
      <w:r w:rsidR="00B02FC2" w:rsidRPr="00D1620D">
        <w:t xml:space="preserve">would also occur. This increase in </w:t>
      </w:r>
      <w:r w:rsidR="00B70F8E" w:rsidRPr="00D1620D">
        <w:t xml:space="preserve">microcephaly </w:t>
      </w:r>
      <w:r w:rsidR="00752433" w:rsidRPr="00D1620D">
        <w:t xml:space="preserve">could </w:t>
      </w:r>
      <w:r w:rsidR="00B02FC2" w:rsidRPr="00D1620D">
        <w:t>mask other</w:t>
      </w:r>
      <w:r w:rsidR="00752433" w:rsidRPr="00D1620D">
        <w:t xml:space="preserve"> important </w:t>
      </w:r>
      <w:r w:rsidRPr="00D1620D">
        <w:t>trends</w:t>
      </w:r>
      <w:r w:rsidR="00752433" w:rsidRPr="00D1620D">
        <w:t xml:space="preserve"> due to changes in the exposure to teratogens. </w:t>
      </w:r>
      <w:r w:rsidR="00DA26A2">
        <w:t>Known genetic conditions</w:t>
      </w:r>
      <w:r w:rsidR="00675830" w:rsidRPr="00D1620D">
        <w:t xml:space="preserve"> are well recorded as the majority of registries receive information </w:t>
      </w:r>
      <w:r w:rsidR="00B02FC2" w:rsidRPr="00D1620D">
        <w:t xml:space="preserve">directly </w:t>
      </w:r>
      <w:r w:rsidR="00675830" w:rsidRPr="00D1620D">
        <w:t>from cytogenetic laboratories</w:t>
      </w:r>
      <w:r w:rsidR="00B02FC2" w:rsidRPr="00D1620D">
        <w:t xml:space="preserve"> as indicated by a specific data quality indicator </w:t>
      </w:r>
      <w:r w:rsidR="00B02FC2" w:rsidRPr="00D1620D">
        <w:rPr>
          <w:rFonts w:cs="AdvP7C2E"/>
          <w:color w:val="231F20"/>
        </w:rPr>
        <w:t>assessing Down syndrome ascertainment.</w:t>
      </w:r>
      <w:r w:rsidR="00601127" w:rsidRPr="00D1620D">
        <w:rPr>
          <w:rFonts w:cs="AdvP7C2E"/>
          <w:color w:val="231F20"/>
        </w:rPr>
        <w:t xml:space="preserve"> In June 2014</w:t>
      </w:r>
      <w:r w:rsidR="006B6ED5" w:rsidRPr="00D1620D">
        <w:rPr>
          <w:rFonts w:cs="AdvP7C2E"/>
          <w:color w:val="231F20"/>
        </w:rPr>
        <w:t>,</w:t>
      </w:r>
      <w:r w:rsidR="00B02FC2" w:rsidRPr="00D1620D">
        <w:t xml:space="preserve"> </w:t>
      </w:r>
      <w:r w:rsidR="006B6ED5" w:rsidRPr="00D1620D">
        <w:t xml:space="preserve">the </w:t>
      </w:r>
      <w:r w:rsidRPr="00D1620D">
        <w:t xml:space="preserve">EUROCAT Central Registry </w:t>
      </w:r>
      <w:r w:rsidR="00B70F8E" w:rsidRPr="00D1620D">
        <w:t xml:space="preserve">extracted aggregate </w:t>
      </w:r>
      <w:r w:rsidRPr="00D1620D">
        <w:t xml:space="preserve">data on </w:t>
      </w:r>
      <w:r w:rsidR="00B02FC2" w:rsidRPr="00D1620D">
        <w:t xml:space="preserve">all cases of microcephaly excluding </w:t>
      </w:r>
      <w:r w:rsidR="00DA26A2">
        <w:t>genetic conditions</w:t>
      </w:r>
      <w:r w:rsidR="00B70F8E" w:rsidRPr="00D1620D">
        <w:t xml:space="preserve"> from </w:t>
      </w:r>
      <w:r w:rsidR="006B6ED5" w:rsidRPr="00D1620D">
        <w:t>1</w:t>
      </w:r>
      <w:r w:rsidR="006B6ED5" w:rsidRPr="00D1620D">
        <w:rPr>
          <w:vertAlign w:val="superscript"/>
        </w:rPr>
        <w:t>st</w:t>
      </w:r>
      <w:r w:rsidR="00C9402C">
        <w:t xml:space="preserve"> Jan</w:t>
      </w:r>
      <w:r w:rsidR="006B6ED5" w:rsidRPr="00D1620D">
        <w:t xml:space="preserve"> </w:t>
      </w:r>
      <w:r w:rsidR="00B70F8E" w:rsidRPr="00D1620D">
        <w:t xml:space="preserve">1980 to </w:t>
      </w:r>
      <w:r w:rsidR="006B6ED5" w:rsidRPr="00D1620D">
        <w:t>31</w:t>
      </w:r>
      <w:r w:rsidR="006B6ED5" w:rsidRPr="00D1620D">
        <w:rPr>
          <w:vertAlign w:val="superscript"/>
        </w:rPr>
        <w:t>st</w:t>
      </w:r>
      <w:r w:rsidR="006B6ED5" w:rsidRPr="00D1620D">
        <w:t xml:space="preserve"> Dec </w:t>
      </w:r>
      <w:r w:rsidR="00B70F8E" w:rsidRPr="00D1620D">
        <w:t>2012</w:t>
      </w:r>
      <w:r w:rsidR="00DC5A73" w:rsidRPr="00D1620D">
        <w:t>.</w:t>
      </w:r>
      <w:r w:rsidR="00B70F8E">
        <w:t xml:space="preserve"> </w:t>
      </w:r>
    </w:p>
    <w:p w14:paraId="244729AF" w14:textId="77777777" w:rsidR="004B615D" w:rsidRDefault="004B615D" w:rsidP="00B02FC2">
      <w:pPr>
        <w:spacing w:after="0" w:line="360" w:lineRule="auto"/>
        <w:contextualSpacing/>
      </w:pPr>
    </w:p>
    <w:p w14:paraId="7089C33D" w14:textId="6BB35D4E" w:rsidR="00645712" w:rsidRDefault="00751125" w:rsidP="002B7850">
      <w:pPr>
        <w:pStyle w:val="PlainText"/>
        <w:spacing w:line="360" w:lineRule="auto"/>
      </w:pPr>
      <w:r w:rsidRPr="00751125">
        <w:t xml:space="preserve">The EUROCAT definition of microcephaly is: “a reduction in the size of the brain with a skull circumference </w:t>
      </w:r>
      <w:r w:rsidR="00937AE4">
        <w:t>more</w:t>
      </w:r>
      <w:r w:rsidRPr="00751125">
        <w:t xml:space="preserve"> than 3 </w:t>
      </w:r>
      <w:r w:rsidR="00211D1D">
        <w:t>SDs</w:t>
      </w:r>
      <w:r w:rsidRPr="00751125">
        <w:t xml:space="preserve"> below the mean for sex, age and ethnic origin”.</w:t>
      </w:r>
      <w:r w:rsidR="0099381C">
        <w:t xml:space="preserve"> </w:t>
      </w:r>
      <w:r w:rsidR="004207AF">
        <w:t>[</w:t>
      </w:r>
      <w:r w:rsidR="0006609D">
        <w:t>7</w:t>
      </w:r>
      <w:r w:rsidR="004207AF">
        <w:t>]</w:t>
      </w:r>
      <w:r w:rsidR="002B327C">
        <w:t xml:space="preserve"> </w:t>
      </w:r>
      <w:r w:rsidR="00277A74">
        <w:t>However</w:t>
      </w:r>
      <w:r w:rsidR="00D67D0C">
        <w:t>,</w:t>
      </w:r>
      <w:r w:rsidR="00277A74">
        <w:t xml:space="preserve"> many registries receive the diagnosis of microcephaly from a clinician and </w:t>
      </w:r>
      <w:r w:rsidR="00DC5A73">
        <w:t xml:space="preserve">may </w:t>
      </w:r>
      <w:r w:rsidR="00277A74">
        <w:t xml:space="preserve">not </w:t>
      </w:r>
      <w:r w:rsidR="00EB7E56">
        <w:t xml:space="preserve">be </w:t>
      </w:r>
      <w:r w:rsidR="00277A74">
        <w:t xml:space="preserve">able to ensure that the EUROCAT definition is used. </w:t>
      </w:r>
      <w:r w:rsidR="006B6ED5">
        <w:t>To find</w:t>
      </w:r>
      <w:r w:rsidR="00D1620D">
        <w:t xml:space="preserve"> </w:t>
      </w:r>
      <w:r w:rsidR="006B6ED5">
        <w:t>out whether this was the case, a</w:t>
      </w:r>
      <w:r w:rsidR="00645712">
        <w:t xml:space="preserve"> questionnaire was sent to all EUROCAT registries with the following questions</w:t>
      </w:r>
      <w:r w:rsidR="006B6ED5">
        <w:t>:</w:t>
      </w:r>
    </w:p>
    <w:p w14:paraId="7013FDD5" w14:textId="77777777" w:rsidR="00645712" w:rsidRDefault="00645712" w:rsidP="002B7850">
      <w:pPr>
        <w:pStyle w:val="PlainText"/>
        <w:numPr>
          <w:ilvl w:val="0"/>
          <w:numId w:val="5"/>
        </w:numPr>
        <w:spacing w:line="360" w:lineRule="auto"/>
        <w:rPr>
          <w:lang w:val="en-US"/>
        </w:rPr>
      </w:pPr>
      <w:r>
        <w:rPr>
          <w:lang w:val="en-US"/>
        </w:rPr>
        <w:t>Do you have a strict definition of microcephaly?</w:t>
      </w:r>
    </w:p>
    <w:p w14:paraId="49FDCC30" w14:textId="77777777" w:rsidR="00645712" w:rsidRDefault="00645712" w:rsidP="002B7850">
      <w:pPr>
        <w:pStyle w:val="PlainText"/>
        <w:numPr>
          <w:ilvl w:val="0"/>
          <w:numId w:val="5"/>
        </w:numPr>
        <w:spacing w:line="360" w:lineRule="auto"/>
        <w:rPr>
          <w:lang w:val="en-US"/>
        </w:rPr>
      </w:pPr>
      <w:r>
        <w:rPr>
          <w:lang w:val="en-US"/>
        </w:rPr>
        <w:t>Do you use the EUROCAT definition?</w:t>
      </w:r>
    </w:p>
    <w:p w14:paraId="288F385D" w14:textId="77777777" w:rsidR="00645712" w:rsidRDefault="00645712" w:rsidP="002B7850">
      <w:pPr>
        <w:pStyle w:val="PlainText"/>
        <w:numPr>
          <w:ilvl w:val="0"/>
          <w:numId w:val="5"/>
        </w:numPr>
        <w:spacing w:line="360" w:lineRule="auto"/>
        <w:rPr>
          <w:lang w:val="en-US"/>
        </w:rPr>
      </w:pPr>
      <w:r>
        <w:rPr>
          <w:lang w:val="en-US"/>
        </w:rPr>
        <w:t xml:space="preserve">Do you use growth charts for defining microcephaly? </w:t>
      </w:r>
    </w:p>
    <w:p w14:paraId="197202FB" w14:textId="77777777" w:rsidR="00645712" w:rsidRDefault="00645712" w:rsidP="002B7850">
      <w:pPr>
        <w:pStyle w:val="PlainText"/>
        <w:numPr>
          <w:ilvl w:val="0"/>
          <w:numId w:val="5"/>
        </w:numPr>
        <w:spacing w:line="360" w:lineRule="auto"/>
        <w:rPr>
          <w:lang w:val="en-US"/>
        </w:rPr>
      </w:pPr>
      <w:r>
        <w:rPr>
          <w:lang w:val="en-US"/>
        </w:rPr>
        <w:t>Do you report the cases that the clinicians report to you or do you assess the diagnosis within your registry?</w:t>
      </w:r>
    </w:p>
    <w:p w14:paraId="4A664A7E" w14:textId="77777777" w:rsidR="007600A5" w:rsidRDefault="007600A5" w:rsidP="00C7492C">
      <w:pPr>
        <w:spacing w:after="0" w:line="360" w:lineRule="auto"/>
        <w:contextualSpacing/>
      </w:pPr>
    </w:p>
    <w:p w14:paraId="64E051AA" w14:textId="462463AC" w:rsidR="009B7036" w:rsidRPr="00010367" w:rsidRDefault="009769FA" w:rsidP="009B7036">
      <w:pPr>
        <w:spacing w:line="360" w:lineRule="auto"/>
        <w:rPr>
          <w:rFonts w:ascii="Calibri" w:hAnsi="Calibri"/>
        </w:rPr>
      </w:pPr>
      <w:r w:rsidRPr="009769FA">
        <w:t xml:space="preserve">A </w:t>
      </w:r>
      <w:r w:rsidR="0099381C">
        <w:t>P</w:t>
      </w:r>
      <w:r>
        <w:t xml:space="preserve">oisson </w:t>
      </w:r>
      <w:r w:rsidRPr="009769FA">
        <w:t>random effect</w:t>
      </w:r>
      <w:r>
        <w:t xml:space="preserve">s model was fitted to estimate </w:t>
      </w:r>
      <w:r w:rsidRPr="009769FA">
        <w:t>the European prevalence of microcephaly from 2003 to 2012 and the degree of heterogeneity was examined using the I</w:t>
      </w:r>
      <w:r w:rsidRPr="00026783">
        <w:rPr>
          <w:vertAlign w:val="superscript"/>
        </w:rPr>
        <w:t>2</w:t>
      </w:r>
      <w:r w:rsidRPr="009769FA">
        <w:t xml:space="preserve"> test statistic.</w:t>
      </w:r>
      <w:r w:rsidR="005522DA">
        <w:t xml:space="preserve"> A Poisson model was used as these models are used to predict the number of times a rare event</w:t>
      </w:r>
      <w:r w:rsidR="002B327C">
        <w:t xml:space="preserve"> </w:t>
      </w:r>
      <w:r w:rsidR="005522DA">
        <w:t xml:space="preserve">(in this case microcephaly) will occur when many </w:t>
      </w:r>
      <w:r w:rsidR="00625B82">
        <w:t xml:space="preserve">general </w:t>
      </w:r>
      <w:r w:rsidR="005522DA">
        <w:t>events occur</w:t>
      </w:r>
      <w:r w:rsidR="00625B82">
        <w:t xml:space="preserve"> (</w:t>
      </w:r>
      <w:r w:rsidR="005522DA">
        <w:t xml:space="preserve">in this case all </w:t>
      </w:r>
      <w:r w:rsidR="00625B82">
        <w:t>pregnancies</w:t>
      </w:r>
      <w:r w:rsidR="005522DA">
        <w:t>)</w:t>
      </w:r>
      <w:r w:rsidR="00625B82">
        <w:t>.</w:t>
      </w:r>
      <w:r w:rsidR="002B327C">
        <w:t xml:space="preserve"> </w:t>
      </w:r>
      <w:r w:rsidR="00D1620D">
        <w:t>A random effects model assumes that the true prevalence of microcephaly in each registry will vary.</w:t>
      </w:r>
      <w:r w:rsidR="002B327C">
        <w:t xml:space="preserve"> </w:t>
      </w:r>
      <w:r w:rsidR="00D1620D">
        <w:t xml:space="preserve"> </w:t>
      </w:r>
      <w:r w:rsidRPr="009769FA">
        <w:t>Poisson regression models were fitted for the number of micr</w:t>
      </w:r>
      <w:r w:rsidR="0099381C">
        <w:t>o</w:t>
      </w:r>
      <w:r w:rsidRPr="009769FA">
        <w:t xml:space="preserve">cephaly cases diagnosed each year with the total number of births in the population each year as the exposure variable to examine linear trends in the years from 2003 </w:t>
      </w:r>
      <w:r w:rsidR="009E4DCC">
        <w:t>to</w:t>
      </w:r>
      <w:r w:rsidRPr="009769FA">
        <w:t xml:space="preserve"> 2012</w:t>
      </w:r>
      <w:r w:rsidR="00FA5D67">
        <w:t xml:space="preserve"> </w:t>
      </w:r>
      <w:r w:rsidR="00FA5D67" w:rsidRPr="00FA5D67">
        <w:t>for each registry separately</w:t>
      </w:r>
      <w:r w:rsidRPr="009769FA">
        <w:t xml:space="preserve">. Multilevel </w:t>
      </w:r>
      <w:r w:rsidR="0099381C">
        <w:t>P</w:t>
      </w:r>
      <w:r w:rsidRPr="009769FA">
        <w:t xml:space="preserve">oisson regression models were also fitted using the data from 1980 to 2012 with </w:t>
      </w:r>
      <w:r w:rsidR="00F41898">
        <w:t xml:space="preserve">data from each </w:t>
      </w:r>
      <w:r w:rsidRPr="009769FA">
        <w:t>two yearly interval</w:t>
      </w:r>
      <w:r w:rsidR="00F41898">
        <w:t xml:space="preserve"> combined and</w:t>
      </w:r>
      <w:r w:rsidRPr="009769FA">
        <w:t xml:space="preserve"> entered as </w:t>
      </w:r>
      <w:r w:rsidR="00F41898">
        <w:t xml:space="preserve">a </w:t>
      </w:r>
      <w:r w:rsidRPr="009769FA">
        <w:t>categorical variable and each registr</w:t>
      </w:r>
      <w:r>
        <w:t>y</w:t>
      </w:r>
      <w:r w:rsidRPr="009769FA">
        <w:t xml:space="preserve"> as a strata in order to estimate a registry adjusted two </w:t>
      </w:r>
      <w:r>
        <w:t>yearly prevalence of microcepha</w:t>
      </w:r>
      <w:r w:rsidRPr="009769FA">
        <w:t>ly.</w:t>
      </w:r>
      <w:r w:rsidR="0099381C" w:rsidRPr="009769FA" w:rsidDel="0099381C">
        <w:t xml:space="preserve"> </w:t>
      </w:r>
      <w:r w:rsidRPr="009769FA">
        <w:t>Two years w</w:t>
      </w:r>
      <w:r w:rsidR="006B6ED5">
        <w:t>as</w:t>
      </w:r>
      <w:r w:rsidRPr="009769FA">
        <w:t xml:space="preserve"> chosen to reduce the random fluc</w:t>
      </w:r>
      <w:r w:rsidR="0099381C">
        <w:t>tu</w:t>
      </w:r>
      <w:r w:rsidRPr="009769FA">
        <w:t>ations present in the data.</w:t>
      </w:r>
      <w:r w:rsidR="009B7036" w:rsidRPr="009B7036">
        <w:rPr>
          <w:rFonts w:ascii="Calibri" w:hAnsi="Calibri" w:cs="AdvPS94BA"/>
        </w:rPr>
        <w:t xml:space="preserve"> </w:t>
      </w:r>
      <w:r w:rsidR="009B7036" w:rsidRPr="00010367">
        <w:rPr>
          <w:rFonts w:ascii="Calibri" w:hAnsi="Calibri" w:cs="AdvPS94BA"/>
        </w:rPr>
        <w:t>All analyses were performed using Stata software</w:t>
      </w:r>
      <w:r w:rsidR="009B7036">
        <w:rPr>
          <w:rFonts w:ascii="Calibri" w:hAnsi="Calibri" w:cs="AdvPS94BA"/>
        </w:rPr>
        <w:t xml:space="preserve"> version 12.</w:t>
      </w:r>
    </w:p>
    <w:p w14:paraId="09AF65A3" w14:textId="77777777" w:rsidR="00CB09C8" w:rsidRPr="008519A8" w:rsidRDefault="00CB09C8" w:rsidP="00CB09C8">
      <w:pPr>
        <w:spacing w:after="0" w:line="360" w:lineRule="auto"/>
        <w:contextualSpacing/>
        <w:rPr>
          <w:i/>
        </w:rPr>
      </w:pPr>
      <w:r w:rsidRPr="008519A8">
        <w:rPr>
          <w:i/>
        </w:rPr>
        <w:t xml:space="preserve">Patient involvement </w:t>
      </w:r>
    </w:p>
    <w:p w14:paraId="79A31779" w14:textId="237007C6" w:rsidR="00CB09C8" w:rsidRDefault="00211D1D" w:rsidP="00CB09C8">
      <w:pPr>
        <w:spacing w:after="0" w:line="360" w:lineRule="auto"/>
        <w:contextualSpacing/>
      </w:pPr>
      <w:r w:rsidRPr="00211D1D">
        <w:t xml:space="preserve">As this study is part of EUROCAT’s routine surveillance of congenital anomalies </w:t>
      </w:r>
      <w:r>
        <w:t>n</w:t>
      </w:r>
      <w:r w:rsidR="00CB09C8">
        <w:t xml:space="preserve">o patients were involved in setting the research question or the outcome measures, nor were they involved in developing plans for implementation of the study. No patients were asked to </w:t>
      </w:r>
      <w:proofErr w:type="gramStart"/>
      <w:r w:rsidR="00CB09C8">
        <w:t>advise</w:t>
      </w:r>
      <w:proofErr w:type="gramEnd"/>
      <w:r w:rsidR="00CB09C8">
        <w:t xml:space="preserve"> on </w:t>
      </w:r>
      <w:r w:rsidR="00DD7E5E">
        <w:t xml:space="preserve">the </w:t>
      </w:r>
      <w:r w:rsidR="00CB09C8">
        <w:t>interpretation or writing up of results. There are no plans to disseminate the results of the research to study participants</w:t>
      </w:r>
      <w:r w:rsidR="00625B82">
        <w:t>. However</w:t>
      </w:r>
      <w:r w:rsidR="00EB7E56">
        <w:t>,</w:t>
      </w:r>
      <w:r w:rsidR="00625B82">
        <w:t xml:space="preserve"> the results will be available on the EUROCAT website</w:t>
      </w:r>
      <w:r w:rsidR="00CB09C8">
        <w:t>.</w:t>
      </w:r>
    </w:p>
    <w:p w14:paraId="59D1364E" w14:textId="77777777" w:rsidR="00F77BAB" w:rsidRDefault="00F77BAB" w:rsidP="00C7492C">
      <w:pPr>
        <w:spacing w:after="0" w:line="360" w:lineRule="auto"/>
        <w:contextualSpacing/>
      </w:pPr>
    </w:p>
    <w:p w14:paraId="2479E9B6" w14:textId="77777777" w:rsidR="001B1610" w:rsidRDefault="001B1610">
      <w:pPr>
        <w:rPr>
          <w:b/>
        </w:rPr>
      </w:pPr>
      <w:r>
        <w:rPr>
          <w:b/>
        </w:rPr>
        <w:br w:type="page"/>
      </w:r>
    </w:p>
    <w:p w14:paraId="41E76E12" w14:textId="5FC85BE2" w:rsidR="002704E6" w:rsidRPr="00026783" w:rsidRDefault="002704E6" w:rsidP="00C7492C">
      <w:pPr>
        <w:spacing w:after="0" w:line="360" w:lineRule="auto"/>
        <w:contextualSpacing/>
        <w:rPr>
          <w:b/>
        </w:rPr>
      </w:pPr>
      <w:r w:rsidRPr="00026783">
        <w:rPr>
          <w:b/>
        </w:rPr>
        <w:t>Results</w:t>
      </w:r>
    </w:p>
    <w:p w14:paraId="08B29018" w14:textId="6A2EC336" w:rsidR="00625B82" w:rsidRDefault="00071227" w:rsidP="004862D0">
      <w:pPr>
        <w:spacing w:line="360" w:lineRule="auto"/>
      </w:pPr>
      <w:r>
        <w:t>Sixteen</w:t>
      </w:r>
      <w:r w:rsidR="00625B82">
        <w:t xml:space="preserve"> of the 25 participating registries (64%) replied to the EUROCAT microcephaly question</w:t>
      </w:r>
      <w:r w:rsidR="00EB7E56">
        <w:t>n</w:t>
      </w:r>
      <w:r w:rsidR="00625B82">
        <w:t xml:space="preserve">aire. </w:t>
      </w:r>
      <w:r w:rsidR="00FD5695" w:rsidRPr="00FD5695">
        <w:t xml:space="preserve">One registry changed their diagnostic criteria for microcephaly from below the 10th centile to below the 3rd centile in 2006 and therefore </w:t>
      </w:r>
      <w:r w:rsidR="00EB7E56">
        <w:t>it was</w:t>
      </w:r>
      <w:r w:rsidR="00FD5695" w:rsidRPr="00FD5695">
        <w:t xml:space="preserve"> excluded from the data analysis</w:t>
      </w:r>
      <w:r w:rsidR="00D1620D">
        <w:t>.</w:t>
      </w:r>
      <w:r w:rsidR="00FD5695">
        <w:t xml:space="preserve"> </w:t>
      </w:r>
      <w:r w:rsidR="00AD7CDE">
        <w:t>Seven (44</w:t>
      </w:r>
      <w:r w:rsidR="00FD5695" w:rsidRPr="00FD5695">
        <w:t>%) registers used the 3 SD cut-off recommended by EUROCAT</w:t>
      </w:r>
      <w:r w:rsidR="00FD5695">
        <w:t xml:space="preserve">, </w:t>
      </w:r>
      <w:r w:rsidR="00AD7CDE">
        <w:t>three (19</w:t>
      </w:r>
      <w:r w:rsidR="00FD5695" w:rsidRPr="00FD5695">
        <w:t>%) used a 2 SD cut-off</w:t>
      </w:r>
      <w:r w:rsidR="002B327C">
        <w:t xml:space="preserve"> </w:t>
      </w:r>
      <w:r w:rsidR="00FD5695" w:rsidRPr="00FD5695">
        <w:t xml:space="preserve">and </w:t>
      </w:r>
      <w:r w:rsidR="00AD7CDE">
        <w:t>the remaining five (31</w:t>
      </w:r>
      <w:r w:rsidR="00FD5695" w:rsidRPr="00FD5695">
        <w:t>%) registers were reliant on the criteria used by individual clinicians.</w:t>
      </w:r>
      <w:r w:rsidR="002B327C">
        <w:t xml:space="preserve"> </w:t>
      </w:r>
      <w:r>
        <w:t xml:space="preserve">The majority of registries </w:t>
      </w:r>
      <w:r w:rsidR="009E4DCC">
        <w:t>used country-</w:t>
      </w:r>
      <w:r>
        <w:t xml:space="preserve">specific growth charts with </w:t>
      </w:r>
      <w:r w:rsidR="00AD7CDE">
        <w:t xml:space="preserve">one registry using the </w:t>
      </w:r>
      <w:r w:rsidR="00AD7CDE" w:rsidRPr="00AD7CDE">
        <w:t>WHO 2006 Child Growth Standard</w:t>
      </w:r>
      <w:proofErr w:type="gramStart"/>
      <w:r w:rsidR="00AD7CDE">
        <w:t>.</w:t>
      </w:r>
      <w:r w:rsidR="002B7850">
        <w:t>[</w:t>
      </w:r>
      <w:proofErr w:type="gramEnd"/>
      <w:r w:rsidR="002B7850">
        <w:t>1</w:t>
      </w:r>
      <w:r w:rsidR="0006609D">
        <w:t>1</w:t>
      </w:r>
      <w:r w:rsidR="002B7850">
        <w:t>]</w:t>
      </w:r>
    </w:p>
    <w:p w14:paraId="3DDBCBD3" w14:textId="5E481AC0" w:rsidR="00751125" w:rsidRPr="00751125" w:rsidRDefault="007600A5" w:rsidP="004862D0">
      <w:pPr>
        <w:spacing w:line="360" w:lineRule="auto"/>
      </w:pPr>
      <w:r w:rsidRPr="002B5929">
        <w:t xml:space="preserve">Table 1 shows the considerable variations </w:t>
      </w:r>
      <w:r w:rsidR="00615A31">
        <w:t xml:space="preserve">in birth population surveyed by </w:t>
      </w:r>
      <w:r w:rsidR="008F5EDD">
        <w:t xml:space="preserve">the 24 </w:t>
      </w:r>
      <w:r w:rsidRPr="002B5929">
        <w:t>registries, with the largest registry covering almost 100,000 births per year and the smallest only 3,500. Microcephaly is a rare congeni</w:t>
      </w:r>
      <w:r w:rsidR="008F5EDD">
        <w:t>tal anomaly and hence only two registries (8</w:t>
      </w:r>
      <w:r w:rsidRPr="002B5929">
        <w:t>%) diagnosed</w:t>
      </w:r>
      <w:r w:rsidR="008F5EDD">
        <w:t xml:space="preserve"> on average</w:t>
      </w:r>
      <w:r w:rsidRPr="002B5929">
        <w:t xml:space="preserve"> more than 10 ca</w:t>
      </w:r>
      <w:r w:rsidR="00277A74">
        <w:t>ses a year and 1</w:t>
      </w:r>
      <w:r w:rsidR="0089220D">
        <w:t xml:space="preserve">5 </w:t>
      </w:r>
      <w:r w:rsidR="00277A74">
        <w:t>registries (</w:t>
      </w:r>
      <w:r w:rsidR="0089220D">
        <w:t>63</w:t>
      </w:r>
      <w:r w:rsidRPr="002B5929">
        <w:t xml:space="preserve">%) had at least one year </w:t>
      </w:r>
      <w:r w:rsidR="0089220D">
        <w:t xml:space="preserve">from 2003 to 2012 </w:t>
      </w:r>
      <w:r w:rsidRPr="002B5929">
        <w:t>during which they did not diagnose a single case.</w:t>
      </w:r>
      <w:r w:rsidR="004A2BAF">
        <w:t xml:space="preserve"> </w:t>
      </w:r>
      <w:r w:rsidR="00754589">
        <w:t>In total</w:t>
      </w:r>
      <w:r w:rsidR="00615A31">
        <w:t>,</w:t>
      </w:r>
      <w:r w:rsidR="00754589">
        <w:t xml:space="preserve"> there were 570,000 births resulting in 100 cases of microcephaly</w:t>
      </w:r>
      <w:r w:rsidR="009F0332">
        <w:t xml:space="preserve"> per year</w:t>
      </w:r>
      <w:r w:rsidR="00754589">
        <w:t xml:space="preserve">. Figure 1 shows the changes in the </w:t>
      </w:r>
      <w:r w:rsidR="00EC5682">
        <w:t>bienni</w:t>
      </w:r>
      <w:r w:rsidR="000F73BD">
        <w:t xml:space="preserve">al </w:t>
      </w:r>
      <w:r w:rsidR="00754589">
        <w:t>prevalence of microcephaly (a</w:t>
      </w:r>
      <w:r w:rsidR="009E4DCC">
        <w:t xml:space="preserve">djusted for registry) from 1980 to </w:t>
      </w:r>
      <w:r w:rsidR="00754589">
        <w:t>2012.</w:t>
      </w:r>
      <w:r w:rsidR="002B327C">
        <w:t xml:space="preserve"> </w:t>
      </w:r>
      <w:r w:rsidR="00E25007">
        <w:t>Large</w:t>
      </w:r>
      <w:r w:rsidR="00751125" w:rsidRPr="00751125">
        <w:t xml:space="preserve"> changes in prevalence </w:t>
      </w:r>
      <w:r w:rsidR="00E25007">
        <w:t xml:space="preserve">have occurred </w:t>
      </w:r>
      <w:r w:rsidR="002A28F0">
        <w:t>as shown i</w:t>
      </w:r>
      <w:r w:rsidR="00751125">
        <w:t>n figure 1</w:t>
      </w:r>
      <w:r w:rsidR="00751125" w:rsidRPr="00751125">
        <w:t xml:space="preserve"> </w:t>
      </w:r>
      <w:r w:rsidR="002A28F0">
        <w:t>when</w:t>
      </w:r>
      <w:r w:rsidR="008519A8">
        <w:t>,</w:t>
      </w:r>
      <w:r w:rsidR="002B327C">
        <w:t xml:space="preserve"> </w:t>
      </w:r>
      <w:r w:rsidR="00FF2054">
        <w:t xml:space="preserve">for </w:t>
      </w:r>
      <w:r w:rsidR="008519A8">
        <w:t xml:space="preserve">example, </w:t>
      </w:r>
      <w:r w:rsidR="00751125" w:rsidRPr="00751125">
        <w:t>the European prevalence increased by 37%</w:t>
      </w:r>
      <w:r w:rsidR="00B7422D">
        <w:t xml:space="preserve"> </w:t>
      </w:r>
      <w:r w:rsidR="00751125" w:rsidRPr="00751125">
        <w:t>from 1992 to 1994, for no identifiable reason</w:t>
      </w:r>
      <w:r w:rsidR="00B63099">
        <w:t xml:space="preserve"> other than chance</w:t>
      </w:r>
      <w:r w:rsidR="00E937B0">
        <w:t xml:space="preserve">, and </w:t>
      </w:r>
      <w:r w:rsidR="00615A31">
        <w:t>decreased</w:t>
      </w:r>
      <w:r w:rsidR="002B327C">
        <w:t xml:space="preserve"> </w:t>
      </w:r>
      <w:r w:rsidR="00E937B0">
        <w:t>four years later</w:t>
      </w:r>
      <w:r w:rsidR="00751125" w:rsidRPr="00751125">
        <w:t>.</w:t>
      </w:r>
      <w:r w:rsidR="002B327C">
        <w:t xml:space="preserve"> </w:t>
      </w:r>
    </w:p>
    <w:p w14:paraId="777D1186" w14:textId="09EC1DE2" w:rsidR="00D062C4" w:rsidRDefault="001061BF">
      <w:pPr>
        <w:spacing w:line="360" w:lineRule="auto"/>
        <w:rPr>
          <w:color w:val="002060"/>
          <w:lang w:val="en-US"/>
        </w:rPr>
      </w:pPr>
      <w:r w:rsidRPr="002B5929">
        <w:t>The estimated prevalence of microcephaly in Europe from 2003 to 2012 was</w:t>
      </w:r>
      <w:r w:rsidRPr="002B5929">
        <w:rPr>
          <w:b/>
        </w:rPr>
        <w:t xml:space="preserve"> </w:t>
      </w:r>
      <w:r w:rsidR="00474297" w:rsidRPr="002B5929">
        <w:t xml:space="preserve">1.53 (95% </w:t>
      </w:r>
      <w:proofErr w:type="gramStart"/>
      <w:r w:rsidR="00474297" w:rsidRPr="002B5929">
        <w:t>CI :</w:t>
      </w:r>
      <w:proofErr w:type="gramEnd"/>
      <w:r w:rsidR="00474297" w:rsidRPr="002B5929">
        <w:t xml:space="preserve"> 1.16-1.96) per 10,000 births</w:t>
      </w:r>
      <w:r w:rsidRPr="002B5929">
        <w:t xml:space="preserve"> (figure </w:t>
      </w:r>
      <w:r w:rsidR="00DA279E">
        <w:t>2</w:t>
      </w:r>
      <w:r w:rsidRPr="002B5929">
        <w:t>)</w:t>
      </w:r>
      <w:r w:rsidR="00474297" w:rsidRPr="002B5929">
        <w:t>.</w:t>
      </w:r>
      <w:r w:rsidR="002B327C">
        <w:t xml:space="preserve"> </w:t>
      </w:r>
      <w:r w:rsidR="009769FA">
        <w:t>T</w:t>
      </w:r>
      <w:r w:rsidR="006C5371" w:rsidRPr="002B5929">
        <w:t>here was</w:t>
      </w:r>
      <w:r w:rsidR="006F37E0" w:rsidRPr="002B5929">
        <w:t xml:space="preserve"> </w:t>
      </w:r>
      <w:r w:rsidR="00850E96" w:rsidRPr="002B5929">
        <w:t>considerable heterogeneity between registries (Chi</w:t>
      </w:r>
      <w:r w:rsidR="00141B0A" w:rsidRPr="002B5929">
        <w:t>-</w:t>
      </w:r>
      <w:r w:rsidR="00850E96" w:rsidRPr="002B5929">
        <w:t>squared =338 with 23 degr</w:t>
      </w:r>
      <w:r w:rsidR="006F37E0" w:rsidRPr="002B5929">
        <w:t>ees of freedom, I</w:t>
      </w:r>
      <w:r w:rsidR="006F37E0" w:rsidRPr="002B5929">
        <w:rPr>
          <w:vertAlign w:val="superscript"/>
        </w:rPr>
        <w:t>2</w:t>
      </w:r>
      <w:r w:rsidR="006F37E0" w:rsidRPr="002B5929">
        <w:t xml:space="preserve"> = 93%)</w:t>
      </w:r>
      <w:r w:rsidR="003D0AB2" w:rsidRPr="002B5929">
        <w:t>.</w:t>
      </w:r>
      <w:r w:rsidR="002B327C">
        <w:t xml:space="preserve"> </w:t>
      </w:r>
      <w:r w:rsidR="009F0332" w:rsidRPr="009F0332">
        <w:t>There was no indication that registries employing a more stringent diagnostic criteria had a lower prevalence compared with those with</w:t>
      </w:r>
      <w:r w:rsidR="002B327C">
        <w:t xml:space="preserve"> </w:t>
      </w:r>
      <w:r w:rsidR="009F0332" w:rsidRPr="009F0332">
        <w:t xml:space="preserve">less stringent criteria </w:t>
      </w:r>
      <w:r w:rsidR="009F0332">
        <w:t xml:space="preserve">: </w:t>
      </w:r>
      <w:r w:rsidR="00FF2054">
        <w:t>s</w:t>
      </w:r>
      <w:r w:rsidR="00937AE4">
        <w:t xml:space="preserve">even </w:t>
      </w:r>
      <w:r w:rsidR="00A0271C">
        <w:t>regist</w:t>
      </w:r>
      <w:r w:rsidR="00FF2054">
        <w:t>ries</w:t>
      </w:r>
      <w:r w:rsidR="00E7109F">
        <w:t xml:space="preserve"> </w:t>
      </w:r>
      <w:r w:rsidR="00FF2054">
        <w:t xml:space="preserve">that used </w:t>
      </w:r>
      <w:r w:rsidR="00B823EC">
        <w:t xml:space="preserve">the 3 </w:t>
      </w:r>
      <w:r w:rsidR="00E937B0">
        <w:t>SD</w:t>
      </w:r>
      <w:r w:rsidR="00B823EC">
        <w:t xml:space="preserve"> cut-off </w:t>
      </w:r>
      <w:r w:rsidR="00B34F7C">
        <w:t>reported a prevalence of 1.74 per 10,000 (95%</w:t>
      </w:r>
      <w:r w:rsidR="00D75FB4">
        <w:t xml:space="preserve"> </w:t>
      </w:r>
      <w:r w:rsidR="00B34F7C">
        <w:t>CI: 0.86-2.93)</w:t>
      </w:r>
      <w:r w:rsidR="00B823EC">
        <w:t xml:space="preserve">, </w:t>
      </w:r>
      <w:r w:rsidR="00171924">
        <w:t xml:space="preserve">three </w:t>
      </w:r>
      <w:r w:rsidR="00FF2054">
        <w:t xml:space="preserve">registries that </w:t>
      </w:r>
      <w:r w:rsidR="00B823EC">
        <w:t xml:space="preserve">used a 2 </w:t>
      </w:r>
      <w:r w:rsidR="00E937B0">
        <w:t>SD</w:t>
      </w:r>
      <w:r w:rsidR="00B823EC">
        <w:t xml:space="preserve"> cut-off</w:t>
      </w:r>
      <w:r w:rsidR="002B327C">
        <w:t xml:space="preserve"> </w:t>
      </w:r>
      <w:r w:rsidR="00B34F7C">
        <w:t>a prevalence of</w:t>
      </w:r>
      <w:r w:rsidR="002B327C">
        <w:t xml:space="preserve"> </w:t>
      </w:r>
      <w:r w:rsidR="00B34F7C">
        <w:t>1.21 per 10,000 (95%</w:t>
      </w:r>
      <w:r w:rsidR="00D75FB4">
        <w:t xml:space="preserve"> </w:t>
      </w:r>
      <w:r w:rsidR="00B34F7C">
        <w:t>CI: 0.21</w:t>
      </w:r>
      <w:r w:rsidR="00B34F7C" w:rsidRPr="00B34F7C">
        <w:t>-2.93)</w:t>
      </w:r>
      <w:r w:rsidR="007161DF">
        <w:t xml:space="preserve"> </w:t>
      </w:r>
      <w:r w:rsidR="00B823EC">
        <w:t xml:space="preserve">and </w:t>
      </w:r>
      <w:r w:rsidR="00171924">
        <w:t xml:space="preserve">five </w:t>
      </w:r>
      <w:r w:rsidR="00E7109F">
        <w:t>registries</w:t>
      </w:r>
      <w:r w:rsidR="00D75FB4">
        <w:t xml:space="preserve"> </w:t>
      </w:r>
      <w:r w:rsidR="00FF2054">
        <w:t xml:space="preserve">that </w:t>
      </w:r>
      <w:r w:rsidR="00B823EC">
        <w:t>were reliant on the criteria used by individual clinicians</w:t>
      </w:r>
      <w:r w:rsidR="007161DF">
        <w:t xml:space="preserve"> </w:t>
      </w:r>
      <w:r w:rsidR="00B34F7C">
        <w:t xml:space="preserve">a </w:t>
      </w:r>
      <w:r w:rsidR="007161DF">
        <w:t xml:space="preserve">prevalence </w:t>
      </w:r>
      <w:r w:rsidR="00B34F7C">
        <w:t>of 1.81 per 10,000 (95% CI : 0.29 – 4.57)</w:t>
      </w:r>
      <w:r w:rsidR="00B823EC">
        <w:t xml:space="preserve">. </w:t>
      </w:r>
    </w:p>
    <w:p w14:paraId="1A22ECF4" w14:textId="4F54231E" w:rsidR="001716B3" w:rsidRDefault="001F6AC0" w:rsidP="00C7492C">
      <w:pPr>
        <w:spacing w:after="0" w:line="360" w:lineRule="auto"/>
        <w:contextualSpacing/>
      </w:pPr>
      <w:r w:rsidRPr="002B5929">
        <w:t>For the 10 years from 2003 to 2012</w:t>
      </w:r>
      <w:r w:rsidR="00B4165D">
        <w:t>,</w:t>
      </w:r>
      <w:r w:rsidRPr="002B5929">
        <w:t xml:space="preserve"> there </w:t>
      </w:r>
      <w:r w:rsidRPr="00683DEC">
        <w:t xml:space="preserve">was an </w:t>
      </w:r>
      <w:r w:rsidR="00F371E5" w:rsidRPr="00683DEC">
        <w:t xml:space="preserve">average </w:t>
      </w:r>
      <w:r w:rsidRPr="00683DEC">
        <w:t xml:space="preserve">annual decrease in the prevalence of microcephaly of </w:t>
      </w:r>
      <w:r w:rsidR="00141B0A" w:rsidRPr="00683DEC">
        <w:t>2.2</w:t>
      </w:r>
      <w:r w:rsidR="00BA61A5" w:rsidRPr="00683DEC">
        <w:t xml:space="preserve">% </w:t>
      </w:r>
      <w:r w:rsidR="00141B0A" w:rsidRPr="00683DEC">
        <w:t>(95%</w:t>
      </w:r>
      <w:r w:rsidR="00A0271C">
        <w:t xml:space="preserve"> </w:t>
      </w:r>
      <w:r w:rsidR="00141B0A" w:rsidRPr="00683DEC">
        <w:t xml:space="preserve">CI: -4.4% to 0.0%) </w:t>
      </w:r>
      <w:r w:rsidR="00BA61A5" w:rsidRPr="00683DEC">
        <w:t>per year</w:t>
      </w:r>
      <w:r w:rsidR="00831D1E">
        <w:t xml:space="preserve"> (Table 1)</w:t>
      </w:r>
      <w:r w:rsidR="00BA61A5" w:rsidRPr="00683DEC">
        <w:t>.</w:t>
      </w:r>
      <w:r w:rsidRPr="00683DEC">
        <w:t xml:space="preserve"> </w:t>
      </w:r>
      <w:r w:rsidR="00141B0A" w:rsidRPr="00683DEC">
        <w:t xml:space="preserve">There was considerable heterogeneity between registries </w:t>
      </w:r>
      <w:r w:rsidR="00F371E5" w:rsidRPr="00683DEC">
        <w:t>for this</w:t>
      </w:r>
      <w:r w:rsidR="006F1AC4" w:rsidRPr="00683DEC">
        <w:t xml:space="preserve"> trend in prevalence </w:t>
      </w:r>
      <w:r w:rsidR="00141B0A" w:rsidRPr="00683DEC">
        <w:t xml:space="preserve">(Chi-squared </w:t>
      </w:r>
      <w:r w:rsidR="00B27282" w:rsidRPr="00683DEC">
        <w:t>= 79.29</w:t>
      </w:r>
      <w:r w:rsidR="00141B0A" w:rsidRPr="00683DEC">
        <w:t xml:space="preserve"> wit</w:t>
      </w:r>
      <w:r w:rsidR="00B27282" w:rsidRPr="00683DEC">
        <w:t>h 23 degrees of freedom, I</w:t>
      </w:r>
      <w:r w:rsidR="00B27282" w:rsidRPr="00683DEC">
        <w:rPr>
          <w:vertAlign w:val="superscript"/>
        </w:rPr>
        <w:t>2</w:t>
      </w:r>
      <w:r w:rsidR="00B27282" w:rsidRPr="00683DEC">
        <w:t xml:space="preserve"> = 71</w:t>
      </w:r>
      <w:r w:rsidR="00141B0A" w:rsidRPr="00683DEC">
        <w:t>%)</w:t>
      </w:r>
      <w:r w:rsidR="00F44720" w:rsidRPr="00683DEC">
        <w:t>.</w:t>
      </w:r>
    </w:p>
    <w:p w14:paraId="3AA07E3B" w14:textId="77777777" w:rsidR="009F0332" w:rsidRPr="002B5929" w:rsidRDefault="009F0332" w:rsidP="00C7492C">
      <w:pPr>
        <w:spacing w:after="0" w:line="360" w:lineRule="auto"/>
        <w:contextualSpacing/>
      </w:pPr>
    </w:p>
    <w:p w14:paraId="793586A7" w14:textId="77777777" w:rsidR="002B5929" w:rsidRDefault="002B5929" w:rsidP="00C7492C">
      <w:pPr>
        <w:spacing w:after="0" w:line="360" w:lineRule="auto"/>
        <w:contextualSpacing/>
      </w:pPr>
    </w:p>
    <w:p w14:paraId="63C09A5D" w14:textId="77777777" w:rsidR="001B1610" w:rsidRDefault="001B1610">
      <w:pPr>
        <w:rPr>
          <w:rFonts w:eastAsia="Times New Roman" w:cs="Times New Roman"/>
          <w:b/>
          <w:bCs/>
          <w:lang w:val="en" w:eastAsia="en-GB"/>
        </w:rPr>
      </w:pPr>
      <w:r>
        <w:rPr>
          <w:lang w:val="en"/>
        </w:rPr>
        <w:br w:type="page"/>
      </w:r>
    </w:p>
    <w:p w14:paraId="4D0C89C3" w14:textId="7407A136" w:rsidR="0011146B" w:rsidRPr="00026783" w:rsidRDefault="0011146B" w:rsidP="0011146B">
      <w:pPr>
        <w:pStyle w:val="Heading3"/>
        <w:rPr>
          <w:rFonts w:asciiTheme="minorHAnsi" w:hAnsiTheme="minorHAnsi"/>
          <w:sz w:val="22"/>
          <w:szCs w:val="22"/>
          <w:lang w:val="en"/>
        </w:rPr>
      </w:pPr>
      <w:r w:rsidRPr="00026783">
        <w:rPr>
          <w:rFonts w:asciiTheme="minorHAnsi" w:hAnsiTheme="minorHAnsi"/>
          <w:sz w:val="22"/>
          <w:szCs w:val="22"/>
          <w:lang w:val="en"/>
        </w:rPr>
        <w:t>Discussion</w:t>
      </w:r>
    </w:p>
    <w:p w14:paraId="3A1769F0" w14:textId="33999D9E" w:rsidR="009F0332" w:rsidRDefault="0011146B" w:rsidP="00A52F59">
      <w:pPr>
        <w:spacing w:after="0" w:line="360" w:lineRule="auto"/>
        <w:contextualSpacing/>
        <w:rPr>
          <w:lang w:val="en"/>
        </w:rPr>
      </w:pPr>
      <w:r>
        <w:rPr>
          <w:lang w:val="en"/>
        </w:rPr>
        <w:t xml:space="preserve">This study has shown that the prevalence of microcephaly across Europe varies </w:t>
      </w:r>
      <w:r w:rsidR="009B7036">
        <w:rPr>
          <w:lang w:val="en"/>
        </w:rPr>
        <w:t>considerably</w:t>
      </w:r>
      <w:r>
        <w:rPr>
          <w:lang w:val="en"/>
        </w:rPr>
        <w:t xml:space="preserve">, which is likely to be due to </w:t>
      </w:r>
      <w:r w:rsidR="001805EF">
        <w:rPr>
          <w:lang w:val="en"/>
        </w:rPr>
        <w:t>a combina</w:t>
      </w:r>
      <w:r w:rsidR="009E4DCC">
        <w:rPr>
          <w:lang w:val="en"/>
        </w:rPr>
        <w:t>tion of three different factors</w:t>
      </w:r>
      <w:r w:rsidR="001805EF">
        <w:rPr>
          <w:lang w:val="en"/>
        </w:rPr>
        <w:t xml:space="preserve">: (i) </w:t>
      </w:r>
      <w:r>
        <w:rPr>
          <w:lang w:val="en"/>
        </w:rPr>
        <w:t xml:space="preserve">the diagnostic criteria </w:t>
      </w:r>
      <w:r w:rsidR="001805EF">
        <w:rPr>
          <w:lang w:val="en"/>
        </w:rPr>
        <w:t xml:space="preserve">and how they </w:t>
      </w:r>
      <w:proofErr w:type="gramStart"/>
      <w:r w:rsidR="001805EF">
        <w:rPr>
          <w:lang w:val="en"/>
        </w:rPr>
        <w:t>are</w:t>
      </w:r>
      <w:proofErr w:type="gramEnd"/>
      <w:r w:rsidR="001805EF">
        <w:rPr>
          <w:lang w:val="en"/>
        </w:rPr>
        <w:t xml:space="preserve"> </w:t>
      </w:r>
      <w:r>
        <w:rPr>
          <w:lang w:val="en"/>
        </w:rPr>
        <w:t>applied</w:t>
      </w:r>
      <w:r w:rsidR="001805EF">
        <w:rPr>
          <w:lang w:val="en"/>
        </w:rPr>
        <w:t xml:space="preserve"> (ii)</w:t>
      </w:r>
      <w:r w:rsidR="00A52F59">
        <w:rPr>
          <w:lang w:val="en"/>
        </w:rPr>
        <w:t xml:space="preserve"> the </w:t>
      </w:r>
      <w:r w:rsidR="00A52F59" w:rsidRPr="009769FA">
        <w:rPr>
          <w:lang w:val="en"/>
        </w:rPr>
        <w:t xml:space="preserve">different levels of ascertainment (registries with active ascertainment procedures show a higher prevalence than registries with more passive procedures) and </w:t>
      </w:r>
      <w:r w:rsidR="001805EF">
        <w:rPr>
          <w:lang w:val="en"/>
        </w:rPr>
        <w:t xml:space="preserve">(iii) </w:t>
      </w:r>
      <w:r w:rsidR="00A52F59">
        <w:rPr>
          <w:lang w:val="en"/>
        </w:rPr>
        <w:t xml:space="preserve">the </w:t>
      </w:r>
      <w:r w:rsidR="00A52F59" w:rsidRPr="009769FA">
        <w:rPr>
          <w:lang w:val="en"/>
        </w:rPr>
        <w:t>application of growth curves to populations with</w:t>
      </w:r>
      <w:r w:rsidR="00A52F59">
        <w:rPr>
          <w:lang w:val="en"/>
        </w:rPr>
        <w:t xml:space="preserve"> different ethnic backgrounds. </w:t>
      </w:r>
    </w:p>
    <w:p w14:paraId="7394404B" w14:textId="77777777" w:rsidR="009F0332" w:rsidRDefault="009F0332" w:rsidP="00A52F59">
      <w:pPr>
        <w:spacing w:after="0" w:line="360" w:lineRule="auto"/>
        <w:contextualSpacing/>
        <w:rPr>
          <w:lang w:val="en"/>
        </w:rPr>
      </w:pPr>
    </w:p>
    <w:p w14:paraId="3D336935" w14:textId="020B8D65" w:rsidR="006B241A" w:rsidRDefault="006B241A" w:rsidP="00A52F59">
      <w:pPr>
        <w:spacing w:after="0" w:line="360" w:lineRule="auto"/>
        <w:contextualSpacing/>
        <w:rPr>
          <w:lang w:val="en"/>
        </w:rPr>
      </w:pPr>
      <w:r>
        <w:rPr>
          <w:lang w:val="en"/>
        </w:rPr>
        <w:t xml:space="preserve">The prevalence of microcephaly cases reported here excluded all cases with a </w:t>
      </w:r>
      <w:r w:rsidR="00621514">
        <w:rPr>
          <w:lang w:val="en"/>
        </w:rPr>
        <w:t>genetic condition (</w:t>
      </w:r>
      <w:r w:rsidR="00211D1D">
        <w:rPr>
          <w:lang w:val="en"/>
        </w:rPr>
        <w:t>a chromosomal anomaly</w:t>
      </w:r>
      <w:r>
        <w:rPr>
          <w:lang w:val="en"/>
        </w:rPr>
        <w:t>, genetic syndrome</w:t>
      </w:r>
      <w:r w:rsidR="00211D1D">
        <w:rPr>
          <w:lang w:val="en"/>
        </w:rPr>
        <w:t xml:space="preserve">, </w:t>
      </w:r>
      <w:r>
        <w:rPr>
          <w:lang w:val="en"/>
        </w:rPr>
        <w:t>microdeletion</w:t>
      </w:r>
      <w:r w:rsidR="00211D1D">
        <w:rPr>
          <w:lang w:val="en"/>
        </w:rPr>
        <w:t xml:space="preserve"> or skeletal dysplasia</w:t>
      </w:r>
      <w:r w:rsidR="00621514">
        <w:rPr>
          <w:lang w:val="en"/>
        </w:rPr>
        <w:t>)</w:t>
      </w:r>
      <w:r w:rsidR="00211D1D">
        <w:rPr>
          <w:lang w:val="en"/>
        </w:rPr>
        <w:t>. In EUROCAT a</w:t>
      </w:r>
      <w:r>
        <w:rPr>
          <w:lang w:val="en"/>
        </w:rPr>
        <w:t xml:space="preserve">n additional 23% of </w:t>
      </w:r>
      <w:r w:rsidR="00211D1D">
        <w:rPr>
          <w:lang w:val="en"/>
        </w:rPr>
        <w:t>microcephaly cases have a genetic condition</w:t>
      </w:r>
      <w:r w:rsidR="00621514">
        <w:rPr>
          <w:lang w:val="en"/>
        </w:rPr>
        <w:t>. This is lower than the 31</w:t>
      </w:r>
      <w:r w:rsidR="0006609D">
        <w:rPr>
          <w:lang w:val="en"/>
        </w:rPr>
        <w:t xml:space="preserve">% </w:t>
      </w:r>
      <w:r w:rsidR="00621514">
        <w:rPr>
          <w:lang w:val="en"/>
        </w:rPr>
        <w:t xml:space="preserve">of cases with a genetic condition </w:t>
      </w:r>
      <w:r w:rsidR="0006609D">
        <w:rPr>
          <w:lang w:val="en"/>
        </w:rPr>
        <w:t>observed in a study on the etiology of microcephaly in 680 children</w:t>
      </w:r>
      <w:proofErr w:type="gramStart"/>
      <w:r w:rsidR="0006609D">
        <w:rPr>
          <w:lang w:val="en"/>
        </w:rPr>
        <w:t>.[</w:t>
      </w:r>
      <w:proofErr w:type="gramEnd"/>
      <w:r w:rsidR="0006609D">
        <w:rPr>
          <w:lang w:val="en"/>
        </w:rPr>
        <w:t>2]</w:t>
      </w:r>
      <w:r w:rsidR="00621514">
        <w:rPr>
          <w:lang w:val="en"/>
        </w:rPr>
        <w:t xml:space="preserve"> This may be due to some registries not including all associated anomalies in cases with a genetic condition.</w:t>
      </w:r>
      <w:r w:rsidR="00211D1D">
        <w:rPr>
          <w:lang w:val="en"/>
        </w:rPr>
        <w:t>[10]</w:t>
      </w:r>
      <w:r w:rsidR="00621514">
        <w:rPr>
          <w:lang w:val="en"/>
        </w:rPr>
        <w:t xml:space="preserve"> </w:t>
      </w:r>
      <w:r w:rsidR="00211D1D">
        <w:rPr>
          <w:lang w:val="en"/>
        </w:rPr>
        <w:t xml:space="preserve">Inflating </w:t>
      </w:r>
      <w:r w:rsidR="00621514">
        <w:rPr>
          <w:lang w:val="en"/>
        </w:rPr>
        <w:t xml:space="preserve">the observed prevalence of microcephaly </w:t>
      </w:r>
      <w:r w:rsidR="00211D1D">
        <w:rPr>
          <w:lang w:val="en"/>
        </w:rPr>
        <w:t xml:space="preserve">in this study </w:t>
      </w:r>
      <w:r w:rsidR="00621514">
        <w:rPr>
          <w:lang w:val="en"/>
        </w:rPr>
        <w:t xml:space="preserve">by 31% </w:t>
      </w:r>
      <w:r>
        <w:rPr>
          <w:lang w:val="en"/>
        </w:rPr>
        <w:t>gives a</w:t>
      </w:r>
      <w:r w:rsidR="00211D1D">
        <w:rPr>
          <w:lang w:val="en"/>
        </w:rPr>
        <w:t>n estimated</w:t>
      </w:r>
      <w:r>
        <w:rPr>
          <w:lang w:val="en"/>
        </w:rPr>
        <w:t xml:space="preserve"> prevalence of microcephaly </w:t>
      </w:r>
      <w:r w:rsidR="00211D1D">
        <w:rPr>
          <w:lang w:val="en"/>
        </w:rPr>
        <w:t xml:space="preserve">including genetic conditions </w:t>
      </w:r>
      <w:r>
        <w:rPr>
          <w:lang w:val="en"/>
        </w:rPr>
        <w:t xml:space="preserve">of </w:t>
      </w:r>
      <w:r w:rsidR="00621514">
        <w:rPr>
          <w:lang w:val="en"/>
        </w:rPr>
        <w:t>2.0</w:t>
      </w:r>
      <w:r>
        <w:rPr>
          <w:lang w:val="en"/>
        </w:rPr>
        <w:t xml:space="preserve"> per 10,000</w:t>
      </w:r>
      <w:r w:rsidR="00621514">
        <w:rPr>
          <w:lang w:val="en"/>
        </w:rPr>
        <w:t xml:space="preserve"> </w:t>
      </w:r>
      <w:r w:rsidR="00621514" w:rsidRPr="00621514">
        <w:rPr>
          <w:lang w:val="en"/>
        </w:rPr>
        <w:t>(1.53*1.31)</w:t>
      </w:r>
      <w:r>
        <w:rPr>
          <w:lang w:val="en"/>
        </w:rPr>
        <w:t xml:space="preserve">. This compares with reported </w:t>
      </w:r>
      <w:proofErr w:type="spellStart"/>
      <w:r>
        <w:rPr>
          <w:lang w:val="en"/>
        </w:rPr>
        <w:t>prevalences</w:t>
      </w:r>
      <w:proofErr w:type="spellEnd"/>
      <w:r>
        <w:rPr>
          <w:lang w:val="en"/>
        </w:rPr>
        <w:t xml:space="preserve"> </w:t>
      </w:r>
      <w:r w:rsidR="00621514">
        <w:rPr>
          <w:lang w:val="en"/>
        </w:rPr>
        <w:t xml:space="preserve">including genetic conditions </w:t>
      </w:r>
      <w:r>
        <w:rPr>
          <w:lang w:val="en"/>
        </w:rPr>
        <w:t xml:space="preserve">of 0.5 per 10,000 </w:t>
      </w:r>
      <w:r w:rsidR="00894BB3" w:rsidRPr="00894BB3">
        <w:rPr>
          <w:lang w:val="en"/>
        </w:rPr>
        <w:t xml:space="preserve">(95% </w:t>
      </w:r>
      <w:proofErr w:type="gramStart"/>
      <w:r w:rsidR="00894BB3" w:rsidRPr="00894BB3">
        <w:rPr>
          <w:lang w:val="en"/>
        </w:rPr>
        <w:t>CI :</w:t>
      </w:r>
      <w:proofErr w:type="gramEnd"/>
      <w:r w:rsidR="00894BB3" w:rsidRPr="00894BB3">
        <w:rPr>
          <w:lang w:val="en"/>
        </w:rPr>
        <w:t xml:space="preserve"> </w:t>
      </w:r>
      <w:r w:rsidR="00894BB3">
        <w:rPr>
          <w:lang w:val="en"/>
        </w:rPr>
        <w:t>0.4 – 0.6</w:t>
      </w:r>
      <w:r w:rsidR="00894BB3" w:rsidRPr="00894BB3">
        <w:rPr>
          <w:lang w:val="en"/>
        </w:rPr>
        <w:t>)</w:t>
      </w:r>
      <w:r w:rsidR="00894BB3">
        <w:rPr>
          <w:lang w:val="en"/>
        </w:rPr>
        <w:t xml:space="preserve"> </w:t>
      </w:r>
      <w:r>
        <w:rPr>
          <w:lang w:val="en"/>
        </w:rPr>
        <w:t xml:space="preserve">in </w:t>
      </w:r>
      <w:r w:rsidR="009817F6">
        <w:rPr>
          <w:lang w:val="en"/>
        </w:rPr>
        <w:t>Brazil</w:t>
      </w:r>
      <w:r>
        <w:rPr>
          <w:lang w:val="en"/>
        </w:rPr>
        <w:t xml:space="preserve"> (prior to the </w:t>
      </w:r>
      <w:proofErr w:type="spellStart"/>
      <w:r>
        <w:rPr>
          <w:lang w:val="en"/>
        </w:rPr>
        <w:t>Zika</w:t>
      </w:r>
      <w:proofErr w:type="spellEnd"/>
      <w:r>
        <w:rPr>
          <w:lang w:val="en"/>
        </w:rPr>
        <w:t xml:space="preserve"> virus</w:t>
      </w:r>
      <w:r w:rsidR="00894BB3">
        <w:rPr>
          <w:lang w:val="en"/>
        </w:rPr>
        <w:t xml:space="preserve"> epidemic</w:t>
      </w:r>
      <w:r>
        <w:rPr>
          <w:lang w:val="en"/>
        </w:rPr>
        <w:t>)</w:t>
      </w:r>
      <w:r w:rsidR="002B7850">
        <w:rPr>
          <w:lang w:val="en"/>
        </w:rPr>
        <w:t>[1</w:t>
      </w:r>
      <w:r w:rsidR="0006609D">
        <w:rPr>
          <w:lang w:val="en"/>
        </w:rPr>
        <w:t>2</w:t>
      </w:r>
      <w:r w:rsidR="00894BB3">
        <w:rPr>
          <w:lang w:val="en"/>
        </w:rPr>
        <w:t>]</w:t>
      </w:r>
      <w:r>
        <w:rPr>
          <w:lang w:val="en"/>
        </w:rPr>
        <w:t xml:space="preserve">, </w:t>
      </w:r>
      <w:r w:rsidRPr="006B241A">
        <w:rPr>
          <w:lang w:val="en"/>
        </w:rPr>
        <w:t>2.3 per 10,000 (95% CI : 1.82 – 2.78)</w:t>
      </w:r>
      <w:r w:rsidR="002B327C">
        <w:rPr>
          <w:lang w:val="en"/>
        </w:rPr>
        <w:t xml:space="preserve"> </w:t>
      </w:r>
      <w:r w:rsidRPr="006B241A">
        <w:rPr>
          <w:lang w:val="en"/>
        </w:rPr>
        <w:t>in India [</w:t>
      </w:r>
      <w:r w:rsidR="002B7850">
        <w:rPr>
          <w:lang w:val="en"/>
        </w:rPr>
        <w:t>1</w:t>
      </w:r>
      <w:r w:rsidR="0006609D">
        <w:rPr>
          <w:lang w:val="en"/>
        </w:rPr>
        <w:t>3</w:t>
      </w:r>
      <w:r w:rsidRPr="006B241A">
        <w:rPr>
          <w:lang w:val="en"/>
        </w:rPr>
        <w:t>] and</w:t>
      </w:r>
      <w:r w:rsidR="002B327C">
        <w:rPr>
          <w:lang w:val="en"/>
        </w:rPr>
        <w:t xml:space="preserve"> </w:t>
      </w:r>
      <w:r w:rsidRPr="006B241A">
        <w:rPr>
          <w:lang w:val="en"/>
        </w:rPr>
        <w:t xml:space="preserve"> 6.0 per 10,000 (95% CI : 4.5-7.7)</w:t>
      </w:r>
      <w:r>
        <w:rPr>
          <w:lang w:val="en"/>
        </w:rPr>
        <w:t xml:space="preserve"> in the USA. </w:t>
      </w:r>
      <w:r w:rsidRPr="006B241A">
        <w:rPr>
          <w:lang w:val="en"/>
        </w:rPr>
        <w:t>[</w:t>
      </w:r>
      <w:r w:rsidR="002B7850">
        <w:rPr>
          <w:lang w:val="en"/>
        </w:rPr>
        <w:t>1</w:t>
      </w:r>
      <w:r w:rsidR="0006609D">
        <w:rPr>
          <w:lang w:val="en"/>
        </w:rPr>
        <w:t>4</w:t>
      </w:r>
      <w:r w:rsidRPr="006B241A">
        <w:rPr>
          <w:lang w:val="en"/>
        </w:rPr>
        <w:t>]</w:t>
      </w:r>
    </w:p>
    <w:p w14:paraId="7857E84C" w14:textId="77777777" w:rsidR="006B241A" w:rsidRDefault="006B241A" w:rsidP="00A52F59">
      <w:pPr>
        <w:spacing w:after="0" w:line="360" w:lineRule="auto"/>
        <w:contextualSpacing/>
        <w:rPr>
          <w:lang w:val="en"/>
        </w:rPr>
      </w:pPr>
    </w:p>
    <w:p w14:paraId="0E509074" w14:textId="44A910D1" w:rsidR="009F0332" w:rsidRDefault="009817F6" w:rsidP="00A52F59">
      <w:pPr>
        <w:spacing w:after="0" w:line="360" w:lineRule="auto"/>
        <w:contextualSpacing/>
        <w:rPr>
          <w:lang w:val="en"/>
        </w:rPr>
      </w:pPr>
      <w:r>
        <w:rPr>
          <w:lang w:val="en"/>
        </w:rPr>
        <w:t xml:space="preserve">In this study </w:t>
      </w:r>
      <w:r w:rsidR="009F0332">
        <w:rPr>
          <w:lang w:val="en"/>
        </w:rPr>
        <w:t xml:space="preserve">around 100 cases </w:t>
      </w:r>
      <w:r>
        <w:rPr>
          <w:lang w:val="en"/>
        </w:rPr>
        <w:t>of microcephaly occurred e</w:t>
      </w:r>
      <w:r w:rsidR="009F0332">
        <w:rPr>
          <w:lang w:val="en"/>
        </w:rPr>
        <w:t>a</w:t>
      </w:r>
      <w:r>
        <w:rPr>
          <w:lang w:val="en"/>
        </w:rPr>
        <w:t>ch</w:t>
      </w:r>
      <w:r w:rsidR="009F0332">
        <w:rPr>
          <w:lang w:val="en"/>
        </w:rPr>
        <w:t xml:space="preserve"> year (table 1). As the occurrence of cases has approximately a </w:t>
      </w:r>
      <w:r w:rsidR="001301E2">
        <w:rPr>
          <w:lang w:val="en"/>
        </w:rPr>
        <w:t>P</w:t>
      </w:r>
      <w:r w:rsidR="009F0332">
        <w:rPr>
          <w:lang w:val="en"/>
        </w:rPr>
        <w:t>oisson distribution</w:t>
      </w:r>
      <w:r w:rsidR="008519A8">
        <w:rPr>
          <w:lang w:val="en"/>
        </w:rPr>
        <w:t>,</w:t>
      </w:r>
      <w:r w:rsidR="009F0332">
        <w:rPr>
          <w:lang w:val="en"/>
        </w:rPr>
        <w:t xml:space="preserve"> if the numbers of births does not</w:t>
      </w:r>
      <w:r w:rsidR="00EA74C1">
        <w:rPr>
          <w:lang w:val="en"/>
        </w:rPr>
        <w:t xml:space="preserve"> change significantly an increase </w:t>
      </w:r>
      <w:r w:rsidR="009F0332">
        <w:rPr>
          <w:lang w:val="en"/>
        </w:rPr>
        <w:t xml:space="preserve">of </w:t>
      </w:r>
      <w:r w:rsidR="00EA74C1">
        <w:rPr>
          <w:lang w:val="en"/>
        </w:rPr>
        <w:t>over 35%</w:t>
      </w:r>
      <w:r w:rsidR="00E7109F">
        <w:rPr>
          <w:lang w:val="en"/>
        </w:rPr>
        <w:t xml:space="preserve"> of cases</w:t>
      </w:r>
      <w:r w:rsidR="00EA74C1">
        <w:rPr>
          <w:lang w:val="en"/>
        </w:rPr>
        <w:t xml:space="preserve"> in 1 year would be required to be identified as a statistically significant increase at p &lt; 0.01 (100 vs 135 is p = 0.009).</w:t>
      </w:r>
      <w:r w:rsidR="002B327C">
        <w:rPr>
          <w:lang w:val="en"/>
        </w:rPr>
        <w:t xml:space="preserve"> </w:t>
      </w:r>
      <w:r w:rsidR="00EA74C1">
        <w:rPr>
          <w:lang w:val="en"/>
        </w:rPr>
        <w:t xml:space="preserve">The average number of cases per registry per year is </w:t>
      </w:r>
      <w:r w:rsidR="001301E2">
        <w:rPr>
          <w:lang w:val="en"/>
        </w:rPr>
        <w:t>four</w:t>
      </w:r>
      <w:r w:rsidR="00EA74C1">
        <w:rPr>
          <w:lang w:val="en"/>
        </w:rPr>
        <w:t xml:space="preserve"> (table 1) and hence </w:t>
      </w:r>
      <w:r w:rsidR="009F0332" w:rsidRPr="009F0332">
        <w:rPr>
          <w:lang w:val="en"/>
        </w:rPr>
        <w:t xml:space="preserve">the prevalence would need to increase by over 300% in a single registry </w:t>
      </w:r>
      <w:r w:rsidR="00EA74C1">
        <w:rPr>
          <w:lang w:val="en"/>
        </w:rPr>
        <w:t xml:space="preserve">to reach statistical significance (4 vs 13; p=0.006). </w:t>
      </w:r>
      <w:r w:rsidR="001301E2">
        <w:rPr>
          <w:lang w:val="en"/>
        </w:rPr>
        <w:t>I</w:t>
      </w:r>
      <w:r w:rsidR="00EA74C1">
        <w:rPr>
          <w:lang w:val="en"/>
        </w:rPr>
        <w:t>f multiple comparisons were adjusted for</w:t>
      </w:r>
      <w:r w:rsidR="008519A8">
        <w:rPr>
          <w:lang w:val="en"/>
        </w:rPr>
        <w:t>,</w:t>
      </w:r>
      <w:r w:rsidR="00EA74C1">
        <w:rPr>
          <w:lang w:val="en"/>
        </w:rPr>
        <w:t xml:space="preserve"> such increases would need to be greater</w:t>
      </w:r>
      <w:r w:rsidR="00E7109F">
        <w:rPr>
          <w:lang w:val="en"/>
        </w:rPr>
        <w:t>.</w:t>
      </w:r>
    </w:p>
    <w:p w14:paraId="2CCEA435" w14:textId="77777777" w:rsidR="00A52F59" w:rsidRDefault="00A52F59" w:rsidP="00A52F59">
      <w:pPr>
        <w:spacing w:after="0" w:line="360" w:lineRule="auto"/>
        <w:contextualSpacing/>
        <w:rPr>
          <w:lang w:val="en"/>
        </w:rPr>
      </w:pPr>
    </w:p>
    <w:p w14:paraId="0B4CF9CC" w14:textId="43A0D87A" w:rsidR="009817F6" w:rsidRDefault="00842311" w:rsidP="009817F6">
      <w:pPr>
        <w:spacing w:after="0" w:line="360" w:lineRule="auto"/>
        <w:contextualSpacing/>
        <w:rPr>
          <w:lang w:val="en"/>
        </w:rPr>
      </w:pPr>
      <w:r w:rsidRPr="004218FD">
        <w:rPr>
          <w:rFonts w:cs="Helvetica"/>
          <w:color w:val="333333"/>
          <w:lang w:val="en-US"/>
        </w:rPr>
        <w:t>In Brazil</w:t>
      </w:r>
      <w:r w:rsidR="000D7B08">
        <w:rPr>
          <w:rFonts w:cs="Helvetica"/>
          <w:color w:val="333333"/>
          <w:lang w:val="en-US"/>
        </w:rPr>
        <w:t>,</w:t>
      </w:r>
      <w:r w:rsidR="00FC4BBF" w:rsidRPr="004218FD">
        <w:rPr>
          <w:rFonts w:cs="Helvetica"/>
          <w:color w:val="333333"/>
          <w:lang w:val="en-US"/>
        </w:rPr>
        <w:t xml:space="preserve"> the Live Birth Information System (Sistema de </w:t>
      </w:r>
      <w:proofErr w:type="spellStart"/>
      <w:r w:rsidR="00FC4BBF" w:rsidRPr="004218FD">
        <w:rPr>
          <w:rFonts w:cs="Helvetica"/>
          <w:color w:val="333333"/>
          <w:lang w:val="en-US"/>
        </w:rPr>
        <w:t>Informações</w:t>
      </w:r>
      <w:proofErr w:type="spellEnd"/>
      <w:r w:rsidRPr="004218FD">
        <w:rPr>
          <w:rFonts w:cs="Helvetica"/>
          <w:color w:val="333333"/>
          <w:lang w:val="en-US"/>
        </w:rPr>
        <w:t xml:space="preserve"> </w:t>
      </w:r>
      <w:proofErr w:type="spellStart"/>
      <w:r w:rsidRPr="004218FD">
        <w:rPr>
          <w:rFonts w:cs="Helvetica"/>
          <w:color w:val="333333"/>
          <w:lang w:val="en-US"/>
        </w:rPr>
        <w:t>sobre</w:t>
      </w:r>
      <w:proofErr w:type="spellEnd"/>
      <w:r w:rsidRPr="004218FD">
        <w:rPr>
          <w:rFonts w:cs="Helvetica"/>
          <w:color w:val="333333"/>
          <w:lang w:val="en-US"/>
        </w:rPr>
        <w:t xml:space="preserve"> </w:t>
      </w:r>
      <w:proofErr w:type="spellStart"/>
      <w:r w:rsidRPr="004218FD">
        <w:rPr>
          <w:rFonts w:cs="Helvetica"/>
          <w:color w:val="333333"/>
          <w:lang w:val="en-US"/>
        </w:rPr>
        <w:t>Nascidos</w:t>
      </w:r>
      <w:proofErr w:type="spellEnd"/>
      <w:r w:rsidRPr="004218FD">
        <w:rPr>
          <w:rFonts w:cs="Helvetica"/>
          <w:color w:val="333333"/>
          <w:lang w:val="en-US"/>
        </w:rPr>
        <w:t xml:space="preserve"> </w:t>
      </w:r>
      <w:proofErr w:type="spellStart"/>
      <w:r w:rsidRPr="004218FD">
        <w:rPr>
          <w:rFonts w:cs="Helvetica"/>
          <w:color w:val="333333"/>
          <w:lang w:val="en-US"/>
        </w:rPr>
        <w:t>Vivos</w:t>
      </w:r>
      <w:proofErr w:type="spellEnd"/>
      <w:r w:rsidRPr="004218FD">
        <w:rPr>
          <w:rFonts w:cs="Helvetica"/>
          <w:color w:val="333333"/>
          <w:lang w:val="en-US"/>
        </w:rPr>
        <w:t xml:space="preserve"> [SINASC])</w:t>
      </w:r>
      <w:r w:rsidR="00FC4BBF" w:rsidRPr="004218FD">
        <w:rPr>
          <w:rFonts w:cs="Helvetica"/>
          <w:color w:val="333333"/>
          <w:lang w:val="en-US"/>
        </w:rPr>
        <w:t xml:space="preserve"> collects information on all </w:t>
      </w:r>
      <w:r w:rsidRPr="004218FD">
        <w:rPr>
          <w:rFonts w:cs="Helvetica"/>
          <w:color w:val="333333"/>
          <w:lang w:val="en-US"/>
        </w:rPr>
        <w:t xml:space="preserve">congenital anomalies amongst </w:t>
      </w:r>
      <w:r w:rsidR="00FC4BBF" w:rsidRPr="004218FD">
        <w:rPr>
          <w:rFonts w:cs="Helvetica"/>
          <w:color w:val="333333"/>
          <w:lang w:val="en-US"/>
        </w:rPr>
        <w:t xml:space="preserve">live births and is estimated to have </w:t>
      </w:r>
      <w:r w:rsidRPr="004218FD">
        <w:rPr>
          <w:rFonts w:cs="Helvetica"/>
          <w:color w:val="333333"/>
          <w:lang w:val="en-US"/>
        </w:rPr>
        <w:t>a coverage of &gt; 95%</w:t>
      </w:r>
      <w:r w:rsidR="00FC4BBF" w:rsidRPr="004218FD">
        <w:rPr>
          <w:rFonts w:cs="Helvetica"/>
          <w:color w:val="333333"/>
          <w:lang w:val="en-US"/>
        </w:rPr>
        <w:t>.</w:t>
      </w:r>
      <w:r w:rsidRPr="004218FD">
        <w:rPr>
          <w:rFonts w:cs="Helvetica"/>
          <w:color w:val="333333"/>
          <w:lang w:val="en-US"/>
        </w:rPr>
        <w:t xml:space="preserve"> [</w:t>
      </w:r>
      <w:r w:rsidR="00642923">
        <w:rPr>
          <w:rFonts w:cs="Helvetica"/>
          <w:color w:val="333333"/>
          <w:lang w:val="en-US"/>
        </w:rPr>
        <w:t>1</w:t>
      </w:r>
      <w:r w:rsidR="0006609D">
        <w:rPr>
          <w:rFonts w:cs="Helvetica"/>
          <w:color w:val="333333"/>
          <w:lang w:val="en-US"/>
        </w:rPr>
        <w:t>1</w:t>
      </w:r>
      <w:r w:rsidRPr="004218FD">
        <w:rPr>
          <w:rFonts w:cs="Helvetica"/>
          <w:color w:val="333333"/>
          <w:lang w:val="en-US"/>
        </w:rPr>
        <w:t>] During 2000–2014</w:t>
      </w:r>
      <w:r w:rsidR="000D7B08">
        <w:rPr>
          <w:rFonts w:cs="Helvetica"/>
          <w:color w:val="333333"/>
          <w:lang w:val="en-US"/>
        </w:rPr>
        <w:t>,</w:t>
      </w:r>
      <w:r w:rsidRPr="004218FD">
        <w:rPr>
          <w:rFonts w:cs="Helvetica"/>
          <w:color w:val="333333"/>
          <w:lang w:val="en-US"/>
        </w:rPr>
        <w:t xml:space="preserve"> on average 157.3 cases of microcephaly were registered in SINASC each year </w:t>
      </w:r>
      <w:r w:rsidR="000D7B08">
        <w:rPr>
          <w:rFonts w:cs="Helvetica"/>
          <w:color w:val="333333"/>
          <w:lang w:val="en-US"/>
        </w:rPr>
        <w:t>from</w:t>
      </w:r>
      <w:r w:rsidR="00FA5D67">
        <w:rPr>
          <w:rFonts w:cs="Helvetica"/>
          <w:color w:val="333333"/>
          <w:lang w:val="en-US"/>
        </w:rPr>
        <w:t xml:space="preserve"> 2.9 million live births giving</w:t>
      </w:r>
      <w:r w:rsidRPr="004218FD">
        <w:rPr>
          <w:rFonts w:cs="Helvetica"/>
          <w:color w:val="333333"/>
          <w:lang w:val="en-US"/>
        </w:rPr>
        <w:t xml:space="preserve"> a prevalence of 0.5 per 10,000. The prevalence rose to 2 per 10,000 in 2015</w:t>
      </w:r>
      <w:r w:rsidR="00CB09C8" w:rsidRPr="004218FD">
        <w:rPr>
          <w:rFonts w:cs="Helvetica"/>
          <w:color w:val="333333"/>
          <w:lang w:val="en-US"/>
        </w:rPr>
        <w:t xml:space="preserve"> (574 cases</w:t>
      </w:r>
      <w:r w:rsidR="00642923">
        <w:rPr>
          <w:rFonts w:cs="Helvetica"/>
          <w:color w:val="333333"/>
          <w:lang w:val="en-US"/>
        </w:rPr>
        <w:t>, a 370% increase</w:t>
      </w:r>
      <w:r w:rsidR="00CB09C8" w:rsidRPr="004218FD">
        <w:rPr>
          <w:rFonts w:cs="Helvetica"/>
          <w:color w:val="333333"/>
          <w:lang w:val="en-US"/>
        </w:rPr>
        <w:t>)</w:t>
      </w:r>
      <w:r w:rsidRPr="004218FD">
        <w:rPr>
          <w:rFonts w:cs="Helvetica"/>
          <w:color w:val="333333"/>
          <w:lang w:val="en-US"/>
        </w:rPr>
        <w:t>, with the prevalence in the North East rising to 5.</w:t>
      </w:r>
      <w:r w:rsidR="00E25007" w:rsidRPr="004218FD">
        <w:rPr>
          <w:rFonts w:cs="Helvetica"/>
          <w:color w:val="333333"/>
          <w:lang w:val="en-US"/>
        </w:rPr>
        <w:t>6 per 10,000</w:t>
      </w:r>
      <w:r w:rsidR="009817F6">
        <w:rPr>
          <w:rFonts w:cs="Helvetica"/>
          <w:color w:val="333333"/>
          <w:lang w:val="en-US"/>
        </w:rPr>
        <w:t xml:space="preserve"> (a </w:t>
      </w:r>
      <w:r w:rsidR="001301E2">
        <w:rPr>
          <w:rFonts w:cs="Helvetica"/>
          <w:color w:val="333333"/>
          <w:lang w:val="en-US"/>
        </w:rPr>
        <w:t>10</w:t>
      </w:r>
      <w:r w:rsidR="009817F6">
        <w:rPr>
          <w:rFonts w:cs="Helvetica"/>
          <w:color w:val="333333"/>
          <w:lang w:val="en-US"/>
        </w:rPr>
        <w:t>-fold increase)</w:t>
      </w:r>
      <w:r w:rsidRPr="004218FD">
        <w:rPr>
          <w:rFonts w:cs="Helvetica"/>
          <w:color w:val="333333"/>
          <w:lang w:val="en-US"/>
        </w:rPr>
        <w:t>.</w:t>
      </w:r>
      <w:r w:rsidR="00CB09C8" w:rsidRPr="004218FD">
        <w:rPr>
          <w:rFonts w:cs="Helvetica"/>
          <w:color w:val="333333"/>
          <w:lang w:val="en-US"/>
        </w:rPr>
        <w:t xml:space="preserve"> Such increases </w:t>
      </w:r>
      <w:r w:rsidR="00E25007" w:rsidRPr="004218FD">
        <w:rPr>
          <w:rFonts w:cs="Helvetica"/>
          <w:color w:val="333333"/>
          <w:lang w:val="en-US"/>
        </w:rPr>
        <w:t xml:space="preserve">were quickly detected and linked to the increased transmission of the Zika virus. </w:t>
      </w:r>
      <w:r w:rsidR="00642923">
        <w:rPr>
          <w:rFonts w:cs="Helvetica"/>
          <w:color w:val="333333"/>
          <w:lang w:val="en-US"/>
        </w:rPr>
        <w:t>As calculated above</w:t>
      </w:r>
      <w:r w:rsidR="001301E2">
        <w:rPr>
          <w:rFonts w:cs="Helvetica"/>
          <w:color w:val="333333"/>
          <w:lang w:val="en-US"/>
        </w:rPr>
        <w:t>,</w:t>
      </w:r>
      <w:r w:rsidR="00642923">
        <w:rPr>
          <w:rFonts w:cs="Helvetica"/>
          <w:color w:val="333333"/>
          <w:lang w:val="en-US"/>
        </w:rPr>
        <w:t xml:space="preserve"> t</w:t>
      </w:r>
      <w:r w:rsidR="00E25007" w:rsidRPr="004218FD">
        <w:rPr>
          <w:rFonts w:cs="Helvetica"/>
          <w:color w:val="333333"/>
          <w:lang w:val="en-US"/>
        </w:rPr>
        <w:t>he EUROCAT surveillance system would have detected increases of th</w:t>
      </w:r>
      <w:r w:rsidR="00642923">
        <w:rPr>
          <w:rFonts w:cs="Helvetica"/>
          <w:color w:val="333333"/>
          <w:lang w:val="en-US"/>
        </w:rPr>
        <w:t xml:space="preserve">is </w:t>
      </w:r>
      <w:r w:rsidR="00E25007" w:rsidRPr="004218FD">
        <w:rPr>
          <w:rFonts w:cs="Helvetica"/>
          <w:color w:val="333333"/>
          <w:lang w:val="en-US"/>
        </w:rPr>
        <w:t>magnitude.</w:t>
      </w:r>
      <w:r w:rsidR="009817F6">
        <w:rPr>
          <w:rFonts w:cs="Helvetica"/>
          <w:color w:val="333333"/>
          <w:lang w:val="en-US"/>
        </w:rPr>
        <w:t xml:space="preserve"> </w:t>
      </w:r>
      <w:r w:rsidR="009817F6">
        <w:rPr>
          <w:lang w:val="en"/>
        </w:rPr>
        <w:t>Future increases in prevalence of microcephaly in Europe due to the Zika virus would be expected to be considerably smaller than those that have occurred in South America</w:t>
      </w:r>
      <w:r w:rsidR="008519A8">
        <w:rPr>
          <w:lang w:val="en"/>
        </w:rPr>
        <w:t>,</w:t>
      </w:r>
      <w:r w:rsidR="009817F6">
        <w:rPr>
          <w:lang w:val="en"/>
        </w:rPr>
        <w:t xml:space="preserve"> due to the </w:t>
      </w:r>
      <w:proofErr w:type="spellStart"/>
      <w:r w:rsidR="009817F6">
        <w:rPr>
          <w:rFonts w:ascii="Lato" w:hAnsi="Lato" w:cs="Helvetica"/>
          <w:i/>
          <w:iCs/>
          <w:color w:val="333333"/>
          <w:sz w:val="21"/>
          <w:szCs w:val="21"/>
          <w:lang w:val="en-US"/>
        </w:rPr>
        <w:t>Aedes</w:t>
      </w:r>
      <w:proofErr w:type="spellEnd"/>
      <w:r w:rsidR="009817F6">
        <w:rPr>
          <w:rFonts w:ascii="Lato" w:hAnsi="Lato" w:cs="Helvetica"/>
          <w:i/>
          <w:iCs/>
          <w:color w:val="333333"/>
          <w:sz w:val="21"/>
          <w:szCs w:val="21"/>
          <w:lang w:val="en-US"/>
        </w:rPr>
        <w:t xml:space="preserve"> </w:t>
      </w:r>
      <w:r w:rsidR="009817F6">
        <w:rPr>
          <w:lang w:val="en"/>
        </w:rPr>
        <w:t xml:space="preserve">mosquitos not being indigenous in Europe. Hence such changes in prevalence would be unlikely to be detected through routine surveillance. However, maternal exposure to the </w:t>
      </w:r>
      <w:proofErr w:type="spellStart"/>
      <w:r w:rsidR="009817F6">
        <w:rPr>
          <w:lang w:val="en"/>
        </w:rPr>
        <w:t>Zika</w:t>
      </w:r>
      <w:proofErr w:type="spellEnd"/>
      <w:r w:rsidR="009817F6">
        <w:rPr>
          <w:lang w:val="en"/>
        </w:rPr>
        <w:t xml:space="preserve"> virus should be considered for any newly diagnosed microcephaly cases.</w:t>
      </w:r>
      <w:r w:rsidR="002B327C">
        <w:rPr>
          <w:lang w:val="en"/>
        </w:rPr>
        <w:t xml:space="preserve"> </w:t>
      </w:r>
    </w:p>
    <w:p w14:paraId="645D2B50" w14:textId="2AD731E8" w:rsidR="00FC4BBF" w:rsidRPr="00743785" w:rsidRDefault="00FC4BBF" w:rsidP="00A52F59">
      <w:pPr>
        <w:spacing w:after="0" w:line="360" w:lineRule="auto"/>
        <w:contextualSpacing/>
        <w:rPr>
          <w:lang w:val="en"/>
        </w:rPr>
      </w:pPr>
    </w:p>
    <w:p w14:paraId="66A5568D" w14:textId="24F444D8" w:rsidR="0011146B" w:rsidRDefault="0011146B" w:rsidP="00A52F59">
      <w:pPr>
        <w:spacing w:after="0" w:line="360" w:lineRule="auto"/>
        <w:contextualSpacing/>
        <w:rPr>
          <w:lang w:val="en"/>
        </w:rPr>
      </w:pPr>
      <w:r>
        <w:rPr>
          <w:lang w:val="en"/>
        </w:rPr>
        <w:t>The strength of this study is that the EUROCAT registries are population</w:t>
      </w:r>
      <w:r w:rsidR="000D7B08">
        <w:rPr>
          <w:lang w:val="en"/>
        </w:rPr>
        <w:t>-</w:t>
      </w:r>
      <w:r>
        <w:rPr>
          <w:lang w:val="en"/>
        </w:rPr>
        <w:t xml:space="preserve">based and cover </w:t>
      </w:r>
      <w:r w:rsidR="002A28F0">
        <w:rPr>
          <w:lang w:val="en"/>
        </w:rPr>
        <w:t>600,000 births annually</w:t>
      </w:r>
      <w:r w:rsidR="002704E6">
        <w:rPr>
          <w:lang w:val="en"/>
        </w:rPr>
        <w:t xml:space="preserve"> in 15 countries. In addition</w:t>
      </w:r>
      <w:r w:rsidR="000D7B08">
        <w:rPr>
          <w:lang w:val="en"/>
        </w:rPr>
        <w:t>,</w:t>
      </w:r>
      <w:r w:rsidR="002704E6">
        <w:rPr>
          <w:lang w:val="en"/>
        </w:rPr>
        <w:t xml:space="preserve"> </w:t>
      </w:r>
      <w:r>
        <w:rPr>
          <w:lang w:val="en"/>
        </w:rPr>
        <w:t xml:space="preserve">all cases </w:t>
      </w:r>
      <w:r w:rsidR="002704E6">
        <w:rPr>
          <w:lang w:val="en"/>
        </w:rPr>
        <w:t>are included</w:t>
      </w:r>
      <w:r w:rsidR="008519A8">
        <w:rPr>
          <w:lang w:val="en"/>
        </w:rPr>
        <w:t>,</w:t>
      </w:r>
      <w:r w:rsidR="002704E6">
        <w:rPr>
          <w:lang w:val="en"/>
        </w:rPr>
        <w:t xml:space="preserve"> </w:t>
      </w:r>
      <w:r>
        <w:rPr>
          <w:lang w:val="en"/>
        </w:rPr>
        <w:t xml:space="preserve">not just those that are receiving treatment at specialist hospitals. A </w:t>
      </w:r>
      <w:r w:rsidR="0099381C">
        <w:rPr>
          <w:lang w:val="en"/>
        </w:rPr>
        <w:t>limitation</w:t>
      </w:r>
      <w:r>
        <w:rPr>
          <w:lang w:val="en"/>
        </w:rPr>
        <w:t xml:space="preserve"> of</w:t>
      </w:r>
      <w:r w:rsidR="002704E6">
        <w:rPr>
          <w:lang w:val="en"/>
        </w:rPr>
        <w:t xml:space="preserve"> EUROCAT is that the </w:t>
      </w:r>
      <w:r>
        <w:rPr>
          <w:lang w:val="en"/>
        </w:rPr>
        <w:t>definition of a case of microcephaly is, for many registries, at the discretion of the patient</w:t>
      </w:r>
      <w:r w:rsidR="0099381C">
        <w:rPr>
          <w:lang w:val="en"/>
        </w:rPr>
        <w:t>’</w:t>
      </w:r>
      <w:r>
        <w:rPr>
          <w:lang w:val="en"/>
        </w:rPr>
        <w:t xml:space="preserve">s clinician. This means that </w:t>
      </w:r>
      <w:proofErr w:type="spellStart"/>
      <w:r>
        <w:rPr>
          <w:lang w:val="en"/>
        </w:rPr>
        <w:t>standardising</w:t>
      </w:r>
      <w:proofErr w:type="spellEnd"/>
      <w:r>
        <w:rPr>
          <w:lang w:val="en"/>
        </w:rPr>
        <w:t xml:space="preserve"> diagnostic criteria can be very difficult.</w:t>
      </w:r>
      <w:r w:rsidR="00027FF4">
        <w:rPr>
          <w:lang w:val="en"/>
        </w:rPr>
        <w:t xml:space="preserve"> There are clear discrepancies in the application of the diagnostic guidelines</w:t>
      </w:r>
      <w:r w:rsidR="00B56A7B">
        <w:rPr>
          <w:lang w:val="en"/>
        </w:rPr>
        <w:t xml:space="preserve"> as</w:t>
      </w:r>
      <w:r w:rsidR="008519A8">
        <w:rPr>
          <w:lang w:val="en"/>
        </w:rPr>
        <w:t>,</w:t>
      </w:r>
      <w:r w:rsidR="00B56A7B">
        <w:rPr>
          <w:lang w:val="en"/>
        </w:rPr>
        <w:t xml:space="preserve"> i</w:t>
      </w:r>
      <w:r w:rsidR="00B56A7B" w:rsidRPr="00B56A7B">
        <w:rPr>
          <w:lang w:val="en"/>
        </w:rPr>
        <w:t>f head circumference had a Gaussian (normal) distribution</w:t>
      </w:r>
      <w:r w:rsidR="008519A8">
        <w:rPr>
          <w:lang w:val="en"/>
        </w:rPr>
        <w:t>,</w:t>
      </w:r>
      <w:r w:rsidR="00B56A7B" w:rsidRPr="00B56A7B">
        <w:rPr>
          <w:lang w:val="en"/>
        </w:rPr>
        <w:t xml:space="preserve"> we would expect </w:t>
      </w:r>
      <w:r w:rsidR="008519A8">
        <w:rPr>
          <w:lang w:val="en"/>
        </w:rPr>
        <w:t xml:space="preserve">the head circumference in </w:t>
      </w:r>
      <w:r w:rsidR="00B56A7B" w:rsidRPr="00B56A7B">
        <w:rPr>
          <w:lang w:val="en"/>
        </w:rPr>
        <w:t>0.13% of babies to be more than 3 SDs below the mean and</w:t>
      </w:r>
      <w:r w:rsidR="008519A8">
        <w:rPr>
          <w:lang w:val="en"/>
        </w:rPr>
        <w:t xml:space="preserve"> in</w:t>
      </w:r>
      <w:r w:rsidR="00B56A7B" w:rsidRPr="00B56A7B">
        <w:rPr>
          <w:lang w:val="en"/>
        </w:rPr>
        <w:t xml:space="preserve"> 2.3% to be more than 2 SDs below the mean</w:t>
      </w:r>
      <w:r w:rsidR="007161DF">
        <w:rPr>
          <w:lang w:val="en"/>
        </w:rPr>
        <w:t xml:space="preserve"> (</w:t>
      </w:r>
      <w:proofErr w:type="spellStart"/>
      <w:r w:rsidR="00B56A7B">
        <w:rPr>
          <w:lang w:val="en"/>
        </w:rPr>
        <w:t>prevalences</w:t>
      </w:r>
      <w:proofErr w:type="spellEnd"/>
      <w:r w:rsidR="00B56A7B">
        <w:rPr>
          <w:lang w:val="en"/>
        </w:rPr>
        <w:t xml:space="preserve"> of around 13 per 10,000 to 230 per 10,000</w:t>
      </w:r>
      <w:r w:rsidR="007161DF">
        <w:rPr>
          <w:lang w:val="en"/>
        </w:rPr>
        <w:t xml:space="preserve">), inconsistent with the </w:t>
      </w:r>
      <w:r w:rsidR="007161DF" w:rsidRPr="007161DF">
        <w:rPr>
          <w:lang w:val="en"/>
        </w:rPr>
        <w:t xml:space="preserve">observed </w:t>
      </w:r>
      <w:proofErr w:type="spellStart"/>
      <w:r w:rsidR="007161DF" w:rsidRPr="004218FD">
        <w:t>prevalence</w:t>
      </w:r>
      <w:r w:rsidR="009817F6">
        <w:t>s</w:t>
      </w:r>
      <w:proofErr w:type="spellEnd"/>
      <w:r w:rsidR="009817F6">
        <w:t xml:space="preserve"> from Europe, Brazil, India and the USA.</w:t>
      </w:r>
      <w:r w:rsidR="004218FD">
        <w:t>[1</w:t>
      </w:r>
      <w:r w:rsidR="0006609D">
        <w:t>2</w:t>
      </w:r>
      <w:r w:rsidR="004218FD">
        <w:t>,1</w:t>
      </w:r>
      <w:r w:rsidR="0006609D">
        <w:t>3</w:t>
      </w:r>
      <w:r w:rsidR="004218FD">
        <w:t>,1</w:t>
      </w:r>
      <w:r w:rsidR="0006609D">
        <w:t>4</w:t>
      </w:r>
      <w:r w:rsidR="004218FD">
        <w:t>]</w:t>
      </w:r>
      <w:r w:rsidR="009817F6">
        <w:t xml:space="preserve"> </w:t>
      </w:r>
      <w:r w:rsidRPr="007161DF">
        <w:rPr>
          <w:lang w:val="en"/>
        </w:rPr>
        <w:t>In the</w:t>
      </w:r>
      <w:r>
        <w:rPr>
          <w:lang w:val="en"/>
        </w:rPr>
        <w:t xml:space="preserve"> case of microcephaly</w:t>
      </w:r>
      <w:r w:rsidR="0099381C">
        <w:rPr>
          <w:lang w:val="en"/>
        </w:rPr>
        <w:t>,</w:t>
      </w:r>
      <w:r>
        <w:rPr>
          <w:lang w:val="en"/>
        </w:rPr>
        <w:t xml:space="preserve"> collecting additional information such as the gestation age of the baby at birth, the age of the baby at the time of diagnosis of microcephaly, the head </w:t>
      </w:r>
      <w:r w:rsidR="0099381C">
        <w:rPr>
          <w:lang w:val="en"/>
        </w:rPr>
        <w:t>circumference</w:t>
      </w:r>
      <w:r>
        <w:rPr>
          <w:lang w:val="en"/>
        </w:rPr>
        <w:t xml:space="preserve"> of the ch</w:t>
      </w:r>
      <w:r w:rsidR="002704E6">
        <w:rPr>
          <w:lang w:val="en"/>
        </w:rPr>
        <w:t>i</w:t>
      </w:r>
      <w:r>
        <w:rPr>
          <w:lang w:val="en"/>
        </w:rPr>
        <w:t xml:space="preserve">ld and also the </w:t>
      </w:r>
      <w:r w:rsidR="000D7B08">
        <w:rPr>
          <w:lang w:val="en"/>
        </w:rPr>
        <w:t>ethnic group</w:t>
      </w:r>
      <w:r>
        <w:rPr>
          <w:lang w:val="en"/>
        </w:rPr>
        <w:t xml:space="preserve"> of the child would enable EUROCAT to more accurately determine </w:t>
      </w:r>
      <w:r w:rsidR="002704E6">
        <w:rPr>
          <w:lang w:val="en"/>
        </w:rPr>
        <w:t>discrepancies</w:t>
      </w:r>
      <w:r>
        <w:rPr>
          <w:lang w:val="en"/>
        </w:rPr>
        <w:t xml:space="preserve"> in diagnosis and also to ensure </w:t>
      </w:r>
      <w:r w:rsidR="000D7B08">
        <w:rPr>
          <w:lang w:val="en"/>
        </w:rPr>
        <w:t xml:space="preserve">more </w:t>
      </w:r>
      <w:r>
        <w:rPr>
          <w:lang w:val="en"/>
        </w:rPr>
        <w:t>consistent diagnostic criteria.</w:t>
      </w:r>
      <w:r w:rsidR="002B327C">
        <w:rPr>
          <w:lang w:val="en"/>
        </w:rPr>
        <w:t xml:space="preserve"> </w:t>
      </w:r>
      <w:r w:rsidR="007161DF">
        <w:rPr>
          <w:lang w:val="en"/>
        </w:rPr>
        <w:t xml:space="preserve"> </w:t>
      </w:r>
    </w:p>
    <w:p w14:paraId="1E850EF7" w14:textId="77777777" w:rsidR="00A52F59" w:rsidRDefault="00A52F59" w:rsidP="00A52F59">
      <w:pPr>
        <w:spacing w:after="0" w:line="360" w:lineRule="auto"/>
        <w:contextualSpacing/>
        <w:rPr>
          <w:lang w:val="en"/>
        </w:rPr>
      </w:pPr>
    </w:p>
    <w:p w14:paraId="2BB6F804" w14:textId="61AC435A" w:rsidR="002704E6" w:rsidRDefault="002704E6" w:rsidP="00A52F59">
      <w:pPr>
        <w:spacing w:after="0" w:line="360" w:lineRule="auto"/>
        <w:contextualSpacing/>
      </w:pPr>
      <w:r>
        <w:t xml:space="preserve">The recent (4 March 2016) WHO interim guidelines for diagnosing microcephaly are: “Neonates with a head circumference more than 2 standard deviations below the mean are considered to have microcephaly. Neonates with a head circumference more than 3 standard deviations below the mean should be considered </w:t>
      </w:r>
      <w:r w:rsidR="009B7036">
        <w:t>to have severe microcephaly.” [</w:t>
      </w:r>
      <w:r w:rsidR="004218FD">
        <w:t>1</w:t>
      </w:r>
      <w:r w:rsidR="0006609D">
        <w:t>5</w:t>
      </w:r>
      <w:r>
        <w:t>] Implementation of this new definition will greatly increase the prevalence of microcephaly</w:t>
      </w:r>
      <w:r w:rsidR="00F41898">
        <w:t xml:space="preserve"> with potentially an additional 2.2% (2.3%-0.1%) </w:t>
      </w:r>
      <w:r>
        <w:t xml:space="preserve">of babies </w:t>
      </w:r>
      <w:r w:rsidR="00F41898">
        <w:t>having</w:t>
      </w:r>
      <w:r w:rsidR="002B327C">
        <w:t xml:space="preserve"> </w:t>
      </w:r>
      <w:r>
        <w:t>microcephaly diagnosed.</w:t>
      </w:r>
      <w:r w:rsidR="002A28F0">
        <w:t xml:space="preserve"> </w:t>
      </w:r>
      <w:r w:rsidR="00F41898">
        <w:t xml:space="preserve">This will result in the </w:t>
      </w:r>
      <w:r w:rsidR="002A28F0">
        <w:t xml:space="preserve">proportion of babies labelled as </w:t>
      </w:r>
      <w:proofErr w:type="spellStart"/>
      <w:r w:rsidR="002A28F0">
        <w:t>microcephalic</w:t>
      </w:r>
      <w:proofErr w:type="spellEnd"/>
      <w:r w:rsidR="002A28F0">
        <w:t xml:space="preserve"> </w:t>
      </w:r>
      <w:r w:rsidR="00F41898">
        <w:t>who</w:t>
      </w:r>
      <w:r w:rsidR="002A28F0">
        <w:t xml:space="preserve"> will have no detectable neurological impairment </w:t>
      </w:r>
      <w:r w:rsidR="00F41898">
        <w:t>being</w:t>
      </w:r>
      <w:r w:rsidR="002A28F0">
        <w:t xml:space="preserve"> much greater. [1]</w:t>
      </w:r>
      <w:r>
        <w:t xml:space="preserve"> The feasibility of such a change requires further assessment.</w:t>
      </w:r>
      <w:r w:rsidR="00A52F59">
        <w:t xml:space="preserve"> </w:t>
      </w:r>
      <w:r>
        <w:t>The application of the WHO definition has other limitations in Europe. The WHO has a set of tables with head circumference for term neonates</w:t>
      </w:r>
      <w:r w:rsidR="004218FD">
        <w:t xml:space="preserve"> [1</w:t>
      </w:r>
      <w:r w:rsidR="0006609D">
        <w:t>1</w:t>
      </w:r>
      <w:r w:rsidR="004218FD">
        <w:t>]</w:t>
      </w:r>
      <w:r>
        <w:t xml:space="preserve"> and recommends the use of Intergrowth s</w:t>
      </w:r>
      <w:r w:rsidR="009B7036">
        <w:t>tandards for preterm neonates</w:t>
      </w:r>
      <w:r w:rsidR="00D1620D">
        <w:t>.</w:t>
      </w:r>
      <w:r w:rsidR="009B7036">
        <w:t xml:space="preserve"> [</w:t>
      </w:r>
      <w:r w:rsidR="004218FD">
        <w:t>1</w:t>
      </w:r>
      <w:r w:rsidR="0006609D">
        <w:t>6</w:t>
      </w:r>
      <w:r>
        <w:t xml:space="preserve">]However, studies from Norway, Belgium and the UK have found that the WHO tables are not accurate for </w:t>
      </w:r>
      <w:r w:rsidR="009B7036">
        <w:t>the children in their cohorts [</w:t>
      </w:r>
      <w:r w:rsidR="009817F6">
        <w:t>1</w:t>
      </w:r>
      <w:r w:rsidR="0006609D">
        <w:t>7</w:t>
      </w:r>
      <w:proofErr w:type="gramStart"/>
      <w:r w:rsidR="004218FD">
        <w:t>,1</w:t>
      </w:r>
      <w:r w:rsidR="0006609D">
        <w:t>8</w:t>
      </w:r>
      <w:proofErr w:type="gramEnd"/>
      <w:r>
        <w:t xml:space="preserve">]; these children had </w:t>
      </w:r>
      <w:r w:rsidR="000D7B08">
        <w:t>larger</w:t>
      </w:r>
      <w:r>
        <w:t xml:space="preserve"> heads, which would result in the under–diagnosis of microcephaly.</w:t>
      </w:r>
      <w:r w:rsidR="002B327C">
        <w:t xml:space="preserve"> </w:t>
      </w:r>
      <w:r>
        <w:t>Similarly, these tables may not be suitable for children from other ethnic groups that have smaller heads on average.</w:t>
      </w:r>
      <w:r w:rsidR="00294AEA">
        <w:t xml:space="preserve"> </w:t>
      </w:r>
    </w:p>
    <w:p w14:paraId="25556A8D" w14:textId="77777777" w:rsidR="002704E6" w:rsidRDefault="002704E6" w:rsidP="00A52F59">
      <w:pPr>
        <w:spacing w:after="0" w:line="360" w:lineRule="auto"/>
        <w:contextualSpacing/>
      </w:pPr>
      <w:r>
        <w:t xml:space="preserve"> </w:t>
      </w:r>
    </w:p>
    <w:p w14:paraId="157BA091" w14:textId="625B021D" w:rsidR="0011146B" w:rsidRPr="00663720" w:rsidRDefault="002704E6">
      <w:pPr>
        <w:spacing w:after="0" w:line="360" w:lineRule="auto"/>
        <w:contextualSpacing/>
      </w:pPr>
      <w:r w:rsidRPr="00663720">
        <w:t xml:space="preserve">The emergence of the Zika virus and its association with microcephaly highlights the necessity </w:t>
      </w:r>
      <w:r w:rsidR="008519A8">
        <w:t>for</w:t>
      </w:r>
      <w:r w:rsidRPr="00663720">
        <w:t xml:space="preserve"> a more standardised application of agreed diagnostic criteria of microcephaly. It also emphasises the necessity of continued surveillance of all congenital anomalies within each country in Europe</w:t>
      </w:r>
      <w:r w:rsidR="00663720">
        <w:t xml:space="preserve">. </w:t>
      </w:r>
      <w:r w:rsidR="0070748A">
        <w:t>P</w:t>
      </w:r>
      <w:r w:rsidR="00663720">
        <w:t>otential teratogens are often identified by alert clinicians (such as in the case of thalidomide)</w:t>
      </w:r>
      <w:r w:rsidR="00B45D9D">
        <w:t>. C</w:t>
      </w:r>
      <w:r w:rsidR="00663720">
        <w:t xml:space="preserve">ongenital anomaly registries with accurate baseline data </w:t>
      </w:r>
      <w:r w:rsidR="0070748A">
        <w:t>are then essential to evaluate the true severity of any new epidemic. For rare diseases</w:t>
      </w:r>
      <w:r w:rsidR="00A87682">
        <w:t>,</w:t>
      </w:r>
      <w:r w:rsidR="0070748A">
        <w:t xml:space="preserve"> </w:t>
      </w:r>
      <w:r w:rsidRPr="00663720">
        <w:t xml:space="preserve">the pooling of standardised data across Europe </w:t>
      </w:r>
      <w:r w:rsidR="0070748A">
        <w:t xml:space="preserve">by EUROCAT </w:t>
      </w:r>
      <w:r w:rsidRPr="00663720">
        <w:t xml:space="preserve">to obtain accurate baseline data is </w:t>
      </w:r>
      <w:r w:rsidR="0070748A">
        <w:t>essential</w:t>
      </w:r>
      <w:r w:rsidR="002B327C">
        <w:t xml:space="preserve"> </w:t>
      </w:r>
      <w:r w:rsidRPr="00663720">
        <w:t>in order to detect</w:t>
      </w:r>
      <w:r w:rsidR="0070748A">
        <w:t xml:space="preserve"> and evaluate</w:t>
      </w:r>
      <w:r w:rsidR="002B327C">
        <w:t xml:space="preserve"> </w:t>
      </w:r>
      <w:r w:rsidRPr="00663720">
        <w:t xml:space="preserve">any future environmental teratogens in a timely manner. </w:t>
      </w:r>
    </w:p>
    <w:p w14:paraId="2488F8A8" w14:textId="77777777" w:rsidR="004977A3" w:rsidRPr="00663720" w:rsidRDefault="004977A3">
      <w:pPr>
        <w:spacing w:after="0" w:line="360" w:lineRule="auto"/>
        <w:contextualSpacing/>
      </w:pPr>
    </w:p>
    <w:p w14:paraId="3487FC75" w14:textId="6BE1038B" w:rsidR="009E19EB" w:rsidRPr="004977A3" w:rsidRDefault="009E19EB" w:rsidP="004977A3">
      <w:pPr>
        <w:spacing w:after="0" w:line="360" w:lineRule="auto"/>
        <w:contextualSpacing/>
        <w:rPr>
          <w:b/>
        </w:rPr>
      </w:pPr>
      <w:r w:rsidRPr="004977A3">
        <w:rPr>
          <w:b/>
        </w:rPr>
        <w:t>Funding</w:t>
      </w:r>
    </w:p>
    <w:p w14:paraId="5FECE619" w14:textId="4F2FF040" w:rsidR="009E19EB" w:rsidRDefault="004977A3" w:rsidP="004977A3">
      <w:pPr>
        <w:autoSpaceDE w:val="0"/>
        <w:autoSpaceDN w:val="0"/>
        <w:adjustRightInd w:val="0"/>
        <w:spacing w:after="0" w:line="360" w:lineRule="auto"/>
        <w:rPr>
          <w:rFonts w:cs="ArialUnicodeMS"/>
        </w:rPr>
      </w:pPr>
      <w:r w:rsidRPr="004977A3">
        <w:rPr>
          <w:rFonts w:cs="ArialUnicodeMS"/>
        </w:rPr>
        <w:t xml:space="preserve">Funding for analysing this data from EUROCAT was from the </w:t>
      </w:r>
      <w:r w:rsidR="009E19EB" w:rsidRPr="004977A3">
        <w:rPr>
          <w:rFonts w:cs="ArialUnicodeMS"/>
        </w:rPr>
        <w:t>European Union in the framework of the Health Programme (2008-2013)</w:t>
      </w:r>
      <w:r w:rsidR="00F05FF2">
        <w:rPr>
          <w:rFonts w:cs="ArialUnicodeMS"/>
        </w:rPr>
        <w:t xml:space="preserve">. The funders had no role in </w:t>
      </w:r>
      <w:r w:rsidR="00F05FF2" w:rsidRPr="00F05FF2">
        <w:rPr>
          <w:rFonts w:cs="ArialUnicodeMS"/>
        </w:rPr>
        <w:t>the study design; in the collection, analysis, and interpretation of data; in the writing of the report; and in the decision to submit the article for publication.</w:t>
      </w:r>
      <w:r w:rsidR="00F05FF2">
        <w:rPr>
          <w:rFonts w:cs="ArialUnicodeMS"/>
        </w:rPr>
        <w:t xml:space="preserve"> Researchers were independent of the funders</w:t>
      </w:r>
      <w:r w:rsidR="008519A8">
        <w:rPr>
          <w:rFonts w:cs="ArialUnicodeMS"/>
        </w:rPr>
        <w:t>.</w:t>
      </w:r>
    </w:p>
    <w:p w14:paraId="43E95D7C" w14:textId="77777777" w:rsidR="00B34FFE" w:rsidRDefault="00B34FFE" w:rsidP="004977A3">
      <w:pPr>
        <w:autoSpaceDE w:val="0"/>
        <w:autoSpaceDN w:val="0"/>
        <w:adjustRightInd w:val="0"/>
        <w:spacing w:after="0" w:line="360" w:lineRule="auto"/>
        <w:rPr>
          <w:rFonts w:cs="ArialUnicodeMS"/>
        </w:rPr>
      </w:pPr>
    </w:p>
    <w:p w14:paraId="6AB426F3" w14:textId="5D764AD1" w:rsidR="00B34FFE" w:rsidRPr="004977A3" w:rsidRDefault="00B34FFE" w:rsidP="004977A3">
      <w:pPr>
        <w:autoSpaceDE w:val="0"/>
        <w:autoSpaceDN w:val="0"/>
        <w:adjustRightInd w:val="0"/>
        <w:spacing w:after="0" w:line="360" w:lineRule="auto"/>
      </w:pPr>
      <w:r>
        <w:t>A</w:t>
      </w:r>
      <w:r w:rsidRPr="00B34FFE">
        <w:t>ll authors</w:t>
      </w:r>
      <w:r>
        <w:t xml:space="preserve"> </w:t>
      </w:r>
      <w:r w:rsidRPr="00B34FFE">
        <w:t>had full access to all of the data in the study and can take responsibility for the integrity of the data and the accuracy of the data analysis.</w:t>
      </w:r>
    </w:p>
    <w:p w14:paraId="1F4EF736" w14:textId="77777777" w:rsidR="009E19EB" w:rsidRDefault="009E19EB" w:rsidP="004977A3">
      <w:pPr>
        <w:spacing w:after="0" w:line="360" w:lineRule="auto"/>
        <w:contextualSpacing/>
      </w:pPr>
    </w:p>
    <w:p w14:paraId="2A30BAC4" w14:textId="77777777" w:rsidR="00B34FFE" w:rsidRDefault="00B34FFE" w:rsidP="004977A3">
      <w:pPr>
        <w:spacing w:after="0" w:line="360" w:lineRule="auto"/>
        <w:contextualSpacing/>
      </w:pPr>
      <w:r w:rsidRPr="00B34FFE">
        <w:rPr>
          <w:b/>
        </w:rPr>
        <w:t>Transparency declaration</w:t>
      </w:r>
    </w:p>
    <w:p w14:paraId="5DAE4E64" w14:textId="28322B2B" w:rsidR="00B34FFE" w:rsidRPr="004977A3" w:rsidRDefault="00B34FFE" w:rsidP="004977A3">
      <w:pPr>
        <w:spacing w:after="0" w:line="360" w:lineRule="auto"/>
        <w:contextualSpacing/>
      </w:pPr>
      <w:r>
        <w:t>JKM</w:t>
      </w:r>
      <w:r w:rsidRPr="00B34FFE">
        <w:t xml:space="preserve"> affirms that the manuscript is an honest, accurate, and transparent account of the study being reported; that no important aspects of the study have been omitted; and that any discrepancies from the study as planned have been explained</w:t>
      </w:r>
      <w:r>
        <w:t>.</w:t>
      </w:r>
    </w:p>
    <w:p w14:paraId="336E9647" w14:textId="77777777" w:rsidR="009E19EB" w:rsidRDefault="009E19EB" w:rsidP="00A52F59">
      <w:pPr>
        <w:spacing w:after="0" w:line="360" w:lineRule="auto"/>
        <w:contextualSpacing/>
      </w:pPr>
    </w:p>
    <w:p w14:paraId="087F9801" w14:textId="3751DD24" w:rsidR="002B5929" w:rsidRPr="00F05FF2" w:rsidRDefault="00F05FF2" w:rsidP="00A52F59">
      <w:pPr>
        <w:spacing w:after="0" w:line="360" w:lineRule="auto"/>
        <w:contextualSpacing/>
        <w:rPr>
          <w:b/>
        </w:rPr>
      </w:pPr>
      <w:r w:rsidRPr="00F05FF2">
        <w:rPr>
          <w:b/>
        </w:rPr>
        <w:t>Details of Contributors</w:t>
      </w:r>
    </w:p>
    <w:p w14:paraId="7A28C077" w14:textId="1E21230C" w:rsidR="00F05FF2" w:rsidRDefault="006A6956" w:rsidP="00F05FF2">
      <w:pPr>
        <w:spacing w:after="0" w:line="360" w:lineRule="auto"/>
        <w:contextualSpacing/>
      </w:pPr>
      <w:r>
        <w:t xml:space="preserve">JKM, </w:t>
      </w:r>
      <w:r w:rsidR="00F05FF2">
        <w:t xml:space="preserve">JR </w:t>
      </w:r>
      <w:r>
        <w:t xml:space="preserve">and EG </w:t>
      </w:r>
      <w:r w:rsidR="00F05FF2">
        <w:t>conceived the study. JKM did the statistical analysis and wrote the first draft</w:t>
      </w:r>
    </w:p>
    <w:p w14:paraId="434EBF3B" w14:textId="544B88B6" w:rsidR="00F05FF2" w:rsidRDefault="00F05FF2" w:rsidP="00F05FF2">
      <w:pPr>
        <w:spacing w:after="0" w:line="360" w:lineRule="auto"/>
        <w:contextualSpacing/>
      </w:pPr>
      <w:proofErr w:type="gramStart"/>
      <w:r>
        <w:t>of</w:t>
      </w:r>
      <w:proofErr w:type="gramEnd"/>
      <w:r>
        <w:t xml:space="preserve"> the article. </w:t>
      </w:r>
      <w:r w:rsidR="006A6956">
        <w:t>EG wrote the questionnaire and distributed i</w:t>
      </w:r>
      <w:r w:rsidR="00A87682">
        <w:t>t</w:t>
      </w:r>
      <w:r w:rsidR="006A6956">
        <w:t xml:space="preserve">. </w:t>
      </w:r>
      <w:r>
        <w:t>JR</w:t>
      </w:r>
      <w:r w:rsidR="006A6956">
        <w:t>, EG</w:t>
      </w:r>
      <w:r w:rsidR="006911B9">
        <w:t>, ML</w:t>
      </w:r>
      <w:r w:rsidR="006A6956">
        <w:t xml:space="preserve"> and HD </w:t>
      </w:r>
      <w:r>
        <w:t>made substantial contributions to interpretation of results and revision of the manuscript. All other co-authors were registry representatives from EUROCAT participating</w:t>
      </w:r>
      <w:r w:rsidR="00A75BA0">
        <w:t xml:space="preserve"> </w:t>
      </w:r>
      <w:r>
        <w:t>registries. They contributed and validated their data and participated in the interpretation of results and critical revision of manuscript. JKM is the guarantor.</w:t>
      </w:r>
    </w:p>
    <w:p w14:paraId="04374135" w14:textId="77777777" w:rsidR="00F05FF2" w:rsidRPr="00F05FF2" w:rsidRDefault="00F05FF2" w:rsidP="00F05FF2">
      <w:pPr>
        <w:spacing w:after="0" w:line="360" w:lineRule="auto"/>
      </w:pPr>
    </w:p>
    <w:p w14:paraId="5AEC395F" w14:textId="68BE0831" w:rsidR="00F05FF2" w:rsidRPr="00F05FF2" w:rsidRDefault="00F05FF2" w:rsidP="00F05FF2">
      <w:pPr>
        <w:spacing w:after="0" w:line="360" w:lineRule="auto"/>
        <w:rPr>
          <w:b/>
        </w:rPr>
      </w:pPr>
      <w:r w:rsidRPr="00F05FF2">
        <w:rPr>
          <w:b/>
        </w:rPr>
        <w:t>Ethics</w:t>
      </w:r>
    </w:p>
    <w:p w14:paraId="7703AAB2" w14:textId="7D209A7E" w:rsidR="00F05FF2" w:rsidRPr="00F05FF2" w:rsidRDefault="00F05FF2" w:rsidP="00F05FF2">
      <w:pPr>
        <w:spacing w:after="0" w:line="360" w:lineRule="auto"/>
        <w:rPr>
          <w:rFonts w:cs="MetaSerifProBook-Regular"/>
        </w:rPr>
      </w:pPr>
      <w:r w:rsidRPr="00F05FF2">
        <w:rPr>
          <w:rFonts w:cs="MetaSerifProBook-Regular"/>
        </w:rPr>
        <w:t>Local procedures regarding ethics</w:t>
      </w:r>
      <w:r>
        <w:rPr>
          <w:rFonts w:cs="MetaSerifProBook-Regular"/>
        </w:rPr>
        <w:t xml:space="preserve"> </w:t>
      </w:r>
      <w:r w:rsidRPr="00F05FF2">
        <w:rPr>
          <w:rFonts w:cs="MetaSerifProBook-Regular"/>
        </w:rPr>
        <w:t>approval for the registries’ activities and their collaborations</w:t>
      </w:r>
      <w:r>
        <w:rPr>
          <w:rFonts w:cs="MetaSerifProBook-Regular"/>
        </w:rPr>
        <w:t xml:space="preserve"> </w:t>
      </w:r>
      <w:r w:rsidRPr="00F05FF2">
        <w:rPr>
          <w:rFonts w:cs="MetaSerifProBook-Regular"/>
        </w:rPr>
        <w:t>with EUROCAT are available on the EUROCAT</w:t>
      </w:r>
      <w:r>
        <w:rPr>
          <w:rFonts w:cs="MetaSerifProBook-Regular"/>
        </w:rPr>
        <w:t xml:space="preserve"> </w:t>
      </w:r>
      <w:r w:rsidRPr="00F05FF2">
        <w:rPr>
          <w:rFonts w:cs="MetaSerifProBook-Regular"/>
        </w:rPr>
        <w:t>website (www.eurocat-</w:t>
      </w:r>
      <w:r>
        <w:rPr>
          <w:rFonts w:cs="MetaSerifProBook-Regular"/>
        </w:rPr>
        <w:t>network.eu/ABOUTUS/Member-</w:t>
      </w:r>
      <w:r w:rsidRPr="00F05FF2">
        <w:rPr>
          <w:rFonts w:cs="MetaSerifProBook-Regular"/>
        </w:rPr>
        <w:t>Registries/</w:t>
      </w:r>
      <w:r>
        <w:rPr>
          <w:rFonts w:cs="MetaSerifProBook-Regular"/>
        </w:rPr>
        <w:t xml:space="preserve"> </w:t>
      </w:r>
      <w:proofErr w:type="spellStart"/>
      <w:r w:rsidRPr="00F05FF2">
        <w:rPr>
          <w:rFonts w:cs="MetaSerifProBook-Regular"/>
        </w:rPr>
        <w:t>MembersAndRegistryDescriptions</w:t>
      </w:r>
      <w:proofErr w:type="spellEnd"/>
      <w:r w:rsidRPr="00F05FF2">
        <w:rPr>
          <w:rFonts w:cs="MetaSerifProBook-Regular"/>
        </w:rPr>
        <w:t>/</w:t>
      </w:r>
      <w:proofErr w:type="spellStart"/>
      <w:r w:rsidRPr="00F05FF2">
        <w:rPr>
          <w:rFonts w:cs="MetaSerifProBook-Regular"/>
        </w:rPr>
        <w:t>AllMembers</w:t>
      </w:r>
      <w:proofErr w:type="spellEnd"/>
      <w:r w:rsidRPr="00F05FF2">
        <w:rPr>
          <w:rFonts w:cs="MetaSerifProBook-Regular"/>
        </w:rPr>
        <w:t>)</w:t>
      </w:r>
      <w:r w:rsidR="00A87682">
        <w:rPr>
          <w:rFonts w:cs="MetaSerifProBook-Regular"/>
        </w:rPr>
        <w:t>.</w:t>
      </w:r>
    </w:p>
    <w:p w14:paraId="4C582F9F" w14:textId="69127688" w:rsidR="00F05FF2" w:rsidRDefault="00F05FF2" w:rsidP="00F05FF2">
      <w:pPr>
        <w:spacing w:after="0" w:line="360" w:lineRule="auto"/>
        <w:rPr>
          <w:rFonts w:cs="MetaSerifProBook-Regular"/>
        </w:rPr>
      </w:pPr>
      <w:r>
        <w:rPr>
          <w:rFonts w:cs="MetaSerifProBook-Regular"/>
        </w:rPr>
        <w:t xml:space="preserve"> </w:t>
      </w:r>
    </w:p>
    <w:p w14:paraId="7E2F64D0" w14:textId="73F878EA" w:rsidR="00B34FFE" w:rsidRPr="004218FD" w:rsidRDefault="00B34FFE" w:rsidP="00F05FF2">
      <w:pPr>
        <w:spacing w:after="0" w:line="360" w:lineRule="auto"/>
        <w:rPr>
          <w:b/>
        </w:rPr>
      </w:pPr>
      <w:r w:rsidRPr="004218FD">
        <w:rPr>
          <w:rFonts w:cs="MetaSerifProBook-Regular"/>
          <w:b/>
        </w:rPr>
        <w:t xml:space="preserve">Data Sharing </w:t>
      </w:r>
      <w:r w:rsidRPr="004218FD">
        <w:rPr>
          <w:b/>
        </w:rPr>
        <w:t xml:space="preserve">Statement </w:t>
      </w:r>
    </w:p>
    <w:p w14:paraId="4CB27D87" w14:textId="48E53D8E" w:rsidR="00B34FFE" w:rsidRPr="00B34FFE" w:rsidRDefault="000F73BD" w:rsidP="00F05FF2">
      <w:pPr>
        <w:spacing w:after="0" w:line="360" w:lineRule="auto"/>
        <w:rPr>
          <w:rFonts w:cs="MetaSerifProBook-Regular"/>
        </w:rPr>
      </w:pPr>
      <w:r>
        <w:t>The data used in this study belong to the individual registries.</w:t>
      </w:r>
      <w:r w:rsidR="002B327C">
        <w:t xml:space="preserve"> </w:t>
      </w:r>
      <w:r>
        <w:t>However, r</w:t>
      </w:r>
      <w:r w:rsidR="00D55C41">
        <w:t xml:space="preserve">equests for </w:t>
      </w:r>
      <w:r w:rsidR="00D55C41" w:rsidRPr="00D55C41">
        <w:t xml:space="preserve">case data can be made to </w:t>
      </w:r>
      <w:r w:rsidR="00D55C41">
        <w:t xml:space="preserve">the </w:t>
      </w:r>
      <w:r w:rsidR="00D55C41" w:rsidRPr="00B34FFE">
        <w:t xml:space="preserve">JRC-EUROCAT Central Registry </w:t>
      </w:r>
      <w:r w:rsidR="00D55C41">
        <w:t>(</w:t>
      </w:r>
      <w:hyperlink r:id="rId10" w:history="1">
        <w:r w:rsidR="00D55C41">
          <w:rPr>
            <w:rStyle w:val="Hyperlink"/>
          </w:rPr>
          <w:t>JRC-EUROCAT@ec.europa.eu</w:t>
        </w:r>
      </w:hyperlink>
      <w:r w:rsidR="00D55C41">
        <w:t xml:space="preserve">) </w:t>
      </w:r>
      <w:r w:rsidR="00D55C41" w:rsidRPr="00D55C41">
        <w:t xml:space="preserve">who will </w:t>
      </w:r>
      <w:r>
        <w:t>ask</w:t>
      </w:r>
      <w:r w:rsidR="00D55C41" w:rsidRPr="00D55C41">
        <w:t xml:space="preserve"> the individual registries permission to use the data.</w:t>
      </w:r>
      <w:r w:rsidR="002B327C">
        <w:t xml:space="preserve"> </w:t>
      </w:r>
      <w:r w:rsidR="00D55C41" w:rsidRPr="00D55C41">
        <w:t>Aggregate data</w:t>
      </w:r>
      <w:r w:rsidR="00932F6B">
        <w:t>, updated bi</w:t>
      </w:r>
      <w:r w:rsidR="004218FD">
        <w:t>an</w:t>
      </w:r>
      <w:r w:rsidR="00932F6B">
        <w:t>nually,</w:t>
      </w:r>
      <w:r w:rsidR="00D55C41" w:rsidRPr="00D55C41">
        <w:t xml:space="preserve"> are available from the EUROCAT website http://www.eurocat-network.eu/accessprevalencedata/prevalencetables.</w:t>
      </w:r>
      <w:r w:rsidR="002B327C">
        <w:t xml:space="preserve"> </w:t>
      </w:r>
      <w:r w:rsidR="00932F6B">
        <w:t>D</w:t>
      </w:r>
      <w:r w:rsidR="00D55C41">
        <w:t xml:space="preserve">ata </w:t>
      </w:r>
      <w:r w:rsidR="00932F6B">
        <w:t xml:space="preserve">included </w:t>
      </w:r>
      <w:r w:rsidR="00D55C41">
        <w:t xml:space="preserve">in the paper was extracted from the EUROCAT database in </w:t>
      </w:r>
      <w:r w:rsidR="00932F6B">
        <w:t>April</w:t>
      </w:r>
      <w:r w:rsidR="00D55C41">
        <w:t xml:space="preserve"> 2014</w:t>
      </w:r>
      <w:r w:rsidR="008519A8">
        <w:t>.</w:t>
      </w:r>
    </w:p>
    <w:p w14:paraId="3361DC96" w14:textId="77777777" w:rsidR="00F05FF2" w:rsidRDefault="00F05FF2" w:rsidP="00A52F59">
      <w:pPr>
        <w:spacing w:after="0" w:line="360" w:lineRule="auto"/>
        <w:contextualSpacing/>
      </w:pPr>
    </w:p>
    <w:p w14:paraId="07D822F5" w14:textId="4FCDC90E" w:rsidR="002B5929" w:rsidRDefault="002B5929" w:rsidP="005E1CCA">
      <w:pPr>
        <w:rPr>
          <w:b/>
        </w:rPr>
      </w:pPr>
      <w:r w:rsidRPr="002B5929">
        <w:rPr>
          <w:b/>
        </w:rPr>
        <w:t xml:space="preserve">References </w:t>
      </w:r>
    </w:p>
    <w:p w14:paraId="62BFF31D" w14:textId="64568E8A" w:rsidR="00EC2332" w:rsidRDefault="00EC2332" w:rsidP="00EC2332">
      <w:pPr>
        <w:spacing w:after="0" w:line="360" w:lineRule="auto"/>
      </w:pPr>
      <w:r>
        <w:t xml:space="preserve">1. </w:t>
      </w:r>
      <w:r w:rsidRPr="00026783">
        <w:t xml:space="preserve">Dolk H. The predictive value of microcephaly during the first year of life for mental retardation at seven years. Dev Med Child </w:t>
      </w:r>
      <w:proofErr w:type="spellStart"/>
      <w:r w:rsidRPr="00026783">
        <w:t>Neurol</w:t>
      </w:r>
      <w:proofErr w:type="spellEnd"/>
      <w:r w:rsidRPr="00026783">
        <w:t xml:space="preserve"> (1991) 33: 974-983</w:t>
      </w:r>
    </w:p>
    <w:p w14:paraId="7658B3EA" w14:textId="3F8FE4C8" w:rsidR="000F79B4" w:rsidRDefault="000F79B4" w:rsidP="000F79B4">
      <w:pPr>
        <w:spacing w:after="0" w:line="360" w:lineRule="auto"/>
      </w:pPr>
      <w:r>
        <w:t xml:space="preserve">2. von der Hagen M, </w:t>
      </w:r>
      <w:proofErr w:type="spellStart"/>
      <w:r>
        <w:t>Pivarcsi</w:t>
      </w:r>
      <w:proofErr w:type="spellEnd"/>
      <w:r>
        <w:t xml:space="preserve"> M, </w:t>
      </w:r>
      <w:proofErr w:type="spellStart"/>
      <w:r>
        <w:t>Liebe</w:t>
      </w:r>
      <w:proofErr w:type="spellEnd"/>
      <w:r>
        <w:t xml:space="preserve"> J, et al. Diagnostic approach to microcephaly in childhood: a two-</w:t>
      </w:r>
      <w:proofErr w:type="spellStart"/>
      <w:r>
        <w:t>center</w:t>
      </w:r>
      <w:proofErr w:type="spellEnd"/>
      <w:r>
        <w:t xml:space="preserve"> study and review of the literature. Dev Med Child </w:t>
      </w:r>
      <w:proofErr w:type="spellStart"/>
      <w:r>
        <w:t>Neurol</w:t>
      </w:r>
      <w:proofErr w:type="spellEnd"/>
      <w:r>
        <w:t xml:space="preserve"> 2014</w:t>
      </w:r>
      <w:proofErr w:type="gramStart"/>
      <w:r>
        <w:t>;56:732</w:t>
      </w:r>
      <w:proofErr w:type="gramEnd"/>
      <w:r>
        <w:t>–741. http://dx.doi</w:t>
      </w:r>
    </w:p>
    <w:p w14:paraId="2D15E49F" w14:textId="43FB1237" w:rsidR="000F79B4" w:rsidRPr="00026783" w:rsidRDefault="000F79B4" w:rsidP="000F79B4">
      <w:pPr>
        <w:spacing w:after="0" w:line="360" w:lineRule="auto"/>
      </w:pPr>
      <w:r>
        <w:t>.org/10.1111/dmcn.12425.</w:t>
      </w:r>
    </w:p>
    <w:p w14:paraId="4B22BDC8" w14:textId="73D6D163" w:rsidR="00547969" w:rsidRDefault="0006609D" w:rsidP="008B42ED">
      <w:pPr>
        <w:spacing w:after="0" w:line="360" w:lineRule="auto"/>
      </w:pPr>
      <w:r>
        <w:t>3</w:t>
      </w:r>
      <w:r w:rsidR="00EC2332">
        <w:t xml:space="preserve">. </w:t>
      </w:r>
      <w:r w:rsidR="00072A75" w:rsidRPr="00072A75">
        <w:t xml:space="preserve">Schuler-Faccini L, Ribeiro EM, </w:t>
      </w:r>
      <w:proofErr w:type="spellStart"/>
      <w:r w:rsidR="00072A75" w:rsidRPr="00072A75">
        <w:t>Feitosa</w:t>
      </w:r>
      <w:proofErr w:type="spellEnd"/>
      <w:r w:rsidR="00072A75" w:rsidRPr="00072A75">
        <w:t xml:space="preserve"> IM, et al. </w:t>
      </w:r>
      <w:r w:rsidR="00547969" w:rsidRPr="00026783">
        <w:t xml:space="preserve">Possible association between </w:t>
      </w:r>
      <w:proofErr w:type="spellStart"/>
      <w:r w:rsidR="00547969" w:rsidRPr="00026783">
        <w:t>Zika</w:t>
      </w:r>
      <w:proofErr w:type="spellEnd"/>
      <w:r w:rsidR="00547969" w:rsidRPr="00026783">
        <w:t xml:space="preserve"> virus infection and microcephaly — Brazil, 2015. MMWR </w:t>
      </w:r>
      <w:proofErr w:type="spellStart"/>
      <w:r w:rsidR="00547969" w:rsidRPr="00026783">
        <w:t>Morb</w:t>
      </w:r>
      <w:proofErr w:type="spellEnd"/>
      <w:r w:rsidR="00547969" w:rsidRPr="00026783">
        <w:t xml:space="preserve"> Mortal </w:t>
      </w:r>
      <w:proofErr w:type="spellStart"/>
      <w:r w:rsidR="00547969" w:rsidRPr="00026783">
        <w:t>Wkly</w:t>
      </w:r>
      <w:proofErr w:type="spellEnd"/>
      <w:r w:rsidR="00547969" w:rsidRPr="00026783">
        <w:t xml:space="preserve"> Rep 2016</w:t>
      </w:r>
      <w:proofErr w:type="gramStart"/>
      <w:r w:rsidR="00547969" w:rsidRPr="00026783">
        <w:t>;65:59</w:t>
      </w:r>
      <w:proofErr w:type="gramEnd"/>
      <w:r w:rsidR="00547969" w:rsidRPr="00026783">
        <w:t>-62</w:t>
      </w:r>
      <w:r w:rsidR="00072A75" w:rsidRPr="00072A75">
        <w:rPr>
          <w:rFonts w:ascii="Helvetica" w:hAnsi="Helvetica"/>
          <w:color w:val="333333"/>
          <w:sz w:val="21"/>
          <w:szCs w:val="21"/>
          <w:lang w:val="en-US"/>
        </w:rPr>
        <w:t xml:space="preserve"> </w:t>
      </w:r>
      <w:r w:rsidR="00072A75">
        <w:rPr>
          <w:rFonts w:ascii="Helvetica" w:hAnsi="Helvetica"/>
          <w:color w:val="333333"/>
          <w:sz w:val="21"/>
          <w:szCs w:val="21"/>
          <w:lang w:val="en-US"/>
        </w:rPr>
        <w:t xml:space="preserve">. DOI: </w:t>
      </w:r>
      <w:hyperlink r:id="rId11" w:tgtFrame="_self" w:history="1">
        <w:r w:rsidR="00072A75">
          <w:rPr>
            <w:rFonts w:ascii="Helvetica" w:hAnsi="Helvetica"/>
            <w:color w:val="075290"/>
            <w:sz w:val="21"/>
            <w:szCs w:val="21"/>
            <w:u w:val="single"/>
            <w:lang w:val="en-US"/>
          </w:rPr>
          <w:t>http://dx.doi.org/10.15585/mmwr.mm6503e2</w:t>
        </w:r>
      </w:hyperlink>
    </w:p>
    <w:p w14:paraId="121BA0C9" w14:textId="132BAE6A" w:rsidR="00EC2332" w:rsidRDefault="0006609D" w:rsidP="00EC2332">
      <w:pPr>
        <w:spacing w:after="0" w:line="360" w:lineRule="auto"/>
      </w:pPr>
      <w:r>
        <w:t>4</w:t>
      </w:r>
      <w:r w:rsidR="00EC2332">
        <w:t xml:space="preserve">. Rasmussen SA, Jamieson DJ, </w:t>
      </w:r>
      <w:proofErr w:type="spellStart"/>
      <w:r w:rsidR="00EC2332">
        <w:t>Honein</w:t>
      </w:r>
      <w:proofErr w:type="spellEnd"/>
      <w:r w:rsidR="00EC2332">
        <w:t xml:space="preserve"> MA, Petersen LR. Zika virus and birth defects — reviewing the evidence for causality. N </w:t>
      </w:r>
      <w:proofErr w:type="spellStart"/>
      <w:r w:rsidR="00EC2332">
        <w:t>Engl</w:t>
      </w:r>
      <w:proofErr w:type="spellEnd"/>
      <w:r w:rsidR="00EC2332">
        <w:t xml:space="preserve"> J Med 2016; 374: 1981-7.</w:t>
      </w:r>
    </w:p>
    <w:p w14:paraId="757FD0AC" w14:textId="0DCEDE45" w:rsidR="00EC2332" w:rsidRPr="00026783" w:rsidRDefault="0006609D" w:rsidP="00EC2332">
      <w:pPr>
        <w:spacing w:after="0" w:line="360" w:lineRule="auto"/>
      </w:pPr>
      <w:r>
        <w:t>5</w:t>
      </w:r>
      <w:r w:rsidR="00EC2332">
        <w:t xml:space="preserve">. </w:t>
      </w:r>
      <w:proofErr w:type="spellStart"/>
      <w:r w:rsidR="00EC2332">
        <w:t>Mysorekar</w:t>
      </w:r>
      <w:proofErr w:type="spellEnd"/>
      <w:r w:rsidR="00EC2332">
        <w:t xml:space="preserve"> IU, </w:t>
      </w:r>
      <w:r w:rsidR="00EC2332" w:rsidRPr="008A6990">
        <w:t xml:space="preserve">Diamond MS. </w:t>
      </w:r>
      <w:proofErr w:type="spellStart"/>
      <w:r w:rsidR="00EC2332" w:rsidRPr="008A6990">
        <w:t>Modeling</w:t>
      </w:r>
      <w:proofErr w:type="spellEnd"/>
      <w:r w:rsidR="00EC2332" w:rsidRPr="008A6990">
        <w:t xml:space="preserve"> </w:t>
      </w:r>
      <w:proofErr w:type="spellStart"/>
      <w:r w:rsidR="00EC2332" w:rsidRPr="008A6990">
        <w:t>Zika</w:t>
      </w:r>
      <w:proofErr w:type="spellEnd"/>
      <w:r w:rsidR="00EC2332" w:rsidRPr="008A6990">
        <w:t xml:space="preserve"> Virus Infection in Pregnancy. N </w:t>
      </w:r>
      <w:proofErr w:type="spellStart"/>
      <w:r w:rsidR="00EC2332" w:rsidRPr="008A6990">
        <w:t>Engl</w:t>
      </w:r>
      <w:proofErr w:type="spellEnd"/>
      <w:r w:rsidR="00EC2332" w:rsidRPr="008A6990">
        <w:t xml:space="preserve"> J Med 2016. </w:t>
      </w:r>
      <w:r w:rsidR="008A6990" w:rsidRPr="00026783">
        <w:rPr>
          <w:rFonts w:cs="Arial"/>
          <w:color w:val="666666"/>
        </w:rPr>
        <w:t>DOI: 10.1056/NEJMcibr1605445</w:t>
      </w:r>
    </w:p>
    <w:p w14:paraId="77416590" w14:textId="5431B4AA" w:rsidR="004207AF" w:rsidRDefault="0006609D" w:rsidP="008B42ED">
      <w:pPr>
        <w:spacing w:after="0" w:line="360" w:lineRule="auto"/>
        <w:contextualSpacing/>
      </w:pPr>
      <w:r>
        <w:t>6</w:t>
      </w:r>
      <w:r w:rsidR="002B5929">
        <w:t>.</w:t>
      </w:r>
      <w:r w:rsidR="004207AF" w:rsidRPr="004207AF">
        <w:t xml:space="preserve"> Boyd PA, Haeusler M, Barisic I, Loane M, Garne E, Dolk H. The EUROCAT network: organisation and processes. Birth Defects Res A </w:t>
      </w:r>
      <w:proofErr w:type="spellStart"/>
      <w:r w:rsidR="004207AF" w:rsidRPr="004207AF">
        <w:t>Clin</w:t>
      </w:r>
      <w:proofErr w:type="spellEnd"/>
      <w:r w:rsidR="004207AF" w:rsidRPr="004207AF">
        <w:t xml:space="preserve"> </w:t>
      </w:r>
      <w:proofErr w:type="spellStart"/>
      <w:r w:rsidR="004207AF" w:rsidRPr="004207AF">
        <w:t>Mol</w:t>
      </w:r>
      <w:proofErr w:type="spellEnd"/>
      <w:r w:rsidR="004207AF" w:rsidRPr="004207AF">
        <w:t xml:space="preserve"> </w:t>
      </w:r>
      <w:proofErr w:type="spellStart"/>
      <w:r w:rsidR="004207AF" w:rsidRPr="004207AF">
        <w:t>Teratol</w:t>
      </w:r>
      <w:proofErr w:type="spellEnd"/>
      <w:r w:rsidR="004207AF" w:rsidRPr="004207AF">
        <w:t xml:space="preserve"> 2011</w:t>
      </w:r>
      <w:proofErr w:type="gramStart"/>
      <w:r w:rsidR="004207AF" w:rsidRPr="004207AF">
        <w:t>;91:S2</w:t>
      </w:r>
      <w:proofErr w:type="gramEnd"/>
      <w:r w:rsidR="004207AF" w:rsidRPr="004207AF">
        <w:t>-S15.</w:t>
      </w:r>
      <w:r w:rsidR="002B5929">
        <w:t xml:space="preserve"> </w:t>
      </w:r>
    </w:p>
    <w:p w14:paraId="33D4D297" w14:textId="11ECAF0F" w:rsidR="002B5929" w:rsidRDefault="0006609D" w:rsidP="008B42ED">
      <w:pPr>
        <w:spacing w:after="0" w:line="360" w:lineRule="auto"/>
        <w:contextualSpacing/>
      </w:pPr>
      <w:r>
        <w:t>7</w:t>
      </w:r>
      <w:r w:rsidR="004207AF">
        <w:t xml:space="preserve">. </w:t>
      </w:r>
      <w:r w:rsidR="002B5929">
        <w:t xml:space="preserve">EUROCAT Guide 1.4 </w:t>
      </w:r>
      <w:hyperlink r:id="rId12" w:history="1">
        <w:r w:rsidR="004207AF" w:rsidRPr="006A3D88">
          <w:rPr>
            <w:rStyle w:val="Hyperlink"/>
          </w:rPr>
          <w:t>http://www.eurocat-network.eu/aboutus/datacollection/guidelinesforregistration/guide1_4 accessed 13 May 2016</w:t>
        </w:r>
      </w:hyperlink>
      <w:r w:rsidR="008B42ED">
        <w:t>.</w:t>
      </w:r>
    </w:p>
    <w:p w14:paraId="238A27F9" w14:textId="400488FF" w:rsidR="00FD7038" w:rsidRPr="004218FD" w:rsidRDefault="0006609D" w:rsidP="004218FD">
      <w:pPr>
        <w:spacing w:after="0" w:line="360" w:lineRule="auto"/>
        <w:contextualSpacing/>
      </w:pPr>
      <w:r>
        <w:t>8</w:t>
      </w:r>
      <w:r w:rsidR="00A87682">
        <w:t>.</w:t>
      </w:r>
      <w:r w:rsidR="00FD7038" w:rsidRPr="00FD7038">
        <w:t xml:space="preserve"> Loane M, Dolk H, Garne E, Greenlees R and EUROCAT Working Group (2011). </w:t>
      </w:r>
      <w:proofErr w:type="gramStart"/>
      <w:r w:rsidR="00FD7038" w:rsidRPr="00FD7038">
        <w:t xml:space="preserve">Paper 3: EUROCAT </w:t>
      </w:r>
      <w:r w:rsidR="00FD7038" w:rsidRPr="004218FD">
        <w:t>Data Quality Indicators for population-based registries of congenital anomalies.</w:t>
      </w:r>
      <w:proofErr w:type="gramEnd"/>
      <w:r w:rsidR="00FD7038" w:rsidRPr="004218FD">
        <w:t xml:space="preserve"> Birth Defects Research (Part A). 91: S23-S30.</w:t>
      </w:r>
    </w:p>
    <w:p w14:paraId="0C09F1CB" w14:textId="09088179" w:rsidR="00937AE4" w:rsidRPr="004218FD" w:rsidRDefault="0006609D" w:rsidP="004218FD">
      <w:pPr>
        <w:spacing w:after="0" w:line="360" w:lineRule="auto"/>
        <w:contextualSpacing/>
      </w:pPr>
      <w:r>
        <w:t>9</w:t>
      </w:r>
      <w:r w:rsidR="004207AF" w:rsidRPr="004218FD">
        <w:t xml:space="preserve">. EUROCAT. </w:t>
      </w:r>
      <w:proofErr w:type="gramStart"/>
      <w:r w:rsidR="004207AF" w:rsidRPr="004218FD">
        <w:t>EUROCAT Statistical Monitoring Protocol 2012.</w:t>
      </w:r>
      <w:proofErr w:type="gramEnd"/>
      <w:r w:rsidR="004207AF" w:rsidRPr="004218FD">
        <w:t xml:space="preserve"> </w:t>
      </w:r>
      <w:proofErr w:type="gramStart"/>
      <w:r w:rsidR="004207AF" w:rsidRPr="004218FD">
        <w:t>2014. http://www.eurocat-network.eu/content/Stat-Mon-Protocol-(April-2014)-2012.pdf.</w:t>
      </w:r>
      <w:proofErr w:type="gramEnd"/>
      <w:r w:rsidR="004207AF" w:rsidRPr="004218FD">
        <w:t xml:space="preserve"> </w:t>
      </w:r>
      <w:proofErr w:type="gramStart"/>
      <w:r w:rsidR="004207AF" w:rsidRPr="004218FD">
        <w:t>Accessed 23rd March 2015.</w:t>
      </w:r>
      <w:proofErr w:type="gramEnd"/>
    </w:p>
    <w:p w14:paraId="44467732" w14:textId="265BA27A" w:rsidR="00937AE4" w:rsidRPr="004218FD" w:rsidRDefault="0006609D" w:rsidP="004218FD">
      <w:pPr>
        <w:spacing w:after="0" w:line="360" w:lineRule="auto"/>
        <w:contextualSpacing/>
      </w:pPr>
      <w:r>
        <w:t>10</w:t>
      </w:r>
      <w:r w:rsidR="00A87682" w:rsidRPr="004218FD">
        <w:t xml:space="preserve">. </w:t>
      </w:r>
      <w:r w:rsidR="00937AE4" w:rsidRPr="004218FD">
        <w:t xml:space="preserve">Springett A, Wellesley D, </w:t>
      </w:r>
      <w:proofErr w:type="spellStart"/>
      <w:r w:rsidR="00937AE4" w:rsidRPr="004218FD">
        <w:t>Green</w:t>
      </w:r>
      <w:r w:rsidR="008848BC" w:rsidRPr="004218FD">
        <w:t>lees</w:t>
      </w:r>
      <w:proofErr w:type="spellEnd"/>
      <w:r w:rsidR="008848BC" w:rsidRPr="004218FD">
        <w:t xml:space="preserve"> R et al</w:t>
      </w:r>
      <w:r w:rsidR="00937AE4" w:rsidRPr="004218FD">
        <w:t xml:space="preserve">. Congenital anomalies associated with trisomy 18 or trisomy 13: A registry-based study in 16 </w:t>
      </w:r>
      <w:r w:rsidR="00A87682" w:rsidRPr="004218FD">
        <w:t>E</w:t>
      </w:r>
      <w:r w:rsidR="00937AE4" w:rsidRPr="004218FD">
        <w:t>uropean countries, 2000-2011.</w:t>
      </w:r>
      <w:r w:rsidR="00A87682" w:rsidRPr="004218FD">
        <w:t xml:space="preserve"> </w:t>
      </w:r>
      <w:proofErr w:type="gramStart"/>
      <w:r w:rsidR="00937AE4" w:rsidRPr="004218FD">
        <w:t xml:space="preserve">Am J Med Genet A </w:t>
      </w:r>
      <w:r w:rsidR="008848BC" w:rsidRPr="004218FD">
        <w:t xml:space="preserve">2015; </w:t>
      </w:r>
      <w:r w:rsidR="00937AE4" w:rsidRPr="004218FD">
        <w:t>167</w:t>
      </w:r>
      <w:r w:rsidR="008848BC" w:rsidRPr="004218FD">
        <w:t>:</w:t>
      </w:r>
      <w:r w:rsidR="00937AE4" w:rsidRPr="004218FD">
        <w:t xml:space="preserve"> 3062-3069.</w:t>
      </w:r>
      <w:proofErr w:type="gramEnd"/>
      <w:r w:rsidR="00937AE4" w:rsidRPr="004218FD">
        <w:t xml:space="preserve"> 10.1002/ajmg.a.37355</w:t>
      </w:r>
    </w:p>
    <w:p w14:paraId="31ED19FE" w14:textId="2474D98B" w:rsidR="008519A8" w:rsidRDefault="002B7850" w:rsidP="00072A75">
      <w:pPr>
        <w:autoSpaceDE w:val="0"/>
        <w:autoSpaceDN w:val="0"/>
        <w:adjustRightInd w:val="0"/>
        <w:spacing w:after="0" w:line="360" w:lineRule="auto"/>
        <w:contextualSpacing/>
        <w:rPr>
          <w:rFonts w:cs="TT1BFt00"/>
          <w:color w:val="000000"/>
        </w:rPr>
      </w:pPr>
      <w:r w:rsidRPr="004218FD">
        <w:rPr>
          <w:rFonts w:cs="TT1BFt00"/>
          <w:color w:val="000000"/>
        </w:rPr>
        <w:t>1</w:t>
      </w:r>
      <w:r w:rsidR="0006609D">
        <w:rPr>
          <w:rFonts w:cs="TT1BFt00"/>
          <w:color w:val="000000"/>
        </w:rPr>
        <w:t>1</w:t>
      </w:r>
      <w:r w:rsidRPr="004218FD">
        <w:rPr>
          <w:rFonts w:cs="TT1BFt00"/>
          <w:color w:val="000000"/>
        </w:rPr>
        <w:t xml:space="preserve">. World Health Organization. </w:t>
      </w:r>
      <w:proofErr w:type="gramStart"/>
      <w:r w:rsidRPr="004218FD">
        <w:rPr>
          <w:rFonts w:cs="TT1BFt00"/>
          <w:color w:val="000000"/>
        </w:rPr>
        <w:t xml:space="preserve">WHO Child Growth </w:t>
      </w:r>
      <w:proofErr w:type="spellStart"/>
      <w:r w:rsidRPr="004218FD">
        <w:rPr>
          <w:rFonts w:cs="TT1BFt00"/>
          <w:color w:val="000000"/>
        </w:rPr>
        <w:t>Standards.</w:t>
      </w:r>
      <w:r w:rsidRPr="004218FD">
        <w:rPr>
          <w:rFonts w:cs="TT1BFt00"/>
          <w:color w:val="0000FF"/>
        </w:rPr>
        <w:t>http</w:t>
      </w:r>
      <w:proofErr w:type="spellEnd"/>
      <w:r w:rsidRPr="004218FD">
        <w:rPr>
          <w:rFonts w:cs="TT1BFt00"/>
          <w:color w:val="0000FF"/>
        </w:rPr>
        <w:t xml:space="preserve">://www.who.int/childgrowth/en/ </w:t>
      </w:r>
      <w:r w:rsidRPr="004218FD">
        <w:rPr>
          <w:rFonts w:cs="TT1BFt00"/>
          <w:color w:val="000000"/>
        </w:rPr>
        <w:t>(last accessed 07 June 2016).</w:t>
      </w:r>
      <w:proofErr w:type="gramEnd"/>
      <w:r w:rsidRPr="004218FD">
        <w:rPr>
          <w:rFonts w:cs="TT1BFt00"/>
          <w:color w:val="000000"/>
        </w:rPr>
        <w:t xml:space="preserve"> 2007.</w:t>
      </w:r>
    </w:p>
    <w:p w14:paraId="7167604A" w14:textId="31CA7E51" w:rsidR="00C37830" w:rsidRPr="004218FD" w:rsidRDefault="00642923" w:rsidP="00072A75">
      <w:pPr>
        <w:autoSpaceDE w:val="0"/>
        <w:autoSpaceDN w:val="0"/>
        <w:adjustRightInd w:val="0"/>
        <w:spacing w:after="0" w:line="360" w:lineRule="auto"/>
        <w:contextualSpacing/>
      </w:pPr>
      <w:r w:rsidRPr="004218FD">
        <w:t>1</w:t>
      </w:r>
      <w:r w:rsidR="0006609D">
        <w:t>2</w:t>
      </w:r>
      <w:r w:rsidRPr="004218FD">
        <w:t>.</w:t>
      </w:r>
      <w:r w:rsidR="00C37830" w:rsidRPr="004218FD">
        <w:t xml:space="preserve"> </w:t>
      </w:r>
      <w:proofErr w:type="spellStart"/>
      <w:r w:rsidR="00C37830" w:rsidRPr="004218FD">
        <w:t>Kleber</w:t>
      </w:r>
      <w:proofErr w:type="spellEnd"/>
      <w:r w:rsidR="00C37830" w:rsidRPr="004218FD">
        <w:t xml:space="preserve"> de Oliveira W, Cortez-Escalante J, De Oliveira WT, et al. Increase in Reported Prevalence of Microcephaly in Infants Born to Women Living in Areas with Confirmed </w:t>
      </w:r>
      <w:proofErr w:type="spellStart"/>
      <w:r w:rsidR="00C37830" w:rsidRPr="004218FD">
        <w:t>Zika</w:t>
      </w:r>
      <w:proofErr w:type="spellEnd"/>
      <w:r w:rsidR="00C37830" w:rsidRPr="004218FD">
        <w:t xml:space="preserve"> Virus Transmission During the First Trimester of Pregnancy — Brazil, 2015. MMWR </w:t>
      </w:r>
      <w:proofErr w:type="spellStart"/>
      <w:r w:rsidR="00C37830" w:rsidRPr="004218FD">
        <w:t>Morb</w:t>
      </w:r>
      <w:proofErr w:type="spellEnd"/>
      <w:r w:rsidR="00C37830" w:rsidRPr="004218FD">
        <w:t xml:space="preserve"> Mortal </w:t>
      </w:r>
      <w:proofErr w:type="spellStart"/>
      <w:r w:rsidR="00C37830" w:rsidRPr="004218FD">
        <w:t>Wkly</w:t>
      </w:r>
      <w:proofErr w:type="spellEnd"/>
      <w:r w:rsidR="00C37830" w:rsidRPr="004218FD">
        <w:t xml:space="preserve"> Rep 2016</w:t>
      </w:r>
      <w:proofErr w:type="gramStart"/>
      <w:r w:rsidR="00C37830" w:rsidRPr="004218FD">
        <w:t>;65:242</w:t>
      </w:r>
      <w:proofErr w:type="gramEnd"/>
      <w:r w:rsidR="00C37830" w:rsidRPr="004218FD">
        <w:t xml:space="preserve">–247. DOI: </w:t>
      </w:r>
      <w:hyperlink r:id="rId13" w:history="1">
        <w:r w:rsidR="00C37830" w:rsidRPr="004218FD">
          <w:rPr>
            <w:rStyle w:val="Hyperlink"/>
          </w:rPr>
          <w:t>http://dx.doi.org/10.15585/mmwr.mm6509e2</w:t>
        </w:r>
      </w:hyperlink>
      <w:r w:rsidR="00C37830" w:rsidRPr="004218FD">
        <w:t>.</w:t>
      </w:r>
    </w:p>
    <w:p w14:paraId="2602E4E7" w14:textId="68244E3D" w:rsidR="00642923" w:rsidRPr="004218FD" w:rsidRDefault="00642923" w:rsidP="004218FD">
      <w:pPr>
        <w:spacing w:after="0" w:line="360" w:lineRule="auto"/>
        <w:contextualSpacing/>
      </w:pPr>
      <w:r w:rsidRPr="004218FD">
        <w:t>http://www.cdc.gov/mmwr/volumes/65/wr/mm6509e2.htm</w:t>
      </w:r>
    </w:p>
    <w:p w14:paraId="258555C1" w14:textId="405CB494" w:rsidR="00894BB3" w:rsidRPr="004218FD" w:rsidRDefault="00894BB3" w:rsidP="004218FD">
      <w:pPr>
        <w:autoSpaceDE w:val="0"/>
        <w:autoSpaceDN w:val="0"/>
        <w:adjustRightInd w:val="0"/>
        <w:spacing w:after="0" w:line="360" w:lineRule="auto"/>
        <w:contextualSpacing/>
        <w:rPr>
          <w:rFonts w:cs="Times-Roman"/>
          <w:color w:val="000000" w:themeColor="text1"/>
        </w:rPr>
      </w:pPr>
      <w:r w:rsidRPr="004218FD">
        <w:rPr>
          <w:rFonts w:cs="Times-Roman"/>
          <w:color w:val="000000" w:themeColor="text1"/>
        </w:rPr>
        <w:t>1</w:t>
      </w:r>
      <w:r w:rsidR="0006609D">
        <w:rPr>
          <w:rFonts w:cs="Times-Roman"/>
          <w:color w:val="000000" w:themeColor="text1"/>
        </w:rPr>
        <w:t>3</w:t>
      </w:r>
      <w:r w:rsidRPr="004218FD">
        <w:rPr>
          <w:rFonts w:cs="Times-Roman"/>
          <w:color w:val="000000" w:themeColor="text1"/>
        </w:rPr>
        <w:t xml:space="preserve">. </w:t>
      </w:r>
      <w:proofErr w:type="spellStart"/>
      <w:r w:rsidRPr="004218FD">
        <w:rPr>
          <w:rFonts w:cs="Times-Roman"/>
          <w:color w:val="000000" w:themeColor="text1"/>
        </w:rPr>
        <w:t>Bhide</w:t>
      </w:r>
      <w:proofErr w:type="spellEnd"/>
      <w:r w:rsidRPr="004218FD">
        <w:rPr>
          <w:rFonts w:cs="Times-Roman"/>
          <w:color w:val="000000" w:themeColor="text1"/>
        </w:rPr>
        <w:t xml:space="preserve"> P, </w:t>
      </w:r>
      <w:proofErr w:type="spellStart"/>
      <w:r w:rsidRPr="004218FD">
        <w:rPr>
          <w:rFonts w:cs="Times-Roman"/>
          <w:color w:val="000000" w:themeColor="text1"/>
        </w:rPr>
        <w:t>Kar</w:t>
      </w:r>
      <w:proofErr w:type="spellEnd"/>
      <w:r w:rsidRPr="004218FD">
        <w:rPr>
          <w:rFonts w:cs="Times-Roman"/>
          <w:color w:val="000000" w:themeColor="text1"/>
        </w:rPr>
        <w:t xml:space="preserve"> A. Birth prevalence of microcephaly in India. Bull World Health</w:t>
      </w:r>
    </w:p>
    <w:p w14:paraId="0737981F" w14:textId="5E8296FD" w:rsidR="00894BB3" w:rsidRPr="004218FD" w:rsidRDefault="00894BB3" w:rsidP="004218FD">
      <w:pPr>
        <w:spacing w:after="0" w:line="360" w:lineRule="auto"/>
        <w:contextualSpacing/>
        <w:rPr>
          <w:rFonts w:cs="Times-Roman"/>
          <w:color w:val="000000" w:themeColor="text1"/>
        </w:rPr>
      </w:pPr>
      <w:r w:rsidRPr="004218FD">
        <w:rPr>
          <w:rFonts w:cs="Times-Roman"/>
          <w:color w:val="000000" w:themeColor="text1"/>
        </w:rPr>
        <w:t xml:space="preserve">Organ E-pub: 23 Feb 2016. </w:t>
      </w:r>
      <w:proofErr w:type="spellStart"/>
      <w:proofErr w:type="gramStart"/>
      <w:r w:rsidRPr="004218FD">
        <w:rPr>
          <w:rFonts w:cs="Times-Roman"/>
          <w:color w:val="000000" w:themeColor="text1"/>
        </w:rPr>
        <w:t>doi</w:t>
      </w:r>
      <w:proofErr w:type="spellEnd"/>
      <w:proofErr w:type="gramEnd"/>
      <w:r w:rsidRPr="004218FD">
        <w:rPr>
          <w:rFonts w:cs="Times-Roman"/>
          <w:color w:val="000000" w:themeColor="text1"/>
        </w:rPr>
        <w:t xml:space="preserve">: </w:t>
      </w:r>
      <w:hyperlink r:id="rId14" w:history="1">
        <w:r w:rsidRPr="004218FD">
          <w:rPr>
            <w:rStyle w:val="Hyperlink"/>
            <w:rFonts w:cs="Times-Roman"/>
            <w:color w:val="000000" w:themeColor="text1"/>
          </w:rPr>
          <w:t>http://dx.doi.org/10.2471/BLT.16.172080</w:t>
        </w:r>
      </w:hyperlink>
    </w:p>
    <w:p w14:paraId="0036E166" w14:textId="3F8872B9" w:rsidR="00894BB3" w:rsidRPr="004218FD" w:rsidRDefault="00894BB3" w:rsidP="004218FD">
      <w:pPr>
        <w:spacing w:after="0" w:line="360" w:lineRule="auto"/>
        <w:contextualSpacing/>
        <w:rPr>
          <w:rFonts w:cs="Helvetica"/>
          <w:color w:val="000000" w:themeColor="text1"/>
          <w:lang w:val="en-US"/>
        </w:rPr>
      </w:pPr>
      <w:r w:rsidRPr="004218FD">
        <w:rPr>
          <w:rFonts w:cs="Helvetica"/>
          <w:color w:val="000000" w:themeColor="text1"/>
          <w:lang w:val="en-US"/>
        </w:rPr>
        <w:t>1</w:t>
      </w:r>
      <w:r w:rsidR="0006609D">
        <w:rPr>
          <w:rFonts w:cs="Helvetica"/>
          <w:color w:val="000000" w:themeColor="text1"/>
          <w:lang w:val="en-US"/>
        </w:rPr>
        <w:t>4</w:t>
      </w:r>
      <w:r w:rsidRPr="004218FD">
        <w:rPr>
          <w:rFonts w:cs="Helvetica"/>
          <w:color w:val="000000" w:themeColor="text1"/>
          <w:lang w:val="en-US"/>
        </w:rPr>
        <w:t>. National Birth Defects Prevention Network. Major birth defects data from population-based birth defects surveillance programs in the United States, 2006-2010. Birth Defects Research (Part A): Clinical and Molecular Teratology. 2013</w:t>
      </w:r>
      <w:proofErr w:type="gramStart"/>
      <w:r w:rsidRPr="004218FD">
        <w:rPr>
          <w:rFonts w:cs="Helvetica"/>
          <w:color w:val="000000" w:themeColor="text1"/>
          <w:lang w:val="en-US"/>
        </w:rPr>
        <w:t>;97:S1</w:t>
      </w:r>
      <w:proofErr w:type="gramEnd"/>
      <w:r w:rsidRPr="004218FD">
        <w:rPr>
          <w:rFonts w:cs="Helvetica"/>
          <w:color w:val="000000" w:themeColor="text1"/>
          <w:lang w:val="en-US"/>
        </w:rPr>
        <w:t>-S172.</w:t>
      </w:r>
    </w:p>
    <w:p w14:paraId="4362A74E" w14:textId="70A5FEB1" w:rsidR="009817F6" w:rsidRPr="004218FD" w:rsidRDefault="009817F6" w:rsidP="004218FD">
      <w:pPr>
        <w:spacing w:after="0" w:line="360" w:lineRule="auto"/>
        <w:contextualSpacing/>
        <w:rPr>
          <w:color w:val="000000" w:themeColor="text1"/>
        </w:rPr>
      </w:pPr>
      <w:r w:rsidRPr="004218FD">
        <w:rPr>
          <w:color w:val="000000" w:themeColor="text1"/>
        </w:rPr>
        <w:t>1</w:t>
      </w:r>
      <w:r w:rsidR="0006609D">
        <w:rPr>
          <w:color w:val="000000" w:themeColor="text1"/>
        </w:rPr>
        <w:t>5</w:t>
      </w:r>
      <w:r w:rsidRPr="004218FD">
        <w:rPr>
          <w:color w:val="000000" w:themeColor="text1"/>
        </w:rPr>
        <w:t xml:space="preserve">. Assessment of infants with microcephaly in the context of Zika virus Interim guidance 4 March 2016 “WHO/ZIKV/MOC/16.3 Rev.1” </w:t>
      </w:r>
      <w:hyperlink r:id="rId15" w:history="1">
        <w:r w:rsidRPr="004218FD">
          <w:rPr>
            <w:rStyle w:val="Hyperlink"/>
            <w:color w:val="000000" w:themeColor="text1"/>
          </w:rPr>
          <w:t>http://www.who.int/csr/resources/publications/zika/assessment-infants/en/</w:t>
        </w:r>
      </w:hyperlink>
      <w:r w:rsidRPr="004218FD">
        <w:rPr>
          <w:color w:val="000000" w:themeColor="text1"/>
        </w:rPr>
        <w:t xml:space="preserve"> accessed 13 May 2016.</w:t>
      </w:r>
    </w:p>
    <w:p w14:paraId="79F50F35" w14:textId="03BCD14B" w:rsidR="00E04DBB" w:rsidRPr="004218FD" w:rsidRDefault="00A87682" w:rsidP="004218FD">
      <w:pPr>
        <w:spacing w:after="0" w:line="360" w:lineRule="auto"/>
        <w:contextualSpacing/>
      </w:pPr>
      <w:r w:rsidRPr="004218FD">
        <w:t>1</w:t>
      </w:r>
      <w:r w:rsidR="0006609D">
        <w:t>6</w:t>
      </w:r>
      <w:r w:rsidR="004416FE" w:rsidRPr="004218FD">
        <w:t xml:space="preserve">. </w:t>
      </w:r>
      <w:proofErr w:type="spellStart"/>
      <w:r w:rsidR="004218FD">
        <w:t>Villar</w:t>
      </w:r>
      <w:proofErr w:type="spellEnd"/>
      <w:r w:rsidR="004218FD">
        <w:t xml:space="preserve"> J, Altman DG, </w:t>
      </w:r>
      <w:proofErr w:type="spellStart"/>
      <w:r w:rsidR="004218FD">
        <w:t>Purwar</w:t>
      </w:r>
      <w:proofErr w:type="spellEnd"/>
      <w:r w:rsidR="004218FD">
        <w:t xml:space="preserve"> M,</w:t>
      </w:r>
      <w:r w:rsidR="002B327C">
        <w:t xml:space="preserve"> </w:t>
      </w:r>
      <w:r w:rsidR="00072A75">
        <w:t xml:space="preserve">et al. </w:t>
      </w:r>
      <w:r w:rsidR="008B42ED" w:rsidRPr="004218FD">
        <w:t xml:space="preserve">International standards for </w:t>
      </w:r>
      <w:proofErr w:type="spellStart"/>
      <w:r w:rsidR="008B42ED" w:rsidRPr="004218FD">
        <w:t>newborn</w:t>
      </w:r>
      <w:proofErr w:type="spellEnd"/>
      <w:r w:rsidR="008B42ED" w:rsidRPr="004218FD">
        <w:t xml:space="preserve"> weight, length, and head circumference by gestational age and sex: the </w:t>
      </w:r>
      <w:proofErr w:type="spellStart"/>
      <w:r w:rsidR="008B42ED" w:rsidRPr="004218FD">
        <w:t>Newborn</w:t>
      </w:r>
      <w:proofErr w:type="spellEnd"/>
      <w:r w:rsidR="008B42ED" w:rsidRPr="004218FD">
        <w:t xml:space="preserve"> Cross-Sectional Study of the INTERGROWTH-21st Project. Lancet 2014; 384: 857–868.</w:t>
      </w:r>
    </w:p>
    <w:p w14:paraId="22C69C45" w14:textId="55FB30E4" w:rsidR="008B42ED" w:rsidRPr="004218FD" w:rsidRDefault="004218FD" w:rsidP="004218FD">
      <w:pPr>
        <w:spacing w:after="0" w:line="360" w:lineRule="auto"/>
        <w:contextualSpacing/>
      </w:pPr>
      <w:r w:rsidRPr="004218FD">
        <w:t>1</w:t>
      </w:r>
      <w:r w:rsidR="0006609D">
        <w:t>7</w:t>
      </w:r>
      <w:r w:rsidR="008B42ED" w:rsidRPr="004218FD">
        <w:t xml:space="preserve">. </w:t>
      </w:r>
      <w:proofErr w:type="spellStart"/>
      <w:r w:rsidR="008B42ED" w:rsidRPr="004218FD">
        <w:t>Júlíusson</w:t>
      </w:r>
      <w:proofErr w:type="spellEnd"/>
      <w:r w:rsidR="008B42ED" w:rsidRPr="004218FD">
        <w:t xml:space="preserve"> PB, </w:t>
      </w:r>
      <w:proofErr w:type="spellStart"/>
      <w:r w:rsidR="008B42ED" w:rsidRPr="004218FD">
        <w:t>Roelants</w:t>
      </w:r>
      <w:proofErr w:type="spellEnd"/>
      <w:r w:rsidR="008B42ED" w:rsidRPr="004218FD">
        <w:t xml:space="preserve"> M, </w:t>
      </w:r>
      <w:proofErr w:type="spellStart"/>
      <w:r w:rsidR="008B42ED" w:rsidRPr="004218FD">
        <w:t>Hoppenbrouwers</w:t>
      </w:r>
      <w:proofErr w:type="spellEnd"/>
      <w:r w:rsidR="008B42ED" w:rsidRPr="004218FD">
        <w:t xml:space="preserve"> K, Hauspie R, </w:t>
      </w:r>
      <w:proofErr w:type="spellStart"/>
      <w:proofErr w:type="gramStart"/>
      <w:r w:rsidR="008B42ED" w:rsidRPr="004218FD">
        <w:t>Bjerknes</w:t>
      </w:r>
      <w:proofErr w:type="spellEnd"/>
      <w:proofErr w:type="gramEnd"/>
      <w:r w:rsidR="008B42ED" w:rsidRPr="004218FD">
        <w:t xml:space="preserve"> R. Growth of Belgian and Norwegian children compared to the WHO growth standards: preval</w:t>
      </w:r>
      <w:r w:rsidR="009022A5" w:rsidRPr="004218FD">
        <w:t xml:space="preserve">ence below -2 and above +2 </w:t>
      </w:r>
      <w:r w:rsidR="00E937B0" w:rsidRPr="004218FD">
        <w:t>SD</w:t>
      </w:r>
      <w:r w:rsidR="008B42ED" w:rsidRPr="004218FD">
        <w:t xml:space="preserve"> and the effect of breastfeeding. </w:t>
      </w:r>
      <w:proofErr w:type="gramStart"/>
      <w:r w:rsidR="008B42ED" w:rsidRPr="004218FD">
        <w:t>Arch Dis Child.</w:t>
      </w:r>
      <w:proofErr w:type="gramEnd"/>
      <w:r w:rsidR="008B42ED" w:rsidRPr="004218FD">
        <w:t xml:space="preserve"> 2011</w:t>
      </w:r>
      <w:proofErr w:type="gramStart"/>
      <w:r w:rsidR="008B42ED" w:rsidRPr="004218FD">
        <w:t>;96:916</w:t>
      </w:r>
      <w:proofErr w:type="gramEnd"/>
      <w:r w:rsidR="008B42ED" w:rsidRPr="004218FD">
        <w:t xml:space="preserve">-21. </w:t>
      </w:r>
      <w:proofErr w:type="spellStart"/>
      <w:proofErr w:type="gramStart"/>
      <w:r w:rsidR="008B42ED" w:rsidRPr="004218FD">
        <w:t>doi</w:t>
      </w:r>
      <w:proofErr w:type="spellEnd"/>
      <w:proofErr w:type="gramEnd"/>
      <w:r w:rsidR="008B42ED" w:rsidRPr="004218FD">
        <w:t xml:space="preserve">: 10.1136/adc.2009.166157. </w:t>
      </w:r>
    </w:p>
    <w:p w14:paraId="2A3C119E" w14:textId="208F714C" w:rsidR="009B7036" w:rsidRPr="004218FD" w:rsidRDefault="008A6990" w:rsidP="004218FD">
      <w:pPr>
        <w:spacing w:after="0" w:line="360" w:lineRule="auto"/>
        <w:contextualSpacing/>
      </w:pPr>
      <w:r w:rsidRPr="004218FD">
        <w:t>1</w:t>
      </w:r>
      <w:r w:rsidR="0006609D">
        <w:t>8</w:t>
      </w:r>
      <w:r w:rsidR="009B7036" w:rsidRPr="004218FD">
        <w:t xml:space="preserve">. Wright C, </w:t>
      </w:r>
      <w:proofErr w:type="spellStart"/>
      <w:r w:rsidR="009B7036" w:rsidRPr="004218FD">
        <w:t>Lakshman</w:t>
      </w:r>
      <w:proofErr w:type="spellEnd"/>
      <w:r w:rsidR="009B7036" w:rsidRPr="004218FD">
        <w:t xml:space="preserve"> R, Emmett P, et al. Implications of adopting the WHO 2006 Child Growth Standard in the UK: two prospective cohort studies. Arch Dis Child 2008</w:t>
      </w:r>
      <w:proofErr w:type="gramStart"/>
      <w:r w:rsidR="009B7036" w:rsidRPr="004218FD">
        <w:t>;93:566</w:t>
      </w:r>
      <w:proofErr w:type="gramEnd"/>
      <w:r w:rsidR="009B7036" w:rsidRPr="004218FD">
        <w:t>–9.</w:t>
      </w:r>
    </w:p>
    <w:p w14:paraId="42FE8EC7" w14:textId="1AAC76E2" w:rsidR="008F5EDD" w:rsidRPr="004218FD" w:rsidRDefault="008F5EDD" w:rsidP="004218FD">
      <w:pPr>
        <w:spacing w:after="0" w:line="360" w:lineRule="auto"/>
        <w:contextualSpacing/>
      </w:pPr>
    </w:p>
    <w:p w14:paraId="6DA731A3" w14:textId="77777777" w:rsidR="006F3DBA" w:rsidRPr="004218FD" w:rsidRDefault="006F3DBA" w:rsidP="004218FD">
      <w:pPr>
        <w:spacing w:after="0" w:line="360" w:lineRule="auto"/>
        <w:contextualSpacing/>
      </w:pPr>
    </w:p>
    <w:p w14:paraId="3AC44BE6" w14:textId="77777777" w:rsidR="002B7850" w:rsidRDefault="002B7850" w:rsidP="0070748A">
      <w:pPr>
        <w:spacing w:after="0"/>
        <w:contextualSpacing/>
      </w:pPr>
    </w:p>
    <w:p w14:paraId="524F3FFD" w14:textId="77777777" w:rsidR="00B56639" w:rsidRDefault="00B56639">
      <w:r>
        <w:br w:type="page"/>
      </w:r>
    </w:p>
    <w:p w14:paraId="2718DF3A" w14:textId="77777777" w:rsidR="00B56639" w:rsidRDefault="00B56639">
      <w:r>
        <w:t>Legends to Figures</w:t>
      </w:r>
    </w:p>
    <w:p w14:paraId="3FB49CF2" w14:textId="245C98D4" w:rsidR="00B56639" w:rsidRDefault="00B56639" w:rsidP="00B56639">
      <w:r w:rsidRPr="00B56639">
        <w:t xml:space="preserve">Figure </w:t>
      </w:r>
      <w:proofErr w:type="gramStart"/>
      <w:r w:rsidRPr="00B56639">
        <w:t>1 :</w:t>
      </w:r>
      <w:proofErr w:type="gramEnd"/>
      <w:r w:rsidRPr="00B56639">
        <w:t xml:space="preserve"> European prevalence (per 10,000 births) and 95% CI</w:t>
      </w:r>
      <w:r w:rsidR="002B327C">
        <w:t xml:space="preserve"> </w:t>
      </w:r>
      <w:r w:rsidRPr="00B56639">
        <w:t xml:space="preserve">of microcephaly excluding </w:t>
      </w:r>
      <w:r w:rsidR="009E4DCC">
        <w:t>genetic conditions</w:t>
      </w:r>
      <w:r w:rsidRPr="00B56639">
        <w:t xml:space="preserve">: 1980-2012 </w:t>
      </w:r>
    </w:p>
    <w:p w14:paraId="1972EE11" w14:textId="77777777" w:rsidR="00B56639" w:rsidRDefault="00B56639" w:rsidP="00B56639"/>
    <w:p w14:paraId="45A9C6B3" w14:textId="64AC3D49" w:rsidR="00B56639" w:rsidRPr="00B56639" w:rsidRDefault="00B56639" w:rsidP="00B56639">
      <w:r w:rsidRPr="00B56639">
        <w:t>Figure 2: Prevalence (per 10,000 births) and 95% CI</w:t>
      </w:r>
      <w:r w:rsidR="002B327C">
        <w:t xml:space="preserve"> </w:t>
      </w:r>
      <w:r w:rsidRPr="00B56639">
        <w:t xml:space="preserve">of microcephaly excluding </w:t>
      </w:r>
      <w:r w:rsidR="009E4DCC">
        <w:t>genetic conditions</w:t>
      </w:r>
      <w:r w:rsidRPr="00B56639">
        <w:t xml:space="preserve"> according to EUROCAT registry (2003-2012) (European 95% CI in grey)</w:t>
      </w:r>
    </w:p>
    <w:p w14:paraId="6923BDF7" w14:textId="77777777" w:rsidR="00B56639" w:rsidRPr="00B56639" w:rsidRDefault="00B56639" w:rsidP="00B56639"/>
    <w:p w14:paraId="085E79A2" w14:textId="0F59527E" w:rsidR="004218FD" w:rsidRDefault="004218FD">
      <w:r>
        <w:br w:type="page"/>
      </w:r>
    </w:p>
    <w:p w14:paraId="0C5A2460" w14:textId="77777777" w:rsidR="004218FD" w:rsidRDefault="004218FD" w:rsidP="00401300">
      <w:pPr>
        <w:spacing w:after="0"/>
        <w:contextualSpacing/>
        <w:sectPr w:rsidR="004218FD" w:rsidSect="004218FD">
          <w:pgSz w:w="11906" w:h="16838"/>
          <w:pgMar w:top="1440" w:right="1440" w:bottom="1440" w:left="1440" w:header="709" w:footer="709" w:gutter="0"/>
          <w:cols w:space="708"/>
          <w:docGrid w:linePitch="360"/>
        </w:sectPr>
      </w:pPr>
    </w:p>
    <w:p w14:paraId="2E212AFC" w14:textId="0F5FB18B" w:rsidR="00401300" w:rsidRPr="00401300" w:rsidRDefault="00401300" w:rsidP="00401300">
      <w:pPr>
        <w:spacing w:after="0"/>
        <w:contextualSpacing/>
      </w:pPr>
      <w:r w:rsidRPr="00401300">
        <w:t xml:space="preserve">Table </w:t>
      </w:r>
      <w:proofErr w:type="gramStart"/>
      <w:r w:rsidRPr="00401300">
        <w:t>1 :</w:t>
      </w:r>
      <w:proofErr w:type="gramEnd"/>
      <w:r w:rsidRPr="00401300">
        <w:t xml:space="preserve"> Number of microcephaly cases </w:t>
      </w:r>
      <w:r w:rsidR="009E4DCC">
        <w:t xml:space="preserve">(excluding genetic conditions) </w:t>
      </w:r>
      <w:r w:rsidRPr="00401300">
        <w:t xml:space="preserve">according to EUROCAT registry since 1980 </w:t>
      </w:r>
    </w:p>
    <w:tbl>
      <w:tblPr>
        <w:tblW w:w="12915" w:type="dxa"/>
        <w:tblInd w:w="93" w:type="dxa"/>
        <w:tblBorders>
          <w:top w:val="single" w:sz="4" w:space="0" w:color="auto"/>
          <w:bottom w:val="single" w:sz="4" w:space="0" w:color="auto"/>
        </w:tblBorders>
        <w:tblLook w:val="04A0" w:firstRow="1" w:lastRow="0" w:firstColumn="1" w:lastColumn="0" w:noHBand="0" w:noVBand="1"/>
      </w:tblPr>
      <w:tblGrid>
        <w:gridCol w:w="3417"/>
        <w:gridCol w:w="622"/>
        <w:gridCol w:w="622"/>
        <w:gridCol w:w="906"/>
        <w:gridCol w:w="1134"/>
        <w:gridCol w:w="1134"/>
        <w:gridCol w:w="1362"/>
        <w:gridCol w:w="1733"/>
        <w:gridCol w:w="1985"/>
      </w:tblGrid>
      <w:tr w:rsidR="00401300" w:rsidRPr="00401300" w14:paraId="0B9B943B" w14:textId="77777777" w:rsidTr="009E4DCC">
        <w:tc>
          <w:tcPr>
            <w:tcW w:w="3417" w:type="dxa"/>
            <w:tcBorders>
              <w:top w:val="single" w:sz="4" w:space="0" w:color="auto"/>
              <w:bottom w:val="single" w:sz="4" w:space="0" w:color="auto"/>
            </w:tcBorders>
            <w:shd w:val="clear" w:color="auto" w:fill="auto"/>
            <w:noWrap/>
            <w:vAlign w:val="center"/>
            <w:hideMark/>
          </w:tcPr>
          <w:p w14:paraId="497AD412" w14:textId="77777777" w:rsidR="00401300" w:rsidRPr="00401300" w:rsidRDefault="00401300" w:rsidP="00401300">
            <w:pPr>
              <w:spacing w:after="0"/>
              <w:contextualSpacing/>
              <w:rPr>
                <w:sz w:val="20"/>
                <w:szCs w:val="20"/>
              </w:rPr>
            </w:pPr>
            <w:r w:rsidRPr="00401300">
              <w:rPr>
                <w:sz w:val="20"/>
                <w:szCs w:val="20"/>
              </w:rPr>
              <w:t>Registry</w:t>
            </w:r>
          </w:p>
        </w:tc>
        <w:tc>
          <w:tcPr>
            <w:tcW w:w="622" w:type="dxa"/>
            <w:tcBorders>
              <w:top w:val="single" w:sz="4" w:space="0" w:color="auto"/>
              <w:bottom w:val="single" w:sz="4" w:space="0" w:color="auto"/>
            </w:tcBorders>
            <w:shd w:val="clear" w:color="auto" w:fill="auto"/>
            <w:noWrap/>
            <w:vAlign w:val="center"/>
            <w:hideMark/>
          </w:tcPr>
          <w:p w14:paraId="08269E2B" w14:textId="77777777" w:rsidR="00401300" w:rsidRPr="00401300" w:rsidRDefault="00401300" w:rsidP="00401300">
            <w:pPr>
              <w:spacing w:after="0"/>
              <w:contextualSpacing/>
              <w:rPr>
                <w:sz w:val="20"/>
                <w:szCs w:val="20"/>
              </w:rPr>
            </w:pPr>
            <w:r w:rsidRPr="00401300">
              <w:rPr>
                <w:sz w:val="20"/>
                <w:szCs w:val="20"/>
              </w:rPr>
              <w:t>1st Year</w:t>
            </w:r>
          </w:p>
        </w:tc>
        <w:tc>
          <w:tcPr>
            <w:tcW w:w="622" w:type="dxa"/>
            <w:tcBorders>
              <w:top w:val="single" w:sz="4" w:space="0" w:color="auto"/>
              <w:bottom w:val="single" w:sz="4" w:space="0" w:color="auto"/>
            </w:tcBorders>
            <w:shd w:val="clear" w:color="auto" w:fill="auto"/>
            <w:noWrap/>
            <w:vAlign w:val="center"/>
            <w:hideMark/>
          </w:tcPr>
          <w:p w14:paraId="4C8E931D" w14:textId="77777777" w:rsidR="00401300" w:rsidRPr="00401300" w:rsidRDefault="00401300" w:rsidP="00401300">
            <w:pPr>
              <w:spacing w:after="0"/>
              <w:contextualSpacing/>
              <w:rPr>
                <w:sz w:val="20"/>
                <w:szCs w:val="20"/>
              </w:rPr>
            </w:pPr>
            <w:r w:rsidRPr="00401300">
              <w:rPr>
                <w:sz w:val="20"/>
                <w:szCs w:val="20"/>
              </w:rPr>
              <w:t>Final Year</w:t>
            </w:r>
          </w:p>
        </w:tc>
        <w:tc>
          <w:tcPr>
            <w:tcW w:w="906" w:type="dxa"/>
            <w:tcBorders>
              <w:top w:val="single" w:sz="4" w:space="0" w:color="auto"/>
              <w:bottom w:val="single" w:sz="4" w:space="0" w:color="auto"/>
            </w:tcBorders>
            <w:shd w:val="clear" w:color="auto" w:fill="auto"/>
            <w:vAlign w:val="center"/>
            <w:hideMark/>
          </w:tcPr>
          <w:p w14:paraId="14AEA1EB" w14:textId="77777777" w:rsidR="00401300" w:rsidRPr="00401300" w:rsidRDefault="00401300" w:rsidP="00237CE9">
            <w:pPr>
              <w:spacing w:after="0"/>
              <w:contextualSpacing/>
              <w:jc w:val="center"/>
              <w:rPr>
                <w:sz w:val="20"/>
                <w:szCs w:val="20"/>
              </w:rPr>
            </w:pPr>
            <w:r w:rsidRPr="00401300">
              <w:rPr>
                <w:sz w:val="20"/>
                <w:szCs w:val="20"/>
              </w:rPr>
              <w:t>Number of years of data</w:t>
            </w:r>
          </w:p>
        </w:tc>
        <w:tc>
          <w:tcPr>
            <w:tcW w:w="1134" w:type="dxa"/>
            <w:tcBorders>
              <w:top w:val="single" w:sz="4" w:space="0" w:color="auto"/>
              <w:bottom w:val="single" w:sz="4" w:space="0" w:color="auto"/>
            </w:tcBorders>
            <w:shd w:val="clear" w:color="auto" w:fill="auto"/>
            <w:vAlign w:val="center"/>
            <w:hideMark/>
          </w:tcPr>
          <w:p w14:paraId="0A867ACF" w14:textId="79321B96" w:rsidR="00401300" w:rsidRPr="00401300" w:rsidRDefault="00401300" w:rsidP="00237CE9">
            <w:pPr>
              <w:spacing w:after="0"/>
              <w:contextualSpacing/>
              <w:jc w:val="center"/>
              <w:rPr>
                <w:sz w:val="20"/>
                <w:szCs w:val="20"/>
              </w:rPr>
            </w:pPr>
            <w:r w:rsidRPr="00401300">
              <w:rPr>
                <w:sz w:val="20"/>
                <w:szCs w:val="20"/>
              </w:rPr>
              <w:t xml:space="preserve">Average </w:t>
            </w:r>
            <w:r w:rsidR="00616A28">
              <w:rPr>
                <w:sz w:val="20"/>
                <w:szCs w:val="20"/>
              </w:rPr>
              <w:t>n</w:t>
            </w:r>
            <w:r w:rsidRPr="00401300">
              <w:rPr>
                <w:sz w:val="20"/>
                <w:szCs w:val="20"/>
              </w:rPr>
              <w:t>umber of cases per year</w:t>
            </w:r>
          </w:p>
        </w:tc>
        <w:tc>
          <w:tcPr>
            <w:tcW w:w="1134" w:type="dxa"/>
            <w:tcBorders>
              <w:top w:val="single" w:sz="4" w:space="0" w:color="auto"/>
              <w:bottom w:val="single" w:sz="4" w:space="0" w:color="auto"/>
            </w:tcBorders>
            <w:shd w:val="clear" w:color="auto" w:fill="auto"/>
            <w:vAlign w:val="center"/>
            <w:hideMark/>
          </w:tcPr>
          <w:p w14:paraId="642200C8" w14:textId="77777777" w:rsidR="00401300" w:rsidRPr="00401300" w:rsidRDefault="00401300" w:rsidP="00237CE9">
            <w:pPr>
              <w:spacing w:after="0"/>
              <w:contextualSpacing/>
              <w:jc w:val="center"/>
              <w:rPr>
                <w:sz w:val="20"/>
                <w:szCs w:val="20"/>
              </w:rPr>
            </w:pPr>
            <w:r w:rsidRPr="00401300">
              <w:rPr>
                <w:sz w:val="20"/>
                <w:szCs w:val="20"/>
              </w:rPr>
              <w:t>Average number of births per year</w:t>
            </w:r>
          </w:p>
        </w:tc>
        <w:tc>
          <w:tcPr>
            <w:tcW w:w="1362" w:type="dxa"/>
            <w:tcBorders>
              <w:top w:val="single" w:sz="4" w:space="0" w:color="auto"/>
              <w:bottom w:val="single" w:sz="4" w:space="0" w:color="auto"/>
            </w:tcBorders>
            <w:shd w:val="clear" w:color="auto" w:fill="auto"/>
            <w:vAlign w:val="center"/>
            <w:hideMark/>
          </w:tcPr>
          <w:p w14:paraId="0784F198" w14:textId="0672C328" w:rsidR="00401300" w:rsidRPr="00401300" w:rsidRDefault="00616A28" w:rsidP="00237CE9">
            <w:pPr>
              <w:spacing w:after="0"/>
              <w:contextualSpacing/>
              <w:jc w:val="center"/>
              <w:rPr>
                <w:sz w:val="20"/>
                <w:szCs w:val="20"/>
              </w:rPr>
            </w:pPr>
            <w:r>
              <w:rPr>
                <w:sz w:val="20"/>
                <w:szCs w:val="20"/>
              </w:rPr>
              <w:t>Number of y</w:t>
            </w:r>
            <w:r w:rsidR="00401300" w:rsidRPr="00401300">
              <w:rPr>
                <w:sz w:val="20"/>
                <w:szCs w:val="20"/>
              </w:rPr>
              <w:t>ears with no cases</w:t>
            </w:r>
            <w:r>
              <w:rPr>
                <w:sz w:val="20"/>
                <w:szCs w:val="20"/>
              </w:rPr>
              <w:t xml:space="preserve"> 2003-2012</w:t>
            </w:r>
          </w:p>
        </w:tc>
        <w:tc>
          <w:tcPr>
            <w:tcW w:w="1733" w:type="dxa"/>
            <w:tcBorders>
              <w:top w:val="single" w:sz="4" w:space="0" w:color="auto"/>
              <w:bottom w:val="single" w:sz="4" w:space="0" w:color="auto"/>
            </w:tcBorders>
            <w:shd w:val="clear" w:color="auto" w:fill="auto"/>
            <w:vAlign w:val="center"/>
            <w:hideMark/>
          </w:tcPr>
          <w:p w14:paraId="12350E24" w14:textId="37F2086F" w:rsidR="00401300" w:rsidRPr="00401300" w:rsidRDefault="00401300" w:rsidP="00237CE9">
            <w:pPr>
              <w:spacing w:after="0"/>
              <w:contextualSpacing/>
              <w:jc w:val="center"/>
              <w:rPr>
                <w:sz w:val="20"/>
                <w:szCs w:val="20"/>
              </w:rPr>
            </w:pPr>
            <w:r w:rsidRPr="00401300">
              <w:rPr>
                <w:sz w:val="20"/>
                <w:szCs w:val="20"/>
              </w:rPr>
              <w:t>Number of cases per 10,000 births 2003-2012</w:t>
            </w:r>
            <w:r w:rsidR="002823FB">
              <w:rPr>
                <w:sz w:val="20"/>
                <w:szCs w:val="20"/>
              </w:rPr>
              <w:t xml:space="preserve"> (95% CI)</w:t>
            </w:r>
          </w:p>
        </w:tc>
        <w:tc>
          <w:tcPr>
            <w:tcW w:w="1985" w:type="dxa"/>
            <w:tcBorders>
              <w:top w:val="single" w:sz="4" w:space="0" w:color="auto"/>
              <w:bottom w:val="single" w:sz="4" w:space="0" w:color="auto"/>
            </w:tcBorders>
            <w:vAlign w:val="center"/>
          </w:tcPr>
          <w:p w14:paraId="186C3E37" w14:textId="6F37C660" w:rsidR="00401300" w:rsidRPr="00401300" w:rsidRDefault="00401300" w:rsidP="00237CE9">
            <w:pPr>
              <w:spacing w:after="0"/>
              <w:contextualSpacing/>
              <w:jc w:val="center"/>
              <w:rPr>
                <w:sz w:val="20"/>
                <w:szCs w:val="20"/>
              </w:rPr>
            </w:pPr>
            <w:r w:rsidRPr="00401300">
              <w:rPr>
                <w:sz w:val="20"/>
                <w:szCs w:val="20"/>
              </w:rPr>
              <w:t xml:space="preserve">Annual change in prevalence 2003-2012 </w:t>
            </w:r>
            <w:r w:rsidR="002823FB" w:rsidRPr="002823FB">
              <w:rPr>
                <w:sz w:val="20"/>
                <w:szCs w:val="20"/>
              </w:rPr>
              <w:t>(95% CI)</w:t>
            </w:r>
          </w:p>
        </w:tc>
      </w:tr>
      <w:tr w:rsidR="005D2B7C" w:rsidRPr="005E1CCA" w14:paraId="0F48DB30" w14:textId="77777777" w:rsidTr="009E4DCC">
        <w:trPr>
          <w:trHeight w:val="300"/>
        </w:trPr>
        <w:tc>
          <w:tcPr>
            <w:tcW w:w="3417" w:type="dxa"/>
            <w:tcBorders>
              <w:top w:val="single" w:sz="4" w:space="0" w:color="auto"/>
            </w:tcBorders>
            <w:shd w:val="clear" w:color="auto" w:fill="auto"/>
            <w:noWrap/>
            <w:vAlign w:val="bottom"/>
            <w:hideMark/>
          </w:tcPr>
          <w:p w14:paraId="6A926383" w14:textId="45DD2A20" w:rsidR="005D2B7C" w:rsidRPr="005D2B7C" w:rsidRDefault="005D2B7C" w:rsidP="00401300">
            <w:pPr>
              <w:spacing w:after="0"/>
              <w:contextualSpacing/>
              <w:rPr>
                <w:sz w:val="20"/>
                <w:szCs w:val="20"/>
              </w:rPr>
            </w:pPr>
            <w:r w:rsidRPr="005D2B7C">
              <w:rPr>
                <w:rFonts w:ascii="Calibri" w:hAnsi="Calibri"/>
                <w:color w:val="000000"/>
                <w:sz w:val="20"/>
              </w:rPr>
              <w:t>Hungary</w:t>
            </w:r>
          </w:p>
        </w:tc>
        <w:tc>
          <w:tcPr>
            <w:tcW w:w="622" w:type="dxa"/>
            <w:tcBorders>
              <w:top w:val="single" w:sz="4" w:space="0" w:color="auto"/>
            </w:tcBorders>
            <w:shd w:val="clear" w:color="auto" w:fill="auto"/>
            <w:noWrap/>
            <w:hideMark/>
          </w:tcPr>
          <w:p w14:paraId="0D008EC1" w14:textId="77777777" w:rsidR="005D2B7C" w:rsidRPr="005E1CCA" w:rsidRDefault="005D2B7C" w:rsidP="00401300">
            <w:pPr>
              <w:spacing w:after="0"/>
              <w:contextualSpacing/>
              <w:rPr>
                <w:sz w:val="20"/>
                <w:szCs w:val="20"/>
              </w:rPr>
            </w:pPr>
            <w:r w:rsidRPr="005E1CCA">
              <w:rPr>
                <w:sz w:val="20"/>
                <w:szCs w:val="20"/>
              </w:rPr>
              <w:t>1998</w:t>
            </w:r>
          </w:p>
        </w:tc>
        <w:tc>
          <w:tcPr>
            <w:tcW w:w="622" w:type="dxa"/>
            <w:tcBorders>
              <w:top w:val="single" w:sz="4" w:space="0" w:color="auto"/>
            </w:tcBorders>
            <w:shd w:val="clear" w:color="auto" w:fill="auto"/>
            <w:noWrap/>
            <w:hideMark/>
          </w:tcPr>
          <w:p w14:paraId="697146BF" w14:textId="77777777" w:rsidR="005D2B7C" w:rsidRPr="005E1CCA" w:rsidRDefault="005D2B7C" w:rsidP="00401300">
            <w:pPr>
              <w:spacing w:after="0"/>
              <w:contextualSpacing/>
              <w:rPr>
                <w:sz w:val="20"/>
                <w:szCs w:val="20"/>
              </w:rPr>
            </w:pPr>
            <w:r w:rsidRPr="005E1CCA">
              <w:rPr>
                <w:sz w:val="20"/>
                <w:szCs w:val="20"/>
              </w:rPr>
              <w:t>2011</w:t>
            </w:r>
          </w:p>
        </w:tc>
        <w:tc>
          <w:tcPr>
            <w:tcW w:w="906" w:type="dxa"/>
            <w:tcBorders>
              <w:top w:val="single" w:sz="4" w:space="0" w:color="auto"/>
            </w:tcBorders>
            <w:shd w:val="clear" w:color="auto" w:fill="auto"/>
            <w:noWrap/>
            <w:hideMark/>
          </w:tcPr>
          <w:p w14:paraId="39B3F5EA" w14:textId="77777777" w:rsidR="005D2B7C" w:rsidRPr="005E1CCA" w:rsidRDefault="005D2B7C" w:rsidP="00237CE9">
            <w:pPr>
              <w:spacing w:after="0"/>
              <w:contextualSpacing/>
              <w:jc w:val="center"/>
              <w:rPr>
                <w:sz w:val="20"/>
                <w:szCs w:val="20"/>
              </w:rPr>
            </w:pPr>
            <w:r w:rsidRPr="005E1CCA">
              <w:rPr>
                <w:sz w:val="20"/>
                <w:szCs w:val="20"/>
              </w:rPr>
              <w:t>14</w:t>
            </w:r>
          </w:p>
        </w:tc>
        <w:tc>
          <w:tcPr>
            <w:tcW w:w="1134" w:type="dxa"/>
            <w:tcBorders>
              <w:top w:val="single" w:sz="4" w:space="0" w:color="auto"/>
            </w:tcBorders>
            <w:shd w:val="clear" w:color="auto" w:fill="auto"/>
            <w:noWrap/>
            <w:hideMark/>
          </w:tcPr>
          <w:p w14:paraId="47EDD465" w14:textId="77777777" w:rsidR="005D2B7C" w:rsidRPr="005E1CCA" w:rsidRDefault="005D2B7C" w:rsidP="00237CE9">
            <w:pPr>
              <w:spacing w:after="0"/>
              <w:contextualSpacing/>
              <w:jc w:val="center"/>
              <w:rPr>
                <w:sz w:val="20"/>
                <w:szCs w:val="20"/>
              </w:rPr>
            </w:pPr>
            <w:r w:rsidRPr="005E1CCA">
              <w:rPr>
                <w:sz w:val="20"/>
                <w:szCs w:val="20"/>
              </w:rPr>
              <w:t>15.3</w:t>
            </w:r>
          </w:p>
        </w:tc>
        <w:tc>
          <w:tcPr>
            <w:tcW w:w="1134" w:type="dxa"/>
            <w:tcBorders>
              <w:top w:val="single" w:sz="4" w:space="0" w:color="auto"/>
            </w:tcBorders>
            <w:shd w:val="clear" w:color="auto" w:fill="auto"/>
            <w:noWrap/>
            <w:hideMark/>
          </w:tcPr>
          <w:p w14:paraId="09F9FDFD" w14:textId="77777777" w:rsidR="005D2B7C" w:rsidRPr="005E1CCA" w:rsidRDefault="005D2B7C" w:rsidP="00237CE9">
            <w:pPr>
              <w:spacing w:after="0"/>
              <w:contextualSpacing/>
              <w:jc w:val="center"/>
              <w:rPr>
                <w:sz w:val="20"/>
                <w:szCs w:val="20"/>
              </w:rPr>
            </w:pPr>
            <w:r w:rsidRPr="005E1CCA">
              <w:rPr>
                <w:sz w:val="20"/>
                <w:szCs w:val="20"/>
              </w:rPr>
              <w:t>96,297</w:t>
            </w:r>
          </w:p>
        </w:tc>
        <w:tc>
          <w:tcPr>
            <w:tcW w:w="1362" w:type="dxa"/>
            <w:tcBorders>
              <w:top w:val="single" w:sz="4" w:space="0" w:color="auto"/>
            </w:tcBorders>
            <w:shd w:val="clear" w:color="auto" w:fill="auto"/>
            <w:noWrap/>
            <w:vAlign w:val="bottom"/>
            <w:hideMark/>
          </w:tcPr>
          <w:p w14:paraId="56917779" w14:textId="7BB58748"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tcBorders>
              <w:top w:val="single" w:sz="4" w:space="0" w:color="auto"/>
            </w:tcBorders>
            <w:shd w:val="clear" w:color="auto" w:fill="auto"/>
            <w:noWrap/>
            <w:vAlign w:val="bottom"/>
            <w:hideMark/>
          </w:tcPr>
          <w:p w14:paraId="25A14F60" w14:textId="4A397A37" w:rsidR="005D2B7C" w:rsidRPr="005D2B7C" w:rsidRDefault="005D2B7C" w:rsidP="00237CE9">
            <w:pPr>
              <w:spacing w:after="0"/>
              <w:contextualSpacing/>
              <w:jc w:val="center"/>
              <w:rPr>
                <w:sz w:val="20"/>
                <w:szCs w:val="20"/>
              </w:rPr>
            </w:pPr>
            <w:r w:rsidRPr="005D2B7C">
              <w:rPr>
                <w:rFonts w:ascii="Calibri" w:hAnsi="Calibri"/>
                <w:color w:val="000000"/>
                <w:sz w:val="20"/>
              </w:rPr>
              <w:t>1.8 ( 1.6 - 2.1 )</w:t>
            </w:r>
          </w:p>
        </w:tc>
        <w:tc>
          <w:tcPr>
            <w:tcW w:w="1985" w:type="dxa"/>
            <w:tcBorders>
              <w:top w:val="single" w:sz="4" w:space="0" w:color="auto"/>
            </w:tcBorders>
            <w:vAlign w:val="bottom"/>
          </w:tcPr>
          <w:p w14:paraId="386ED75D" w14:textId="797751CD" w:rsidR="005D2B7C" w:rsidRPr="005E1CCA" w:rsidRDefault="005D2B7C" w:rsidP="00237CE9">
            <w:pPr>
              <w:spacing w:after="0"/>
              <w:contextualSpacing/>
              <w:jc w:val="center"/>
              <w:rPr>
                <w:sz w:val="20"/>
                <w:szCs w:val="20"/>
              </w:rPr>
            </w:pPr>
            <w:r w:rsidRPr="005E1CCA">
              <w:rPr>
                <w:sz w:val="20"/>
                <w:szCs w:val="20"/>
              </w:rPr>
              <w:t>2% ( -4% - 8% )</w:t>
            </w:r>
          </w:p>
        </w:tc>
      </w:tr>
      <w:tr w:rsidR="005D2B7C" w:rsidRPr="005E1CCA" w14:paraId="7156CE9C" w14:textId="77777777" w:rsidTr="009E4DCC">
        <w:trPr>
          <w:trHeight w:val="300"/>
        </w:trPr>
        <w:tc>
          <w:tcPr>
            <w:tcW w:w="3417" w:type="dxa"/>
            <w:shd w:val="clear" w:color="auto" w:fill="auto"/>
            <w:noWrap/>
            <w:vAlign w:val="bottom"/>
            <w:hideMark/>
          </w:tcPr>
          <w:p w14:paraId="790D7017" w14:textId="0838FB99" w:rsidR="005D2B7C" w:rsidRPr="005D2B7C" w:rsidRDefault="005D2B7C" w:rsidP="00401300">
            <w:pPr>
              <w:spacing w:after="0"/>
              <w:contextualSpacing/>
              <w:rPr>
                <w:sz w:val="20"/>
                <w:szCs w:val="20"/>
              </w:rPr>
            </w:pPr>
            <w:r w:rsidRPr="005D2B7C">
              <w:rPr>
                <w:rFonts w:ascii="Calibri" w:hAnsi="Calibri"/>
                <w:color w:val="000000"/>
                <w:sz w:val="20"/>
              </w:rPr>
              <w:t>UK, East Midlands and South Yorkshire</w:t>
            </w:r>
          </w:p>
        </w:tc>
        <w:tc>
          <w:tcPr>
            <w:tcW w:w="622" w:type="dxa"/>
            <w:shd w:val="clear" w:color="auto" w:fill="auto"/>
            <w:noWrap/>
            <w:hideMark/>
          </w:tcPr>
          <w:p w14:paraId="13921047" w14:textId="77777777" w:rsidR="005D2B7C" w:rsidRPr="005E1CCA" w:rsidRDefault="005D2B7C" w:rsidP="00401300">
            <w:pPr>
              <w:spacing w:after="0"/>
              <w:contextualSpacing/>
              <w:rPr>
                <w:sz w:val="20"/>
                <w:szCs w:val="20"/>
              </w:rPr>
            </w:pPr>
            <w:r w:rsidRPr="005E1CCA">
              <w:rPr>
                <w:sz w:val="20"/>
                <w:szCs w:val="20"/>
              </w:rPr>
              <w:t>1998</w:t>
            </w:r>
          </w:p>
        </w:tc>
        <w:tc>
          <w:tcPr>
            <w:tcW w:w="622" w:type="dxa"/>
            <w:shd w:val="clear" w:color="auto" w:fill="auto"/>
            <w:noWrap/>
            <w:hideMark/>
          </w:tcPr>
          <w:p w14:paraId="65873940"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0FAC34B4" w14:textId="77777777" w:rsidR="005D2B7C" w:rsidRPr="005E1CCA" w:rsidRDefault="005D2B7C" w:rsidP="00237CE9">
            <w:pPr>
              <w:spacing w:after="0"/>
              <w:contextualSpacing/>
              <w:jc w:val="center"/>
              <w:rPr>
                <w:sz w:val="20"/>
                <w:szCs w:val="20"/>
              </w:rPr>
            </w:pPr>
            <w:r w:rsidRPr="005E1CCA">
              <w:rPr>
                <w:sz w:val="20"/>
                <w:szCs w:val="20"/>
              </w:rPr>
              <w:t>15</w:t>
            </w:r>
          </w:p>
        </w:tc>
        <w:tc>
          <w:tcPr>
            <w:tcW w:w="1134" w:type="dxa"/>
            <w:shd w:val="clear" w:color="auto" w:fill="auto"/>
            <w:noWrap/>
            <w:hideMark/>
          </w:tcPr>
          <w:p w14:paraId="5C6E98CF" w14:textId="77777777" w:rsidR="005D2B7C" w:rsidRPr="005E1CCA" w:rsidRDefault="005D2B7C" w:rsidP="00237CE9">
            <w:pPr>
              <w:spacing w:after="0"/>
              <w:contextualSpacing/>
              <w:jc w:val="center"/>
              <w:rPr>
                <w:sz w:val="20"/>
                <w:szCs w:val="20"/>
              </w:rPr>
            </w:pPr>
            <w:r w:rsidRPr="005E1CCA">
              <w:rPr>
                <w:sz w:val="20"/>
                <w:szCs w:val="20"/>
              </w:rPr>
              <w:t>8.5</w:t>
            </w:r>
          </w:p>
        </w:tc>
        <w:tc>
          <w:tcPr>
            <w:tcW w:w="1134" w:type="dxa"/>
            <w:shd w:val="clear" w:color="auto" w:fill="auto"/>
            <w:noWrap/>
            <w:hideMark/>
          </w:tcPr>
          <w:p w14:paraId="19E9189D" w14:textId="77777777" w:rsidR="005D2B7C" w:rsidRPr="005E1CCA" w:rsidRDefault="005D2B7C" w:rsidP="00237CE9">
            <w:pPr>
              <w:spacing w:after="0"/>
              <w:contextualSpacing/>
              <w:jc w:val="center"/>
              <w:rPr>
                <w:sz w:val="20"/>
                <w:szCs w:val="20"/>
              </w:rPr>
            </w:pPr>
            <w:r w:rsidRPr="005E1CCA">
              <w:rPr>
                <w:sz w:val="20"/>
                <w:szCs w:val="20"/>
              </w:rPr>
              <w:t>66,577</w:t>
            </w:r>
          </w:p>
        </w:tc>
        <w:tc>
          <w:tcPr>
            <w:tcW w:w="1362" w:type="dxa"/>
            <w:shd w:val="clear" w:color="auto" w:fill="auto"/>
            <w:noWrap/>
            <w:vAlign w:val="bottom"/>
            <w:hideMark/>
          </w:tcPr>
          <w:p w14:paraId="1E620997" w14:textId="7E13C65F"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3216B56E" w14:textId="29D5C6D2" w:rsidR="005D2B7C" w:rsidRPr="005D2B7C" w:rsidRDefault="005D2B7C" w:rsidP="00237CE9">
            <w:pPr>
              <w:spacing w:after="0"/>
              <w:contextualSpacing/>
              <w:jc w:val="center"/>
              <w:rPr>
                <w:sz w:val="20"/>
                <w:szCs w:val="20"/>
              </w:rPr>
            </w:pPr>
            <w:r w:rsidRPr="005D2B7C">
              <w:rPr>
                <w:rFonts w:ascii="Calibri" w:hAnsi="Calibri"/>
                <w:color w:val="000000"/>
                <w:sz w:val="20"/>
              </w:rPr>
              <w:t>1.0 ( 0.8 - 1.3 )</w:t>
            </w:r>
          </w:p>
        </w:tc>
        <w:tc>
          <w:tcPr>
            <w:tcW w:w="1985" w:type="dxa"/>
            <w:vAlign w:val="bottom"/>
          </w:tcPr>
          <w:p w14:paraId="2C3B130E" w14:textId="718A14E3" w:rsidR="005D2B7C" w:rsidRPr="005E1CCA" w:rsidRDefault="005D2B7C" w:rsidP="00237CE9">
            <w:pPr>
              <w:spacing w:after="0"/>
              <w:contextualSpacing/>
              <w:jc w:val="center"/>
              <w:rPr>
                <w:sz w:val="20"/>
                <w:szCs w:val="20"/>
              </w:rPr>
            </w:pPr>
            <w:r w:rsidRPr="005E1CCA">
              <w:rPr>
                <w:sz w:val="20"/>
                <w:szCs w:val="20"/>
              </w:rPr>
              <w:t>-6% ( -13% - 2% )</w:t>
            </w:r>
          </w:p>
        </w:tc>
      </w:tr>
      <w:tr w:rsidR="005D2B7C" w:rsidRPr="005E1CCA" w14:paraId="12EA09EB" w14:textId="77777777" w:rsidTr="009E4DCC">
        <w:trPr>
          <w:trHeight w:val="300"/>
        </w:trPr>
        <w:tc>
          <w:tcPr>
            <w:tcW w:w="3417" w:type="dxa"/>
            <w:shd w:val="clear" w:color="auto" w:fill="auto"/>
            <w:noWrap/>
            <w:vAlign w:val="bottom"/>
            <w:hideMark/>
          </w:tcPr>
          <w:p w14:paraId="2A411E4D" w14:textId="0A26B5D1" w:rsidR="005D2B7C" w:rsidRPr="005D2B7C" w:rsidRDefault="005D2B7C" w:rsidP="00401300">
            <w:pPr>
              <w:spacing w:after="0"/>
              <w:contextualSpacing/>
              <w:rPr>
                <w:sz w:val="20"/>
                <w:szCs w:val="20"/>
              </w:rPr>
            </w:pPr>
            <w:r w:rsidRPr="005D2B7C">
              <w:rPr>
                <w:rFonts w:ascii="Calibri" w:hAnsi="Calibri"/>
                <w:color w:val="000000"/>
                <w:sz w:val="20"/>
              </w:rPr>
              <w:t>Norway</w:t>
            </w:r>
          </w:p>
        </w:tc>
        <w:tc>
          <w:tcPr>
            <w:tcW w:w="622" w:type="dxa"/>
            <w:shd w:val="clear" w:color="auto" w:fill="auto"/>
            <w:noWrap/>
            <w:hideMark/>
          </w:tcPr>
          <w:p w14:paraId="1F342B8B" w14:textId="77777777" w:rsidR="005D2B7C" w:rsidRPr="005E1CCA" w:rsidRDefault="005D2B7C" w:rsidP="00401300">
            <w:pPr>
              <w:spacing w:after="0"/>
              <w:contextualSpacing/>
              <w:rPr>
                <w:sz w:val="20"/>
                <w:szCs w:val="20"/>
              </w:rPr>
            </w:pPr>
            <w:r w:rsidRPr="005E1CCA">
              <w:rPr>
                <w:sz w:val="20"/>
                <w:szCs w:val="20"/>
              </w:rPr>
              <w:t>1999</w:t>
            </w:r>
          </w:p>
        </w:tc>
        <w:tc>
          <w:tcPr>
            <w:tcW w:w="622" w:type="dxa"/>
            <w:shd w:val="clear" w:color="auto" w:fill="auto"/>
            <w:noWrap/>
            <w:hideMark/>
          </w:tcPr>
          <w:p w14:paraId="2F77367C"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0B71F55D" w14:textId="77777777" w:rsidR="005D2B7C" w:rsidRPr="005E1CCA" w:rsidRDefault="005D2B7C" w:rsidP="00237CE9">
            <w:pPr>
              <w:spacing w:after="0"/>
              <w:contextualSpacing/>
              <w:jc w:val="center"/>
              <w:rPr>
                <w:sz w:val="20"/>
                <w:szCs w:val="20"/>
              </w:rPr>
            </w:pPr>
            <w:r w:rsidRPr="005E1CCA">
              <w:rPr>
                <w:sz w:val="20"/>
                <w:szCs w:val="20"/>
              </w:rPr>
              <w:t>14</w:t>
            </w:r>
          </w:p>
        </w:tc>
        <w:tc>
          <w:tcPr>
            <w:tcW w:w="1134" w:type="dxa"/>
            <w:shd w:val="clear" w:color="auto" w:fill="auto"/>
            <w:noWrap/>
            <w:hideMark/>
          </w:tcPr>
          <w:p w14:paraId="2DDE9ABF" w14:textId="77777777" w:rsidR="005D2B7C" w:rsidRPr="005E1CCA" w:rsidRDefault="005D2B7C" w:rsidP="00237CE9">
            <w:pPr>
              <w:spacing w:after="0"/>
              <w:contextualSpacing/>
              <w:jc w:val="center"/>
              <w:rPr>
                <w:sz w:val="20"/>
                <w:szCs w:val="20"/>
              </w:rPr>
            </w:pPr>
            <w:r w:rsidRPr="005E1CCA">
              <w:rPr>
                <w:sz w:val="20"/>
                <w:szCs w:val="20"/>
              </w:rPr>
              <w:t>2.7</w:t>
            </w:r>
          </w:p>
        </w:tc>
        <w:tc>
          <w:tcPr>
            <w:tcW w:w="1134" w:type="dxa"/>
            <w:shd w:val="clear" w:color="auto" w:fill="auto"/>
            <w:noWrap/>
            <w:hideMark/>
          </w:tcPr>
          <w:p w14:paraId="4FE3606F" w14:textId="77777777" w:rsidR="005D2B7C" w:rsidRPr="005E1CCA" w:rsidRDefault="005D2B7C" w:rsidP="00237CE9">
            <w:pPr>
              <w:spacing w:after="0"/>
              <w:contextualSpacing/>
              <w:jc w:val="center"/>
              <w:rPr>
                <w:sz w:val="20"/>
                <w:szCs w:val="20"/>
              </w:rPr>
            </w:pPr>
            <w:r w:rsidRPr="005E1CCA">
              <w:rPr>
                <w:sz w:val="20"/>
                <w:szCs w:val="20"/>
              </w:rPr>
              <w:t>59,753</w:t>
            </w:r>
          </w:p>
        </w:tc>
        <w:tc>
          <w:tcPr>
            <w:tcW w:w="1362" w:type="dxa"/>
            <w:shd w:val="clear" w:color="auto" w:fill="auto"/>
            <w:noWrap/>
            <w:vAlign w:val="bottom"/>
            <w:hideMark/>
          </w:tcPr>
          <w:p w14:paraId="60F7745D" w14:textId="57AE1608"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1037FF29" w14:textId="0FC28064" w:rsidR="005D2B7C" w:rsidRPr="005D2B7C" w:rsidRDefault="005D2B7C" w:rsidP="00237CE9">
            <w:pPr>
              <w:spacing w:after="0"/>
              <w:contextualSpacing/>
              <w:jc w:val="center"/>
              <w:rPr>
                <w:sz w:val="20"/>
                <w:szCs w:val="20"/>
              </w:rPr>
            </w:pPr>
            <w:r w:rsidRPr="005D2B7C">
              <w:rPr>
                <w:rFonts w:ascii="Calibri" w:hAnsi="Calibri"/>
                <w:color w:val="000000"/>
                <w:sz w:val="20"/>
              </w:rPr>
              <w:t>0.5 ( 0.3 - 0.7 )</w:t>
            </w:r>
          </w:p>
        </w:tc>
        <w:tc>
          <w:tcPr>
            <w:tcW w:w="1985" w:type="dxa"/>
            <w:vAlign w:val="bottom"/>
          </w:tcPr>
          <w:p w14:paraId="4F448689" w14:textId="59504C90" w:rsidR="005D2B7C" w:rsidRPr="005E1CCA" w:rsidRDefault="005D2B7C" w:rsidP="00237CE9">
            <w:pPr>
              <w:spacing w:after="0"/>
              <w:contextualSpacing/>
              <w:jc w:val="center"/>
              <w:rPr>
                <w:sz w:val="20"/>
                <w:szCs w:val="20"/>
              </w:rPr>
            </w:pPr>
            <w:r w:rsidRPr="005E1CCA">
              <w:rPr>
                <w:sz w:val="20"/>
                <w:szCs w:val="20"/>
              </w:rPr>
              <w:t>-2% ( -14% - 12% )</w:t>
            </w:r>
          </w:p>
        </w:tc>
      </w:tr>
      <w:tr w:rsidR="005D2B7C" w:rsidRPr="005E1CCA" w14:paraId="7422A98E" w14:textId="77777777" w:rsidTr="009E4DCC">
        <w:trPr>
          <w:trHeight w:val="300"/>
        </w:trPr>
        <w:tc>
          <w:tcPr>
            <w:tcW w:w="3417" w:type="dxa"/>
            <w:shd w:val="clear" w:color="auto" w:fill="auto"/>
            <w:noWrap/>
            <w:vAlign w:val="bottom"/>
            <w:hideMark/>
          </w:tcPr>
          <w:p w14:paraId="378B2F2C" w14:textId="1ADFE374" w:rsidR="005D2B7C" w:rsidRPr="005D2B7C" w:rsidRDefault="005D2B7C" w:rsidP="00401300">
            <w:pPr>
              <w:spacing w:after="0"/>
              <w:contextualSpacing/>
              <w:rPr>
                <w:sz w:val="20"/>
                <w:szCs w:val="20"/>
              </w:rPr>
            </w:pPr>
            <w:r w:rsidRPr="005D2B7C">
              <w:rPr>
                <w:rFonts w:ascii="Calibri" w:hAnsi="Calibri"/>
                <w:color w:val="000000"/>
                <w:sz w:val="20"/>
              </w:rPr>
              <w:t>UK, Wales</w:t>
            </w:r>
          </w:p>
        </w:tc>
        <w:tc>
          <w:tcPr>
            <w:tcW w:w="622" w:type="dxa"/>
            <w:shd w:val="clear" w:color="auto" w:fill="auto"/>
            <w:noWrap/>
            <w:hideMark/>
          </w:tcPr>
          <w:p w14:paraId="719D8AAA" w14:textId="77777777" w:rsidR="005D2B7C" w:rsidRPr="005E1CCA" w:rsidRDefault="005D2B7C" w:rsidP="00401300">
            <w:pPr>
              <w:spacing w:after="0"/>
              <w:contextualSpacing/>
              <w:rPr>
                <w:sz w:val="20"/>
                <w:szCs w:val="20"/>
              </w:rPr>
            </w:pPr>
            <w:r w:rsidRPr="005E1CCA">
              <w:rPr>
                <w:sz w:val="20"/>
                <w:szCs w:val="20"/>
              </w:rPr>
              <w:t>1998</w:t>
            </w:r>
          </w:p>
        </w:tc>
        <w:tc>
          <w:tcPr>
            <w:tcW w:w="622" w:type="dxa"/>
            <w:shd w:val="clear" w:color="auto" w:fill="auto"/>
            <w:noWrap/>
            <w:hideMark/>
          </w:tcPr>
          <w:p w14:paraId="43DD9A3D"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2772E104" w14:textId="77777777" w:rsidR="005D2B7C" w:rsidRPr="005E1CCA" w:rsidRDefault="005D2B7C" w:rsidP="00237CE9">
            <w:pPr>
              <w:spacing w:after="0"/>
              <w:contextualSpacing/>
              <w:jc w:val="center"/>
              <w:rPr>
                <w:sz w:val="20"/>
                <w:szCs w:val="20"/>
              </w:rPr>
            </w:pPr>
            <w:r w:rsidRPr="005E1CCA">
              <w:rPr>
                <w:sz w:val="20"/>
                <w:szCs w:val="20"/>
              </w:rPr>
              <w:t>15</w:t>
            </w:r>
          </w:p>
        </w:tc>
        <w:tc>
          <w:tcPr>
            <w:tcW w:w="1134" w:type="dxa"/>
            <w:shd w:val="clear" w:color="auto" w:fill="auto"/>
            <w:noWrap/>
            <w:hideMark/>
          </w:tcPr>
          <w:p w14:paraId="7D2F1B89" w14:textId="77777777" w:rsidR="005D2B7C" w:rsidRPr="005E1CCA" w:rsidRDefault="005D2B7C" w:rsidP="00237CE9">
            <w:pPr>
              <w:spacing w:after="0"/>
              <w:contextualSpacing/>
              <w:jc w:val="center"/>
              <w:rPr>
                <w:sz w:val="20"/>
                <w:szCs w:val="20"/>
              </w:rPr>
            </w:pPr>
            <w:r w:rsidRPr="005E1CCA">
              <w:rPr>
                <w:sz w:val="20"/>
                <w:szCs w:val="20"/>
              </w:rPr>
              <w:t>15.8</w:t>
            </w:r>
          </w:p>
        </w:tc>
        <w:tc>
          <w:tcPr>
            <w:tcW w:w="1134" w:type="dxa"/>
            <w:shd w:val="clear" w:color="auto" w:fill="auto"/>
            <w:noWrap/>
            <w:hideMark/>
          </w:tcPr>
          <w:p w14:paraId="134042BF" w14:textId="77777777" w:rsidR="005D2B7C" w:rsidRPr="005E1CCA" w:rsidRDefault="005D2B7C" w:rsidP="00237CE9">
            <w:pPr>
              <w:spacing w:after="0"/>
              <w:contextualSpacing/>
              <w:jc w:val="center"/>
              <w:rPr>
                <w:sz w:val="20"/>
                <w:szCs w:val="20"/>
              </w:rPr>
            </w:pPr>
            <w:r w:rsidRPr="005E1CCA">
              <w:rPr>
                <w:sz w:val="20"/>
                <w:szCs w:val="20"/>
              </w:rPr>
              <w:t>33,448</w:t>
            </w:r>
          </w:p>
        </w:tc>
        <w:tc>
          <w:tcPr>
            <w:tcW w:w="1362" w:type="dxa"/>
            <w:shd w:val="clear" w:color="auto" w:fill="auto"/>
            <w:noWrap/>
            <w:vAlign w:val="bottom"/>
            <w:hideMark/>
          </w:tcPr>
          <w:p w14:paraId="234D4320" w14:textId="4C9023EC"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6614DCC4" w14:textId="4B4B5EF4" w:rsidR="005D2B7C" w:rsidRPr="005D2B7C" w:rsidRDefault="005D2B7C" w:rsidP="00237CE9">
            <w:pPr>
              <w:spacing w:after="0"/>
              <w:contextualSpacing/>
              <w:jc w:val="center"/>
              <w:rPr>
                <w:sz w:val="20"/>
                <w:szCs w:val="20"/>
              </w:rPr>
            </w:pPr>
            <w:r w:rsidRPr="005D2B7C">
              <w:rPr>
                <w:rFonts w:ascii="Calibri" w:hAnsi="Calibri"/>
                <w:color w:val="000000"/>
                <w:sz w:val="20"/>
              </w:rPr>
              <w:t>4.3 ( 3.6 – 5.0 )</w:t>
            </w:r>
          </w:p>
        </w:tc>
        <w:tc>
          <w:tcPr>
            <w:tcW w:w="1985" w:type="dxa"/>
            <w:vAlign w:val="bottom"/>
          </w:tcPr>
          <w:p w14:paraId="4966499B" w14:textId="77777777" w:rsidR="005D2B7C" w:rsidRPr="005E1CCA" w:rsidRDefault="005D2B7C" w:rsidP="00237CE9">
            <w:pPr>
              <w:spacing w:after="0"/>
              <w:contextualSpacing/>
              <w:jc w:val="center"/>
              <w:rPr>
                <w:sz w:val="20"/>
                <w:szCs w:val="20"/>
              </w:rPr>
            </w:pPr>
            <w:r w:rsidRPr="005E1CCA">
              <w:rPr>
                <w:sz w:val="20"/>
                <w:szCs w:val="20"/>
              </w:rPr>
              <w:t>-11% ( -16% - -6% )</w:t>
            </w:r>
          </w:p>
        </w:tc>
      </w:tr>
      <w:tr w:rsidR="005D2B7C" w:rsidRPr="005E1CCA" w14:paraId="5B1CE47D" w14:textId="77777777" w:rsidTr="009E4DCC">
        <w:trPr>
          <w:trHeight w:val="300"/>
        </w:trPr>
        <w:tc>
          <w:tcPr>
            <w:tcW w:w="3417" w:type="dxa"/>
            <w:shd w:val="clear" w:color="auto" w:fill="auto"/>
            <w:noWrap/>
            <w:vAlign w:val="bottom"/>
            <w:hideMark/>
          </w:tcPr>
          <w:p w14:paraId="70CF9C27" w14:textId="2F67C5DD" w:rsidR="005D2B7C" w:rsidRPr="005D2B7C" w:rsidRDefault="005D2B7C" w:rsidP="00401300">
            <w:pPr>
              <w:spacing w:after="0"/>
              <w:contextualSpacing/>
              <w:rPr>
                <w:sz w:val="20"/>
                <w:szCs w:val="20"/>
              </w:rPr>
            </w:pPr>
            <w:r w:rsidRPr="005D2B7C">
              <w:rPr>
                <w:rFonts w:ascii="Calibri" w:hAnsi="Calibri"/>
                <w:color w:val="000000"/>
                <w:sz w:val="20"/>
              </w:rPr>
              <w:t>France, Paris</w:t>
            </w:r>
          </w:p>
        </w:tc>
        <w:tc>
          <w:tcPr>
            <w:tcW w:w="622" w:type="dxa"/>
            <w:shd w:val="clear" w:color="auto" w:fill="auto"/>
            <w:noWrap/>
            <w:hideMark/>
          </w:tcPr>
          <w:p w14:paraId="67A66FD6" w14:textId="77777777" w:rsidR="005D2B7C" w:rsidRPr="005E1CCA" w:rsidRDefault="005D2B7C" w:rsidP="00401300">
            <w:pPr>
              <w:spacing w:after="0"/>
              <w:contextualSpacing/>
              <w:rPr>
                <w:sz w:val="20"/>
                <w:szCs w:val="20"/>
              </w:rPr>
            </w:pPr>
            <w:r w:rsidRPr="005E1CCA">
              <w:rPr>
                <w:sz w:val="20"/>
                <w:szCs w:val="20"/>
              </w:rPr>
              <w:t>1981</w:t>
            </w:r>
          </w:p>
        </w:tc>
        <w:tc>
          <w:tcPr>
            <w:tcW w:w="622" w:type="dxa"/>
            <w:shd w:val="clear" w:color="auto" w:fill="auto"/>
            <w:noWrap/>
            <w:hideMark/>
          </w:tcPr>
          <w:p w14:paraId="771D65B1"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3DD3284B" w14:textId="77777777" w:rsidR="005D2B7C" w:rsidRPr="005E1CCA" w:rsidRDefault="005D2B7C" w:rsidP="00237CE9">
            <w:pPr>
              <w:spacing w:after="0"/>
              <w:contextualSpacing/>
              <w:jc w:val="center"/>
              <w:rPr>
                <w:sz w:val="20"/>
                <w:szCs w:val="20"/>
              </w:rPr>
            </w:pPr>
            <w:r w:rsidRPr="005E1CCA">
              <w:rPr>
                <w:sz w:val="20"/>
                <w:szCs w:val="20"/>
              </w:rPr>
              <w:t>32</w:t>
            </w:r>
          </w:p>
        </w:tc>
        <w:tc>
          <w:tcPr>
            <w:tcW w:w="1134" w:type="dxa"/>
            <w:shd w:val="clear" w:color="auto" w:fill="auto"/>
            <w:noWrap/>
            <w:hideMark/>
          </w:tcPr>
          <w:p w14:paraId="68BD9BC9" w14:textId="77777777" w:rsidR="005D2B7C" w:rsidRPr="005E1CCA" w:rsidRDefault="005D2B7C" w:rsidP="00237CE9">
            <w:pPr>
              <w:spacing w:after="0"/>
              <w:contextualSpacing/>
              <w:jc w:val="center"/>
              <w:rPr>
                <w:sz w:val="20"/>
                <w:szCs w:val="20"/>
              </w:rPr>
            </w:pPr>
            <w:r w:rsidRPr="005E1CCA">
              <w:rPr>
                <w:sz w:val="20"/>
                <w:szCs w:val="20"/>
              </w:rPr>
              <w:t>8.0</w:t>
            </w:r>
          </w:p>
        </w:tc>
        <w:tc>
          <w:tcPr>
            <w:tcW w:w="1134" w:type="dxa"/>
            <w:shd w:val="clear" w:color="auto" w:fill="auto"/>
            <w:noWrap/>
            <w:hideMark/>
          </w:tcPr>
          <w:p w14:paraId="4D0E665B" w14:textId="77777777" w:rsidR="005D2B7C" w:rsidRPr="005E1CCA" w:rsidRDefault="005D2B7C" w:rsidP="00237CE9">
            <w:pPr>
              <w:spacing w:after="0"/>
              <w:contextualSpacing/>
              <w:jc w:val="center"/>
              <w:rPr>
                <w:sz w:val="20"/>
                <w:szCs w:val="20"/>
              </w:rPr>
            </w:pPr>
            <w:r w:rsidRPr="005E1CCA">
              <w:rPr>
                <w:sz w:val="20"/>
                <w:szCs w:val="20"/>
              </w:rPr>
              <w:t>33,044</w:t>
            </w:r>
          </w:p>
        </w:tc>
        <w:tc>
          <w:tcPr>
            <w:tcW w:w="1362" w:type="dxa"/>
            <w:shd w:val="clear" w:color="auto" w:fill="auto"/>
            <w:noWrap/>
            <w:vAlign w:val="bottom"/>
            <w:hideMark/>
          </w:tcPr>
          <w:p w14:paraId="3C797FF5" w14:textId="50BEE79B"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1C2EBE1C" w14:textId="51E18C19" w:rsidR="005D2B7C" w:rsidRPr="005D2B7C" w:rsidRDefault="005D2B7C" w:rsidP="00237CE9">
            <w:pPr>
              <w:spacing w:after="0"/>
              <w:contextualSpacing/>
              <w:jc w:val="center"/>
              <w:rPr>
                <w:sz w:val="20"/>
                <w:szCs w:val="20"/>
              </w:rPr>
            </w:pPr>
            <w:r w:rsidRPr="005D2B7C">
              <w:rPr>
                <w:rFonts w:ascii="Calibri" w:hAnsi="Calibri"/>
                <w:color w:val="000000"/>
                <w:sz w:val="20"/>
              </w:rPr>
              <w:t>2.9 ( 2.3 - 3.6 )</w:t>
            </w:r>
          </w:p>
        </w:tc>
        <w:tc>
          <w:tcPr>
            <w:tcW w:w="1985" w:type="dxa"/>
            <w:vAlign w:val="bottom"/>
          </w:tcPr>
          <w:p w14:paraId="4840056C" w14:textId="78961324" w:rsidR="005D2B7C" w:rsidRPr="005E1CCA" w:rsidRDefault="005D2B7C" w:rsidP="00237CE9">
            <w:pPr>
              <w:spacing w:after="0"/>
              <w:contextualSpacing/>
              <w:jc w:val="center"/>
              <w:rPr>
                <w:sz w:val="20"/>
                <w:szCs w:val="20"/>
              </w:rPr>
            </w:pPr>
            <w:r w:rsidRPr="005E1CCA">
              <w:rPr>
                <w:sz w:val="20"/>
                <w:szCs w:val="20"/>
              </w:rPr>
              <w:t>8% ( 0% - 17% )</w:t>
            </w:r>
          </w:p>
        </w:tc>
      </w:tr>
      <w:tr w:rsidR="005D2B7C" w:rsidRPr="005E1CCA" w14:paraId="77A2198E" w14:textId="77777777" w:rsidTr="009E4DCC">
        <w:trPr>
          <w:trHeight w:val="300"/>
        </w:trPr>
        <w:tc>
          <w:tcPr>
            <w:tcW w:w="3417" w:type="dxa"/>
            <w:shd w:val="clear" w:color="auto" w:fill="auto"/>
            <w:noWrap/>
            <w:vAlign w:val="bottom"/>
            <w:hideMark/>
          </w:tcPr>
          <w:p w14:paraId="7E766A98" w14:textId="19E1CBF1" w:rsidR="005D2B7C" w:rsidRPr="005D2B7C" w:rsidRDefault="005D2B7C" w:rsidP="00401300">
            <w:pPr>
              <w:spacing w:after="0"/>
              <w:contextualSpacing/>
              <w:rPr>
                <w:sz w:val="20"/>
                <w:szCs w:val="20"/>
              </w:rPr>
            </w:pPr>
            <w:r w:rsidRPr="005D2B7C">
              <w:rPr>
                <w:rFonts w:ascii="Calibri" w:hAnsi="Calibri"/>
                <w:color w:val="000000"/>
                <w:sz w:val="20"/>
              </w:rPr>
              <w:t>UK, Northern England</w:t>
            </w:r>
          </w:p>
        </w:tc>
        <w:tc>
          <w:tcPr>
            <w:tcW w:w="622" w:type="dxa"/>
            <w:shd w:val="clear" w:color="auto" w:fill="auto"/>
            <w:noWrap/>
            <w:hideMark/>
          </w:tcPr>
          <w:p w14:paraId="1FE44B99" w14:textId="77777777" w:rsidR="005D2B7C" w:rsidRPr="005E1CCA" w:rsidRDefault="005D2B7C" w:rsidP="00401300">
            <w:pPr>
              <w:spacing w:after="0"/>
              <w:contextualSpacing/>
              <w:rPr>
                <w:sz w:val="20"/>
                <w:szCs w:val="20"/>
              </w:rPr>
            </w:pPr>
            <w:r w:rsidRPr="005E1CCA">
              <w:rPr>
                <w:sz w:val="20"/>
                <w:szCs w:val="20"/>
              </w:rPr>
              <w:t>2000</w:t>
            </w:r>
          </w:p>
        </w:tc>
        <w:tc>
          <w:tcPr>
            <w:tcW w:w="622" w:type="dxa"/>
            <w:shd w:val="clear" w:color="auto" w:fill="auto"/>
            <w:noWrap/>
            <w:hideMark/>
          </w:tcPr>
          <w:p w14:paraId="1434E229"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4BD4ED80" w14:textId="77777777" w:rsidR="005D2B7C" w:rsidRPr="005E1CCA" w:rsidRDefault="005D2B7C" w:rsidP="00237CE9">
            <w:pPr>
              <w:spacing w:after="0"/>
              <w:contextualSpacing/>
              <w:jc w:val="center"/>
              <w:rPr>
                <w:sz w:val="20"/>
                <w:szCs w:val="20"/>
              </w:rPr>
            </w:pPr>
            <w:r w:rsidRPr="005E1CCA">
              <w:rPr>
                <w:sz w:val="20"/>
                <w:szCs w:val="20"/>
              </w:rPr>
              <w:t>13</w:t>
            </w:r>
          </w:p>
        </w:tc>
        <w:tc>
          <w:tcPr>
            <w:tcW w:w="1134" w:type="dxa"/>
            <w:shd w:val="clear" w:color="auto" w:fill="auto"/>
            <w:noWrap/>
            <w:hideMark/>
          </w:tcPr>
          <w:p w14:paraId="42A82097" w14:textId="77777777" w:rsidR="005D2B7C" w:rsidRPr="005E1CCA" w:rsidRDefault="005D2B7C" w:rsidP="00237CE9">
            <w:pPr>
              <w:spacing w:after="0"/>
              <w:contextualSpacing/>
              <w:jc w:val="center"/>
              <w:rPr>
                <w:sz w:val="20"/>
                <w:szCs w:val="20"/>
              </w:rPr>
            </w:pPr>
            <w:r w:rsidRPr="005E1CCA">
              <w:rPr>
                <w:sz w:val="20"/>
                <w:szCs w:val="20"/>
              </w:rPr>
              <w:t>4.5</w:t>
            </w:r>
          </w:p>
        </w:tc>
        <w:tc>
          <w:tcPr>
            <w:tcW w:w="1134" w:type="dxa"/>
            <w:shd w:val="clear" w:color="auto" w:fill="auto"/>
            <w:noWrap/>
            <w:hideMark/>
          </w:tcPr>
          <w:p w14:paraId="46F71992" w14:textId="77777777" w:rsidR="005D2B7C" w:rsidRPr="005E1CCA" w:rsidRDefault="005D2B7C" w:rsidP="00237CE9">
            <w:pPr>
              <w:spacing w:after="0"/>
              <w:contextualSpacing/>
              <w:jc w:val="center"/>
              <w:rPr>
                <w:sz w:val="20"/>
                <w:szCs w:val="20"/>
              </w:rPr>
            </w:pPr>
            <w:r w:rsidRPr="005E1CCA">
              <w:rPr>
                <w:sz w:val="20"/>
                <w:szCs w:val="20"/>
              </w:rPr>
              <w:t>32,056</w:t>
            </w:r>
          </w:p>
        </w:tc>
        <w:tc>
          <w:tcPr>
            <w:tcW w:w="1362" w:type="dxa"/>
            <w:shd w:val="clear" w:color="auto" w:fill="auto"/>
            <w:noWrap/>
            <w:vAlign w:val="bottom"/>
            <w:hideMark/>
          </w:tcPr>
          <w:p w14:paraId="109CD247" w14:textId="46C7FB1A"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6B3BB845" w14:textId="2A9343E4" w:rsidR="005D2B7C" w:rsidRPr="005D2B7C" w:rsidRDefault="005D2B7C" w:rsidP="00237CE9">
            <w:pPr>
              <w:spacing w:after="0"/>
              <w:contextualSpacing/>
              <w:jc w:val="center"/>
              <w:rPr>
                <w:sz w:val="20"/>
                <w:szCs w:val="20"/>
              </w:rPr>
            </w:pPr>
            <w:r w:rsidRPr="005D2B7C">
              <w:rPr>
                <w:rFonts w:ascii="Calibri" w:hAnsi="Calibri"/>
                <w:color w:val="000000"/>
                <w:sz w:val="20"/>
              </w:rPr>
              <w:t>1.3 ( 0.9 - 1.7 )</w:t>
            </w:r>
          </w:p>
        </w:tc>
        <w:tc>
          <w:tcPr>
            <w:tcW w:w="1985" w:type="dxa"/>
            <w:vAlign w:val="bottom"/>
          </w:tcPr>
          <w:p w14:paraId="6D191E08" w14:textId="77777777" w:rsidR="005D2B7C" w:rsidRPr="005E1CCA" w:rsidRDefault="005D2B7C" w:rsidP="00237CE9">
            <w:pPr>
              <w:spacing w:after="0"/>
              <w:contextualSpacing/>
              <w:jc w:val="center"/>
              <w:rPr>
                <w:sz w:val="20"/>
                <w:szCs w:val="20"/>
              </w:rPr>
            </w:pPr>
            <w:r w:rsidRPr="005E1CCA">
              <w:rPr>
                <w:sz w:val="20"/>
                <w:szCs w:val="20"/>
              </w:rPr>
              <w:t>-17% ( -26% - -7% )</w:t>
            </w:r>
          </w:p>
        </w:tc>
      </w:tr>
      <w:tr w:rsidR="005D2B7C" w:rsidRPr="005E1CCA" w14:paraId="6D43A25E" w14:textId="77777777" w:rsidTr="009E4DCC">
        <w:trPr>
          <w:trHeight w:val="300"/>
        </w:trPr>
        <w:tc>
          <w:tcPr>
            <w:tcW w:w="3417" w:type="dxa"/>
            <w:shd w:val="clear" w:color="auto" w:fill="auto"/>
            <w:noWrap/>
            <w:vAlign w:val="bottom"/>
            <w:hideMark/>
          </w:tcPr>
          <w:p w14:paraId="20BB5825" w14:textId="384A07EF" w:rsidR="005D2B7C" w:rsidRPr="005D2B7C" w:rsidRDefault="005D2B7C" w:rsidP="00401300">
            <w:pPr>
              <w:spacing w:after="0"/>
              <w:contextualSpacing/>
              <w:rPr>
                <w:sz w:val="20"/>
                <w:szCs w:val="20"/>
              </w:rPr>
            </w:pPr>
            <w:r w:rsidRPr="005D2B7C">
              <w:rPr>
                <w:rFonts w:ascii="Calibri" w:hAnsi="Calibri"/>
                <w:color w:val="000000"/>
                <w:sz w:val="20"/>
              </w:rPr>
              <w:t>Italy, Emilia Romagna</w:t>
            </w:r>
          </w:p>
        </w:tc>
        <w:tc>
          <w:tcPr>
            <w:tcW w:w="622" w:type="dxa"/>
            <w:shd w:val="clear" w:color="auto" w:fill="auto"/>
            <w:noWrap/>
            <w:hideMark/>
          </w:tcPr>
          <w:p w14:paraId="4E314B26" w14:textId="77777777" w:rsidR="005D2B7C" w:rsidRPr="005E1CCA" w:rsidRDefault="005D2B7C" w:rsidP="00401300">
            <w:pPr>
              <w:spacing w:after="0"/>
              <w:contextualSpacing/>
              <w:rPr>
                <w:sz w:val="20"/>
                <w:szCs w:val="20"/>
              </w:rPr>
            </w:pPr>
            <w:r w:rsidRPr="005E1CCA">
              <w:rPr>
                <w:sz w:val="20"/>
                <w:szCs w:val="20"/>
              </w:rPr>
              <w:t>1981</w:t>
            </w:r>
          </w:p>
        </w:tc>
        <w:tc>
          <w:tcPr>
            <w:tcW w:w="622" w:type="dxa"/>
            <w:shd w:val="clear" w:color="auto" w:fill="auto"/>
            <w:noWrap/>
            <w:hideMark/>
          </w:tcPr>
          <w:p w14:paraId="541CC420"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6E9CD8DD" w14:textId="77777777" w:rsidR="005D2B7C" w:rsidRPr="005E1CCA" w:rsidRDefault="005D2B7C" w:rsidP="00237CE9">
            <w:pPr>
              <w:spacing w:after="0"/>
              <w:contextualSpacing/>
              <w:jc w:val="center"/>
              <w:rPr>
                <w:sz w:val="20"/>
                <w:szCs w:val="20"/>
              </w:rPr>
            </w:pPr>
            <w:r w:rsidRPr="005E1CCA">
              <w:rPr>
                <w:sz w:val="20"/>
                <w:szCs w:val="20"/>
              </w:rPr>
              <w:t>32</w:t>
            </w:r>
          </w:p>
        </w:tc>
        <w:tc>
          <w:tcPr>
            <w:tcW w:w="1134" w:type="dxa"/>
            <w:shd w:val="clear" w:color="auto" w:fill="auto"/>
            <w:noWrap/>
            <w:hideMark/>
          </w:tcPr>
          <w:p w14:paraId="12387CF1" w14:textId="77777777" w:rsidR="005D2B7C" w:rsidRPr="005E1CCA" w:rsidRDefault="005D2B7C" w:rsidP="00237CE9">
            <w:pPr>
              <w:spacing w:after="0"/>
              <w:contextualSpacing/>
              <w:jc w:val="center"/>
              <w:rPr>
                <w:sz w:val="20"/>
                <w:szCs w:val="20"/>
              </w:rPr>
            </w:pPr>
            <w:r w:rsidRPr="005E1CCA">
              <w:rPr>
                <w:sz w:val="20"/>
                <w:szCs w:val="20"/>
              </w:rPr>
              <w:t>3.4</w:t>
            </w:r>
          </w:p>
        </w:tc>
        <w:tc>
          <w:tcPr>
            <w:tcW w:w="1134" w:type="dxa"/>
            <w:shd w:val="clear" w:color="auto" w:fill="auto"/>
            <w:noWrap/>
            <w:hideMark/>
          </w:tcPr>
          <w:p w14:paraId="1C1DD756" w14:textId="77777777" w:rsidR="005D2B7C" w:rsidRPr="005E1CCA" w:rsidRDefault="005D2B7C" w:rsidP="00237CE9">
            <w:pPr>
              <w:spacing w:after="0"/>
              <w:contextualSpacing/>
              <w:jc w:val="center"/>
              <w:rPr>
                <w:sz w:val="20"/>
                <w:szCs w:val="20"/>
              </w:rPr>
            </w:pPr>
            <w:r w:rsidRPr="005E1CCA">
              <w:rPr>
                <w:sz w:val="20"/>
                <w:szCs w:val="20"/>
              </w:rPr>
              <w:t>28,484</w:t>
            </w:r>
          </w:p>
        </w:tc>
        <w:tc>
          <w:tcPr>
            <w:tcW w:w="1362" w:type="dxa"/>
            <w:shd w:val="clear" w:color="auto" w:fill="auto"/>
            <w:noWrap/>
            <w:vAlign w:val="bottom"/>
            <w:hideMark/>
          </w:tcPr>
          <w:p w14:paraId="3FDAB10B" w14:textId="00F8ED77"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43C6D2AE" w14:textId="13B97C8B" w:rsidR="005D2B7C" w:rsidRPr="005D2B7C" w:rsidRDefault="005D2B7C" w:rsidP="00237CE9">
            <w:pPr>
              <w:spacing w:after="0"/>
              <w:contextualSpacing/>
              <w:jc w:val="center"/>
              <w:rPr>
                <w:sz w:val="20"/>
                <w:szCs w:val="20"/>
              </w:rPr>
            </w:pPr>
            <w:r w:rsidRPr="005D2B7C">
              <w:rPr>
                <w:rFonts w:ascii="Calibri" w:hAnsi="Calibri"/>
                <w:color w:val="000000"/>
                <w:sz w:val="20"/>
              </w:rPr>
              <w:t>1.2 ( 0.9 - 1.6 )</w:t>
            </w:r>
          </w:p>
        </w:tc>
        <w:tc>
          <w:tcPr>
            <w:tcW w:w="1985" w:type="dxa"/>
            <w:vAlign w:val="bottom"/>
          </w:tcPr>
          <w:p w14:paraId="3D8D3554" w14:textId="30693C52" w:rsidR="005D2B7C" w:rsidRPr="005E1CCA" w:rsidRDefault="005D2B7C" w:rsidP="00237CE9">
            <w:pPr>
              <w:spacing w:after="0"/>
              <w:contextualSpacing/>
              <w:jc w:val="center"/>
              <w:rPr>
                <w:sz w:val="20"/>
                <w:szCs w:val="20"/>
              </w:rPr>
            </w:pPr>
            <w:r w:rsidRPr="005E1CCA">
              <w:rPr>
                <w:sz w:val="20"/>
                <w:szCs w:val="20"/>
              </w:rPr>
              <w:t>13% ( 1% - 26% )</w:t>
            </w:r>
          </w:p>
        </w:tc>
      </w:tr>
      <w:tr w:rsidR="005D2B7C" w:rsidRPr="005E1CCA" w14:paraId="5A64AC87" w14:textId="77777777" w:rsidTr="009E4DCC">
        <w:trPr>
          <w:trHeight w:val="300"/>
        </w:trPr>
        <w:tc>
          <w:tcPr>
            <w:tcW w:w="3417" w:type="dxa"/>
            <w:shd w:val="clear" w:color="auto" w:fill="auto"/>
            <w:noWrap/>
            <w:vAlign w:val="bottom"/>
            <w:hideMark/>
          </w:tcPr>
          <w:p w14:paraId="56B8DB98" w14:textId="48743FC1" w:rsidR="005D2B7C" w:rsidRPr="005D2B7C" w:rsidRDefault="005D2B7C" w:rsidP="00401300">
            <w:pPr>
              <w:spacing w:after="0"/>
              <w:contextualSpacing/>
              <w:rPr>
                <w:sz w:val="20"/>
                <w:szCs w:val="20"/>
              </w:rPr>
            </w:pPr>
            <w:r w:rsidRPr="005D2B7C">
              <w:rPr>
                <w:rFonts w:ascii="Calibri" w:hAnsi="Calibri"/>
                <w:color w:val="000000"/>
                <w:sz w:val="20"/>
              </w:rPr>
              <w:t>UK, Wessex</w:t>
            </w:r>
          </w:p>
        </w:tc>
        <w:tc>
          <w:tcPr>
            <w:tcW w:w="622" w:type="dxa"/>
            <w:shd w:val="clear" w:color="auto" w:fill="auto"/>
            <w:noWrap/>
            <w:hideMark/>
          </w:tcPr>
          <w:p w14:paraId="0CCD4258" w14:textId="77777777" w:rsidR="005D2B7C" w:rsidRPr="005E1CCA" w:rsidRDefault="005D2B7C" w:rsidP="00401300">
            <w:pPr>
              <w:spacing w:after="0"/>
              <w:contextualSpacing/>
              <w:rPr>
                <w:sz w:val="20"/>
                <w:szCs w:val="20"/>
              </w:rPr>
            </w:pPr>
            <w:r w:rsidRPr="005E1CCA">
              <w:rPr>
                <w:sz w:val="20"/>
                <w:szCs w:val="20"/>
              </w:rPr>
              <w:t>1994</w:t>
            </w:r>
          </w:p>
        </w:tc>
        <w:tc>
          <w:tcPr>
            <w:tcW w:w="622" w:type="dxa"/>
            <w:shd w:val="clear" w:color="auto" w:fill="auto"/>
            <w:noWrap/>
            <w:hideMark/>
          </w:tcPr>
          <w:p w14:paraId="3976E191"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20B848FA" w14:textId="77777777" w:rsidR="005D2B7C" w:rsidRPr="005E1CCA" w:rsidRDefault="005D2B7C" w:rsidP="00237CE9">
            <w:pPr>
              <w:spacing w:after="0"/>
              <w:contextualSpacing/>
              <w:jc w:val="center"/>
              <w:rPr>
                <w:sz w:val="20"/>
                <w:szCs w:val="20"/>
              </w:rPr>
            </w:pPr>
            <w:r w:rsidRPr="005E1CCA">
              <w:rPr>
                <w:sz w:val="20"/>
                <w:szCs w:val="20"/>
              </w:rPr>
              <w:t>19</w:t>
            </w:r>
          </w:p>
        </w:tc>
        <w:tc>
          <w:tcPr>
            <w:tcW w:w="1134" w:type="dxa"/>
            <w:shd w:val="clear" w:color="auto" w:fill="auto"/>
            <w:noWrap/>
            <w:hideMark/>
          </w:tcPr>
          <w:p w14:paraId="58D4555E" w14:textId="77777777" w:rsidR="005D2B7C" w:rsidRPr="005E1CCA" w:rsidRDefault="005D2B7C" w:rsidP="00237CE9">
            <w:pPr>
              <w:spacing w:after="0"/>
              <w:contextualSpacing/>
              <w:jc w:val="center"/>
              <w:rPr>
                <w:sz w:val="20"/>
                <w:szCs w:val="20"/>
              </w:rPr>
            </w:pPr>
            <w:r w:rsidRPr="005E1CCA">
              <w:rPr>
                <w:sz w:val="20"/>
                <w:szCs w:val="20"/>
              </w:rPr>
              <w:t>2.3</w:t>
            </w:r>
          </w:p>
        </w:tc>
        <w:tc>
          <w:tcPr>
            <w:tcW w:w="1134" w:type="dxa"/>
            <w:shd w:val="clear" w:color="auto" w:fill="auto"/>
            <w:noWrap/>
            <w:hideMark/>
          </w:tcPr>
          <w:p w14:paraId="64DBD9FA" w14:textId="77777777" w:rsidR="005D2B7C" w:rsidRPr="005E1CCA" w:rsidRDefault="005D2B7C" w:rsidP="00237CE9">
            <w:pPr>
              <w:spacing w:after="0"/>
              <w:contextualSpacing/>
              <w:jc w:val="center"/>
              <w:rPr>
                <w:sz w:val="20"/>
                <w:szCs w:val="20"/>
              </w:rPr>
            </w:pPr>
            <w:r w:rsidRPr="005E1CCA">
              <w:rPr>
                <w:sz w:val="20"/>
                <w:szCs w:val="20"/>
              </w:rPr>
              <w:t>27,599</w:t>
            </w:r>
          </w:p>
        </w:tc>
        <w:tc>
          <w:tcPr>
            <w:tcW w:w="1362" w:type="dxa"/>
            <w:shd w:val="clear" w:color="auto" w:fill="auto"/>
            <w:noWrap/>
            <w:vAlign w:val="bottom"/>
            <w:hideMark/>
          </w:tcPr>
          <w:p w14:paraId="61463C10" w14:textId="68BA999D"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5E7B0F65" w14:textId="6524E043" w:rsidR="005D2B7C" w:rsidRPr="005D2B7C" w:rsidRDefault="005D2B7C" w:rsidP="00237CE9">
            <w:pPr>
              <w:spacing w:after="0"/>
              <w:contextualSpacing/>
              <w:jc w:val="center"/>
              <w:rPr>
                <w:sz w:val="20"/>
                <w:szCs w:val="20"/>
              </w:rPr>
            </w:pPr>
            <w:r w:rsidRPr="005D2B7C">
              <w:rPr>
                <w:rFonts w:ascii="Calibri" w:hAnsi="Calibri"/>
                <w:color w:val="000000"/>
                <w:sz w:val="20"/>
              </w:rPr>
              <w:t>0.8 ( 0.6 - 1.2 )</w:t>
            </w:r>
          </w:p>
        </w:tc>
        <w:tc>
          <w:tcPr>
            <w:tcW w:w="1985" w:type="dxa"/>
            <w:vAlign w:val="bottom"/>
          </w:tcPr>
          <w:p w14:paraId="320A90E0" w14:textId="77777777" w:rsidR="005D2B7C" w:rsidRPr="005E1CCA" w:rsidRDefault="005D2B7C" w:rsidP="00237CE9">
            <w:pPr>
              <w:spacing w:after="0"/>
              <w:contextualSpacing/>
              <w:jc w:val="center"/>
              <w:rPr>
                <w:sz w:val="20"/>
                <w:szCs w:val="20"/>
              </w:rPr>
            </w:pPr>
            <w:r w:rsidRPr="005E1CCA">
              <w:rPr>
                <w:sz w:val="20"/>
                <w:szCs w:val="20"/>
              </w:rPr>
              <w:t>-11% ( -23% - 3% )</w:t>
            </w:r>
          </w:p>
        </w:tc>
      </w:tr>
      <w:tr w:rsidR="005D2B7C" w:rsidRPr="005E1CCA" w14:paraId="50B35DB1" w14:textId="77777777" w:rsidTr="009E4DCC">
        <w:trPr>
          <w:trHeight w:val="300"/>
        </w:trPr>
        <w:tc>
          <w:tcPr>
            <w:tcW w:w="3417" w:type="dxa"/>
            <w:shd w:val="clear" w:color="auto" w:fill="auto"/>
            <w:noWrap/>
            <w:vAlign w:val="bottom"/>
            <w:hideMark/>
          </w:tcPr>
          <w:p w14:paraId="633B9800" w14:textId="660ACBCA" w:rsidR="005D2B7C" w:rsidRPr="005D2B7C" w:rsidRDefault="005D2B7C" w:rsidP="00401300">
            <w:pPr>
              <w:spacing w:after="0"/>
              <w:contextualSpacing/>
              <w:rPr>
                <w:sz w:val="20"/>
                <w:szCs w:val="20"/>
              </w:rPr>
            </w:pPr>
            <w:r w:rsidRPr="005D2B7C">
              <w:rPr>
                <w:rFonts w:ascii="Calibri" w:hAnsi="Calibri"/>
                <w:color w:val="000000"/>
                <w:sz w:val="20"/>
              </w:rPr>
              <w:t>Ireland, Dublin</w:t>
            </w:r>
          </w:p>
        </w:tc>
        <w:tc>
          <w:tcPr>
            <w:tcW w:w="622" w:type="dxa"/>
            <w:shd w:val="clear" w:color="auto" w:fill="auto"/>
            <w:noWrap/>
            <w:hideMark/>
          </w:tcPr>
          <w:p w14:paraId="0043137E" w14:textId="77777777" w:rsidR="005D2B7C" w:rsidRPr="005E1CCA" w:rsidRDefault="005D2B7C" w:rsidP="00401300">
            <w:pPr>
              <w:spacing w:after="0"/>
              <w:contextualSpacing/>
              <w:rPr>
                <w:sz w:val="20"/>
                <w:szCs w:val="20"/>
              </w:rPr>
            </w:pPr>
            <w:r w:rsidRPr="005E1CCA">
              <w:rPr>
                <w:sz w:val="20"/>
                <w:szCs w:val="20"/>
              </w:rPr>
              <w:t>1980</w:t>
            </w:r>
          </w:p>
        </w:tc>
        <w:tc>
          <w:tcPr>
            <w:tcW w:w="622" w:type="dxa"/>
            <w:shd w:val="clear" w:color="auto" w:fill="auto"/>
            <w:noWrap/>
            <w:hideMark/>
          </w:tcPr>
          <w:p w14:paraId="284F73EF"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0B1F6348" w14:textId="77777777" w:rsidR="005D2B7C" w:rsidRPr="005E1CCA" w:rsidRDefault="005D2B7C" w:rsidP="00237CE9">
            <w:pPr>
              <w:spacing w:after="0"/>
              <w:contextualSpacing/>
              <w:jc w:val="center"/>
              <w:rPr>
                <w:sz w:val="20"/>
                <w:szCs w:val="20"/>
              </w:rPr>
            </w:pPr>
            <w:r w:rsidRPr="005E1CCA">
              <w:rPr>
                <w:sz w:val="20"/>
                <w:szCs w:val="20"/>
              </w:rPr>
              <w:t>33</w:t>
            </w:r>
          </w:p>
        </w:tc>
        <w:tc>
          <w:tcPr>
            <w:tcW w:w="1134" w:type="dxa"/>
            <w:shd w:val="clear" w:color="auto" w:fill="auto"/>
            <w:noWrap/>
            <w:hideMark/>
          </w:tcPr>
          <w:p w14:paraId="4E307FA5" w14:textId="77777777" w:rsidR="005D2B7C" w:rsidRPr="005E1CCA" w:rsidRDefault="005D2B7C" w:rsidP="00237CE9">
            <w:pPr>
              <w:spacing w:after="0"/>
              <w:contextualSpacing/>
              <w:jc w:val="center"/>
              <w:rPr>
                <w:sz w:val="20"/>
                <w:szCs w:val="20"/>
              </w:rPr>
            </w:pPr>
            <w:r w:rsidRPr="005E1CCA">
              <w:rPr>
                <w:sz w:val="20"/>
                <w:szCs w:val="20"/>
              </w:rPr>
              <w:t>6.3</w:t>
            </w:r>
          </w:p>
        </w:tc>
        <w:tc>
          <w:tcPr>
            <w:tcW w:w="1134" w:type="dxa"/>
            <w:shd w:val="clear" w:color="auto" w:fill="auto"/>
            <w:noWrap/>
            <w:hideMark/>
          </w:tcPr>
          <w:p w14:paraId="359DC983" w14:textId="77777777" w:rsidR="005D2B7C" w:rsidRPr="005E1CCA" w:rsidRDefault="005D2B7C" w:rsidP="00237CE9">
            <w:pPr>
              <w:spacing w:after="0"/>
              <w:contextualSpacing/>
              <w:jc w:val="center"/>
              <w:rPr>
                <w:sz w:val="20"/>
                <w:szCs w:val="20"/>
              </w:rPr>
            </w:pPr>
            <w:r w:rsidRPr="005E1CCA">
              <w:rPr>
                <w:sz w:val="20"/>
                <w:szCs w:val="20"/>
              </w:rPr>
              <w:t>22,521</w:t>
            </w:r>
          </w:p>
        </w:tc>
        <w:tc>
          <w:tcPr>
            <w:tcW w:w="1362" w:type="dxa"/>
            <w:shd w:val="clear" w:color="auto" w:fill="auto"/>
            <w:noWrap/>
            <w:vAlign w:val="bottom"/>
            <w:hideMark/>
          </w:tcPr>
          <w:p w14:paraId="01488800" w14:textId="59A3FC65"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56962092" w14:textId="1BCFA78A" w:rsidR="005D2B7C" w:rsidRPr="005D2B7C" w:rsidRDefault="005D2B7C" w:rsidP="00237CE9">
            <w:pPr>
              <w:spacing w:after="0"/>
              <w:contextualSpacing/>
              <w:jc w:val="center"/>
              <w:rPr>
                <w:sz w:val="20"/>
                <w:szCs w:val="20"/>
              </w:rPr>
            </w:pPr>
            <w:r w:rsidRPr="005D2B7C">
              <w:rPr>
                <w:rFonts w:ascii="Calibri" w:hAnsi="Calibri"/>
                <w:color w:val="000000"/>
                <w:sz w:val="20"/>
              </w:rPr>
              <w:t>2.2 ( 1.7 - 2.9 )</w:t>
            </w:r>
          </w:p>
        </w:tc>
        <w:tc>
          <w:tcPr>
            <w:tcW w:w="1985" w:type="dxa"/>
            <w:vAlign w:val="bottom"/>
          </w:tcPr>
          <w:p w14:paraId="586C6033" w14:textId="77777777" w:rsidR="005D2B7C" w:rsidRPr="005E1CCA" w:rsidRDefault="005D2B7C" w:rsidP="00237CE9">
            <w:pPr>
              <w:spacing w:after="0"/>
              <w:contextualSpacing/>
              <w:jc w:val="center"/>
              <w:rPr>
                <w:sz w:val="20"/>
                <w:szCs w:val="20"/>
              </w:rPr>
            </w:pPr>
            <w:r w:rsidRPr="005E1CCA">
              <w:rPr>
                <w:sz w:val="20"/>
                <w:szCs w:val="20"/>
              </w:rPr>
              <w:t>-18% ( -26% - -10% )</w:t>
            </w:r>
          </w:p>
        </w:tc>
      </w:tr>
      <w:tr w:rsidR="005D2B7C" w:rsidRPr="005E1CCA" w14:paraId="0CE1B85D" w14:textId="77777777" w:rsidTr="009E4DCC">
        <w:trPr>
          <w:trHeight w:val="300"/>
        </w:trPr>
        <w:tc>
          <w:tcPr>
            <w:tcW w:w="3417" w:type="dxa"/>
            <w:shd w:val="clear" w:color="auto" w:fill="auto"/>
            <w:noWrap/>
            <w:vAlign w:val="bottom"/>
            <w:hideMark/>
          </w:tcPr>
          <w:p w14:paraId="0C1E2EFD" w14:textId="6F5B1837" w:rsidR="005D2B7C" w:rsidRPr="005D2B7C" w:rsidRDefault="005D2B7C" w:rsidP="00401300">
            <w:pPr>
              <w:spacing w:after="0"/>
              <w:contextualSpacing/>
              <w:rPr>
                <w:sz w:val="20"/>
                <w:szCs w:val="20"/>
              </w:rPr>
            </w:pPr>
            <w:r w:rsidRPr="005D2B7C">
              <w:rPr>
                <w:rFonts w:ascii="Calibri" w:hAnsi="Calibri"/>
                <w:color w:val="000000"/>
                <w:sz w:val="20"/>
              </w:rPr>
              <w:t>Italy, Tuscany</w:t>
            </w:r>
          </w:p>
        </w:tc>
        <w:tc>
          <w:tcPr>
            <w:tcW w:w="622" w:type="dxa"/>
            <w:shd w:val="clear" w:color="auto" w:fill="auto"/>
            <w:noWrap/>
            <w:hideMark/>
          </w:tcPr>
          <w:p w14:paraId="7CFD51A9" w14:textId="77777777" w:rsidR="005D2B7C" w:rsidRPr="005E1CCA" w:rsidRDefault="005D2B7C" w:rsidP="00401300">
            <w:pPr>
              <w:spacing w:after="0"/>
              <w:contextualSpacing/>
              <w:rPr>
                <w:sz w:val="20"/>
                <w:szCs w:val="20"/>
              </w:rPr>
            </w:pPr>
            <w:r w:rsidRPr="005E1CCA">
              <w:rPr>
                <w:sz w:val="20"/>
                <w:szCs w:val="20"/>
              </w:rPr>
              <w:t>1980</w:t>
            </w:r>
          </w:p>
        </w:tc>
        <w:tc>
          <w:tcPr>
            <w:tcW w:w="622" w:type="dxa"/>
            <w:shd w:val="clear" w:color="auto" w:fill="auto"/>
            <w:noWrap/>
            <w:hideMark/>
          </w:tcPr>
          <w:p w14:paraId="1D32B19D"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3CD49932" w14:textId="77777777" w:rsidR="005D2B7C" w:rsidRPr="005E1CCA" w:rsidRDefault="005D2B7C" w:rsidP="00237CE9">
            <w:pPr>
              <w:spacing w:after="0"/>
              <w:contextualSpacing/>
              <w:jc w:val="center"/>
              <w:rPr>
                <w:sz w:val="20"/>
                <w:szCs w:val="20"/>
              </w:rPr>
            </w:pPr>
            <w:r w:rsidRPr="005E1CCA">
              <w:rPr>
                <w:sz w:val="20"/>
                <w:szCs w:val="20"/>
              </w:rPr>
              <w:t>33</w:t>
            </w:r>
          </w:p>
        </w:tc>
        <w:tc>
          <w:tcPr>
            <w:tcW w:w="1134" w:type="dxa"/>
            <w:shd w:val="clear" w:color="auto" w:fill="auto"/>
            <w:noWrap/>
            <w:hideMark/>
          </w:tcPr>
          <w:p w14:paraId="4305DFBE" w14:textId="77777777" w:rsidR="005D2B7C" w:rsidRPr="005E1CCA" w:rsidRDefault="005D2B7C" w:rsidP="00237CE9">
            <w:pPr>
              <w:spacing w:after="0"/>
              <w:contextualSpacing/>
              <w:jc w:val="center"/>
              <w:rPr>
                <w:sz w:val="20"/>
                <w:szCs w:val="20"/>
              </w:rPr>
            </w:pPr>
            <w:r w:rsidRPr="005E1CCA">
              <w:rPr>
                <w:sz w:val="20"/>
                <w:szCs w:val="20"/>
              </w:rPr>
              <w:t>1.8</w:t>
            </w:r>
          </w:p>
        </w:tc>
        <w:tc>
          <w:tcPr>
            <w:tcW w:w="1134" w:type="dxa"/>
            <w:shd w:val="clear" w:color="auto" w:fill="auto"/>
            <w:noWrap/>
            <w:hideMark/>
          </w:tcPr>
          <w:p w14:paraId="536547ED" w14:textId="77777777" w:rsidR="005D2B7C" w:rsidRPr="005E1CCA" w:rsidRDefault="005D2B7C" w:rsidP="00237CE9">
            <w:pPr>
              <w:spacing w:after="0"/>
              <w:contextualSpacing/>
              <w:jc w:val="center"/>
              <w:rPr>
                <w:sz w:val="20"/>
                <w:szCs w:val="20"/>
              </w:rPr>
            </w:pPr>
            <w:r w:rsidRPr="005E1CCA">
              <w:rPr>
                <w:sz w:val="20"/>
                <w:szCs w:val="20"/>
              </w:rPr>
              <w:t>20,809</w:t>
            </w:r>
          </w:p>
        </w:tc>
        <w:tc>
          <w:tcPr>
            <w:tcW w:w="1362" w:type="dxa"/>
            <w:shd w:val="clear" w:color="auto" w:fill="auto"/>
            <w:noWrap/>
            <w:vAlign w:val="bottom"/>
            <w:hideMark/>
          </w:tcPr>
          <w:p w14:paraId="6F852902" w14:textId="03168443"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628330BA" w14:textId="567EB230" w:rsidR="005D2B7C" w:rsidRPr="005D2B7C" w:rsidRDefault="005D2B7C" w:rsidP="00237CE9">
            <w:pPr>
              <w:spacing w:after="0"/>
              <w:contextualSpacing/>
              <w:jc w:val="center"/>
              <w:rPr>
                <w:sz w:val="20"/>
                <w:szCs w:val="20"/>
              </w:rPr>
            </w:pPr>
            <w:r w:rsidRPr="005D2B7C">
              <w:rPr>
                <w:rFonts w:ascii="Calibri" w:hAnsi="Calibri"/>
                <w:color w:val="000000"/>
                <w:sz w:val="20"/>
              </w:rPr>
              <w:t>0.7 ( 0.4 – 1.0 )</w:t>
            </w:r>
          </w:p>
        </w:tc>
        <w:tc>
          <w:tcPr>
            <w:tcW w:w="1985" w:type="dxa"/>
            <w:vAlign w:val="bottom"/>
          </w:tcPr>
          <w:p w14:paraId="5DF14B47" w14:textId="503BF386" w:rsidR="005D2B7C" w:rsidRPr="005E1CCA" w:rsidRDefault="005D2B7C" w:rsidP="00237CE9">
            <w:pPr>
              <w:spacing w:after="0"/>
              <w:contextualSpacing/>
              <w:jc w:val="center"/>
              <w:rPr>
                <w:sz w:val="20"/>
                <w:szCs w:val="20"/>
              </w:rPr>
            </w:pPr>
            <w:r w:rsidRPr="005E1CCA">
              <w:rPr>
                <w:sz w:val="20"/>
                <w:szCs w:val="20"/>
              </w:rPr>
              <w:t>-9% ( -23% - 6% )</w:t>
            </w:r>
          </w:p>
        </w:tc>
      </w:tr>
      <w:tr w:rsidR="005D2B7C" w:rsidRPr="005E1CCA" w14:paraId="7A1D5E15" w14:textId="77777777" w:rsidTr="009E4DCC">
        <w:trPr>
          <w:trHeight w:val="300"/>
        </w:trPr>
        <w:tc>
          <w:tcPr>
            <w:tcW w:w="3417" w:type="dxa"/>
            <w:shd w:val="clear" w:color="auto" w:fill="auto"/>
            <w:noWrap/>
            <w:vAlign w:val="bottom"/>
            <w:hideMark/>
          </w:tcPr>
          <w:p w14:paraId="4A6A8BE5" w14:textId="300F3CE4" w:rsidR="005D2B7C" w:rsidRPr="005D2B7C" w:rsidRDefault="005D2B7C" w:rsidP="00401300">
            <w:pPr>
              <w:spacing w:after="0"/>
              <w:contextualSpacing/>
              <w:rPr>
                <w:sz w:val="20"/>
                <w:szCs w:val="20"/>
              </w:rPr>
            </w:pPr>
            <w:r w:rsidRPr="005D2B7C">
              <w:rPr>
                <w:rFonts w:ascii="Calibri" w:hAnsi="Calibri"/>
                <w:color w:val="000000"/>
                <w:sz w:val="20"/>
              </w:rPr>
              <w:t>Spain, Basque Country</w:t>
            </w:r>
          </w:p>
        </w:tc>
        <w:tc>
          <w:tcPr>
            <w:tcW w:w="622" w:type="dxa"/>
            <w:shd w:val="clear" w:color="auto" w:fill="auto"/>
            <w:noWrap/>
            <w:hideMark/>
          </w:tcPr>
          <w:p w14:paraId="7485AE4C" w14:textId="77777777" w:rsidR="005D2B7C" w:rsidRPr="005E1CCA" w:rsidRDefault="005D2B7C" w:rsidP="00401300">
            <w:pPr>
              <w:spacing w:after="0"/>
              <w:contextualSpacing/>
              <w:rPr>
                <w:sz w:val="20"/>
                <w:szCs w:val="20"/>
              </w:rPr>
            </w:pPr>
            <w:r w:rsidRPr="005E1CCA">
              <w:rPr>
                <w:sz w:val="20"/>
                <w:szCs w:val="20"/>
              </w:rPr>
              <w:t>1990</w:t>
            </w:r>
          </w:p>
        </w:tc>
        <w:tc>
          <w:tcPr>
            <w:tcW w:w="622" w:type="dxa"/>
            <w:shd w:val="clear" w:color="auto" w:fill="auto"/>
            <w:noWrap/>
            <w:hideMark/>
          </w:tcPr>
          <w:p w14:paraId="477C9F35" w14:textId="77777777" w:rsidR="005D2B7C" w:rsidRPr="005E1CCA" w:rsidRDefault="005D2B7C" w:rsidP="00401300">
            <w:pPr>
              <w:spacing w:after="0"/>
              <w:contextualSpacing/>
              <w:rPr>
                <w:sz w:val="20"/>
                <w:szCs w:val="20"/>
              </w:rPr>
            </w:pPr>
            <w:r w:rsidRPr="005E1CCA">
              <w:rPr>
                <w:sz w:val="20"/>
                <w:szCs w:val="20"/>
              </w:rPr>
              <w:t>2011</w:t>
            </w:r>
          </w:p>
        </w:tc>
        <w:tc>
          <w:tcPr>
            <w:tcW w:w="906" w:type="dxa"/>
            <w:shd w:val="clear" w:color="auto" w:fill="auto"/>
            <w:noWrap/>
            <w:hideMark/>
          </w:tcPr>
          <w:p w14:paraId="12F48900" w14:textId="77777777" w:rsidR="005D2B7C" w:rsidRPr="005E1CCA" w:rsidRDefault="005D2B7C" w:rsidP="00237CE9">
            <w:pPr>
              <w:spacing w:after="0"/>
              <w:contextualSpacing/>
              <w:jc w:val="center"/>
              <w:rPr>
                <w:sz w:val="20"/>
                <w:szCs w:val="20"/>
              </w:rPr>
            </w:pPr>
            <w:r w:rsidRPr="005E1CCA">
              <w:rPr>
                <w:sz w:val="20"/>
                <w:szCs w:val="20"/>
              </w:rPr>
              <w:t>22</w:t>
            </w:r>
          </w:p>
        </w:tc>
        <w:tc>
          <w:tcPr>
            <w:tcW w:w="1134" w:type="dxa"/>
            <w:shd w:val="clear" w:color="auto" w:fill="auto"/>
            <w:noWrap/>
            <w:hideMark/>
          </w:tcPr>
          <w:p w14:paraId="4A38892F" w14:textId="77777777" w:rsidR="005D2B7C" w:rsidRPr="005E1CCA" w:rsidRDefault="005D2B7C" w:rsidP="00237CE9">
            <w:pPr>
              <w:spacing w:after="0"/>
              <w:contextualSpacing/>
              <w:jc w:val="center"/>
              <w:rPr>
                <w:sz w:val="20"/>
                <w:szCs w:val="20"/>
              </w:rPr>
            </w:pPr>
            <w:r w:rsidRPr="005E1CCA">
              <w:rPr>
                <w:sz w:val="20"/>
                <w:szCs w:val="20"/>
              </w:rPr>
              <w:t>3.6</w:t>
            </w:r>
          </w:p>
        </w:tc>
        <w:tc>
          <w:tcPr>
            <w:tcW w:w="1134" w:type="dxa"/>
            <w:shd w:val="clear" w:color="auto" w:fill="auto"/>
            <w:noWrap/>
            <w:hideMark/>
          </w:tcPr>
          <w:p w14:paraId="75F3B526" w14:textId="77777777" w:rsidR="005D2B7C" w:rsidRPr="005E1CCA" w:rsidRDefault="005D2B7C" w:rsidP="00237CE9">
            <w:pPr>
              <w:spacing w:after="0"/>
              <w:contextualSpacing/>
              <w:jc w:val="center"/>
              <w:rPr>
                <w:sz w:val="20"/>
                <w:szCs w:val="20"/>
              </w:rPr>
            </w:pPr>
            <w:r w:rsidRPr="005E1CCA">
              <w:rPr>
                <w:sz w:val="20"/>
                <w:szCs w:val="20"/>
              </w:rPr>
              <w:t>18,155</w:t>
            </w:r>
          </w:p>
        </w:tc>
        <w:tc>
          <w:tcPr>
            <w:tcW w:w="1362" w:type="dxa"/>
            <w:shd w:val="clear" w:color="auto" w:fill="auto"/>
            <w:noWrap/>
            <w:vAlign w:val="bottom"/>
            <w:hideMark/>
          </w:tcPr>
          <w:p w14:paraId="21797448" w14:textId="11DCC274"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4B6EC333" w14:textId="75C69B88" w:rsidR="005D2B7C" w:rsidRPr="005D2B7C" w:rsidRDefault="005D2B7C" w:rsidP="00237CE9">
            <w:pPr>
              <w:spacing w:after="0"/>
              <w:contextualSpacing/>
              <w:jc w:val="center"/>
              <w:rPr>
                <w:sz w:val="20"/>
                <w:szCs w:val="20"/>
              </w:rPr>
            </w:pPr>
            <w:r w:rsidRPr="005D2B7C">
              <w:rPr>
                <w:rFonts w:ascii="Calibri" w:hAnsi="Calibri"/>
                <w:color w:val="000000"/>
                <w:sz w:val="20"/>
              </w:rPr>
              <w:t>2.9 ( 2.2 - 3.8 )</w:t>
            </w:r>
          </w:p>
        </w:tc>
        <w:tc>
          <w:tcPr>
            <w:tcW w:w="1985" w:type="dxa"/>
            <w:vAlign w:val="bottom"/>
          </w:tcPr>
          <w:p w14:paraId="73435B95" w14:textId="26FA3E70" w:rsidR="005D2B7C" w:rsidRPr="005E1CCA" w:rsidRDefault="005D2B7C" w:rsidP="00237CE9">
            <w:pPr>
              <w:spacing w:after="0"/>
              <w:contextualSpacing/>
              <w:jc w:val="center"/>
              <w:rPr>
                <w:sz w:val="20"/>
                <w:szCs w:val="20"/>
              </w:rPr>
            </w:pPr>
            <w:r w:rsidRPr="005E1CCA">
              <w:rPr>
                <w:sz w:val="20"/>
                <w:szCs w:val="20"/>
              </w:rPr>
              <w:t>11% ( 0% - 23% )</w:t>
            </w:r>
          </w:p>
        </w:tc>
      </w:tr>
      <w:tr w:rsidR="005D2B7C" w:rsidRPr="005E1CCA" w14:paraId="19A3F37E" w14:textId="77777777" w:rsidTr="009E4DCC">
        <w:trPr>
          <w:trHeight w:val="300"/>
        </w:trPr>
        <w:tc>
          <w:tcPr>
            <w:tcW w:w="3417" w:type="dxa"/>
            <w:shd w:val="clear" w:color="auto" w:fill="auto"/>
            <w:noWrap/>
            <w:vAlign w:val="bottom"/>
            <w:hideMark/>
          </w:tcPr>
          <w:p w14:paraId="53AF4EAD" w14:textId="3471292A" w:rsidR="005D2B7C" w:rsidRPr="005D2B7C" w:rsidRDefault="005D2B7C" w:rsidP="00401300">
            <w:pPr>
              <w:spacing w:after="0"/>
              <w:contextualSpacing/>
              <w:rPr>
                <w:sz w:val="20"/>
                <w:szCs w:val="20"/>
              </w:rPr>
            </w:pPr>
            <w:r w:rsidRPr="005D2B7C">
              <w:rPr>
                <w:rFonts w:ascii="Calibri" w:hAnsi="Calibri"/>
                <w:color w:val="000000"/>
                <w:sz w:val="20"/>
              </w:rPr>
              <w:t>Netherlands, North</w:t>
            </w:r>
          </w:p>
        </w:tc>
        <w:tc>
          <w:tcPr>
            <w:tcW w:w="622" w:type="dxa"/>
            <w:shd w:val="clear" w:color="auto" w:fill="auto"/>
            <w:noWrap/>
            <w:hideMark/>
          </w:tcPr>
          <w:p w14:paraId="076A3737" w14:textId="77777777" w:rsidR="005D2B7C" w:rsidRPr="005E1CCA" w:rsidRDefault="005D2B7C" w:rsidP="00401300">
            <w:pPr>
              <w:spacing w:after="0"/>
              <w:contextualSpacing/>
              <w:rPr>
                <w:sz w:val="20"/>
                <w:szCs w:val="20"/>
              </w:rPr>
            </w:pPr>
            <w:r w:rsidRPr="005E1CCA">
              <w:rPr>
                <w:sz w:val="20"/>
                <w:szCs w:val="20"/>
              </w:rPr>
              <w:t>1981</w:t>
            </w:r>
          </w:p>
        </w:tc>
        <w:tc>
          <w:tcPr>
            <w:tcW w:w="622" w:type="dxa"/>
            <w:shd w:val="clear" w:color="auto" w:fill="auto"/>
            <w:noWrap/>
            <w:hideMark/>
          </w:tcPr>
          <w:p w14:paraId="10D4EFD5"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5401705B" w14:textId="77777777" w:rsidR="005D2B7C" w:rsidRPr="005E1CCA" w:rsidRDefault="005D2B7C" w:rsidP="00237CE9">
            <w:pPr>
              <w:spacing w:after="0"/>
              <w:contextualSpacing/>
              <w:jc w:val="center"/>
              <w:rPr>
                <w:sz w:val="20"/>
                <w:szCs w:val="20"/>
              </w:rPr>
            </w:pPr>
            <w:r w:rsidRPr="005E1CCA">
              <w:rPr>
                <w:sz w:val="20"/>
                <w:szCs w:val="20"/>
              </w:rPr>
              <w:t>32</w:t>
            </w:r>
          </w:p>
        </w:tc>
        <w:tc>
          <w:tcPr>
            <w:tcW w:w="1134" w:type="dxa"/>
            <w:shd w:val="clear" w:color="auto" w:fill="auto"/>
            <w:noWrap/>
            <w:hideMark/>
          </w:tcPr>
          <w:p w14:paraId="564032D1" w14:textId="77777777" w:rsidR="005D2B7C" w:rsidRPr="005E1CCA" w:rsidRDefault="005D2B7C" w:rsidP="00237CE9">
            <w:pPr>
              <w:spacing w:after="0"/>
              <w:contextualSpacing/>
              <w:jc w:val="center"/>
              <w:rPr>
                <w:sz w:val="20"/>
                <w:szCs w:val="20"/>
              </w:rPr>
            </w:pPr>
            <w:r w:rsidRPr="005E1CCA">
              <w:rPr>
                <w:sz w:val="20"/>
                <w:szCs w:val="20"/>
              </w:rPr>
              <w:t>3.8</w:t>
            </w:r>
          </w:p>
        </w:tc>
        <w:tc>
          <w:tcPr>
            <w:tcW w:w="1134" w:type="dxa"/>
            <w:shd w:val="clear" w:color="auto" w:fill="auto"/>
            <w:noWrap/>
            <w:hideMark/>
          </w:tcPr>
          <w:p w14:paraId="77EA5B02" w14:textId="77777777" w:rsidR="005D2B7C" w:rsidRPr="005E1CCA" w:rsidRDefault="005D2B7C" w:rsidP="00237CE9">
            <w:pPr>
              <w:spacing w:after="0"/>
              <w:contextualSpacing/>
              <w:jc w:val="center"/>
              <w:rPr>
                <w:sz w:val="20"/>
                <w:szCs w:val="20"/>
              </w:rPr>
            </w:pPr>
            <w:r w:rsidRPr="005E1CCA">
              <w:rPr>
                <w:sz w:val="20"/>
                <w:szCs w:val="20"/>
              </w:rPr>
              <w:t>16,581</w:t>
            </w:r>
          </w:p>
        </w:tc>
        <w:tc>
          <w:tcPr>
            <w:tcW w:w="1362" w:type="dxa"/>
            <w:shd w:val="clear" w:color="auto" w:fill="auto"/>
            <w:noWrap/>
            <w:vAlign w:val="bottom"/>
            <w:hideMark/>
          </w:tcPr>
          <w:p w14:paraId="74B248D2" w14:textId="5D1C93E3"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76A08C1C" w14:textId="24C4D391" w:rsidR="005D2B7C" w:rsidRPr="005D2B7C" w:rsidRDefault="005D2B7C" w:rsidP="00237CE9">
            <w:pPr>
              <w:spacing w:after="0"/>
              <w:contextualSpacing/>
              <w:jc w:val="center"/>
              <w:rPr>
                <w:sz w:val="20"/>
                <w:szCs w:val="20"/>
              </w:rPr>
            </w:pPr>
            <w:r w:rsidRPr="005D2B7C">
              <w:rPr>
                <w:rFonts w:ascii="Calibri" w:hAnsi="Calibri"/>
                <w:color w:val="000000"/>
                <w:sz w:val="20"/>
              </w:rPr>
              <w:t>1.7 ( 1.2 - 2.4 )</w:t>
            </w:r>
          </w:p>
        </w:tc>
        <w:tc>
          <w:tcPr>
            <w:tcW w:w="1985" w:type="dxa"/>
            <w:vAlign w:val="bottom"/>
          </w:tcPr>
          <w:p w14:paraId="082BF6B3" w14:textId="693A1199" w:rsidR="005D2B7C" w:rsidRPr="005E1CCA" w:rsidRDefault="005D2B7C" w:rsidP="00237CE9">
            <w:pPr>
              <w:spacing w:after="0"/>
              <w:contextualSpacing/>
              <w:jc w:val="center"/>
              <w:rPr>
                <w:sz w:val="20"/>
                <w:szCs w:val="20"/>
              </w:rPr>
            </w:pPr>
            <w:r w:rsidRPr="005E1CCA">
              <w:rPr>
                <w:sz w:val="20"/>
                <w:szCs w:val="20"/>
              </w:rPr>
              <w:t>16% ( 1% - 32% )</w:t>
            </w:r>
          </w:p>
        </w:tc>
      </w:tr>
      <w:tr w:rsidR="005D2B7C" w:rsidRPr="005E1CCA" w14:paraId="79EA7858" w14:textId="77777777" w:rsidTr="009E4DCC">
        <w:trPr>
          <w:trHeight w:val="300"/>
        </w:trPr>
        <w:tc>
          <w:tcPr>
            <w:tcW w:w="3417" w:type="dxa"/>
            <w:shd w:val="clear" w:color="auto" w:fill="auto"/>
            <w:noWrap/>
            <w:vAlign w:val="bottom"/>
            <w:hideMark/>
          </w:tcPr>
          <w:p w14:paraId="41C0E0AC" w14:textId="18450B63" w:rsidR="005D2B7C" w:rsidRPr="005D2B7C" w:rsidRDefault="005D2B7C" w:rsidP="00401300">
            <w:pPr>
              <w:spacing w:after="0"/>
              <w:contextualSpacing/>
              <w:rPr>
                <w:sz w:val="20"/>
                <w:szCs w:val="20"/>
              </w:rPr>
            </w:pPr>
            <w:r w:rsidRPr="005D2B7C">
              <w:rPr>
                <w:rFonts w:ascii="Calibri" w:hAnsi="Calibri"/>
                <w:color w:val="000000"/>
                <w:sz w:val="20"/>
              </w:rPr>
              <w:t>Belgium, Antwerp</w:t>
            </w:r>
          </w:p>
        </w:tc>
        <w:tc>
          <w:tcPr>
            <w:tcW w:w="622" w:type="dxa"/>
            <w:shd w:val="clear" w:color="auto" w:fill="auto"/>
            <w:noWrap/>
            <w:hideMark/>
          </w:tcPr>
          <w:p w14:paraId="1F77ED4B" w14:textId="77777777" w:rsidR="005D2B7C" w:rsidRPr="005E1CCA" w:rsidRDefault="005D2B7C" w:rsidP="00401300">
            <w:pPr>
              <w:spacing w:after="0"/>
              <w:contextualSpacing/>
              <w:rPr>
                <w:sz w:val="20"/>
                <w:szCs w:val="20"/>
              </w:rPr>
            </w:pPr>
            <w:r w:rsidRPr="005E1CCA">
              <w:rPr>
                <w:sz w:val="20"/>
                <w:szCs w:val="20"/>
              </w:rPr>
              <w:t>1990</w:t>
            </w:r>
          </w:p>
        </w:tc>
        <w:tc>
          <w:tcPr>
            <w:tcW w:w="622" w:type="dxa"/>
            <w:shd w:val="clear" w:color="auto" w:fill="auto"/>
            <w:noWrap/>
            <w:hideMark/>
          </w:tcPr>
          <w:p w14:paraId="56D722AC"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165A04D1" w14:textId="77777777" w:rsidR="005D2B7C" w:rsidRPr="005E1CCA" w:rsidRDefault="005D2B7C" w:rsidP="00237CE9">
            <w:pPr>
              <w:spacing w:after="0"/>
              <w:contextualSpacing/>
              <w:jc w:val="center"/>
              <w:rPr>
                <w:sz w:val="20"/>
                <w:szCs w:val="20"/>
              </w:rPr>
            </w:pPr>
            <w:r w:rsidRPr="005E1CCA">
              <w:rPr>
                <w:sz w:val="20"/>
                <w:szCs w:val="20"/>
              </w:rPr>
              <w:t>23</w:t>
            </w:r>
          </w:p>
        </w:tc>
        <w:tc>
          <w:tcPr>
            <w:tcW w:w="1134" w:type="dxa"/>
            <w:shd w:val="clear" w:color="auto" w:fill="auto"/>
            <w:noWrap/>
            <w:hideMark/>
          </w:tcPr>
          <w:p w14:paraId="167781B9" w14:textId="77777777" w:rsidR="005D2B7C" w:rsidRPr="005E1CCA" w:rsidRDefault="005D2B7C" w:rsidP="00237CE9">
            <w:pPr>
              <w:spacing w:after="0"/>
              <w:contextualSpacing/>
              <w:jc w:val="center"/>
              <w:rPr>
                <w:sz w:val="20"/>
                <w:szCs w:val="20"/>
              </w:rPr>
            </w:pPr>
            <w:r w:rsidRPr="005E1CCA">
              <w:rPr>
                <w:sz w:val="20"/>
                <w:szCs w:val="20"/>
              </w:rPr>
              <w:t>4.0</w:t>
            </w:r>
          </w:p>
        </w:tc>
        <w:tc>
          <w:tcPr>
            <w:tcW w:w="1134" w:type="dxa"/>
            <w:shd w:val="clear" w:color="auto" w:fill="auto"/>
            <w:noWrap/>
            <w:hideMark/>
          </w:tcPr>
          <w:p w14:paraId="01B847BD" w14:textId="77777777" w:rsidR="005D2B7C" w:rsidRPr="005E1CCA" w:rsidRDefault="005D2B7C" w:rsidP="00237CE9">
            <w:pPr>
              <w:spacing w:after="0"/>
              <w:contextualSpacing/>
              <w:jc w:val="center"/>
              <w:rPr>
                <w:sz w:val="20"/>
                <w:szCs w:val="20"/>
              </w:rPr>
            </w:pPr>
            <w:r w:rsidRPr="005E1CCA">
              <w:rPr>
                <w:sz w:val="20"/>
                <w:szCs w:val="20"/>
              </w:rPr>
              <w:t>15,778</w:t>
            </w:r>
          </w:p>
        </w:tc>
        <w:tc>
          <w:tcPr>
            <w:tcW w:w="1362" w:type="dxa"/>
            <w:shd w:val="clear" w:color="auto" w:fill="auto"/>
            <w:noWrap/>
            <w:vAlign w:val="bottom"/>
            <w:hideMark/>
          </w:tcPr>
          <w:p w14:paraId="15A4D39D" w14:textId="2C6261B4"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6F56D91E" w14:textId="2E2AEB7D" w:rsidR="005D2B7C" w:rsidRPr="005D2B7C" w:rsidRDefault="005D2B7C" w:rsidP="00237CE9">
            <w:pPr>
              <w:spacing w:after="0"/>
              <w:contextualSpacing/>
              <w:jc w:val="center"/>
              <w:rPr>
                <w:sz w:val="20"/>
                <w:szCs w:val="20"/>
              </w:rPr>
            </w:pPr>
            <w:r w:rsidRPr="005D2B7C">
              <w:rPr>
                <w:rFonts w:ascii="Calibri" w:hAnsi="Calibri"/>
                <w:color w:val="000000"/>
                <w:sz w:val="20"/>
              </w:rPr>
              <w:t>2.3 ( 1.7 - 3.1 )</w:t>
            </w:r>
          </w:p>
        </w:tc>
        <w:tc>
          <w:tcPr>
            <w:tcW w:w="1985" w:type="dxa"/>
            <w:vAlign w:val="bottom"/>
          </w:tcPr>
          <w:p w14:paraId="71D455BF" w14:textId="73C1FC49" w:rsidR="005D2B7C" w:rsidRPr="005E1CCA" w:rsidRDefault="005D2B7C" w:rsidP="00237CE9">
            <w:pPr>
              <w:spacing w:after="0"/>
              <w:contextualSpacing/>
              <w:jc w:val="center"/>
              <w:rPr>
                <w:sz w:val="20"/>
                <w:szCs w:val="20"/>
              </w:rPr>
            </w:pPr>
            <w:r w:rsidRPr="005E1CCA">
              <w:rPr>
                <w:sz w:val="20"/>
                <w:szCs w:val="20"/>
              </w:rPr>
              <w:t>-3% ( -13% - 7% )</w:t>
            </w:r>
          </w:p>
        </w:tc>
      </w:tr>
      <w:tr w:rsidR="005D2B7C" w:rsidRPr="005E1CCA" w14:paraId="1D53585E" w14:textId="77777777" w:rsidTr="009E4DCC">
        <w:trPr>
          <w:trHeight w:val="300"/>
        </w:trPr>
        <w:tc>
          <w:tcPr>
            <w:tcW w:w="3417" w:type="dxa"/>
            <w:shd w:val="clear" w:color="auto" w:fill="auto"/>
            <w:noWrap/>
            <w:vAlign w:val="bottom"/>
            <w:hideMark/>
          </w:tcPr>
          <w:p w14:paraId="3317C0D4" w14:textId="4605B184" w:rsidR="005D2B7C" w:rsidRPr="005D2B7C" w:rsidRDefault="005D2B7C" w:rsidP="00401300">
            <w:pPr>
              <w:spacing w:after="0"/>
              <w:contextualSpacing/>
              <w:rPr>
                <w:sz w:val="20"/>
                <w:szCs w:val="20"/>
              </w:rPr>
            </w:pPr>
            <w:r w:rsidRPr="005D2B7C">
              <w:rPr>
                <w:rFonts w:ascii="Calibri" w:hAnsi="Calibri"/>
                <w:color w:val="000000"/>
                <w:sz w:val="20"/>
              </w:rPr>
              <w:t>Portugal, South</w:t>
            </w:r>
          </w:p>
        </w:tc>
        <w:tc>
          <w:tcPr>
            <w:tcW w:w="622" w:type="dxa"/>
            <w:shd w:val="clear" w:color="auto" w:fill="auto"/>
            <w:noWrap/>
            <w:hideMark/>
          </w:tcPr>
          <w:p w14:paraId="314D5E68" w14:textId="77777777" w:rsidR="005D2B7C" w:rsidRPr="005E1CCA" w:rsidRDefault="005D2B7C" w:rsidP="00401300">
            <w:pPr>
              <w:spacing w:after="0"/>
              <w:contextualSpacing/>
              <w:rPr>
                <w:sz w:val="20"/>
                <w:szCs w:val="20"/>
              </w:rPr>
            </w:pPr>
            <w:r w:rsidRPr="005E1CCA">
              <w:rPr>
                <w:sz w:val="20"/>
                <w:szCs w:val="20"/>
              </w:rPr>
              <w:t>1990</w:t>
            </w:r>
          </w:p>
        </w:tc>
        <w:tc>
          <w:tcPr>
            <w:tcW w:w="622" w:type="dxa"/>
            <w:shd w:val="clear" w:color="auto" w:fill="auto"/>
            <w:noWrap/>
            <w:hideMark/>
          </w:tcPr>
          <w:p w14:paraId="002B8A03" w14:textId="77777777" w:rsidR="005D2B7C" w:rsidRPr="005E1CCA" w:rsidRDefault="005D2B7C" w:rsidP="00401300">
            <w:pPr>
              <w:spacing w:after="0"/>
              <w:contextualSpacing/>
              <w:rPr>
                <w:sz w:val="20"/>
                <w:szCs w:val="20"/>
              </w:rPr>
            </w:pPr>
            <w:r w:rsidRPr="005E1CCA">
              <w:rPr>
                <w:sz w:val="20"/>
                <w:szCs w:val="20"/>
              </w:rPr>
              <w:t>2011</w:t>
            </w:r>
          </w:p>
        </w:tc>
        <w:tc>
          <w:tcPr>
            <w:tcW w:w="906" w:type="dxa"/>
            <w:shd w:val="clear" w:color="auto" w:fill="auto"/>
            <w:noWrap/>
            <w:hideMark/>
          </w:tcPr>
          <w:p w14:paraId="215A3A7B" w14:textId="77777777" w:rsidR="005D2B7C" w:rsidRPr="005E1CCA" w:rsidRDefault="005D2B7C" w:rsidP="00237CE9">
            <w:pPr>
              <w:spacing w:after="0"/>
              <w:contextualSpacing/>
              <w:jc w:val="center"/>
              <w:rPr>
                <w:sz w:val="20"/>
                <w:szCs w:val="20"/>
              </w:rPr>
            </w:pPr>
            <w:r w:rsidRPr="005E1CCA">
              <w:rPr>
                <w:sz w:val="20"/>
                <w:szCs w:val="20"/>
              </w:rPr>
              <w:t>22</w:t>
            </w:r>
          </w:p>
        </w:tc>
        <w:tc>
          <w:tcPr>
            <w:tcW w:w="1134" w:type="dxa"/>
            <w:shd w:val="clear" w:color="auto" w:fill="auto"/>
            <w:noWrap/>
            <w:hideMark/>
          </w:tcPr>
          <w:p w14:paraId="1D824CAA" w14:textId="77777777" w:rsidR="005D2B7C" w:rsidRPr="005E1CCA" w:rsidRDefault="005D2B7C" w:rsidP="00237CE9">
            <w:pPr>
              <w:spacing w:after="0"/>
              <w:contextualSpacing/>
              <w:jc w:val="center"/>
              <w:rPr>
                <w:sz w:val="20"/>
                <w:szCs w:val="20"/>
              </w:rPr>
            </w:pPr>
            <w:r w:rsidRPr="005E1CCA">
              <w:rPr>
                <w:sz w:val="20"/>
                <w:szCs w:val="20"/>
              </w:rPr>
              <w:t>1.8</w:t>
            </w:r>
          </w:p>
        </w:tc>
        <w:tc>
          <w:tcPr>
            <w:tcW w:w="1134" w:type="dxa"/>
            <w:shd w:val="clear" w:color="auto" w:fill="auto"/>
            <w:noWrap/>
            <w:hideMark/>
          </w:tcPr>
          <w:p w14:paraId="2AC3DEAA" w14:textId="77777777" w:rsidR="005D2B7C" w:rsidRPr="005E1CCA" w:rsidRDefault="005D2B7C" w:rsidP="00237CE9">
            <w:pPr>
              <w:spacing w:after="0"/>
              <w:contextualSpacing/>
              <w:jc w:val="center"/>
              <w:rPr>
                <w:sz w:val="20"/>
                <w:szCs w:val="20"/>
              </w:rPr>
            </w:pPr>
            <w:r w:rsidRPr="005E1CCA">
              <w:rPr>
                <w:sz w:val="20"/>
                <w:szCs w:val="20"/>
              </w:rPr>
              <w:t>15,432</w:t>
            </w:r>
          </w:p>
        </w:tc>
        <w:tc>
          <w:tcPr>
            <w:tcW w:w="1362" w:type="dxa"/>
            <w:shd w:val="clear" w:color="auto" w:fill="auto"/>
            <w:noWrap/>
            <w:vAlign w:val="bottom"/>
            <w:hideMark/>
          </w:tcPr>
          <w:p w14:paraId="3741EF7B" w14:textId="554B01FE" w:rsidR="005D2B7C" w:rsidRPr="005E1CCA" w:rsidRDefault="005D2B7C" w:rsidP="00237CE9">
            <w:pPr>
              <w:spacing w:after="0"/>
              <w:contextualSpacing/>
              <w:jc w:val="center"/>
              <w:rPr>
                <w:sz w:val="20"/>
                <w:szCs w:val="20"/>
              </w:rPr>
            </w:pPr>
            <w:r w:rsidRPr="005E1CCA">
              <w:rPr>
                <w:color w:val="000000"/>
                <w:sz w:val="20"/>
                <w:szCs w:val="20"/>
              </w:rPr>
              <w:t>5</w:t>
            </w:r>
          </w:p>
        </w:tc>
        <w:tc>
          <w:tcPr>
            <w:tcW w:w="1733" w:type="dxa"/>
            <w:shd w:val="clear" w:color="auto" w:fill="auto"/>
            <w:noWrap/>
            <w:vAlign w:val="bottom"/>
            <w:hideMark/>
          </w:tcPr>
          <w:p w14:paraId="778D25B6" w14:textId="67248C59" w:rsidR="005D2B7C" w:rsidRPr="005D2B7C" w:rsidRDefault="005D2B7C" w:rsidP="00237CE9">
            <w:pPr>
              <w:spacing w:after="0"/>
              <w:contextualSpacing/>
              <w:jc w:val="center"/>
              <w:rPr>
                <w:sz w:val="20"/>
                <w:szCs w:val="20"/>
              </w:rPr>
            </w:pPr>
            <w:r w:rsidRPr="005D2B7C">
              <w:rPr>
                <w:rFonts w:ascii="Calibri" w:hAnsi="Calibri"/>
                <w:color w:val="000000"/>
                <w:sz w:val="20"/>
              </w:rPr>
              <w:t>0.4 ( 0.2 - 0.8 )</w:t>
            </w:r>
          </w:p>
        </w:tc>
        <w:tc>
          <w:tcPr>
            <w:tcW w:w="1985" w:type="dxa"/>
            <w:vAlign w:val="bottom"/>
          </w:tcPr>
          <w:p w14:paraId="7CECA3C3" w14:textId="73F87753" w:rsidR="005D2B7C" w:rsidRPr="005E1CCA" w:rsidRDefault="005D2B7C" w:rsidP="00237CE9">
            <w:pPr>
              <w:spacing w:after="0"/>
              <w:contextualSpacing/>
              <w:jc w:val="center"/>
              <w:rPr>
                <w:sz w:val="20"/>
                <w:szCs w:val="20"/>
              </w:rPr>
            </w:pPr>
            <w:r w:rsidRPr="005E1CCA">
              <w:rPr>
                <w:sz w:val="20"/>
                <w:szCs w:val="20"/>
              </w:rPr>
              <w:t>0% ( -17% - 19% )</w:t>
            </w:r>
          </w:p>
        </w:tc>
      </w:tr>
      <w:tr w:rsidR="005D2B7C" w:rsidRPr="005E1CCA" w14:paraId="3B389EE2" w14:textId="77777777" w:rsidTr="009E4DCC">
        <w:trPr>
          <w:trHeight w:val="300"/>
        </w:trPr>
        <w:tc>
          <w:tcPr>
            <w:tcW w:w="3417" w:type="dxa"/>
            <w:shd w:val="clear" w:color="auto" w:fill="auto"/>
            <w:noWrap/>
            <w:vAlign w:val="bottom"/>
            <w:hideMark/>
          </w:tcPr>
          <w:p w14:paraId="2171D09D" w14:textId="0CBFE006" w:rsidR="005D2B7C" w:rsidRPr="005D2B7C" w:rsidRDefault="005D2B7C" w:rsidP="00401300">
            <w:pPr>
              <w:spacing w:after="0"/>
              <w:contextualSpacing/>
              <w:rPr>
                <w:sz w:val="20"/>
                <w:szCs w:val="20"/>
              </w:rPr>
            </w:pPr>
            <w:r w:rsidRPr="005D2B7C">
              <w:rPr>
                <w:rFonts w:ascii="Calibri" w:hAnsi="Calibri"/>
                <w:color w:val="000000"/>
                <w:sz w:val="20"/>
              </w:rPr>
              <w:t>UK, Thames Valley</w:t>
            </w:r>
          </w:p>
        </w:tc>
        <w:tc>
          <w:tcPr>
            <w:tcW w:w="622" w:type="dxa"/>
            <w:shd w:val="clear" w:color="auto" w:fill="auto"/>
            <w:noWrap/>
            <w:hideMark/>
          </w:tcPr>
          <w:p w14:paraId="265CCEEF" w14:textId="77777777" w:rsidR="005D2B7C" w:rsidRPr="005E1CCA" w:rsidRDefault="005D2B7C" w:rsidP="00401300">
            <w:pPr>
              <w:spacing w:after="0"/>
              <w:contextualSpacing/>
              <w:rPr>
                <w:sz w:val="20"/>
                <w:szCs w:val="20"/>
              </w:rPr>
            </w:pPr>
            <w:r w:rsidRPr="005E1CCA">
              <w:rPr>
                <w:sz w:val="20"/>
                <w:szCs w:val="20"/>
              </w:rPr>
              <w:t>1991</w:t>
            </w:r>
          </w:p>
        </w:tc>
        <w:tc>
          <w:tcPr>
            <w:tcW w:w="622" w:type="dxa"/>
            <w:shd w:val="clear" w:color="auto" w:fill="auto"/>
            <w:noWrap/>
            <w:hideMark/>
          </w:tcPr>
          <w:p w14:paraId="517B6DA1"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0729AC48" w14:textId="77777777" w:rsidR="005D2B7C" w:rsidRPr="005E1CCA" w:rsidRDefault="005D2B7C" w:rsidP="00237CE9">
            <w:pPr>
              <w:spacing w:after="0"/>
              <w:contextualSpacing/>
              <w:jc w:val="center"/>
              <w:rPr>
                <w:sz w:val="20"/>
                <w:szCs w:val="20"/>
              </w:rPr>
            </w:pPr>
            <w:r w:rsidRPr="005E1CCA">
              <w:rPr>
                <w:sz w:val="20"/>
                <w:szCs w:val="20"/>
              </w:rPr>
              <w:t>22</w:t>
            </w:r>
          </w:p>
        </w:tc>
        <w:tc>
          <w:tcPr>
            <w:tcW w:w="1134" w:type="dxa"/>
            <w:shd w:val="clear" w:color="auto" w:fill="auto"/>
            <w:noWrap/>
            <w:hideMark/>
          </w:tcPr>
          <w:p w14:paraId="64C3041F" w14:textId="77777777" w:rsidR="005D2B7C" w:rsidRPr="005E1CCA" w:rsidRDefault="005D2B7C" w:rsidP="00237CE9">
            <w:pPr>
              <w:spacing w:after="0"/>
              <w:contextualSpacing/>
              <w:jc w:val="center"/>
              <w:rPr>
                <w:sz w:val="20"/>
                <w:szCs w:val="20"/>
              </w:rPr>
            </w:pPr>
            <w:r w:rsidRPr="005E1CCA">
              <w:rPr>
                <w:sz w:val="20"/>
                <w:szCs w:val="20"/>
              </w:rPr>
              <w:t>1.1</w:t>
            </w:r>
          </w:p>
        </w:tc>
        <w:tc>
          <w:tcPr>
            <w:tcW w:w="1134" w:type="dxa"/>
            <w:shd w:val="clear" w:color="auto" w:fill="auto"/>
            <w:noWrap/>
            <w:hideMark/>
          </w:tcPr>
          <w:p w14:paraId="2881FB6B" w14:textId="77777777" w:rsidR="005D2B7C" w:rsidRPr="005E1CCA" w:rsidRDefault="005D2B7C" w:rsidP="00237CE9">
            <w:pPr>
              <w:spacing w:after="0"/>
              <w:contextualSpacing/>
              <w:jc w:val="center"/>
              <w:rPr>
                <w:sz w:val="20"/>
                <w:szCs w:val="20"/>
              </w:rPr>
            </w:pPr>
            <w:r w:rsidRPr="005E1CCA">
              <w:rPr>
                <w:sz w:val="20"/>
                <w:szCs w:val="20"/>
              </w:rPr>
              <w:t>14,679</w:t>
            </w:r>
          </w:p>
        </w:tc>
        <w:tc>
          <w:tcPr>
            <w:tcW w:w="1362" w:type="dxa"/>
            <w:shd w:val="clear" w:color="auto" w:fill="auto"/>
            <w:noWrap/>
            <w:vAlign w:val="bottom"/>
            <w:hideMark/>
          </w:tcPr>
          <w:p w14:paraId="1D970FC4" w14:textId="399851AE"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47448827" w14:textId="424BDF94" w:rsidR="005D2B7C" w:rsidRPr="005D2B7C" w:rsidRDefault="005D2B7C" w:rsidP="00237CE9">
            <w:pPr>
              <w:spacing w:after="0"/>
              <w:contextualSpacing/>
              <w:jc w:val="center"/>
              <w:rPr>
                <w:sz w:val="20"/>
                <w:szCs w:val="20"/>
              </w:rPr>
            </w:pPr>
            <w:r w:rsidRPr="005D2B7C">
              <w:rPr>
                <w:rFonts w:ascii="Calibri" w:hAnsi="Calibri"/>
                <w:color w:val="000000"/>
                <w:sz w:val="20"/>
              </w:rPr>
              <w:t>0.9 ( 0.6 - 1.4 )</w:t>
            </w:r>
          </w:p>
        </w:tc>
        <w:tc>
          <w:tcPr>
            <w:tcW w:w="1985" w:type="dxa"/>
            <w:vAlign w:val="bottom"/>
          </w:tcPr>
          <w:p w14:paraId="2B28119E" w14:textId="1E06A045" w:rsidR="005D2B7C" w:rsidRPr="005E1CCA" w:rsidRDefault="005D2B7C" w:rsidP="00237CE9">
            <w:pPr>
              <w:spacing w:after="0"/>
              <w:contextualSpacing/>
              <w:jc w:val="center"/>
              <w:rPr>
                <w:sz w:val="20"/>
                <w:szCs w:val="20"/>
              </w:rPr>
            </w:pPr>
            <w:r w:rsidRPr="005E1CCA">
              <w:rPr>
                <w:sz w:val="20"/>
                <w:szCs w:val="20"/>
              </w:rPr>
              <w:t>-1% ( -8% - 6% )</w:t>
            </w:r>
          </w:p>
        </w:tc>
      </w:tr>
      <w:tr w:rsidR="005D2B7C" w:rsidRPr="005E1CCA" w14:paraId="7509082D" w14:textId="77777777" w:rsidTr="009E4DCC">
        <w:trPr>
          <w:trHeight w:val="300"/>
        </w:trPr>
        <w:tc>
          <w:tcPr>
            <w:tcW w:w="3417" w:type="dxa"/>
            <w:shd w:val="clear" w:color="auto" w:fill="auto"/>
            <w:noWrap/>
            <w:vAlign w:val="bottom"/>
            <w:hideMark/>
          </w:tcPr>
          <w:p w14:paraId="06341EB2" w14:textId="3E1B7BFB" w:rsidR="005D2B7C" w:rsidRPr="005D2B7C" w:rsidRDefault="005D2B7C" w:rsidP="00401300">
            <w:pPr>
              <w:spacing w:after="0"/>
              <w:contextualSpacing/>
              <w:rPr>
                <w:sz w:val="20"/>
                <w:szCs w:val="20"/>
              </w:rPr>
            </w:pPr>
            <w:r w:rsidRPr="005D2B7C">
              <w:rPr>
                <w:rFonts w:ascii="Calibri" w:hAnsi="Calibri"/>
                <w:color w:val="000000"/>
                <w:sz w:val="20"/>
              </w:rPr>
              <w:t>France, Isle de Reunion</w:t>
            </w:r>
          </w:p>
        </w:tc>
        <w:tc>
          <w:tcPr>
            <w:tcW w:w="622" w:type="dxa"/>
            <w:shd w:val="clear" w:color="auto" w:fill="auto"/>
            <w:noWrap/>
            <w:hideMark/>
          </w:tcPr>
          <w:p w14:paraId="188A36EF" w14:textId="77777777" w:rsidR="005D2B7C" w:rsidRPr="005E1CCA" w:rsidRDefault="005D2B7C" w:rsidP="00401300">
            <w:pPr>
              <w:spacing w:after="0"/>
              <w:contextualSpacing/>
              <w:rPr>
                <w:sz w:val="20"/>
                <w:szCs w:val="20"/>
              </w:rPr>
            </w:pPr>
            <w:r w:rsidRPr="005E1CCA">
              <w:rPr>
                <w:sz w:val="20"/>
                <w:szCs w:val="20"/>
              </w:rPr>
              <w:t>2002</w:t>
            </w:r>
          </w:p>
        </w:tc>
        <w:tc>
          <w:tcPr>
            <w:tcW w:w="622" w:type="dxa"/>
            <w:shd w:val="clear" w:color="auto" w:fill="auto"/>
            <w:noWrap/>
            <w:hideMark/>
          </w:tcPr>
          <w:p w14:paraId="096A1F02"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47343B56" w14:textId="77777777" w:rsidR="005D2B7C" w:rsidRPr="005E1CCA" w:rsidRDefault="005D2B7C" w:rsidP="00237CE9">
            <w:pPr>
              <w:spacing w:after="0"/>
              <w:contextualSpacing/>
              <w:jc w:val="center"/>
              <w:rPr>
                <w:sz w:val="20"/>
                <w:szCs w:val="20"/>
              </w:rPr>
            </w:pPr>
            <w:r w:rsidRPr="005E1CCA">
              <w:rPr>
                <w:sz w:val="20"/>
                <w:szCs w:val="20"/>
              </w:rPr>
              <w:t>11</w:t>
            </w:r>
          </w:p>
        </w:tc>
        <w:tc>
          <w:tcPr>
            <w:tcW w:w="1134" w:type="dxa"/>
            <w:shd w:val="clear" w:color="auto" w:fill="auto"/>
            <w:noWrap/>
            <w:hideMark/>
          </w:tcPr>
          <w:p w14:paraId="39D52124" w14:textId="77777777" w:rsidR="005D2B7C" w:rsidRPr="005E1CCA" w:rsidRDefault="005D2B7C" w:rsidP="00237CE9">
            <w:pPr>
              <w:spacing w:after="0"/>
              <w:contextualSpacing/>
              <w:jc w:val="center"/>
              <w:rPr>
                <w:sz w:val="20"/>
                <w:szCs w:val="20"/>
              </w:rPr>
            </w:pPr>
            <w:r w:rsidRPr="005E1CCA">
              <w:rPr>
                <w:sz w:val="20"/>
                <w:szCs w:val="20"/>
              </w:rPr>
              <w:t>4.6</w:t>
            </w:r>
          </w:p>
        </w:tc>
        <w:tc>
          <w:tcPr>
            <w:tcW w:w="1134" w:type="dxa"/>
            <w:shd w:val="clear" w:color="auto" w:fill="auto"/>
            <w:noWrap/>
            <w:hideMark/>
          </w:tcPr>
          <w:p w14:paraId="4065462F" w14:textId="77777777" w:rsidR="005D2B7C" w:rsidRPr="005E1CCA" w:rsidRDefault="005D2B7C" w:rsidP="00237CE9">
            <w:pPr>
              <w:spacing w:after="0"/>
              <w:contextualSpacing/>
              <w:jc w:val="center"/>
              <w:rPr>
                <w:sz w:val="20"/>
                <w:szCs w:val="20"/>
              </w:rPr>
            </w:pPr>
            <w:r w:rsidRPr="005E1CCA">
              <w:rPr>
                <w:sz w:val="20"/>
                <w:szCs w:val="20"/>
              </w:rPr>
              <w:t>14,596</w:t>
            </w:r>
          </w:p>
        </w:tc>
        <w:tc>
          <w:tcPr>
            <w:tcW w:w="1362" w:type="dxa"/>
            <w:shd w:val="clear" w:color="auto" w:fill="auto"/>
            <w:noWrap/>
            <w:vAlign w:val="bottom"/>
            <w:hideMark/>
          </w:tcPr>
          <w:p w14:paraId="08424654" w14:textId="238242F9" w:rsidR="005D2B7C" w:rsidRPr="005E1CCA" w:rsidRDefault="005D2B7C" w:rsidP="00237CE9">
            <w:pPr>
              <w:spacing w:after="0"/>
              <w:contextualSpacing/>
              <w:jc w:val="center"/>
              <w:rPr>
                <w:sz w:val="20"/>
                <w:szCs w:val="20"/>
              </w:rPr>
            </w:pPr>
            <w:r w:rsidRPr="005E1CCA">
              <w:rPr>
                <w:color w:val="000000"/>
                <w:sz w:val="20"/>
                <w:szCs w:val="20"/>
              </w:rPr>
              <w:t>0</w:t>
            </w:r>
          </w:p>
        </w:tc>
        <w:tc>
          <w:tcPr>
            <w:tcW w:w="1733" w:type="dxa"/>
            <w:shd w:val="clear" w:color="auto" w:fill="auto"/>
            <w:noWrap/>
            <w:vAlign w:val="bottom"/>
            <w:hideMark/>
          </w:tcPr>
          <w:p w14:paraId="7190C267" w14:textId="1BC3A061" w:rsidR="005D2B7C" w:rsidRPr="005D2B7C" w:rsidRDefault="005D2B7C" w:rsidP="00237CE9">
            <w:pPr>
              <w:spacing w:after="0"/>
              <w:contextualSpacing/>
              <w:jc w:val="center"/>
              <w:rPr>
                <w:sz w:val="20"/>
                <w:szCs w:val="20"/>
              </w:rPr>
            </w:pPr>
            <w:r w:rsidRPr="005D2B7C">
              <w:rPr>
                <w:rFonts w:ascii="Calibri" w:hAnsi="Calibri"/>
                <w:color w:val="000000"/>
                <w:sz w:val="20"/>
              </w:rPr>
              <w:t>3.2 ( 2.4 - 4.3 )</w:t>
            </w:r>
          </w:p>
        </w:tc>
        <w:tc>
          <w:tcPr>
            <w:tcW w:w="1985" w:type="dxa"/>
            <w:vAlign w:val="bottom"/>
          </w:tcPr>
          <w:p w14:paraId="597EEAF8" w14:textId="7F3F26F1" w:rsidR="005D2B7C" w:rsidRPr="005E1CCA" w:rsidRDefault="005D2B7C" w:rsidP="00237CE9">
            <w:pPr>
              <w:spacing w:after="0"/>
              <w:contextualSpacing/>
              <w:jc w:val="center"/>
              <w:rPr>
                <w:sz w:val="20"/>
                <w:szCs w:val="20"/>
              </w:rPr>
            </w:pPr>
            <w:r w:rsidRPr="005E1CCA">
              <w:rPr>
                <w:sz w:val="20"/>
                <w:szCs w:val="20"/>
              </w:rPr>
              <w:t>22% ( 9% - 36% )</w:t>
            </w:r>
          </w:p>
        </w:tc>
      </w:tr>
      <w:tr w:rsidR="005D2B7C" w:rsidRPr="005E1CCA" w14:paraId="66F38B68" w14:textId="77777777" w:rsidTr="009E4DCC">
        <w:trPr>
          <w:trHeight w:val="300"/>
        </w:trPr>
        <w:tc>
          <w:tcPr>
            <w:tcW w:w="3417" w:type="dxa"/>
            <w:shd w:val="clear" w:color="auto" w:fill="auto"/>
            <w:noWrap/>
            <w:vAlign w:val="bottom"/>
            <w:hideMark/>
          </w:tcPr>
          <w:p w14:paraId="595C6935" w14:textId="4BA64EE7" w:rsidR="005D2B7C" w:rsidRPr="005D2B7C" w:rsidRDefault="005D2B7C" w:rsidP="00401300">
            <w:pPr>
              <w:spacing w:after="0"/>
              <w:contextualSpacing/>
              <w:rPr>
                <w:sz w:val="20"/>
                <w:szCs w:val="20"/>
              </w:rPr>
            </w:pPr>
            <w:r w:rsidRPr="005D2B7C">
              <w:rPr>
                <w:rFonts w:ascii="Calibri" w:hAnsi="Calibri"/>
                <w:color w:val="000000"/>
                <w:sz w:val="20"/>
              </w:rPr>
              <w:t>Belgium, Hainaut</w:t>
            </w:r>
          </w:p>
        </w:tc>
        <w:tc>
          <w:tcPr>
            <w:tcW w:w="622" w:type="dxa"/>
            <w:shd w:val="clear" w:color="auto" w:fill="auto"/>
            <w:noWrap/>
            <w:hideMark/>
          </w:tcPr>
          <w:p w14:paraId="493D0898" w14:textId="77777777" w:rsidR="005D2B7C" w:rsidRPr="005E1CCA" w:rsidRDefault="005D2B7C" w:rsidP="00401300">
            <w:pPr>
              <w:spacing w:after="0"/>
              <w:contextualSpacing/>
              <w:rPr>
                <w:sz w:val="20"/>
                <w:szCs w:val="20"/>
              </w:rPr>
            </w:pPr>
            <w:r w:rsidRPr="005E1CCA">
              <w:rPr>
                <w:sz w:val="20"/>
                <w:szCs w:val="20"/>
              </w:rPr>
              <w:t>1980</w:t>
            </w:r>
          </w:p>
        </w:tc>
        <w:tc>
          <w:tcPr>
            <w:tcW w:w="622" w:type="dxa"/>
            <w:shd w:val="clear" w:color="auto" w:fill="auto"/>
            <w:noWrap/>
            <w:hideMark/>
          </w:tcPr>
          <w:p w14:paraId="457F901A"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49C809F7" w14:textId="77777777" w:rsidR="005D2B7C" w:rsidRPr="005E1CCA" w:rsidRDefault="005D2B7C" w:rsidP="00237CE9">
            <w:pPr>
              <w:spacing w:after="0"/>
              <w:contextualSpacing/>
              <w:jc w:val="center"/>
              <w:rPr>
                <w:sz w:val="20"/>
                <w:szCs w:val="20"/>
              </w:rPr>
            </w:pPr>
            <w:r w:rsidRPr="005E1CCA">
              <w:rPr>
                <w:sz w:val="20"/>
                <w:szCs w:val="20"/>
              </w:rPr>
              <w:t>33</w:t>
            </w:r>
          </w:p>
        </w:tc>
        <w:tc>
          <w:tcPr>
            <w:tcW w:w="1134" w:type="dxa"/>
            <w:shd w:val="clear" w:color="auto" w:fill="auto"/>
            <w:noWrap/>
            <w:hideMark/>
          </w:tcPr>
          <w:p w14:paraId="1A331E60" w14:textId="77777777" w:rsidR="005D2B7C" w:rsidRPr="005E1CCA" w:rsidRDefault="005D2B7C" w:rsidP="00237CE9">
            <w:pPr>
              <w:spacing w:after="0"/>
              <w:contextualSpacing/>
              <w:jc w:val="center"/>
              <w:rPr>
                <w:sz w:val="20"/>
                <w:szCs w:val="20"/>
              </w:rPr>
            </w:pPr>
            <w:r w:rsidRPr="005E1CCA">
              <w:rPr>
                <w:sz w:val="20"/>
                <w:szCs w:val="20"/>
              </w:rPr>
              <w:t>2.6</w:t>
            </w:r>
          </w:p>
        </w:tc>
        <w:tc>
          <w:tcPr>
            <w:tcW w:w="1134" w:type="dxa"/>
            <w:shd w:val="clear" w:color="auto" w:fill="auto"/>
            <w:noWrap/>
            <w:hideMark/>
          </w:tcPr>
          <w:p w14:paraId="362113F4" w14:textId="77777777" w:rsidR="005D2B7C" w:rsidRPr="005E1CCA" w:rsidRDefault="005D2B7C" w:rsidP="00237CE9">
            <w:pPr>
              <w:spacing w:after="0"/>
              <w:contextualSpacing/>
              <w:jc w:val="center"/>
              <w:rPr>
                <w:sz w:val="20"/>
                <w:szCs w:val="20"/>
              </w:rPr>
            </w:pPr>
            <w:r w:rsidRPr="005E1CCA">
              <w:rPr>
                <w:sz w:val="20"/>
                <w:szCs w:val="20"/>
              </w:rPr>
              <w:t>11,465</w:t>
            </w:r>
          </w:p>
        </w:tc>
        <w:tc>
          <w:tcPr>
            <w:tcW w:w="1362" w:type="dxa"/>
            <w:shd w:val="clear" w:color="auto" w:fill="auto"/>
            <w:noWrap/>
            <w:vAlign w:val="bottom"/>
            <w:hideMark/>
          </w:tcPr>
          <w:p w14:paraId="2E0751A2" w14:textId="57501E3A"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69D36D18" w14:textId="721381E0" w:rsidR="005D2B7C" w:rsidRPr="005D2B7C" w:rsidRDefault="005D2B7C" w:rsidP="00237CE9">
            <w:pPr>
              <w:spacing w:after="0"/>
              <w:contextualSpacing/>
              <w:jc w:val="center"/>
              <w:rPr>
                <w:sz w:val="20"/>
                <w:szCs w:val="20"/>
              </w:rPr>
            </w:pPr>
            <w:r w:rsidRPr="005D2B7C">
              <w:rPr>
                <w:rFonts w:ascii="Calibri" w:hAnsi="Calibri"/>
                <w:color w:val="000000"/>
                <w:sz w:val="20"/>
              </w:rPr>
              <w:t>1.5 ( 1.0 - 2.3 )</w:t>
            </w:r>
          </w:p>
        </w:tc>
        <w:tc>
          <w:tcPr>
            <w:tcW w:w="1985" w:type="dxa"/>
            <w:vAlign w:val="bottom"/>
          </w:tcPr>
          <w:p w14:paraId="6F0D293A" w14:textId="34C5EE60" w:rsidR="005D2B7C" w:rsidRPr="005E1CCA" w:rsidRDefault="005D2B7C" w:rsidP="00237CE9">
            <w:pPr>
              <w:spacing w:after="0"/>
              <w:contextualSpacing/>
              <w:jc w:val="center"/>
              <w:rPr>
                <w:sz w:val="20"/>
                <w:szCs w:val="20"/>
              </w:rPr>
            </w:pPr>
            <w:r w:rsidRPr="005E1CCA">
              <w:rPr>
                <w:sz w:val="20"/>
                <w:szCs w:val="20"/>
              </w:rPr>
              <w:t>-4% ( -13% - 5% )</w:t>
            </w:r>
          </w:p>
        </w:tc>
      </w:tr>
      <w:tr w:rsidR="005D2B7C" w:rsidRPr="005E1CCA" w14:paraId="2C0365FA" w14:textId="77777777" w:rsidTr="009E4DCC">
        <w:trPr>
          <w:trHeight w:val="300"/>
        </w:trPr>
        <w:tc>
          <w:tcPr>
            <w:tcW w:w="3417" w:type="dxa"/>
            <w:shd w:val="clear" w:color="auto" w:fill="auto"/>
            <w:noWrap/>
            <w:vAlign w:val="bottom"/>
            <w:hideMark/>
          </w:tcPr>
          <w:p w14:paraId="28380001" w14:textId="6926BB86" w:rsidR="005D2B7C" w:rsidRPr="005D2B7C" w:rsidRDefault="005D2B7C" w:rsidP="00401300">
            <w:pPr>
              <w:spacing w:after="0"/>
              <w:contextualSpacing/>
              <w:rPr>
                <w:sz w:val="20"/>
                <w:szCs w:val="20"/>
              </w:rPr>
            </w:pPr>
            <w:r w:rsidRPr="005D2B7C">
              <w:rPr>
                <w:rFonts w:ascii="Calibri" w:hAnsi="Calibri"/>
                <w:color w:val="000000"/>
                <w:sz w:val="20"/>
              </w:rPr>
              <w:t>Ireland, Cork and Kerry</w:t>
            </w:r>
          </w:p>
        </w:tc>
        <w:tc>
          <w:tcPr>
            <w:tcW w:w="622" w:type="dxa"/>
            <w:shd w:val="clear" w:color="auto" w:fill="auto"/>
            <w:noWrap/>
            <w:hideMark/>
          </w:tcPr>
          <w:p w14:paraId="0764FD6F" w14:textId="77777777" w:rsidR="005D2B7C" w:rsidRPr="005E1CCA" w:rsidRDefault="005D2B7C" w:rsidP="00401300">
            <w:pPr>
              <w:spacing w:after="0"/>
              <w:contextualSpacing/>
              <w:rPr>
                <w:sz w:val="20"/>
                <w:szCs w:val="20"/>
              </w:rPr>
            </w:pPr>
            <w:r w:rsidRPr="005E1CCA">
              <w:rPr>
                <w:sz w:val="20"/>
                <w:szCs w:val="20"/>
              </w:rPr>
              <w:t>1996</w:t>
            </w:r>
          </w:p>
        </w:tc>
        <w:tc>
          <w:tcPr>
            <w:tcW w:w="622" w:type="dxa"/>
            <w:shd w:val="clear" w:color="auto" w:fill="auto"/>
            <w:noWrap/>
            <w:hideMark/>
          </w:tcPr>
          <w:p w14:paraId="485B4159"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6FE6CBBF" w14:textId="77777777" w:rsidR="005D2B7C" w:rsidRPr="005E1CCA" w:rsidRDefault="005D2B7C" w:rsidP="00237CE9">
            <w:pPr>
              <w:spacing w:after="0"/>
              <w:contextualSpacing/>
              <w:jc w:val="center"/>
              <w:rPr>
                <w:sz w:val="20"/>
                <w:szCs w:val="20"/>
              </w:rPr>
            </w:pPr>
            <w:r w:rsidRPr="005E1CCA">
              <w:rPr>
                <w:sz w:val="20"/>
                <w:szCs w:val="20"/>
              </w:rPr>
              <w:t>17</w:t>
            </w:r>
          </w:p>
        </w:tc>
        <w:tc>
          <w:tcPr>
            <w:tcW w:w="1134" w:type="dxa"/>
            <w:shd w:val="clear" w:color="auto" w:fill="auto"/>
            <w:noWrap/>
            <w:hideMark/>
          </w:tcPr>
          <w:p w14:paraId="0423451E" w14:textId="77777777" w:rsidR="005D2B7C" w:rsidRPr="005E1CCA" w:rsidRDefault="005D2B7C" w:rsidP="00237CE9">
            <w:pPr>
              <w:spacing w:after="0"/>
              <w:contextualSpacing/>
              <w:jc w:val="center"/>
              <w:rPr>
                <w:sz w:val="20"/>
                <w:szCs w:val="20"/>
              </w:rPr>
            </w:pPr>
            <w:r w:rsidRPr="005E1CCA">
              <w:rPr>
                <w:sz w:val="20"/>
                <w:szCs w:val="20"/>
              </w:rPr>
              <w:t>2.1</w:t>
            </w:r>
          </w:p>
        </w:tc>
        <w:tc>
          <w:tcPr>
            <w:tcW w:w="1134" w:type="dxa"/>
            <w:shd w:val="clear" w:color="auto" w:fill="auto"/>
            <w:noWrap/>
            <w:hideMark/>
          </w:tcPr>
          <w:p w14:paraId="581F4492" w14:textId="77777777" w:rsidR="005D2B7C" w:rsidRPr="005E1CCA" w:rsidRDefault="005D2B7C" w:rsidP="00237CE9">
            <w:pPr>
              <w:spacing w:after="0"/>
              <w:contextualSpacing/>
              <w:jc w:val="center"/>
              <w:rPr>
                <w:sz w:val="20"/>
                <w:szCs w:val="20"/>
              </w:rPr>
            </w:pPr>
            <w:r w:rsidRPr="005E1CCA">
              <w:rPr>
                <w:sz w:val="20"/>
                <w:szCs w:val="20"/>
              </w:rPr>
              <w:t>8,907</w:t>
            </w:r>
          </w:p>
        </w:tc>
        <w:tc>
          <w:tcPr>
            <w:tcW w:w="1362" w:type="dxa"/>
            <w:shd w:val="clear" w:color="auto" w:fill="auto"/>
            <w:noWrap/>
            <w:vAlign w:val="bottom"/>
            <w:hideMark/>
          </w:tcPr>
          <w:p w14:paraId="4296897A" w14:textId="37A473C2" w:rsidR="005D2B7C" w:rsidRPr="005E1CCA" w:rsidRDefault="005D2B7C" w:rsidP="00237CE9">
            <w:pPr>
              <w:spacing w:after="0"/>
              <w:contextualSpacing/>
              <w:jc w:val="center"/>
              <w:rPr>
                <w:sz w:val="20"/>
                <w:szCs w:val="20"/>
              </w:rPr>
            </w:pPr>
            <w:r w:rsidRPr="005E1CCA">
              <w:rPr>
                <w:color w:val="000000"/>
                <w:sz w:val="20"/>
                <w:szCs w:val="20"/>
              </w:rPr>
              <w:t>5</w:t>
            </w:r>
          </w:p>
        </w:tc>
        <w:tc>
          <w:tcPr>
            <w:tcW w:w="1733" w:type="dxa"/>
            <w:shd w:val="clear" w:color="auto" w:fill="auto"/>
            <w:noWrap/>
            <w:vAlign w:val="bottom"/>
            <w:hideMark/>
          </w:tcPr>
          <w:p w14:paraId="2424F180" w14:textId="6DDE5773" w:rsidR="005D2B7C" w:rsidRPr="005D2B7C" w:rsidRDefault="005D2B7C" w:rsidP="00237CE9">
            <w:pPr>
              <w:spacing w:after="0"/>
              <w:contextualSpacing/>
              <w:jc w:val="center"/>
              <w:rPr>
                <w:sz w:val="20"/>
                <w:szCs w:val="20"/>
              </w:rPr>
            </w:pPr>
            <w:r w:rsidRPr="005D2B7C">
              <w:rPr>
                <w:rFonts w:ascii="Calibri" w:hAnsi="Calibri"/>
                <w:color w:val="000000"/>
                <w:sz w:val="20"/>
              </w:rPr>
              <w:t>0.9 ( 0.5 - 1.8 )</w:t>
            </w:r>
          </w:p>
        </w:tc>
        <w:tc>
          <w:tcPr>
            <w:tcW w:w="1985" w:type="dxa"/>
            <w:vAlign w:val="bottom"/>
          </w:tcPr>
          <w:p w14:paraId="38518FB8" w14:textId="2856B869" w:rsidR="005D2B7C" w:rsidRPr="005E1CCA" w:rsidRDefault="005D2B7C" w:rsidP="00237CE9">
            <w:pPr>
              <w:spacing w:after="0"/>
              <w:contextualSpacing/>
              <w:jc w:val="center"/>
              <w:rPr>
                <w:sz w:val="20"/>
                <w:szCs w:val="20"/>
              </w:rPr>
            </w:pPr>
            <w:r w:rsidRPr="005E1CCA">
              <w:rPr>
                <w:sz w:val="20"/>
                <w:szCs w:val="20"/>
              </w:rPr>
              <w:t>-3% ( -15% - 12% )</w:t>
            </w:r>
          </w:p>
        </w:tc>
      </w:tr>
      <w:tr w:rsidR="005D2B7C" w:rsidRPr="005E1CCA" w14:paraId="2C001E1D" w14:textId="77777777" w:rsidTr="009E4DCC">
        <w:trPr>
          <w:trHeight w:val="300"/>
        </w:trPr>
        <w:tc>
          <w:tcPr>
            <w:tcW w:w="3417" w:type="dxa"/>
            <w:shd w:val="clear" w:color="auto" w:fill="auto"/>
            <w:noWrap/>
            <w:vAlign w:val="bottom"/>
            <w:hideMark/>
          </w:tcPr>
          <w:p w14:paraId="196C0363" w14:textId="0639451D" w:rsidR="005D2B7C" w:rsidRPr="005D2B7C" w:rsidRDefault="005D2B7C" w:rsidP="00401300">
            <w:pPr>
              <w:spacing w:after="0"/>
              <w:contextualSpacing/>
              <w:rPr>
                <w:sz w:val="20"/>
                <w:szCs w:val="20"/>
              </w:rPr>
            </w:pPr>
            <w:r w:rsidRPr="005D2B7C">
              <w:rPr>
                <w:rFonts w:ascii="Calibri" w:hAnsi="Calibri"/>
                <w:color w:val="000000"/>
                <w:sz w:val="20"/>
              </w:rPr>
              <w:t>Switzerland, Vaud</w:t>
            </w:r>
          </w:p>
        </w:tc>
        <w:tc>
          <w:tcPr>
            <w:tcW w:w="622" w:type="dxa"/>
            <w:shd w:val="clear" w:color="auto" w:fill="auto"/>
            <w:noWrap/>
            <w:hideMark/>
          </w:tcPr>
          <w:p w14:paraId="5FCA9F17" w14:textId="77777777" w:rsidR="005D2B7C" w:rsidRPr="005E1CCA" w:rsidRDefault="005D2B7C" w:rsidP="00401300">
            <w:pPr>
              <w:spacing w:after="0"/>
              <w:contextualSpacing/>
              <w:rPr>
                <w:sz w:val="20"/>
                <w:szCs w:val="20"/>
              </w:rPr>
            </w:pPr>
            <w:r w:rsidRPr="005E1CCA">
              <w:rPr>
                <w:sz w:val="20"/>
                <w:szCs w:val="20"/>
              </w:rPr>
              <w:t>1989</w:t>
            </w:r>
          </w:p>
        </w:tc>
        <w:tc>
          <w:tcPr>
            <w:tcW w:w="622" w:type="dxa"/>
            <w:shd w:val="clear" w:color="auto" w:fill="auto"/>
            <w:noWrap/>
            <w:hideMark/>
          </w:tcPr>
          <w:p w14:paraId="7B46230C"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4CBB8090" w14:textId="77777777" w:rsidR="005D2B7C" w:rsidRPr="005E1CCA" w:rsidRDefault="005D2B7C" w:rsidP="00237CE9">
            <w:pPr>
              <w:spacing w:after="0"/>
              <w:contextualSpacing/>
              <w:jc w:val="center"/>
              <w:rPr>
                <w:sz w:val="20"/>
                <w:szCs w:val="20"/>
              </w:rPr>
            </w:pPr>
            <w:r w:rsidRPr="005E1CCA">
              <w:rPr>
                <w:sz w:val="20"/>
                <w:szCs w:val="20"/>
              </w:rPr>
              <w:t>24</w:t>
            </w:r>
          </w:p>
        </w:tc>
        <w:tc>
          <w:tcPr>
            <w:tcW w:w="1134" w:type="dxa"/>
            <w:shd w:val="clear" w:color="auto" w:fill="auto"/>
            <w:noWrap/>
            <w:hideMark/>
          </w:tcPr>
          <w:p w14:paraId="5040023B" w14:textId="77777777" w:rsidR="005D2B7C" w:rsidRPr="005E1CCA" w:rsidRDefault="005D2B7C" w:rsidP="00237CE9">
            <w:pPr>
              <w:spacing w:after="0"/>
              <w:contextualSpacing/>
              <w:jc w:val="center"/>
              <w:rPr>
                <w:sz w:val="20"/>
                <w:szCs w:val="20"/>
              </w:rPr>
            </w:pPr>
            <w:r w:rsidRPr="005E1CCA">
              <w:rPr>
                <w:sz w:val="20"/>
                <w:szCs w:val="20"/>
              </w:rPr>
              <w:t>1.5</w:t>
            </w:r>
          </w:p>
        </w:tc>
        <w:tc>
          <w:tcPr>
            <w:tcW w:w="1134" w:type="dxa"/>
            <w:shd w:val="clear" w:color="auto" w:fill="auto"/>
            <w:noWrap/>
            <w:hideMark/>
          </w:tcPr>
          <w:p w14:paraId="42A27D2E" w14:textId="77777777" w:rsidR="005D2B7C" w:rsidRPr="005E1CCA" w:rsidRDefault="005D2B7C" w:rsidP="00237CE9">
            <w:pPr>
              <w:spacing w:after="0"/>
              <w:contextualSpacing/>
              <w:jc w:val="center"/>
              <w:rPr>
                <w:sz w:val="20"/>
                <w:szCs w:val="20"/>
              </w:rPr>
            </w:pPr>
            <w:r w:rsidRPr="005E1CCA">
              <w:rPr>
                <w:sz w:val="20"/>
                <w:szCs w:val="20"/>
              </w:rPr>
              <w:t>7,600</w:t>
            </w:r>
          </w:p>
        </w:tc>
        <w:tc>
          <w:tcPr>
            <w:tcW w:w="1362" w:type="dxa"/>
            <w:shd w:val="clear" w:color="auto" w:fill="auto"/>
            <w:noWrap/>
            <w:vAlign w:val="bottom"/>
            <w:hideMark/>
          </w:tcPr>
          <w:p w14:paraId="6EA92F31" w14:textId="3AF9A767" w:rsidR="005D2B7C" w:rsidRPr="005E1CCA" w:rsidRDefault="005D2B7C" w:rsidP="00237CE9">
            <w:pPr>
              <w:spacing w:after="0"/>
              <w:contextualSpacing/>
              <w:jc w:val="center"/>
              <w:rPr>
                <w:sz w:val="20"/>
                <w:szCs w:val="20"/>
              </w:rPr>
            </w:pPr>
            <w:r w:rsidRPr="005E1CCA">
              <w:rPr>
                <w:color w:val="000000"/>
                <w:sz w:val="20"/>
                <w:szCs w:val="20"/>
              </w:rPr>
              <w:t>2</w:t>
            </w:r>
          </w:p>
        </w:tc>
        <w:tc>
          <w:tcPr>
            <w:tcW w:w="1733" w:type="dxa"/>
            <w:shd w:val="clear" w:color="auto" w:fill="auto"/>
            <w:noWrap/>
            <w:vAlign w:val="bottom"/>
            <w:hideMark/>
          </w:tcPr>
          <w:p w14:paraId="6B8450B3" w14:textId="192B67BE" w:rsidR="005D2B7C" w:rsidRPr="005D2B7C" w:rsidRDefault="005D2B7C" w:rsidP="00237CE9">
            <w:pPr>
              <w:spacing w:after="0"/>
              <w:contextualSpacing/>
              <w:jc w:val="center"/>
              <w:rPr>
                <w:sz w:val="20"/>
                <w:szCs w:val="20"/>
              </w:rPr>
            </w:pPr>
            <w:r w:rsidRPr="005D2B7C">
              <w:rPr>
                <w:rFonts w:ascii="Calibri" w:hAnsi="Calibri"/>
                <w:color w:val="000000"/>
                <w:sz w:val="20"/>
              </w:rPr>
              <w:t>1.7 ( 1.0 - 2.9 )</w:t>
            </w:r>
          </w:p>
        </w:tc>
        <w:tc>
          <w:tcPr>
            <w:tcW w:w="1985" w:type="dxa"/>
            <w:vAlign w:val="bottom"/>
          </w:tcPr>
          <w:p w14:paraId="4E18E46E" w14:textId="21ED5E53" w:rsidR="005D2B7C" w:rsidRPr="005E1CCA" w:rsidRDefault="005D2B7C" w:rsidP="00237CE9">
            <w:pPr>
              <w:spacing w:after="0"/>
              <w:contextualSpacing/>
              <w:jc w:val="center"/>
              <w:rPr>
                <w:sz w:val="20"/>
                <w:szCs w:val="20"/>
              </w:rPr>
            </w:pPr>
            <w:r w:rsidRPr="005E1CCA">
              <w:rPr>
                <w:sz w:val="20"/>
                <w:szCs w:val="20"/>
              </w:rPr>
              <w:t>1% ( -12% - 16% )</w:t>
            </w:r>
          </w:p>
        </w:tc>
      </w:tr>
      <w:tr w:rsidR="005D2B7C" w:rsidRPr="005E1CCA" w14:paraId="17118434" w14:textId="77777777" w:rsidTr="009E4DCC">
        <w:trPr>
          <w:trHeight w:val="300"/>
        </w:trPr>
        <w:tc>
          <w:tcPr>
            <w:tcW w:w="3417" w:type="dxa"/>
            <w:shd w:val="clear" w:color="auto" w:fill="auto"/>
            <w:noWrap/>
            <w:vAlign w:val="bottom"/>
            <w:hideMark/>
          </w:tcPr>
          <w:p w14:paraId="1B900352" w14:textId="1C95DD49" w:rsidR="005D2B7C" w:rsidRPr="005D2B7C" w:rsidRDefault="005D2B7C" w:rsidP="00401300">
            <w:pPr>
              <w:spacing w:after="0"/>
              <w:contextualSpacing/>
              <w:rPr>
                <w:sz w:val="20"/>
                <w:szCs w:val="20"/>
              </w:rPr>
            </w:pPr>
            <w:r w:rsidRPr="005D2B7C">
              <w:rPr>
                <w:rFonts w:ascii="Calibri" w:hAnsi="Calibri"/>
                <w:color w:val="000000"/>
                <w:sz w:val="20"/>
              </w:rPr>
              <w:t>Ireland, South East</w:t>
            </w:r>
          </w:p>
        </w:tc>
        <w:tc>
          <w:tcPr>
            <w:tcW w:w="622" w:type="dxa"/>
            <w:shd w:val="clear" w:color="auto" w:fill="auto"/>
            <w:noWrap/>
            <w:hideMark/>
          </w:tcPr>
          <w:p w14:paraId="7EDC30E2" w14:textId="77777777" w:rsidR="005D2B7C" w:rsidRPr="005E1CCA" w:rsidRDefault="005D2B7C" w:rsidP="00401300">
            <w:pPr>
              <w:spacing w:after="0"/>
              <w:contextualSpacing/>
              <w:rPr>
                <w:sz w:val="20"/>
                <w:szCs w:val="20"/>
              </w:rPr>
            </w:pPr>
            <w:r w:rsidRPr="005E1CCA">
              <w:rPr>
                <w:sz w:val="20"/>
                <w:szCs w:val="20"/>
              </w:rPr>
              <w:t>1997</w:t>
            </w:r>
          </w:p>
        </w:tc>
        <w:tc>
          <w:tcPr>
            <w:tcW w:w="622" w:type="dxa"/>
            <w:shd w:val="clear" w:color="auto" w:fill="auto"/>
            <w:noWrap/>
            <w:hideMark/>
          </w:tcPr>
          <w:p w14:paraId="604C54F9"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6B64AC7F" w14:textId="77777777" w:rsidR="005D2B7C" w:rsidRPr="005E1CCA" w:rsidRDefault="005D2B7C" w:rsidP="00237CE9">
            <w:pPr>
              <w:spacing w:after="0"/>
              <w:contextualSpacing/>
              <w:jc w:val="center"/>
              <w:rPr>
                <w:sz w:val="20"/>
                <w:szCs w:val="20"/>
              </w:rPr>
            </w:pPr>
            <w:r w:rsidRPr="005E1CCA">
              <w:rPr>
                <w:sz w:val="20"/>
                <w:szCs w:val="20"/>
              </w:rPr>
              <w:t>16</w:t>
            </w:r>
          </w:p>
        </w:tc>
        <w:tc>
          <w:tcPr>
            <w:tcW w:w="1134" w:type="dxa"/>
            <w:shd w:val="clear" w:color="auto" w:fill="auto"/>
            <w:noWrap/>
            <w:hideMark/>
          </w:tcPr>
          <w:p w14:paraId="103A6E63" w14:textId="77777777" w:rsidR="005D2B7C" w:rsidRPr="005E1CCA" w:rsidRDefault="005D2B7C" w:rsidP="00237CE9">
            <w:pPr>
              <w:spacing w:after="0"/>
              <w:contextualSpacing/>
              <w:jc w:val="center"/>
              <w:rPr>
                <w:sz w:val="20"/>
                <w:szCs w:val="20"/>
              </w:rPr>
            </w:pPr>
            <w:r w:rsidRPr="005E1CCA">
              <w:rPr>
                <w:sz w:val="20"/>
                <w:szCs w:val="20"/>
              </w:rPr>
              <w:t>2.1</w:t>
            </w:r>
          </w:p>
        </w:tc>
        <w:tc>
          <w:tcPr>
            <w:tcW w:w="1134" w:type="dxa"/>
            <w:shd w:val="clear" w:color="auto" w:fill="auto"/>
            <w:noWrap/>
            <w:hideMark/>
          </w:tcPr>
          <w:p w14:paraId="2CA99552" w14:textId="77777777" w:rsidR="005D2B7C" w:rsidRPr="005E1CCA" w:rsidRDefault="005D2B7C" w:rsidP="00237CE9">
            <w:pPr>
              <w:spacing w:after="0"/>
              <w:contextualSpacing/>
              <w:jc w:val="center"/>
              <w:rPr>
                <w:sz w:val="20"/>
                <w:szCs w:val="20"/>
              </w:rPr>
            </w:pPr>
            <w:r w:rsidRPr="005E1CCA">
              <w:rPr>
                <w:sz w:val="20"/>
                <w:szCs w:val="20"/>
              </w:rPr>
              <w:t>6,796</w:t>
            </w:r>
          </w:p>
        </w:tc>
        <w:tc>
          <w:tcPr>
            <w:tcW w:w="1362" w:type="dxa"/>
            <w:shd w:val="clear" w:color="auto" w:fill="auto"/>
            <w:noWrap/>
            <w:vAlign w:val="bottom"/>
            <w:hideMark/>
          </w:tcPr>
          <w:p w14:paraId="00D23DF7" w14:textId="1697F0AA" w:rsidR="005D2B7C" w:rsidRPr="005E1CCA" w:rsidRDefault="005D2B7C" w:rsidP="00237CE9">
            <w:pPr>
              <w:spacing w:after="0"/>
              <w:contextualSpacing/>
              <w:jc w:val="center"/>
              <w:rPr>
                <w:sz w:val="20"/>
                <w:szCs w:val="20"/>
              </w:rPr>
            </w:pPr>
            <w:r w:rsidRPr="005E1CCA">
              <w:rPr>
                <w:color w:val="000000"/>
                <w:sz w:val="20"/>
                <w:szCs w:val="20"/>
              </w:rPr>
              <w:t>3</w:t>
            </w:r>
          </w:p>
        </w:tc>
        <w:tc>
          <w:tcPr>
            <w:tcW w:w="1733" w:type="dxa"/>
            <w:shd w:val="clear" w:color="auto" w:fill="auto"/>
            <w:noWrap/>
            <w:vAlign w:val="bottom"/>
            <w:hideMark/>
          </w:tcPr>
          <w:p w14:paraId="1C9FD1AC" w14:textId="0AD6379F" w:rsidR="005D2B7C" w:rsidRPr="005D2B7C" w:rsidRDefault="005D2B7C" w:rsidP="00237CE9">
            <w:pPr>
              <w:spacing w:after="0"/>
              <w:contextualSpacing/>
              <w:jc w:val="center"/>
              <w:rPr>
                <w:sz w:val="20"/>
                <w:szCs w:val="20"/>
              </w:rPr>
            </w:pPr>
            <w:r w:rsidRPr="005D2B7C">
              <w:rPr>
                <w:rFonts w:ascii="Calibri" w:hAnsi="Calibri"/>
                <w:color w:val="000000"/>
                <w:sz w:val="20"/>
              </w:rPr>
              <w:t>2.3 ( 1.4 - 3.7 )</w:t>
            </w:r>
          </w:p>
        </w:tc>
        <w:tc>
          <w:tcPr>
            <w:tcW w:w="1985" w:type="dxa"/>
            <w:vAlign w:val="bottom"/>
          </w:tcPr>
          <w:p w14:paraId="3A3B7C04" w14:textId="77777777" w:rsidR="005D2B7C" w:rsidRPr="005E1CCA" w:rsidRDefault="005D2B7C" w:rsidP="00237CE9">
            <w:pPr>
              <w:spacing w:after="0"/>
              <w:contextualSpacing/>
              <w:jc w:val="center"/>
              <w:rPr>
                <w:sz w:val="20"/>
                <w:szCs w:val="20"/>
              </w:rPr>
            </w:pPr>
            <w:r w:rsidRPr="005E1CCA">
              <w:rPr>
                <w:sz w:val="20"/>
                <w:szCs w:val="20"/>
              </w:rPr>
              <w:t>-12% ( -26% - 4% )</w:t>
            </w:r>
          </w:p>
        </w:tc>
      </w:tr>
      <w:tr w:rsidR="005D2B7C" w:rsidRPr="005E1CCA" w14:paraId="79C0BD9B" w14:textId="77777777" w:rsidTr="009E4DCC">
        <w:trPr>
          <w:trHeight w:val="300"/>
        </w:trPr>
        <w:tc>
          <w:tcPr>
            <w:tcW w:w="3417" w:type="dxa"/>
            <w:shd w:val="clear" w:color="auto" w:fill="auto"/>
            <w:noWrap/>
            <w:vAlign w:val="bottom"/>
            <w:hideMark/>
          </w:tcPr>
          <w:p w14:paraId="1609797D" w14:textId="6D1C8C53" w:rsidR="005D2B7C" w:rsidRPr="005D2B7C" w:rsidRDefault="005D2B7C" w:rsidP="00401300">
            <w:pPr>
              <w:spacing w:after="0"/>
              <w:contextualSpacing/>
              <w:rPr>
                <w:sz w:val="20"/>
                <w:szCs w:val="20"/>
              </w:rPr>
            </w:pPr>
            <w:r w:rsidRPr="005D2B7C">
              <w:rPr>
                <w:rFonts w:ascii="Calibri" w:hAnsi="Calibri"/>
                <w:color w:val="000000"/>
                <w:sz w:val="20"/>
              </w:rPr>
              <w:t>Croatia, Zagreb</w:t>
            </w:r>
          </w:p>
        </w:tc>
        <w:tc>
          <w:tcPr>
            <w:tcW w:w="622" w:type="dxa"/>
            <w:shd w:val="clear" w:color="auto" w:fill="auto"/>
            <w:noWrap/>
            <w:hideMark/>
          </w:tcPr>
          <w:p w14:paraId="0486658A" w14:textId="77777777" w:rsidR="005D2B7C" w:rsidRPr="005E1CCA" w:rsidRDefault="005D2B7C" w:rsidP="00401300">
            <w:pPr>
              <w:spacing w:after="0"/>
              <w:contextualSpacing/>
              <w:rPr>
                <w:sz w:val="20"/>
                <w:szCs w:val="20"/>
              </w:rPr>
            </w:pPr>
            <w:r w:rsidRPr="005E1CCA">
              <w:rPr>
                <w:sz w:val="20"/>
                <w:szCs w:val="20"/>
              </w:rPr>
              <w:t>1983</w:t>
            </w:r>
          </w:p>
        </w:tc>
        <w:tc>
          <w:tcPr>
            <w:tcW w:w="622" w:type="dxa"/>
            <w:shd w:val="clear" w:color="auto" w:fill="auto"/>
            <w:noWrap/>
            <w:hideMark/>
          </w:tcPr>
          <w:p w14:paraId="32F20A4B"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0A81AAB4" w14:textId="77777777" w:rsidR="005D2B7C" w:rsidRPr="005E1CCA" w:rsidRDefault="005D2B7C" w:rsidP="00237CE9">
            <w:pPr>
              <w:spacing w:after="0"/>
              <w:contextualSpacing/>
              <w:jc w:val="center"/>
              <w:rPr>
                <w:sz w:val="20"/>
                <w:szCs w:val="20"/>
              </w:rPr>
            </w:pPr>
            <w:r w:rsidRPr="005E1CCA">
              <w:rPr>
                <w:sz w:val="20"/>
                <w:szCs w:val="20"/>
              </w:rPr>
              <w:t>30</w:t>
            </w:r>
          </w:p>
        </w:tc>
        <w:tc>
          <w:tcPr>
            <w:tcW w:w="1134" w:type="dxa"/>
            <w:shd w:val="clear" w:color="auto" w:fill="auto"/>
            <w:noWrap/>
            <w:hideMark/>
          </w:tcPr>
          <w:p w14:paraId="2B7E6B7F" w14:textId="77777777" w:rsidR="005D2B7C" w:rsidRPr="005E1CCA" w:rsidRDefault="005D2B7C" w:rsidP="00237CE9">
            <w:pPr>
              <w:spacing w:after="0"/>
              <w:contextualSpacing/>
              <w:jc w:val="center"/>
              <w:rPr>
                <w:sz w:val="20"/>
                <w:szCs w:val="20"/>
              </w:rPr>
            </w:pPr>
            <w:r w:rsidRPr="005E1CCA">
              <w:rPr>
                <w:sz w:val="20"/>
                <w:szCs w:val="20"/>
              </w:rPr>
              <w:t>1.7</w:t>
            </w:r>
          </w:p>
        </w:tc>
        <w:tc>
          <w:tcPr>
            <w:tcW w:w="1134" w:type="dxa"/>
            <w:shd w:val="clear" w:color="auto" w:fill="auto"/>
            <w:noWrap/>
            <w:hideMark/>
          </w:tcPr>
          <w:p w14:paraId="2BEEB224" w14:textId="77777777" w:rsidR="005D2B7C" w:rsidRPr="005E1CCA" w:rsidRDefault="005D2B7C" w:rsidP="00237CE9">
            <w:pPr>
              <w:spacing w:after="0"/>
              <w:contextualSpacing/>
              <w:jc w:val="center"/>
              <w:rPr>
                <w:sz w:val="20"/>
                <w:szCs w:val="20"/>
              </w:rPr>
            </w:pPr>
            <w:r w:rsidRPr="005E1CCA">
              <w:rPr>
                <w:sz w:val="20"/>
                <w:szCs w:val="20"/>
              </w:rPr>
              <w:t>6,367</w:t>
            </w:r>
          </w:p>
        </w:tc>
        <w:tc>
          <w:tcPr>
            <w:tcW w:w="1362" w:type="dxa"/>
            <w:shd w:val="clear" w:color="auto" w:fill="auto"/>
            <w:noWrap/>
            <w:vAlign w:val="bottom"/>
            <w:hideMark/>
          </w:tcPr>
          <w:p w14:paraId="7F34E218" w14:textId="5DF85FDB" w:rsidR="005D2B7C" w:rsidRPr="005E1CCA" w:rsidRDefault="005D2B7C" w:rsidP="00237CE9">
            <w:pPr>
              <w:spacing w:after="0"/>
              <w:contextualSpacing/>
              <w:jc w:val="center"/>
              <w:rPr>
                <w:sz w:val="20"/>
                <w:szCs w:val="20"/>
              </w:rPr>
            </w:pPr>
            <w:r w:rsidRPr="005E1CCA">
              <w:rPr>
                <w:color w:val="000000"/>
                <w:sz w:val="20"/>
                <w:szCs w:val="20"/>
              </w:rPr>
              <w:t>6</w:t>
            </w:r>
          </w:p>
        </w:tc>
        <w:tc>
          <w:tcPr>
            <w:tcW w:w="1733" w:type="dxa"/>
            <w:shd w:val="clear" w:color="auto" w:fill="auto"/>
            <w:noWrap/>
            <w:vAlign w:val="bottom"/>
            <w:hideMark/>
          </w:tcPr>
          <w:p w14:paraId="2AD2BCD0" w14:textId="172DF8F2" w:rsidR="005D2B7C" w:rsidRPr="005D2B7C" w:rsidRDefault="005D2B7C" w:rsidP="00237CE9">
            <w:pPr>
              <w:spacing w:after="0"/>
              <w:contextualSpacing/>
              <w:jc w:val="center"/>
              <w:rPr>
                <w:sz w:val="20"/>
                <w:szCs w:val="20"/>
              </w:rPr>
            </w:pPr>
            <w:r w:rsidRPr="005D2B7C">
              <w:rPr>
                <w:rFonts w:ascii="Calibri" w:hAnsi="Calibri"/>
                <w:color w:val="000000"/>
                <w:sz w:val="20"/>
              </w:rPr>
              <w:t>0.6 ( 0.2 - 1.5 )</w:t>
            </w:r>
          </w:p>
        </w:tc>
        <w:tc>
          <w:tcPr>
            <w:tcW w:w="1985" w:type="dxa"/>
            <w:vAlign w:val="bottom"/>
          </w:tcPr>
          <w:p w14:paraId="71A24868" w14:textId="2A486940" w:rsidR="005D2B7C" w:rsidRPr="005E1CCA" w:rsidRDefault="005D2B7C" w:rsidP="00237CE9">
            <w:pPr>
              <w:spacing w:after="0"/>
              <w:contextualSpacing/>
              <w:jc w:val="center"/>
              <w:rPr>
                <w:sz w:val="20"/>
                <w:szCs w:val="20"/>
              </w:rPr>
            </w:pPr>
            <w:r w:rsidRPr="005E1CCA">
              <w:rPr>
                <w:sz w:val="20"/>
                <w:szCs w:val="20"/>
              </w:rPr>
              <w:t>4% ( -9% - 18% )</w:t>
            </w:r>
          </w:p>
        </w:tc>
      </w:tr>
      <w:tr w:rsidR="005D2B7C" w:rsidRPr="005E1CCA" w14:paraId="2A975FA7" w14:textId="77777777" w:rsidTr="009E4DCC">
        <w:trPr>
          <w:trHeight w:val="300"/>
        </w:trPr>
        <w:tc>
          <w:tcPr>
            <w:tcW w:w="3417" w:type="dxa"/>
            <w:shd w:val="clear" w:color="auto" w:fill="auto"/>
            <w:noWrap/>
            <w:vAlign w:val="bottom"/>
            <w:hideMark/>
          </w:tcPr>
          <w:p w14:paraId="7236DF03" w14:textId="6AB8A815" w:rsidR="005D2B7C" w:rsidRPr="005D2B7C" w:rsidRDefault="005D2B7C" w:rsidP="00401300">
            <w:pPr>
              <w:spacing w:after="0"/>
              <w:contextualSpacing/>
              <w:rPr>
                <w:sz w:val="20"/>
                <w:szCs w:val="20"/>
              </w:rPr>
            </w:pPr>
            <w:r w:rsidRPr="005D2B7C">
              <w:rPr>
                <w:rFonts w:ascii="Calibri" w:hAnsi="Calibri"/>
                <w:color w:val="000000"/>
                <w:sz w:val="20"/>
              </w:rPr>
              <w:t>Denmark, Odense</w:t>
            </w:r>
          </w:p>
        </w:tc>
        <w:tc>
          <w:tcPr>
            <w:tcW w:w="622" w:type="dxa"/>
            <w:shd w:val="clear" w:color="auto" w:fill="auto"/>
            <w:noWrap/>
            <w:hideMark/>
          </w:tcPr>
          <w:p w14:paraId="3E167219" w14:textId="77777777" w:rsidR="005D2B7C" w:rsidRPr="005E1CCA" w:rsidRDefault="005D2B7C" w:rsidP="00401300">
            <w:pPr>
              <w:spacing w:after="0"/>
              <w:contextualSpacing/>
              <w:rPr>
                <w:sz w:val="20"/>
                <w:szCs w:val="20"/>
              </w:rPr>
            </w:pPr>
            <w:r w:rsidRPr="005E1CCA">
              <w:rPr>
                <w:sz w:val="20"/>
                <w:szCs w:val="20"/>
              </w:rPr>
              <w:t>1980</w:t>
            </w:r>
          </w:p>
        </w:tc>
        <w:tc>
          <w:tcPr>
            <w:tcW w:w="622" w:type="dxa"/>
            <w:shd w:val="clear" w:color="auto" w:fill="auto"/>
            <w:noWrap/>
            <w:hideMark/>
          </w:tcPr>
          <w:p w14:paraId="7E23F43B" w14:textId="77777777" w:rsidR="005D2B7C" w:rsidRPr="005E1CCA" w:rsidRDefault="005D2B7C" w:rsidP="00401300">
            <w:pPr>
              <w:spacing w:after="0"/>
              <w:contextualSpacing/>
              <w:rPr>
                <w:sz w:val="20"/>
                <w:szCs w:val="20"/>
              </w:rPr>
            </w:pPr>
            <w:r w:rsidRPr="005E1CCA">
              <w:rPr>
                <w:sz w:val="20"/>
                <w:szCs w:val="20"/>
              </w:rPr>
              <w:t>2012</w:t>
            </w:r>
          </w:p>
        </w:tc>
        <w:tc>
          <w:tcPr>
            <w:tcW w:w="906" w:type="dxa"/>
            <w:shd w:val="clear" w:color="auto" w:fill="auto"/>
            <w:noWrap/>
            <w:hideMark/>
          </w:tcPr>
          <w:p w14:paraId="445D82C1" w14:textId="77777777" w:rsidR="005D2B7C" w:rsidRPr="005E1CCA" w:rsidRDefault="005D2B7C" w:rsidP="00237CE9">
            <w:pPr>
              <w:spacing w:after="0"/>
              <w:contextualSpacing/>
              <w:jc w:val="center"/>
              <w:rPr>
                <w:sz w:val="20"/>
                <w:szCs w:val="20"/>
              </w:rPr>
            </w:pPr>
            <w:r w:rsidRPr="005E1CCA">
              <w:rPr>
                <w:sz w:val="20"/>
                <w:szCs w:val="20"/>
              </w:rPr>
              <w:t>33</w:t>
            </w:r>
          </w:p>
        </w:tc>
        <w:tc>
          <w:tcPr>
            <w:tcW w:w="1134" w:type="dxa"/>
            <w:shd w:val="clear" w:color="auto" w:fill="auto"/>
            <w:noWrap/>
            <w:hideMark/>
          </w:tcPr>
          <w:p w14:paraId="526E01C0" w14:textId="77777777" w:rsidR="005D2B7C" w:rsidRPr="005E1CCA" w:rsidRDefault="005D2B7C" w:rsidP="00237CE9">
            <w:pPr>
              <w:spacing w:after="0"/>
              <w:contextualSpacing/>
              <w:jc w:val="center"/>
              <w:rPr>
                <w:sz w:val="20"/>
                <w:szCs w:val="20"/>
              </w:rPr>
            </w:pPr>
            <w:r w:rsidRPr="005E1CCA">
              <w:rPr>
                <w:sz w:val="20"/>
                <w:szCs w:val="20"/>
              </w:rPr>
              <w:t>1.0</w:t>
            </w:r>
          </w:p>
        </w:tc>
        <w:tc>
          <w:tcPr>
            <w:tcW w:w="1134" w:type="dxa"/>
            <w:shd w:val="clear" w:color="auto" w:fill="auto"/>
            <w:noWrap/>
            <w:hideMark/>
          </w:tcPr>
          <w:p w14:paraId="61460235" w14:textId="77777777" w:rsidR="005D2B7C" w:rsidRPr="005E1CCA" w:rsidRDefault="005D2B7C" w:rsidP="00237CE9">
            <w:pPr>
              <w:spacing w:after="0"/>
              <w:contextualSpacing/>
              <w:jc w:val="center"/>
              <w:rPr>
                <w:sz w:val="20"/>
                <w:szCs w:val="20"/>
              </w:rPr>
            </w:pPr>
            <w:r w:rsidRPr="005E1CCA">
              <w:rPr>
                <w:sz w:val="20"/>
                <w:szCs w:val="20"/>
              </w:rPr>
              <w:t>5,272</w:t>
            </w:r>
          </w:p>
        </w:tc>
        <w:tc>
          <w:tcPr>
            <w:tcW w:w="1362" w:type="dxa"/>
            <w:shd w:val="clear" w:color="auto" w:fill="auto"/>
            <w:noWrap/>
            <w:vAlign w:val="bottom"/>
            <w:hideMark/>
          </w:tcPr>
          <w:p w14:paraId="55CF94D4" w14:textId="1C8233F2" w:rsidR="005D2B7C" w:rsidRPr="005E1CCA" w:rsidRDefault="005D2B7C" w:rsidP="00237CE9">
            <w:pPr>
              <w:spacing w:after="0"/>
              <w:contextualSpacing/>
              <w:jc w:val="center"/>
              <w:rPr>
                <w:sz w:val="20"/>
                <w:szCs w:val="20"/>
              </w:rPr>
            </w:pPr>
            <w:r w:rsidRPr="005E1CCA">
              <w:rPr>
                <w:color w:val="000000"/>
                <w:sz w:val="20"/>
                <w:szCs w:val="20"/>
              </w:rPr>
              <w:t>6</w:t>
            </w:r>
          </w:p>
        </w:tc>
        <w:tc>
          <w:tcPr>
            <w:tcW w:w="1733" w:type="dxa"/>
            <w:shd w:val="clear" w:color="auto" w:fill="auto"/>
            <w:noWrap/>
            <w:vAlign w:val="bottom"/>
            <w:hideMark/>
          </w:tcPr>
          <w:p w14:paraId="178D603C" w14:textId="66D0FC18" w:rsidR="005D2B7C" w:rsidRPr="005D2B7C" w:rsidRDefault="005D2B7C" w:rsidP="00237CE9">
            <w:pPr>
              <w:spacing w:after="0"/>
              <w:contextualSpacing/>
              <w:jc w:val="center"/>
              <w:rPr>
                <w:sz w:val="20"/>
                <w:szCs w:val="20"/>
              </w:rPr>
            </w:pPr>
            <w:r w:rsidRPr="005D2B7C">
              <w:rPr>
                <w:rFonts w:ascii="Calibri" w:hAnsi="Calibri"/>
                <w:color w:val="000000"/>
                <w:sz w:val="20"/>
              </w:rPr>
              <w:t>1.0 ( 0.4 - 2.3 )</w:t>
            </w:r>
          </w:p>
        </w:tc>
        <w:tc>
          <w:tcPr>
            <w:tcW w:w="1985" w:type="dxa"/>
            <w:vAlign w:val="bottom"/>
          </w:tcPr>
          <w:p w14:paraId="25B1A1C2" w14:textId="36FA8096" w:rsidR="005D2B7C" w:rsidRPr="005E1CCA" w:rsidRDefault="005D2B7C" w:rsidP="00237CE9">
            <w:pPr>
              <w:spacing w:after="0"/>
              <w:contextualSpacing/>
              <w:jc w:val="center"/>
              <w:rPr>
                <w:sz w:val="20"/>
                <w:szCs w:val="20"/>
              </w:rPr>
            </w:pPr>
            <w:r w:rsidRPr="005E1CCA">
              <w:rPr>
                <w:sz w:val="20"/>
                <w:szCs w:val="20"/>
              </w:rPr>
              <w:t>-7% ( -20% - 9% )</w:t>
            </w:r>
          </w:p>
        </w:tc>
      </w:tr>
      <w:tr w:rsidR="005D2B7C" w:rsidRPr="005E1CCA" w14:paraId="3BED8644" w14:textId="77777777" w:rsidTr="009E4DCC">
        <w:trPr>
          <w:trHeight w:val="300"/>
        </w:trPr>
        <w:tc>
          <w:tcPr>
            <w:tcW w:w="3417" w:type="dxa"/>
            <w:shd w:val="clear" w:color="auto" w:fill="auto"/>
            <w:noWrap/>
            <w:vAlign w:val="bottom"/>
            <w:hideMark/>
          </w:tcPr>
          <w:p w14:paraId="0C3D4AC9" w14:textId="49B7B6A4" w:rsidR="005D2B7C" w:rsidRPr="005D2B7C" w:rsidRDefault="005D2B7C" w:rsidP="00401300">
            <w:pPr>
              <w:spacing w:after="0"/>
              <w:contextualSpacing/>
              <w:rPr>
                <w:sz w:val="20"/>
                <w:szCs w:val="20"/>
              </w:rPr>
            </w:pPr>
            <w:r w:rsidRPr="005D2B7C">
              <w:rPr>
                <w:rFonts w:ascii="Calibri" w:hAnsi="Calibri"/>
                <w:color w:val="000000"/>
                <w:sz w:val="20"/>
              </w:rPr>
              <w:t>Malta</w:t>
            </w:r>
          </w:p>
        </w:tc>
        <w:tc>
          <w:tcPr>
            <w:tcW w:w="622" w:type="dxa"/>
            <w:shd w:val="clear" w:color="auto" w:fill="auto"/>
            <w:noWrap/>
            <w:hideMark/>
          </w:tcPr>
          <w:p w14:paraId="266AAE94" w14:textId="77777777" w:rsidR="005D2B7C" w:rsidRPr="005E1CCA" w:rsidRDefault="005D2B7C" w:rsidP="00401300">
            <w:pPr>
              <w:spacing w:after="0"/>
              <w:contextualSpacing/>
              <w:rPr>
                <w:sz w:val="20"/>
                <w:szCs w:val="20"/>
              </w:rPr>
            </w:pPr>
            <w:r w:rsidRPr="005E1CCA">
              <w:rPr>
                <w:sz w:val="20"/>
                <w:szCs w:val="20"/>
              </w:rPr>
              <w:t>1986</w:t>
            </w:r>
          </w:p>
        </w:tc>
        <w:tc>
          <w:tcPr>
            <w:tcW w:w="622" w:type="dxa"/>
            <w:shd w:val="clear" w:color="auto" w:fill="auto"/>
            <w:noWrap/>
            <w:hideMark/>
          </w:tcPr>
          <w:p w14:paraId="65B82806" w14:textId="77777777" w:rsidR="005D2B7C" w:rsidRPr="005E1CCA" w:rsidRDefault="005D2B7C" w:rsidP="00401300">
            <w:pPr>
              <w:spacing w:after="0"/>
              <w:contextualSpacing/>
              <w:rPr>
                <w:sz w:val="20"/>
                <w:szCs w:val="20"/>
              </w:rPr>
            </w:pPr>
            <w:r w:rsidRPr="005E1CCA">
              <w:rPr>
                <w:sz w:val="20"/>
                <w:szCs w:val="20"/>
              </w:rPr>
              <w:t>2011</w:t>
            </w:r>
          </w:p>
        </w:tc>
        <w:tc>
          <w:tcPr>
            <w:tcW w:w="906" w:type="dxa"/>
            <w:shd w:val="clear" w:color="auto" w:fill="auto"/>
            <w:noWrap/>
            <w:hideMark/>
          </w:tcPr>
          <w:p w14:paraId="64E45A39" w14:textId="77777777" w:rsidR="005D2B7C" w:rsidRPr="005E1CCA" w:rsidRDefault="005D2B7C" w:rsidP="00237CE9">
            <w:pPr>
              <w:spacing w:after="0"/>
              <w:contextualSpacing/>
              <w:jc w:val="center"/>
              <w:rPr>
                <w:sz w:val="20"/>
                <w:szCs w:val="20"/>
              </w:rPr>
            </w:pPr>
            <w:r w:rsidRPr="005E1CCA">
              <w:rPr>
                <w:sz w:val="20"/>
                <w:szCs w:val="20"/>
              </w:rPr>
              <w:t>26</w:t>
            </w:r>
          </w:p>
        </w:tc>
        <w:tc>
          <w:tcPr>
            <w:tcW w:w="1134" w:type="dxa"/>
            <w:shd w:val="clear" w:color="auto" w:fill="auto"/>
            <w:noWrap/>
            <w:hideMark/>
          </w:tcPr>
          <w:p w14:paraId="27663A10" w14:textId="77777777" w:rsidR="005D2B7C" w:rsidRPr="005E1CCA" w:rsidRDefault="005D2B7C" w:rsidP="00237CE9">
            <w:pPr>
              <w:spacing w:after="0"/>
              <w:contextualSpacing/>
              <w:jc w:val="center"/>
              <w:rPr>
                <w:sz w:val="20"/>
                <w:szCs w:val="20"/>
              </w:rPr>
            </w:pPr>
            <w:r w:rsidRPr="005E1CCA">
              <w:rPr>
                <w:sz w:val="20"/>
                <w:szCs w:val="20"/>
              </w:rPr>
              <w:t>1.2</w:t>
            </w:r>
          </w:p>
        </w:tc>
        <w:tc>
          <w:tcPr>
            <w:tcW w:w="1134" w:type="dxa"/>
            <w:shd w:val="clear" w:color="auto" w:fill="auto"/>
            <w:noWrap/>
            <w:hideMark/>
          </w:tcPr>
          <w:p w14:paraId="17CE4D3C" w14:textId="77777777" w:rsidR="005D2B7C" w:rsidRPr="005E1CCA" w:rsidRDefault="005D2B7C" w:rsidP="00237CE9">
            <w:pPr>
              <w:spacing w:after="0"/>
              <w:contextualSpacing/>
              <w:jc w:val="center"/>
              <w:rPr>
                <w:sz w:val="20"/>
                <w:szCs w:val="20"/>
              </w:rPr>
            </w:pPr>
            <w:r w:rsidRPr="005E1CCA">
              <w:rPr>
                <w:sz w:val="20"/>
                <w:szCs w:val="20"/>
              </w:rPr>
              <w:t>4,619</w:t>
            </w:r>
          </w:p>
        </w:tc>
        <w:tc>
          <w:tcPr>
            <w:tcW w:w="1362" w:type="dxa"/>
            <w:shd w:val="clear" w:color="auto" w:fill="auto"/>
            <w:noWrap/>
            <w:vAlign w:val="bottom"/>
            <w:hideMark/>
          </w:tcPr>
          <w:p w14:paraId="6075ACF8" w14:textId="4A0F8728" w:rsidR="005D2B7C" w:rsidRPr="005E1CCA" w:rsidRDefault="005D2B7C" w:rsidP="00237CE9">
            <w:pPr>
              <w:spacing w:after="0"/>
              <w:contextualSpacing/>
              <w:jc w:val="center"/>
              <w:rPr>
                <w:sz w:val="20"/>
                <w:szCs w:val="20"/>
              </w:rPr>
            </w:pPr>
            <w:r w:rsidRPr="005E1CCA">
              <w:rPr>
                <w:color w:val="000000"/>
                <w:sz w:val="20"/>
                <w:szCs w:val="20"/>
              </w:rPr>
              <w:t>1</w:t>
            </w:r>
          </w:p>
        </w:tc>
        <w:tc>
          <w:tcPr>
            <w:tcW w:w="1733" w:type="dxa"/>
            <w:shd w:val="clear" w:color="auto" w:fill="auto"/>
            <w:noWrap/>
            <w:vAlign w:val="bottom"/>
            <w:hideMark/>
          </w:tcPr>
          <w:p w14:paraId="1D798C73" w14:textId="47FA25A6" w:rsidR="005D2B7C" w:rsidRPr="005D2B7C" w:rsidRDefault="005D2B7C" w:rsidP="00237CE9">
            <w:pPr>
              <w:spacing w:after="0"/>
              <w:contextualSpacing/>
              <w:jc w:val="center"/>
              <w:rPr>
                <w:sz w:val="20"/>
                <w:szCs w:val="20"/>
              </w:rPr>
            </w:pPr>
            <w:r w:rsidRPr="005D2B7C">
              <w:rPr>
                <w:rFonts w:ascii="Calibri" w:hAnsi="Calibri"/>
                <w:color w:val="000000"/>
                <w:sz w:val="20"/>
              </w:rPr>
              <w:t>3.0 ( 1.7 - 5.4 )</w:t>
            </w:r>
          </w:p>
        </w:tc>
        <w:tc>
          <w:tcPr>
            <w:tcW w:w="1985" w:type="dxa"/>
            <w:vAlign w:val="bottom"/>
          </w:tcPr>
          <w:p w14:paraId="5B0DCFE6" w14:textId="4323C725" w:rsidR="005D2B7C" w:rsidRPr="005E1CCA" w:rsidRDefault="005D2B7C" w:rsidP="00237CE9">
            <w:pPr>
              <w:spacing w:after="0"/>
              <w:contextualSpacing/>
              <w:jc w:val="center"/>
              <w:rPr>
                <w:sz w:val="20"/>
                <w:szCs w:val="20"/>
              </w:rPr>
            </w:pPr>
            <w:r w:rsidRPr="005E1CCA">
              <w:rPr>
                <w:sz w:val="20"/>
                <w:szCs w:val="20"/>
              </w:rPr>
              <w:t>3% ( -9% - 17% )</w:t>
            </w:r>
          </w:p>
        </w:tc>
      </w:tr>
      <w:tr w:rsidR="005D2B7C" w:rsidRPr="005E1CCA" w14:paraId="12A34FFE" w14:textId="77777777" w:rsidTr="009E4DCC">
        <w:trPr>
          <w:trHeight w:val="300"/>
        </w:trPr>
        <w:tc>
          <w:tcPr>
            <w:tcW w:w="3417" w:type="dxa"/>
            <w:tcBorders>
              <w:bottom w:val="single" w:sz="4" w:space="0" w:color="auto"/>
            </w:tcBorders>
            <w:shd w:val="clear" w:color="auto" w:fill="auto"/>
            <w:noWrap/>
            <w:vAlign w:val="bottom"/>
            <w:hideMark/>
          </w:tcPr>
          <w:p w14:paraId="2244C522" w14:textId="52D595AA" w:rsidR="005D2B7C" w:rsidRPr="005D2B7C" w:rsidRDefault="005D2B7C" w:rsidP="00401300">
            <w:pPr>
              <w:spacing w:after="0"/>
              <w:contextualSpacing/>
              <w:rPr>
                <w:sz w:val="20"/>
                <w:szCs w:val="20"/>
              </w:rPr>
            </w:pPr>
            <w:r w:rsidRPr="005D2B7C">
              <w:rPr>
                <w:rFonts w:ascii="Calibri" w:hAnsi="Calibri"/>
                <w:color w:val="000000"/>
                <w:sz w:val="20"/>
              </w:rPr>
              <w:t>Germany, Mainz</w:t>
            </w:r>
          </w:p>
        </w:tc>
        <w:tc>
          <w:tcPr>
            <w:tcW w:w="622" w:type="dxa"/>
            <w:tcBorders>
              <w:bottom w:val="single" w:sz="4" w:space="0" w:color="auto"/>
            </w:tcBorders>
            <w:shd w:val="clear" w:color="auto" w:fill="auto"/>
            <w:noWrap/>
            <w:hideMark/>
          </w:tcPr>
          <w:p w14:paraId="434B6871" w14:textId="77777777" w:rsidR="005D2B7C" w:rsidRPr="005E1CCA" w:rsidRDefault="005D2B7C" w:rsidP="00401300">
            <w:pPr>
              <w:spacing w:after="0"/>
              <w:contextualSpacing/>
              <w:rPr>
                <w:sz w:val="20"/>
                <w:szCs w:val="20"/>
              </w:rPr>
            </w:pPr>
            <w:r w:rsidRPr="005E1CCA">
              <w:rPr>
                <w:sz w:val="20"/>
                <w:szCs w:val="20"/>
              </w:rPr>
              <w:t>1990</w:t>
            </w:r>
          </w:p>
        </w:tc>
        <w:tc>
          <w:tcPr>
            <w:tcW w:w="622" w:type="dxa"/>
            <w:tcBorders>
              <w:bottom w:val="single" w:sz="4" w:space="0" w:color="auto"/>
            </w:tcBorders>
            <w:shd w:val="clear" w:color="auto" w:fill="auto"/>
            <w:noWrap/>
            <w:hideMark/>
          </w:tcPr>
          <w:p w14:paraId="3EF28EA4" w14:textId="77777777" w:rsidR="005D2B7C" w:rsidRPr="005E1CCA" w:rsidRDefault="005D2B7C" w:rsidP="00401300">
            <w:pPr>
              <w:spacing w:after="0"/>
              <w:contextualSpacing/>
              <w:rPr>
                <w:sz w:val="20"/>
                <w:szCs w:val="20"/>
              </w:rPr>
            </w:pPr>
            <w:r w:rsidRPr="005E1CCA">
              <w:rPr>
                <w:sz w:val="20"/>
                <w:szCs w:val="20"/>
              </w:rPr>
              <w:t>2011</w:t>
            </w:r>
          </w:p>
        </w:tc>
        <w:tc>
          <w:tcPr>
            <w:tcW w:w="906" w:type="dxa"/>
            <w:tcBorders>
              <w:bottom w:val="single" w:sz="4" w:space="0" w:color="auto"/>
            </w:tcBorders>
            <w:shd w:val="clear" w:color="auto" w:fill="auto"/>
            <w:noWrap/>
            <w:hideMark/>
          </w:tcPr>
          <w:p w14:paraId="7A571060" w14:textId="77777777" w:rsidR="005D2B7C" w:rsidRPr="005E1CCA" w:rsidRDefault="005D2B7C" w:rsidP="00237CE9">
            <w:pPr>
              <w:spacing w:after="0"/>
              <w:contextualSpacing/>
              <w:jc w:val="center"/>
              <w:rPr>
                <w:sz w:val="20"/>
                <w:szCs w:val="20"/>
              </w:rPr>
            </w:pPr>
            <w:r w:rsidRPr="005E1CCA">
              <w:rPr>
                <w:sz w:val="20"/>
                <w:szCs w:val="20"/>
              </w:rPr>
              <w:t>22</w:t>
            </w:r>
          </w:p>
        </w:tc>
        <w:tc>
          <w:tcPr>
            <w:tcW w:w="1134" w:type="dxa"/>
            <w:tcBorders>
              <w:bottom w:val="single" w:sz="4" w:space="0" w:color="auto"/>
            </w:tcBorders>
            <w:shd w:val="clear" w:color="auto" w:fill="auto"/>
            <w:noWrap/>
            <w:hideMark/>
          </w:tcPr>
          <w:p w14:paraId="791C3B2B" w14:textId="77777777" w:rsidR="005D2B7C" w:rsidRPr="005E1CCA" w:rsidRDefault="005D2B7C" w:rsidP="00237CE9">
            <w:pPr>
              <w:spacing w:after="0"/>
              <w:contextualSpacing/>
              <w:jc w:val="center"/>
              <w:rPr>
                <w:sz w:val="20"/>
                <w:szCs w:val="20"/>
              </w:rPr>
            </w:pPr>
            <w:r w:rsidRPr="005E1CCA">
              <w:rPr>
                <w:sz w:val="20"/>
                <w:szCs w:val="20"/>
              </w:rPr>
              <w:t>0.4</w:t>
            </w:r>
          </w:p>
        </w:tc>
        <w:tc>
          <w:tcPr>
            <w:tcW w:w="1134" w:type="dxa"/>
            <w:tcBorders>
              <w:bottom w:val="single" w:sz="4" w:space="0" w:color="auto"/>
            </w:tcBorders>
            <w:shd w:val="clear" w:color="auto" w:fill="auto"/>
            <w:noWrap/>
            <w:hideMark/>
          </w:tcPr>
          <w:p w14:paraId="4B16CA0B" w14:textId="77777777" w:rsidR="005D2B7C" w:rsidRPr="005E1CCA" w:rsidRDefault="005D2B7C" w:rsidP="00237CE9">
            <w:pPr>
              <w:spacing w:after="0"/>
              <w:contextualSpacing/>
              <w:jc w:val="center"/>
              <w:rPr>
                <w:sz w:val="20"/>
                <w:szCs w:val="20"/>
              </w:rPr>
            </w:pPr>
            <w:r w:rsidRPr="005E1CCA">
              <w:rPr>
                <w:sz w:val="20"/>
                <w:szCs w:val="20"/>
              </w:rPr>
              <w:t>3,425</w:t>
            </w:r>
          </w:p>
        </w:tc>
        <w:tc>
          <w:tcPr>
            <w:tcW w:w="1362" w:type="dxa"/>
            <w:tcBorders>
              <w:bottom w:val="single" w:sz="4" w:space="0" w:color="auto"/>
            </w:tcBorders>
            <w:shd w:val="clear" w:color="auto" w:fill="auto"/>
            <w:noWrap/>
            <w:vAlign w:val="bottom"/>
            <w:hideMark/>
          </w:tcPr>
          <w:p w14:paraId="4451F7B7" w14:textId="50C0E4DE" w:rsidR="005D2B7C" w:rsidRPr="005E1CCA" w:rsidRDefault="005D2B7C" w:rsidP="00237CE9">
            <w:pPr>
              <w:spacing w:after="0"/>
              <w:contextualSpacing/>
              <w:jc w:val="center"/>
              <w:rPr>
                <w:sz w:val="20"/>
                <w:szCs w:val="20"/>
              </w:rPr>
            </w:pPr>
            <w:r w:rsidRPr="005E1CCA">
              <w:rPr>
                <w:color w:val="000000"/>
                <w:sz w:val="20"/>
                <w:szCs w:val="20"/>
              </w:rPr>
              <w:t>6</w:t>
            </w:r>
          </w:p>
        </w:tc>
        <w:tc>
          <w:tcPr>
            <w:tcW w:w="1733" w:type="dxa"/>
            <w:tcBorders>
              <w:bottom w:val="single" w:sz="4" w:space="0" w:color="auto"/>
            </w:tcBorders>
            <w:shd w:val="clear" w:color="auto" w:fill="auto"/>
            <w:noWrap/>
            <w:vAlign w:val="bottom"/>
            <w:hideMark/>
          </w:tcPr>
          <w:p w14:paraId="1798FAA7" w14:textId="51223EF3" w:rsidR="005D2B7C" w:rsidRPr="005D2B7C" w:rsidRDefault="005D2B7C" w:rsidP="00237CE9">
            <w:pPr>
              <w:spacing w:after="0"/>
              <w:contextualSpacing/>
              <w:jc w:val="center"/>
              <w:rPr>
                <w:sz w:val="20"/>
                <w:szCs w:val="20"/>
              </w:rPr>
            </w:pPr>
            <w:r w:rsidRPr="005D2B7C">
              <w:rPr>
                <w:rFonts w:ascii="Calibri" w:hAnsi="Calibri"/>
                <w:color w:val="000000"/>
                <w:sz w:val="20"/>
              </w:rPr>
              <w:t>1.4 ( 0.5 - 3.6 )</w:t>
            </w:r>
          </w:p>
        </w:tc>
        <w:tc>
          <w:tcPr>
            <w:tcW w:w="1985" w:type="dxa"/>
            <w:tcBorders>
              <w:bottom w:val="single" w:sz="4" w:space="0" w:color="auto"/>
            </w:tcBorders>
            <w:vAlign w:val="bottom"/>
          </w:tcPr>
          <w:p w14:paraId="62D4A3F8" w14:textId="4E9BA950" w:rsidR="005D2B7C" w:rsidRPr="005E1CCA" w:rsidRDefault="005D2B7C" w:rsidP="00237CE9">
            <w:pPr>
              <w:spacing w:after="0"/>
              <w:contextualSpacing/>
              <w:jc w:val="center"/>
              <w:rPr>
                <w:sz w:val="20"/>
                <w:szCs w:val="20"/>
              </w:rPr>
            </w:pPr>
            <w:r w:rsidRPr="005E1CCA">
              <w:rPr>
                <w:sz w:val="20"/>
                <w:szCs w:val="20"/>
              </w:rPr>
              <w:t>1% ( -15% - 21% )</w:t>
            </w:r>
          </w:p>
        </w:tc>
      </w:tr>
      <w:tr w:rsidR="00B12DE4" w:rsidRPr="005E1CCA" w14:paraId="50CC0697" w14:textId="77777777" w:rsidTr="009E4DCC">
        <w:trPr>
          <w:trHeight w:val="300"/>
        </w:trPr>
        <w:tc>
          <w:tcPr>
            <w:tcW w:w="3417" w:type="dxa"/>
            <w:tcBorders>
              <w:top w:val="single" w:sz="4" w:space="0" w:color="auto"/>
              <w:bottom w:val="single" w:sz="4" w:space="0" w:color="auto"/>
            </w:tcBorders>
            <w:shd w:val="clear" w:color="auto" w:fill="auto"/>
            <w:noWrap/>
          </w:tcPr>
          <w:p w14:paraId="1E407028" w14:textId="3C0F8C1B" w:rsidR="00B12DE4" w:rsidRPr="005E1CCA" w:rsidRDefault="00B12DE4" w:rsidP="009769FA">
            <w:pPr>
              <w:spacing w:after="0"/>
              <w:contextualSpacing/>
              <w:rPr>
                <w:sz w:val="20"/>
                <w:szCs w:val="20"/>
              </w:rPr>
            </w:pPr>
            <w:r w:rsidRPr="005E1CCA">
              <w:rPr>
                <w:sz w:val="20"/>
                <w:szCs w:val="20"/>
              </w:rPr>
              <w:t>European Estimate</w:t>
            </w:r>
          </w:p>
        </w:tc>
        <w:tc>
          <w:tcPr>
            <w:tcW w:w="622" w:type="dxa"/>
            <w:tcBorders>
              <w:top w:val="single" w:sz="4" w:space="0" w:color="auto"/>
              <w:bottom w:val="single" w:sz="4" w:space="0" w:color="auto"/>
            </w:tcBorders>
            <w:shd w:val="clear" w:color="auto" w:fill="auto"/>
            <w:noWrap/>
          </w:tcPr>
          <w:p w14:paraId="291B80CE" w14:textId="77777777" w:rsidR="00B12DE4" w:rsidRPr="005E1CCA" w:rsidRDefault="00B12DE4" w:rsidP="00401300">
            <w:pPr>
              <w:spacing w:after="0"/>
              <w:contextualSpacing/>
              <w:rPr>
                <w:sz w:val="20"/>
                <w:szCs w:val="20"/>
              </w:rPr>
            </w:pPr>
          </w:p>
        </w:tc>
        <w:tc>
          <w:tcPr>
            <w:tcW w:w="622" w:type="dxa"/>
            <w:tcBorders>
              <w:top w:val="single" w:sz="4" w:space="0" w:color="auto"/>
              <w:bottom w:val="single" w:sz="4" w:space="0" w:color="auto"/>
            </w:tcBorders>
            <w:shd w:val="clear" w:color="auto" w:fill="auto"/>
            <w:noWrap/>
          </w:tcPr>
          <w:p w14:paraId="1F29233F" w14:textId="77777777" w:rsidR="00B12DE4" w:rsidRPr="005E1CCA" w:rsidRDefault="00B12DE4" w:rsidP="00401300">
            <w:pPr>
              <w:spacing w:after="0"/>
              <w:contextualSpacing/>
              <w:rPr>
                <w:sz w:val="20"/>
                <w:szCs w:val="20"/>
              </w:rPr>
            </w:pPr>
          </w:p>
        </w:tc>
        <w:tc>
          <w:tcPr>
            <w:tcW w:w="906" w:type="dxa"/>
            <w:tcBorders>
              <w:top w:val="single" w:sz="4" w:space="0" w:color="auto"/>
              <w:bottom w:val="single" w:sz="4" w:space="0" w:color="auto"/>
            </w:tcBorders>
            <w:shd w:val="clear" w:color="auto" w:fill="auto"/>
            <w:noWrap/>
          </w:tcPr>
          <w:p w14:paraId="0839FB83" w14:textId="77777777" w:rsidR="00B12DE4" w:rsidRPr="005E1CCA" w:rsidRDefault="00B12DE4" w:rsidP="00237CE9">
            <w:pPr>
              <w:spacing w:after="0"/>
              <w:contextualSpacing/>
              <w:jc w:val="center"/>
              <w:rPr>
                <w:sz w:val="20"/>
                <w:szCs w:val="20"/>
              </w:rPr>
            </w:pPr>
          </w:p>
        </w:tc>
        <w:tc>
          <w:tcPr>
            <w:tcW w:w="1134" w:type="dxa"/>
            <w:tcBorders>
              <w:top w:val="single" w:sz="4" w:space="0" w:color="auto"/>
              <w:bottom w:val="single" w:sz="4" w:space="0" w:color="auto"/>
            </w:tcBorders>
            <w:shd w:val="clear" w:color="auto" w:fill="auto"/>
            <w:noWrap/>
            <w:vAlign w:val="bottom"/>
          </w:tcPr>
          <w:p w14:paraId="337278FA" w14:textId="4C370392" w:rsidR="00B12DE4" w:rsidRPr="005E1CCA" w:rsidRDefault="00B12DE4" w:rsidP="00237CE9">
            <w:pPr>
              <w:spacing w:after="0"/>
              <w:contextualSpacing/>
              <w:jc w:val="center"/>
              <w:rPr>
                <w:sz w:val="20"/>
                <w:szCs w:val="20"/>
              </w:rPr>
            </w:pPr>
            <w:r w:rsidRPr="005E1CCA">
              <w:rPr>
                <w:color w:val="000000"/>
                <w:sz w:val="20"/>
                <w:szCs w:val="20"/>
              </w:rPr>
              <w:t>100.1</w:t>
            </w:r>
          </w:p>
        </w:tc>
        <w:tc>
          <w:tcPr>
            <w:tcW w:w="1134" w:type="dxa"/>
            <w:tcBorders>
              <w:top w:val="single" w:sz="4" w:space="0" w:color="auto"/>
              <w:bottom w:val="single" w:sz="4" w:space="0" w:color="auto"/>
            </w:tcBorders>
            <w:shd w:val="clear" w:color="auto" w:fill="auto"/>
            <w:noWrap/>
            <w:vAlign w:val="bottom"/>
          </w:tcPr>
          <w:p w14:paraId="4997E4FD" w14:textId="3E8EC3E4" w:rsidR="00B12DE4" w:rsidRPr="005E1CCA" w:rsidRDefault="00B12DE4" w:rsidP="00237CE9">
            <w:pPr>
              <w:spacing w:after="0"/>
              <w:contextualSpacing/>
              <w:jc w:val="center"/>
              <w:rPr>
                <w:sz w:val="20"/>
                <w:szCs w:val="20"/>
              </w:rPr>
            </w:pPr>
            <w:r w:rsidRPr="005E1CCA">
              <w:rPr>
                <w:color w:val="000000"/>
                <w:sz w:val="20"/>
                <w:szCs w:val="20"/>
              </w:rPr>
              <w:t>570,260</w:t>
            </w:r>
          </w:p>
        </w:tc>
        <w:tc>
          <w:tcPr>
            <w:tcW w:w="1362" w:type="dxa"/>
            <w:tcBorders>
              <w:top w:val="single" w:sz="4" w:space="0" w:color="auto"/>
              <w:bottom w:val="single" w:sz="4" w:space="0" w:color="auto"/>
            </w:tcBorders>
            <w:shd w:val="clear" w:color="auto" w:fill="auto"/>
            <w:noWrap/>
          </w:tcPr>
          <w:p w14:paraId="63389367" w14:textId="77777777" w:rsidR="00B12DE4" w:rsidRPr="005E1CCA" w:rsidRDefault="00B12DE4" w:rsidP="00237CE9">
            <w:pPr>
              <w:spacing w:after="0"/>
              <w:contextualSpacing/>
              <w:jc w:val="center"/>
              <w:rPr>
                <w:sz w:val="20"/>
                <w:szCs w:val="20"/>
              </w:rPr>
            </w:pPr>
          </w:p>
        </w:tc>
        <w:tc>
          <w:tcPr>
            <w:tcW w:w="1733" w:type="dxa"/>
            <w:tcBorders>
              <w:top w:val="single" w:sz="4" w:space="0" w:color="auto"/>
              <w:bottom w:val="single" w:sz="4" w:space="0" w:color="auto"/>
            </w:tcBorders>
            <w:shd w:val="clear" w:color="auto" w:fill="auto"/>
            <w:noWrap/>
          </w:tcPr>
          <w:p w14:paraId="0C7BB9ED" w14:textId="77777777" w:rsidR="00B12DE4" w:rsidRPr="005D2B7C" w:rsidRDefault="00B12DE4" w:rsidP="00237CE9">
            <w:pPr>
              <w:spacing w:after="0"/>
              <w:contextualSpacing/>
              <w:jc w:val="center"/>
              <w:rPr>
                <w:sz w:val="20"/>
                <w:szCs w:val="20"/>
              </w:rPr>
            </w:pPr>
            <w:r w:rsidRPr="005D2B7C">
              <w:rPr>
                <w:sz w:val="20"/>
                <w:szCs w:val="20"/>
              </w:rPr>
              <w:t>1.53 (1.16 – 1.96)</w:t>
            </w:r>
          </w:p>
        </w:tc>
        <w:tc>
          <w:tcPr>
            <w:tcW w:w="1985" w:type="dxa"/>
            <w:tcBorders>
              <w:top w:val="single" w:sz="4" w:space="0" w:color="auto"/>
              <w:bottom w:val="single" w:sz="4" w:space="0" w:color="auto"/>
            </w:tcBorders>
          </w:tcPr>
          <w:p w14:paraId="019874F8" w14:textId="44BB37DB" w:rsidR="00B12DE4" w:rsidRPr="005E1CCA" w:rsidRDefault="00B12DE4" w:rsidP="00237CE9">
            <w:pPr>
              <w:spacing w:after="0"/>
              <w:contextualSpacing/>
              <w:jc w:val="center"/>
              <w:rPr>
                <w:sz w:val="20"/>
                <w:szCs w:val="20"/>
              </w:rPr>
            </w:pPr>
            <w:r w:rsidRPr="005E1CCA">
              <w:rPr>
                <w:sz w:val="20"/>
                <w:szCs w:val="20"/>
              </w:rPr>
              <w:t>-2% ( -4% - 0% )</w:t>
            </w:r>
          </w:p>
        </w:tc>
      </w:tr>
    </w:tbl>
    <w:p w14:paraId="7627EE36" w14:textId="796B8583" w:rsidR="00756328" w:rsidRPr="002B5929" w:rsidRDefault="00756328" w:rsidP="005E1CCA">
      <w:pPr>
        <w:spacing w:after="0"/>
        <w:contextualSpacing/>
      </w:pPr>
    </w:p>
    <w:sectPr w:rsidR="00756328" w:rsidRPr="002B5929" w:rsidSect="004218FD">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19C1A" w15:done="0"/>
  <w15:commentEx w15:paraId="76CE86F9" w15:done="0"/>
  <w15:commentEx w15:paraId="21A63F01" w15:done="0"/>
  <w15:commentEx w15:paraId="60F6F766" w15:done="0"/>
  <w15:commentEx w15:paraId="0E547865" w15:done="0"/>
  <w15:commentEx w15:paraId="55474CEE" w15:done="0"/>
  <w15:commentEx w15:paraId="53152C51" w15:done="0"/>
  <w15:commentEx w15:paraId="16E5B940" w15:done="0"/>
  <w15:commentEx w15:paraId="2664E557" w15:done="0"/>
  <w15:commentEx w15:paraId="1CE53000" w15:done="0"/>
  <w15:commentEx w15:paraId="0CA36FAB" w15:done="0"/>
  <w15:commentEx w15:paraId="563CB3AA" w15:done="0"/>
  <w15:commentEx w15:paraId="0BA18C26" w15:done="0"/>
  <w15:commentEx w15:paraId="36D185A4" w15:done="0"/>
  <w15:commentEx w15:paraId="67419F16" w15:done="0"/>
  <w15:commentEx w15:paraId="0B737199" w15:done="0"/>
  <w15:commentEx w15:paraId="614C203C" w15:done="0"/>
  <w15:commentEx w15:paraId="1695AD4B" w15:done="0"/>
  <w15:commentEx w15:paraId="68769FE1" w15:done="0"/>
  <w15:commentEx w15:paraId="4ED08D86" w15:done="0"/>
  <w15:commentEx w15:paraId="4DFD8E2B" w15:done="0"/>
  <w15:commentEx w15:paraId="14CEEC42" w15:done="0"/>
  <w15:commentEx w15:paraId="6EF1DD8F" w15:done="0"/>
  <w15:commentEx w15:paraId="75DDB001" w15:done="0"/>
  <w15:commentEx w15:paraId="34FC2778" w15:done="0"/>
  <w15:commentEx w15:paraId="6B64758D" w15:done="0"/>
  <w15:commentEx w15:paraId="2317B1D2" w15:done="0"/>
  <w15:commentEx w15:paraId="3A239BB2" w15:done="0"/>
  <w15:commentEx w15:paraId="54A613EC" w15:done="0"/>
  <w15:commentEx w15:paraId="49C8ED9E" w15:done="0"/>
  <w15:commentEx w15:paraId="0B1BB168" w15:done="0"/>
  <w15:commentEx w15:paraId="129958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S94BA">
    <w:panose1 w:val="00000000000000000000"/>
    <w:charset w:val="00"/>
    <w:family w:val="roman"/>
    <w:notTrueType/>
    <w:pitch w:val="default"/>
    <w:sig w:usb0="00000003" w:usb1="00000000" w:usb2="00000000" w:usb3="00000000" w:csb0="00000001" w:csb1="00000000"/>
  </w:font>
  <w:font w:name="AdvP7C2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ArialUnicodeMS">
    <w:panose1 w:val="00000000000000000000"/>
    <w:charset w:val="00"/>
    <w:family w:val="auto"/>
    <w:notTrueType/>
    <w:pitch w:val="default"/>
    <w:sig w:usb0="00000003" w:usb1="00000000" w:usb2="00000000" w:usb3="00000000" w:csb0="00000001" w:csb1="00000000"/>
  </w:font>
  <w:font w:name="MetaSerifProBook-Regular">
    <w:panose1 w:val="00000000000000000000"/>
    <w:charset w:val="00"/>
    <w:family w:val="roman"/>
    <w:notTrueType/>
    <w:pitch w:val="default"/>
    <w:sig w:usb0="00000003" w:usb1="00000000" w:usb2="00000000" w:usb3="00000000" w:csb0="00000001" w:csb1="00000000"/>
  </w:font>
  <w:font w:name="TT1BF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F3A"/>
    <w:multiLevelType w:val="multilevel"/>
    <w:tmpl w:val="38F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C278E"/>
    <w:multiLevelType w:val="hybridMultilevel"/>
    <w:tmpl w:val="8AB6DE80"/>
    <w:lvl w:ilvl="0" w:tplc="76DC35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522C8"/>
    <w:multiLevelType w:val="multilevel"/>
    <w:tmpl w:val="FF9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75C34"/>
    <w:multiLevelType w:val="hybridMultilevel"/>
    <w:tmpl w:val="ECB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5C44DC"/>
    <w:multiLevelType w:val="hybridMultilevel"/>
    <w:tmpl w:val="D948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9937B0"/>
    <w:multiLevelType w:val="hybridMultilevel"/>
    <w:tmpl w:val="36F4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h">
    <w15:presenceInfo w15:providerId="None" w15:userId="Judith"/>
  </w15:person>
  <w15:person w15:author="Judith Rankin">
    <w15:presenceInfo w15:providerId="AD" w15:userId="S-1-5-21-1417001333-839522115-1801674531-74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AF"/>
    <w:rsid w:val="00026783"/>
    <w:rsid w:val="00027FF4"/>
    <w:rsid w:val="000328CB"/>
    <w:rsid w:val="00043EA6"/>
    <w:rsid w:val="00060A66"/>
    <w:rsid w:val="00063A5F"/>
    <w:rsid w:val="0006609D"/>
    <w:rsid w:val="00070F50"/>
    <w:rsid w:val="00071227"/>
    <w:rsid w:val="00072A75"/>
    <w:rsid w:val="00083788"/>
    <w:rsid w:val="000A092E"/>
    <w:rsid w:val="000A67AF"/>
    <w:rsid w:val="000B1C41"/>
    <w:rsid w:val="000C1B2A"/>
    <w:rsid w:val="000D22F6"/>
    <w:rsid w:val="000D2BDD"/>
    <w:rsid w:val="000D7B08"/>
    <w:rsid w:val="000E7AB1"/>
    <w:rsid w:val="000F545B"/>
    <w:rsid w:val="000F73BD"/>
    <w:rsid w:val="000F79B4"/>
    <w:rsid w:val="001061BF"/>
    <w:rsid w:val="0011146B"/>
    <w:rsid w:val="00116EA9"/>
    <w:rsid w:val="0012551A"/>
    <w:rsid w:val="00127ED3"/>
    <w:rsid w:val="001301E2"/>
    <w:rsid w:val="00140559"/>
    <w:rsid w:val="00141B0A"/>
    <w:rsid w:val="001449D0"/>
    <w:rsid w:val="001716B3"/>
    <w:rsid w:val="00171924"/>
    <w:rsid w:val="001805EF"/>
    <w:rsid w:val="001B1610"/>
    <w:rsid w:val="001C7D5E"/>
    <w:rsid w:val="001E2215"/>
    <w:rsid w:val="001E386A"/>
    <w:rsid w:val="001F6AC0"/>
    <w:rsid w:val="002033A7"/>
    <w:rsid w:val="00211851"/>
    <w:rsid w:val="00211D1D"/>
    <w:rsid w:val="0022700E"/>
    <w:rsid w:val="002369A7"/>
    <w:rsid w:val="00237CE9"/>
    <w:rsid w:val="00240851"/>
    <w:rsid w:val="0024251D"/>
    <w:rsid w:val="002552C7"/>
    <w:rsid w:val="0026798B"/>
    <w:rsid w:val="002704E6"/>
    <w:rsid w:val="00274DFC"/>
    <w:rsid w:val="002767BF"/>
    <w:rsid w:val="00277A74"/>
    <w:rsid w:val="00277EF5"/>
    <w:rsid w:val="002823FB"/>
    <w:rsid w:val="00286890"/>
    <w:rsid w:val="00294AEA"/>
    <w:rsid w:val="002976BF"/>
    <w:rsid w:val="002A28F0"/>
    <w:rsid w:val="002B327C"/>
    <w:rsid w:val="002B5929"/>
    <w:rsid w:val="002B7850"/>
    <w:rsid w:val="002C3855"/>
    <w:rsid w:val="002C3D49"/>
    <w:rsid w:val="002C4B77"/>
    <w:rsid w:val="002E5E06"/>
    <w:rsid w:val="00304FD4"/>
    <w:rsid w:val="00311687"/>
    <w:rsid w:val="003343B1"/>
    <w:rsid w:val="00342380"/>
    <w:rsid w:val="0034404C"/>
    <w:rsid w:val="00347060"/>
    <w:rsid w:val="00365DD2"/>
    <w:rsid w:val="00377633"/>
    <w:rsid w:val="003A74D8"/>
    <w:rsid w:val="003C4A07"/>
    <w:rsid w:val="003C53DE"/>
    <w:rsid w:val="003D0AB2"/>
    <w:rsid w:val="003D43AA"/>
    <w:rsid w:val="003D5B7C"/>
    <w:rsid w:val="003E57FD"/>
    <w:rsid w:val="003F188A"/>
    <w:rsid w:val="003F7D5C"/>
    <w:rsid w:val="00401300"/>
    <w:rsid w:val="00410FEA"/>
    <w:rsid w:val="00411EE2"/>
    <w:rsid w:val="00414898"/>
    <w:rsid w:val="004207AF"/>
    <w:rsid w:val="004218FD"/>
    <w:rsid w:val="00430DCC"/>
    <w:rsid w:val="004413CD"/>
    <w:rsid w:val="004416FE"/>
    <w:rsid w:val="00441C1C"/>
    <w:rsid w:val="00450374"/>
    <w:rsid w:val="00472822"/>
    <w:rsid w:val="00474297"/>
    <w:rsid w:val="004837E2"/>
    <w:rsid w:val="004862D0"/>
    <w:rsid w:val="004977A3"/>
    <w:rsid w:val="004A2BAF"/>
    <w:rsid w:val="004B615D"/>
    <w:rsid w:val="004C22AF"/>
    <w:rsid w:val="004E3A09"/>
    <w:rsid w:val="004E58D9"/>
    <w:rsid w:val="00505090"/>
    <w:rsid w:val="0051041F"/>
    <w:rsid w:val="00510420"/>
    <w:rsid w:val="0052088B"/>
    <w:rsid w:val="00543F14"/>
    <w:rsid w:val="00547969"/>
    <w:rsid w:val="005522DA"/>
    <w:rsid w:val="005617AB"/>
    <w:rsid w:val="00594C64"/>
    <w:rsid w:val="00595FF4"/>
    <w:rsid w:val="005966D6"/>
    <w:rsid w:val="005B5FDB"/>
    <w:rsid w:val="005C5D78"/>
    <w:rsid w:val="005C7BF0"/>
    <w:rsid w:val="005D2B7C"/>
    <w:rsid w:val="005E1CCA"/>
    <w:rsid w:val="005F4EE4"/>
    <w:rsid w:val="00601127"/>
    <w:rsid w:val="00602CE1"/>
    <w:rsid w:val="0061137A"/>
    <w:rsid w:val="00615A31"/>
    <w:rsid w:val="00616A28"/>
    <w:rsid w:val="00621514"/>
    <w:rsid w:val="00625B82"/>
    <w:rsid w:val="006342BF"/>
    <w:rsid w:val="00642923"/>
    <w:rsid w:val="00645712"/>
    <w:rsid w:val="006501B9"/>
    <w:rsid w:val="00655B89"/>
    <w:rsid w:val="00660D85"/>
    <w:rsid w:val="00663720"/>
    <w:rsid w:val="00664DDB"/>
    <w:rsid w:val="00675830"/>
    <w:rsid w:val="00683DEC"/>
    <w:rsid w:val="006911B9"/>
    <w:rsid w:val="006A492F"/>
    <w:rsid w:val="006A6956"/>
    <w:rsid w:val="006B241A"/>
    <w:rsid w:val="006B6ED5"/>
    <w:rsid w:val="006C22D2"/>
    <w:rsid w:val="006C5371"/>
    <w:rsid w:val="006D3A57"/>
    <w:rsid w:val="006F1AC4"/>
    <w:rsid w:val="006F33B8"/>
    <w:rsid w:val="006F37E0"/>
    <w:rsid w:val="006F3DBA"/>
    <w:rsid w:val="0070748A"/>
    <w:rsid w:val="00715951"/>
    <w:rsid w:val="007161DF"/>
    <w:rsid w:val="00720743"/>
    <w:rsid w:val="00733D7D"/>
    <w:rsid w:val="0074363D"/>
    <w:rsid w:val="00743785"/>
    <w:rsid w:val="00744E20"/>
    <w:rsid w:val="00745AB3"/>
    <w:rsid w:val="00751125"/>
    <w:rsid w:val="00752433"/>
    <w:rsid w:val="00754589"/>
    <w:rsid w:val="00756328"/>
    <w:rsid w:val="007600A5"/>
    <w:rsid w:val="00762707"/>
    <w:rsid w:val="0076528A"/>
    <w:rsid w:val="007712CA"/>
    <w:rsid w:val="0077692E"/>
    <w:rsid w:val="00780E50"/>
    <w:rsid w:val="00783234"/>
    <w:rsid w:val="007879BC"/>
    <w:rsid w:val="007942A9"/>
    <w:rsid w:val="007C054E"/>
    <w:rsid w:val="007D4D5C"/>
    <w:rsid w:val="007E6D49"/>
    <w:rsid w:val="00802A79"/>
    <w:rsid w:val="00831D1E"/>
    <w:rsid w:val="0083456B"/>
    <w:rsid w:val="00842311"/>
    <w:rsid w:val="00845DF0"/>
    <w:rsid w:val="00850E96"/>
    <w:rsid w:val="008519A8"/>
    <w:rsid w:val="00851EC9"/>
    <w:rsid w:val="008749F9"/>
    <w:rsid w:val="008848BC"/>
    <w:rsid w:val="0089220D"/>
    <w:rsid w:val="00894BB3"/>
    <w:rsid w:val="00894C20"/>
    <w:rsid w:val="008A1DB6"/>
    <w:rsid w:val="008A263B"/>
    <w:rsid w:val="008A6990"/>
    <w:rsid w:val="008B42ED"/>
    <w:rsid w:val="008F5EDD"/>
    <w:rsid w:val="009008AF"/>
    <w:rsid w:val="009022A5"/>
    <w:rsid w:val="00914E30"/>
    <w:rsid w:val="00932BAA"/>
    <w:rsid w:val="00932F6B"/>
    <w:rsid w:val="00937AE4"/>
    <w:rsid w:val="009769FA"/>
    <w:rsid w:val="009817F6"/>
    <w:rsid w:val="0099381C"/>
    <w:rsid w:val="0099456D"/>
    <w:rsid w:val="009A4278"/>
    <w:rsid w:val="009B7036"/>
    <w:rsid w:val="009D2709"/>
    <w:rsid w:val="009E19EB"/>
    <w:rsid w:val="009E4DCC"/>
    <w:rsid w:val="009F0332"/>
    <w:rsid w:val="009F2AB0"/>
    <w:rsid w:val="00A0271C"/>
    <w:rsid w:val="00A0446F"/>
    <w:rsid w:val="00A12DA5"/>
    <w:rsid w:val="00A15293"/>
    <w:rsid w:val="00A25D4C"/>
    <w:rsid w:val="00A27D04"/>
    <w:rsid w:val="00A34887"/>
    <w:rsid w:val="00A3705A"/>
    <w:rsid w:val="00A479EE"/>
    <w:rsid w:val="00A52F59"/>
    <w:rsid w:val="00A75BA0"/>
    <w:rsid w:val="00A87682"/>
    <w:rsid w:val="00A924C7"/>
    <w:rsid w:val="00A95AAE"/>
    <w:rsid w:val="00AD7CDE"/>
    <w:rsid w:val="00AE29B2"/>
    <w:rsid w:val="00B02FC2"/>
    <w:rsid w:val="00B06B55"/>
    <w:rsid w:val="00B12DE4"/>
    <w:rsid w:val="00B16D10"/>
    <w:rsid w:val="00B27282"/>
    <w:rsid w:val="00B34F7C"/>
    <w:rsid w:val="00B34FFE"/>
    <w:rsid w:val="00B4165D"/>
    <w:rsid w:val="00B45D9D"/>
    <w:rsid w:val="00B46ED3"/>
    <w:rsid w:val="00B46F77"/>
    <w:rsid w:val="00B56639"/>
    <w:rsid w:val="00B56A7B"/>
    <w:rsid w:val="00B63099"/>
    <w:rsid w:val="00B70F8E"/>
    <w:rsid w:val="00B7422D"/>
    <w:rsid w:val="00B823EC"/>
    <w:rsid w:val="00B84E1A"/>
    <w:rsid w:val="00B87CBD"/>
    <w:rsid w:val="00B92AF8"/>
    <w:rsid w:val="00BA61A5"/>
    <w:rsid w:val="00BB2CB2"/>
    <w:rsid w:val="00BB68B3"/>
    <w:rsid w:val="00BB78BD"/>
    <w:rsid w:val="00BC267E"/>
    <w:rsid w:val="00BD0DD6"/>
    <w:rsid w:val="00BD73AB"/>
    <w:rsid w:val="00BE1B4D"/>
    <w:rsid w:val="00C10461"/>
    <w:rsid w:val="00C10B75"/>
    <w:rsid w:val="00C3026D"/>
    <w:rsid w:val="00C34963"/>
    <w:rsid w:val="00C37830"/>
    <w:rsid w:val="00C4486F"/>
    <w:rsid w:val="00C44A3E"/>
    <w:rsid w:val="00C5242E"/>
    <w:rsid w:val="00C53F04"/>
    <w:rsid w:val="00C56187"/>
    <w:rsid w:val="00C7492C"/>
    <w:rsid w:val="00C8036B"/>
    <w:rsid w:val="00C9402C"/>
    <w:rsid w:val="00CA52AE"/>
    <w:rsid w:val="00CA6530"/>
    <w:rsid w:val="00CB09C8"/>
    <w:rsid w:val="00CC1B68"/>
    <w:rsid w:val="00CC53E0"/>
    <w:rsid w:val="00CF07A6"/>
    <w:rsid w:val="00CF2686"/>
    <w:rsid w:val="00D062C4"/>
    <w:rsid w:val="00D1620D"/>
    <w:rsid w:val="00D42421"/>
    <w:rsid w:val="00D42B88"/>
    <w:rsid w:val="00D53DF1"/>
    <w:rsid w:val="00D55C41"/>
    <w:rsid w:val="00D60D66"/>
    <w:rsid w:val="00D67D0C"/>
    <w:rsid w:val="00D70FBA"/>
    <w:rsid w:val="00D710BA"/>
    <w:rsid w:val="00D75FB4"/>
    <w:rsid w:val="00D90866"/>
    <w:rsid w:val="00D971BF"/>
    <w:rsid w:val="00D97A26"/>
    <w:rsid w:val="00DA22D6"/>
    <w:rsid w:val="00DA26A2"/>
    <w:rsid w:val="00DA279E"/>
    <w:rsid w:val="00DA38CB"/>
    <w:rsid w:val="00DA429E"/>
    <w:rsid w:val="00DA7398"/>
    <w:rsid w:val="00DC5A73"/>
    <w:rsid w:val="00DD7E5E"/>
    <w:rsid w:val="00DE5074"/>
    <w:rsid w:val="00E04DBB"/>
    <w:rsid w:val="00E1494F"/>
    <w:rsid w:val="00E25007"/>
    <w:rsid w:val="00E269E1"/>
    <w:rsid w:val="00E34B2C"/>
    <w:rsid w:val="00E37439"/>
    <w:rsid w:val="00E66DE6"/>
    <w:rsid w:val="00E7109F"/>
    <w:rsid w:val="00E8519A"/>
    <w:rsid w:val="00E937B0"/>
    <w:rsid w:val="00E975BF"/>
    <w:rsid w:val="00EA7339"/>
    <w:rsid w:val="00EA74C1"/>
    <w:rsid w:val="00EB3290"/>
    <w:rsid w:val="00EB7E56"/>
    <w:rsid w:val="00EB7FF2"/>
    <w:rsid w:val="00EC2332"/>
    <w:rsid w:val="00EC5682"/>
    <w:rsid w:val="00EC58E1"/>
    <w:rsid w:val="00ED2FA1"/>
    <w:rsid w:val="00EE534C"/>
    <w:rsid w:val="00EF5528"/>
    <w:rsid w:val="00F01E06"/>
    <w:rsid w:val="00F05FF2"/>
    <w:rsid w:val="00F27F6C"/>
    <w:rsid w:val="00F34682"/>
    <w:rsid w:val="00F371E5"/>
    <w:rsid w:val="00F41898"/>
    <w:rsid w:val="00F44720"/>
    <w:rsid w:val="00F448A5"/>
    <w:rsid w:val="00F77BAB"/>
    <w:rsid w:val="00FA5D67"/>
    <w:rsid w:val="00FC0290"/>
    <w:rsid w:val="00FC37A9"/>
    <w:rsid w:val="00FC4BBF"/>
    <w:rsid w:val="00FD5695"/>
    <w:rsid w:val="00FD64AE"/>
    <w:rsid w:val="00FD7038"/>
    <w:rsid w:val="00FF2054"/>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14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851"/>
    <w:rPr>
      <w:rFonts w:ascii="Tahoma" w:hAnsi="Tahoma" w:cs="Tahoma"/>
      <w:sz w:val="16"/>
      <w:szCs w:val="16"/>
    </w:rPr>
  </w:style>
  <w:style w:type="character" w:styleId="EndnoteReference">
    <w:name w:val="endnote reference"/>
    <w:uiPriority w:val="99"/>
    <w:rsid w:val="005F4EE4"/>
    <w:rPr>
      <w:rFonts w:cs="Times New Roman"/>
      <w:vertAlign w:val="superscript"/>
    </w:rPr>
  </w:style>
  <w:style w:type="character" w:styleId="Hyperlink">
    <w:name w:val="Hyperlink"/>
    <w:basedOn w:val="DefaultParagraphFont"/>
    <w:uiPriority w:val="99"/>
    <w:unhideWhenUsed/>
    <w:rsid w:val="00E1494F"/>
    <w:rPr>
      <w:color w:val="0000FF" w:themeColor="hyperlink"/>
      <w:u w:val="single"/>
    </w:rPr>
  </w:style>
  <w:style w:type="paragraph" w:styleId="NormalWeb">
    <w:name w:val="Normal (Web)"/>
    <w:basedOn w:val="Normal"/>
    <w:uiPriority w:val="99"/>
    <w:semiHidden/>
    <w:unhideWhenUsed/>
    <w:rsid w:val="00B272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D0AB2"/>
    <w:rPr>
      <w:sz w:val="16"/>
      <w:szCs w:val="16"/>
    </w:rPr>
  </w:style>
  <w:style w:type="paragraph" w:styleId="CommentText">
    <w:name w:val="annotation text"/>
    <w:basedOn w:val="Normal"/>
    <w:link w:val="CommentTextChar"/>
    <w:uiPriority w:val="99"/>
    <w:semiHidden/>
    <w:unhideWhenUsed/>
    <w:rsid w:val="003D0AB2"/>
    <w:pPr>
      <w:spacing w:line="240" w:lineRule="auto"/>
    </w:pPr>
    <w:rPr>
      <w:sz w:val="20"/>
      <w:szCs w:val="20"/>
    </w:rPr>
  </w:style>
  <w:style w:type="character" w:customStyle="1" w:styleId="CommentTextChar">
    <w:name w:val="Comment Text Char"/>
    <w:basedOn w:val="DefaultParagraphFont"/>
    <w:link w:val="CommentText"/>
    <w:uiPriority w:val="99"/>
    <w:semiHidden/>
    <w:rsid w:val="003D0AB2"/>
    <w:rPr>
      <w:sz w:val="20"/>
      <w:szCs w:val="20"/>
    </w:rPr>
  </w:style>
  <w:style w:type="paragraph" w:styleId="CommentSubject">
    <w:name w:val="annotation subject"/>
    <w:basedOn w:val="CommentText"/>
    <w:next w:val="CommentText"/>
    <w:link w:val="CommentSubjectChar"/>
    <w:uiPriority w:val="99"/>
    <w:semiHidden/>
    <w:unhideWhenUsed/>
    <w:rsid w:val="003D0AB2"/>
    <w:rPr>
      <w:b/>
      <w:bCs/>
    </w:rPr>
  </w:style>
  <w:style w:type="character" w:customStyle="1" w:styleId="CommentSubjectChar">
    <w:name w:val="Comment Subject Char"/>
    <w:basedOn w:val="CommentTextChar"/>
    <w:link w:val="CommentSubject"/>
    <w:uiPriority w:val="99"/>
    <w:semiHidden/>
    <w:rsid w:val="003D0AB2"/>
    <w:rPr>
      <w:b/>
      <w:bCs/>
      <w:sz w:val="20"/>
      <w:szCs w:val="20"/>
    </w:rPr>
  </w:style>
  <w:style w:type="table" w:styleId="TableGrid">
    <w:name w:val="Table Grid"/>
    <w:basedOn w:val="TableNormal"/>
    <w:uiPriority w:val="59"/>
    <w:rsid w:val="00A9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1">
    <w:name w:val="doi1"/>
    <w:basedOn w:val="DefaultParagraphFont"/>
    <w:rsid w:val="00BB78BD"/>
    <w:rPr>
      <w:color w:val="666666"/>
    </w:rPr>
  </w:style>
  <w:style w:type="character" w:customStyle="1" w:styleId="contrib-role">
    <w:name w:val="contrib-role"/>
    <w:basedOn w:val="DefaultParagraphFont"/>
    <w:rsid w:val="00060A66"/>
  </w:style>
  <w:style w:type="character" w:styleId="Strong">
    <w:name w:val="Strong"/>
    <w:basedOn w:val="DefaultParagraphFont"/>
    <w:uiPriority w:val="22"/>
    <w:qFormat/>
    <w:rsid w:val="00060A66"/>
    <w:rPr>
      <w:b/>
      <w:bCs/>
    </w:rPr>
  </w:style>
  <w:style w:type="character" w:customStyle="1" w:styleId="Heading3Char">
    <w:name w:val="Heading 3 Char"/>
    <w:basedOn w:val="DefaultParagraphFont"/>
    <w:link w:val="Heading3"/>
    <w:uiPriority w:val="9"/>
    <w:rsid w:val="0011146B"/>
    <w:rPr>
      <w:rFonts w:ascii="Times New Roman" w:eastAsia="Times New Roman" w:hAnsi="Times New Roman" w:cs="Times New Roman"/>
      <w:b/>
      <w:bCs/>
      <w:sz w:val="27"/>
      <w:szCs w:val="27"/>
      <w:lang w:eastAsia="en-GB"/>
    </w:rPr>
  </w:style>
  <w:style w:type="character" w:customStyle="1" w:styleId="maintext1">
    <w:name w:val="maintext1"/>
    <w:basedOn w:val="DefaultParagraphFont"/>
    <w:rsid w:val="00B34FFE"/>
    <w:rPr>
      <w:rFonts w:ascii="Arial" w:hAnsi="Arial" w:cs="Arial" w:hint="default"/>
      <w:b w:val="0"/>
      <w:bCs w:val="0"/>
      <w:color w:val="3F413F"/>
      <w:sz w:val="18"/>
      <w:szCs w:val="18"/>
    </w:rPr>
  </w:style>
  <w:style w:type="paragraph" w:styleId="ListParagraph">
    <w:name w:val="List Paragraph"/>
    <w:basedOn w:val="Normal"/>
    <w:uiPriority w:val="34"/>
    <w:qFormat/>
    <w:rsid w:val="00C53F04"/>
    <w:pPr>
      <w:ind w:left="720"/>
      <w:contextualSpacing/>
    </w:pPr>
  </w:style>
  <w:style w:type="paragraph" w:styleId="PlainText">
    <w:name w:val="Plain Text"/>
    <w:basedOn w:val="Normal"/>
    <w:link w:val="PlainTextChar"/>
    <w:uiPriority w:val="99"/>
    <w:unhideWhenUsed/>
    <w:rsid w:val="004E3A09"/>
    <w:pPr>
      <w:spacing w:after="0" w:line="240" w:lineRule="auto"/>
    </w:pPr>
    <w:rPr>
      <w:rFonts w:ascii="Calibri" w:hAnsi="Calibri" w:cs="Times New Roman"/>
      <w:lang w:val="da-DK"/>
    </w:rPr>
  </w:style>
  <w:style w:type="character" w:customStyle="1" w:styleId="PlainTextChar">
    <w:name w:val="Plain Text Char"/>
    <w:basedOn w:val="DefaultParagraphFont"/>
    <w:link w:val="PlainText"/>
    <w:uiPriority w:val="99"/>
    <w:rsid w:val="004E3A09"/>
    <w:rPr>
      <w:rFonts w:ascii="Calibri" w:hAnsi="Calibri" w:cs="Times New Roman"/>
      <w:lang w:val="da-DK"/>
    </w:rPr>
  </w:style>
  <w:style w:type="character" w:customStyle="1" w:styleId="Heading1Char">
    <w:name w:val="Heading 1 Char"/>
    <w:basedOn w:val="DefaultParagraphFont"/>
    <w:link w:val="Heading1"/>
    <w:uiPriority w:val="9"/>
    <w:rsid w:val="00FC4BB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B78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14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851"/>
    <w:rPr>
      <w:rFonts w:ascii="Tahoma" w:hAnsi="Tahoma" w:cs="Tahoma"/>
      <w:sz w:val="16"/>
      <w:szCs w:val="16"/>
    </w:rPr>
  </w:style>
  <w:style w:type="character" w:styleId="EndnoteReference">
    <w:name w:val="endnote reference"/>
    <w:uiPriority w:val="99"/>
    <w:rsid w:val="005F4EE4"/>
    <w:rPr>
      <w:rFonts w:cs="Times New Roman"/>
      <w:vertAlign w:val="superscript"/>
    </w:rPr>
  </w:style>
  <w:style w:type="character" w:styleId="Hyperlink">
    <w:name w:val="Hyperlink"/>
    <w:basedOn w:val="DefaultParagraphFont"/>
    <w:uiPriority w:val="99"/>
    <w:unhideWhenUsed/>
    <w:rsid w:val="00E1494F"/>
    <w:rPr>
      <w:color w:val="0000FF" w:themeColor="hyperlink"/>
      <w:u w:val="single"/>
    </w:rPr>
  </w:style>
  <w:style w:type="paragraph" w:styleId="NormalWeb">
    <w:name w:val="Normal (Web)"/>
    <w:basedOn w:val="Normal"/>
    <w:uiPriority w:val="99"/>
    <w:semiHidden/>
    <w:unhideWhenUsed/>
    <w:rsid w:val="00B2728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D0AB2"/>
    <w:rPr>
      <w:sz w:val="16"/>
      <w:szCs w:val="16"/>
    </w:rPr>
  </w:style>
  <w:style w:type="paragraph" w:styleId="CommentText">
    <w:name w:val="annotation text"/>
    <w:basedOn w:val="Normal"/>
    <w:link w:val="CommentTextChar"/>
    <w:uiPriority w:val="99"/>
    <w:semiHidden/>
    <w:unhideWhenUsed/>
    <w:rsid w:val="003D0AB2"/>
    <w:pPr>
      <w:spacing w:line="240" w:lineRule="auto"/>
    </w:pPr>
    <w:rPr>
      <w:sz w:val="20"/>
      <w:szCs w:val="20"/>
    </w:rPr>
  </w:style>
  <w:style w:type="character" w:customStyle="1" w:styleId="CommentTextChar">
    <w:name w:val="Comment Text Char"/>
    <w:basedOn w:val="DefaultParagraphFont"/>
    <w:link w:val="CommentText"/>
    <w:uiPriority w:val="99"/>
    <w:semiHidden/>
    <w:rsid w:val="003D0AB2"/>
    <w:rPr>
      <w:sz w:val="20"/>
      <w:szCs w:val="20"/>
    </w:rPr>
  </w:style>
  <w:style w:type="paragraph" w:styleId="CommentSubject">
    <w:name w:val="annotation subject"/>
    <w:basedOn w:val="CommentText"/>
    <w:next w:val="CommentText"/>
    <w:link w:val="CommentSubjectChar"/>
    <w:uiPriority w:val="99"/>
    <w:semiHidden/>
    <w:unhideWhenUsed/>
    <w:rsid w:val="003D0AB2"/>
    <w:rPr>
      <w:b/>
      <w:bCs/>
    </w:rPr>
  </w:style>
  <w:style w:type="character" w:customStyle="1" w:styleId="CommentSubjectChar">
    <w:name w:val="Comment Subject Char"/>
    <w:basedOn w:val="CommentTextChar"/>
    <w:link w:val="CommentSubject"/>
    <w:uiPriority w:val="99"/>
    <w:semiHidden/>
    <w:rsid w:val="003D0AB2"/>
    <w:rPr>
      <w:b/>
      <w:bCs/>
      <w:sz w:val="20"/>
      <w:szCs w:val="20"/>
    </w:rPr>
  </w:style>
  <w:style w:type="table" w:styleId="TableGrid">
    <w:name w:val="Table Grid"/>
    <w:basedOn w:val="TableNormal"/>
    <w:uiPriority w:val="59"/>
    <w:rsid w:val="00A9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1">
    <w:name w:val="doi1"/>
    <w:basedOn w:val="DefaultParagraphFont"/>
    <w:rsid w:val="00BB78BD"/>
    <w:rPr>
      <w:color w:val="666666"/>
    </w:rPr>
  </w:style>
  <w:style w:type="character" w:customStyle="1" w:styleId="contrib-role">
    <w:name w:val="contrib-role"/>
    <w:basedOn w:val="DefaultParagraphFont"/>
    <w:rsid w:val="00060A66"/>
  </w:style>
  <w:style w:type="character" w:styleId="Strong">
    <w:name w:val="Strong"/>
    <w:basedOn w:val="DefaultParagraphFont"/>
    <w:uiPriority w:val="22"/>
    <w:qFormat/>
    <w:rsid w:val="00060A66"/>
    <w:rPr>
      <w:b/>
      <w:bCs/>
    </w:rPr>
  </w:style>
  <w:style w:type="character" w:customStyle="1" w:styleId="Heading3Char">
    <w:name w:val="Heading 3 Char"/>
    <w:basedOn w:val="DefaultParagraphFont"/>
    <w:link w:val="Heading3"/>
    <w:uiPriority w:val="9"/>
    <w:rsid w:val="0011146B"/>
    <w:rPr>
      <w:rFonts w:ascii="Times New Roman" w:eastAsia="Times New Roman" w:hAnsi="Times New Roman" w:cs="Times New Roman"/>
      <w:b/>
      <w:bCs/>
      <w:sz w:val="27"/>
      <w:szCs w:val="27"/>
      <w:lang w:eastAsia="en-GB"/>
    </w:rPr>
  </w:style>
  <w:style w:type="character" w:customStyle="1" w:styleId="maintext1">
    <w:name w:val="maintext1"/>
    <w:basedOn w:val="DefaultParagraphFont"/>
    <w:rsid w:val="00B34FFE"/>
    <w:rPr>
      <w:rFonts w:ascii="Arial" w:hAnsi="Arial" w:cs="Arial" w:hint="default"/>
      <w:b w:val="0"/>
      <w:bCs w:val="0"/>
      <w:color w:val="3F413F"/>
      <w:sz w:val="18"/>
      <w:szCs w:val="18"/>
    </w:rPr>
  </w:style>
  <w:style w:type="paragraph" w:styleId="ListParagraph">
    <w:name w:val="List Paragraph"/>
    <w:basedOn w:val="Normal"/>
    <w:uiPriority w:val="34"/>
    <w:qFormat/>
    <w:rsid w:val="00C53F04"/>
    <w:pPr>
      <w:ind w:left="720"/>
      <w:contextualSpacing/>
    </w:pPr>
  </w:style>
  <w:style w:type="paragraph" w:styleId="PlainText">
    <w:name w:val="Plain Text"/>
    <w:basedOn w:val="Normal"/>
    <w:link w:val="PlainTextChar"/>
    <w:uiPriority w:val="99"/>
    <w:unhideWhenUsed/>
    <w:rsid w:val="004E3A09"/>
    <w:pPr>
      <w:spacing w:after="0" w:line="240" w:lineRule="auto"/>
    </w:pPr>
    <w:rPr>
      <w:rFonts w:ascii="Calibri" w:hAnsi="Calibri" w:cs="Times New Roman"/>
      <w:lang w:val="da-DK"/>
    </w:rPr>
  </w:style>
  <w:style w:type="character" w:customStyle="1" w:styleId="PlainTextChar">
    <w:name w:val="Plain Text Char"/>
    <w:basedOn w:val="DefaultParagraphFont"/>
    <w:link w:val="PlainText"/>
    <w:uiPriority w:val="99"/>
    <w:rsid w:val="004E3A09"/>
    <w:rPr>
      <w:rFonts w:ascii="Calibri" w:hAnsi="Calibri" w:cs="Times New Roman"/>
      <w:lang w:val="da-DK"/>
    </w:rPr>
  </w:style>
  <w:style w:type="character" w:customStyle="1" w:styleId="Heading1Char">
    <w:name w:val="Heading 1 Char"/>
    <w:basedOn w:val="DefaultParagraphFont"/>
    <w:link w:val="Heading1"/>
    <w:uiPriority w:val="9"/>
    <w:rsid w:val="00FC4BB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B7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694">
      <w:bodyDiv w:val="1"/>
      <w:marLeft w:val="0"/>
      <w:marRight w:val="0"/>
      <w:marTop w:val="0"/>
      <w:marBottom w:val="0"/>
      <w:divBdr>
        <w:top w:val="none" w:sz="0" w:space="0" w:color="auto"/>
        <w:left w:val="none" w:sz="0" w:space="0" w:color="auto"/>
        <w:bottom w:val="none" w:sz="0" w:space="0" w:color="auto"/>
        <w:right w:val="none" w:sz="0" w:space="0" w:color="auto"/>
      </w:divBdr>
    </w:div>
    <w:div w:id="278724893">
      <w:bodyDiv w:val="1"/>
      <w:marLeft w:val="0"/>
      <w:marRight w:val="0"/>
      <w:marTop w:val="0"/>
      <w:marBottom w:val="0"/>
      <w:divBdr>
        <w:top w:val="none" w:sz="0" w:space="0" w:color="auto"/>
        <w:left w:val="none" w:sz="0" w:space="0" w:color="auto"/>
        <w:bottom w:val="none" w:sz="0" w:space="0" w:color="auto"/>
        <w:right w:val="none" w:sz="0" w:space="0" w:color="auto"/>
      </w:divBdr>
    </w:div>
    <w:div w:id="575017897">
      <w:bodyDiv w:val="1"/>
      <w:marLeft w:val="0"/>
      <w:marRight w:val="0"/>
      <w:marTop w:val="0"/>
      <w:marBottom w:val="0"/>
      <w:divBdr>
        <w:top w:val="none" w:sz="0" w:space="0" w:color="auto"/>
        <w:left w:val="none" w:sz="0" w:space="0" w:color="auto"/>
        <w:bottom w:val="none" w:sz="0" w:space="0" w:color="auto"/>
        <w:right w:val="none" w:sz="0" w:space="0" w:color="auto"/>
      </w:divBdr>
    </w:div>
    <w:div w:id="639457665">
      <w:bodyDiv w:val="1"/>
      <w:marLeft w:val="0"/>
      <w:marRight w:val="0"/>
      <w:marTop w:val="0"/>
      <w:marBottom w:val="0"/>
      <w:divBdr>
        <w:top w:val="none" w:sz="0" w:space="0" w:color="auto"/>
        <w:left w:val="none" w:sz="0" w:space="0" w:color="auto"/>
        <w:bottom w:val="none" w:sz="0" w:space="0" w:color="auto"/>
        <w:right w:val="none" w:sz="0" w:space="0" w:color="auto"/>
      </w:divBdr>
      <w:divsChild>
        <w:div w:id="1054431369">
          <w:marLeft w:val="0"/>
          <w:marRight w:val="0"/>
          <w:marTop w:val="0"/>
          <w:marBottom w:val="0"/>
          <w:divBdr>
            <w:top w:val="single" w:sz="36" w:space="0" w:color="075290"/>
            <w:left w:val="none" w:sz="0" w:space="0" w:color="auto"/>
            <w:bottom w:val="none" w:sz="0" w:space="0" w:color="auto"/>
            <w:right w:val="none" w:sz="0" w:space="0" w:color="auto"/>
          </w:divBdr>
          <w:divsChild>
            <w:div w:id="612443801">
              <w:marLeft w:val="0"/>
              <w:marRight w:val="0"/>
              <w:marTop w:val="0"/>
              <w:marBottom w:val="0"/>
              <w:divBdr>
                <w:top w:val="none" w:sz="0" w:space="0" w:color="auto"/>
                <w:left w:val="none" w:sz="0" w:space="0" w:color="auto"/>
                <w:bottom w:val="none" w:sz="0" w:space="0" w:color="auto"/>
                <w:right w:val="none" w:sz="0" w:space="0" w:color="auto"/>
              </w:divBdr>
              <w:divsChild>
                <w:div w:id="411005764">
                  <w:marLeft w:val="0"/>
                  <w:marRight w:val="0"/>
                  <w:marTop w:val="150"/>
                  <w:marBottom w:val="0"/>
                  <w:divBdr>
                    <w:top w:val="none" w:sz="0" w:space="0" w:color="auto"/>
                    <w:left w:val="none" w:sz="0" w:space="0" w:color="auto"/>
                    <w:bottom w:val="none" w:sz="0" w:space="0" w:color="auto"/>
                    <w:right w:val="none" w:sz="0" w:space="0" w:color="auto"/>
                  </w:divBdr>
                  <w:divsChild>
                    <w:div w:id="762796245">
                      <w:marLeft w:val="-150"/>
                      <w:marRight w:val="0"/>
                      <w:marTop w:val="0"/>
                      <w:marBottom w:val="0"/>
                      <w:divBdr>
                        <w:top w:val="none" w:sz="0" w:space="0" w:color="auto"/>
                        <w:left w:val="none" w:sz="0" w:space="0" w:color="auto"/>
                        <w:bottom w:val="none" w:sz="0" w:space="0" w:color="auto"/>
                        <w:right w:val="none" w:sz="0" w:space="0" w:color="auto"/>
                      </w:divBdr>
                      <w:divsChild>
                        <w:div w:id="1699816985">
                          <w:marLeft w:val="0"/>
                          <w:marRight w:val="0"/>
                          <w:marTop w:val="0"/>
                          <w:marBottom w:val="0"/>
                          <w:divBdr>
                            <w:top w:val="none" w:sz="0" w:space="0" w:color="auto"/>
                            <w:left w:val="none" w:sz="0" w:space="0" w:color="auto"/>
                            <w:bottom w:val="none" w:sz="0" w:space="0" w:color="auto"/>
                            <w:right w:val="none" w:sz="0" w:space="0" w:color="auto"/>
                          </w:divBdr>
                          <w:divsChild>
                            <w:div w:id="1913735165">
                              <w:marLeft w:val="0"/>
                              <w:marRight w:val="0"/>
                              <w:marTop w:val="0"/>
                              <w:marBottom w:val="0"/>
                              <w:divBdr>
                                <w:top w:val="none" w:sz="0" w:space="0" w:color="auto"/>
                                <w:left w:val="none" w:sz="0" w:space="0" w:color="auto"/>
                                <w:bottom w:val="none" w:sz="0" w:space="0" w:color="auto"/>
                                <w:right w:val="none" w:sz="0" w:space="0" w:color="auto"/>
                              </w:divBdr>
                              <w:divsChild>
                                <w:div w:id="15711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6831">
      <w:bodyDiv w:val="1"/>
      <w:marLeft w:val="0"/>
      <w:marRight w:val="0"/>
      <w:marTop w:val="0"/>
      <w:marBottom w:val="0"/>
      <w:divBdr>
        <w:top w:val="none" w:sz="0" w:space="0" w:color="auto"/>
        <w:left w:val="none" w:sz="0" w:space="0" w:color="auto"/>
        <w:bottom w:val="none" w:sz="0" w:space="0" w:color="auto"/>
        <w:right w:val="none" w:sz="0" w:space="0" w:color="auto"/>
      </w:divBdr>
      <w:divsChild>
        <w:div w:id="1041634370">
          <w:marLeft w:val="0"/>
          <w:marRight w:val="0"/>
          <w:marTop w:val="0"/>
          <w:marBottom w:val="0"/>
          <w:divBdr>
            <w:top w:val="single" w:sz="36" w:space="0" w:color="075290"/>
            <w:left w:val="none" w:sz="0" w:space="0" w:color="auto"/>
            <w:bottom w:val="none" w:sz="0" w:space="0" w:color="auto"/>
            <w:right w:val="none" w:sz="0" w:space="0" w:color="auto"/>
          </w:divBdr>
          <w:divsChild>
            <w:div w:id="749355818">
              <w:marLeft w:val="0"/>
              <w:marRight w:val="0"/>
              <w:marTop w:val="0"/>
              <w:marBottom w:val="0"/>
              <w:divBdr>
                <w:top w:val="none" w:sz="0" w:space="0" w:color="auto"/>
                <w:left w:val="none" w:sz="0" w:space="0" w:color="auto"/>
                <w:bottom w:val="none" w:sz="0" w:space="0" w:color="auto"/>
                <w:right w:val="none" w:sz="0" w:space="0" w:color="auto"/>
              </w:divBdr>
              <w:divsChild>
                <w:div w:id="1269122090">
                  <w:marLeft w:val="0"/>
                  <w:marRight w:val="0"/>
                  <w:marTop w:val="150"/>
                  <w:marBottom w:val="0"/>
                  <w:divBdr>
                    <w:top w:val="none" w:sz="0" w:space="0" w:color="auto"/>
                    <w:left w:val="none" w:sz="0" w:space="0" w:color="auto"/>
                    <w:bottom w:val="none" w:sz="0" w:space="0" w:color="auto"/>
                    <w:right w:val="none" w:sz="0" w:space="0" w:color="auto"/>
                  </w:divBdr>
                  <w:divsChild>
                    <w:div w:id="273680213">
                      <w:marLeft w:val="-150"/>
                      <w:marRight w:val="0"/>
                      <w:marTop w:val="0"/>
                      <w:marBottom w:val="0"/>
                      <w:divBdr>
                        <w:top w:val="none" w:sz="0" w:space="0" w:color="auto"/>
                        <w:left w:val="none" w:sz="0" w:space="0" w:color="auto"/>
                        <w:bottom w:val="none" w:sz="0" w:space="0" w:color="auto"/>
                        <w:right w:val="none" w:sz="0" w:space="0" w:color="auto"/>
                      </w:divBdr>
                      <w:divsChild>
                        <w:div w:id="81992476">
                          <w:marLeft w:val="0"/>
                          <w:marRight w:val="0"/>
                          <w:marTop w:val="0"/>
                          <w:marBottom w:val="0"/>
                          <w:divBdr>
                            <w:top w:val="none" w:sz="0" w:space="0" w:color="auto"/>
                            <w:left w:val="none" w:sz="0" w:space="0" w:color="auto"/>
                            <w:bottom w:val="none" w:sz="0" w:space="0" w:color="auto"/>
                            <w:right w:val="none" w:sz="0" w:space="0" w:color="auto"/>
                          </w:divBdr>
                          <w:divsChild>
                            <w:div w:id="670838664">
                              <w:marLeft w:val="0"/>
                              <w:marRight w:val="0"/>
                              <w:marTop w:val="0"/>
                              <w:marBottom w:val="0"/>
                              <w:divBdr>
                                <w:top w:val="none" w:sz="0" w:space="0" w:color="auto"/>
                                <w:left w:val="none" w:sz="0" w:space="0" w:color="auto"/>
                                <w:bottom w:val="none" w:sz="0" w:space="0" w:color="auto"/>
                                <w:right w:val="none" w:sz="0" w:space="0" w:color="auto"/>
                              </w:divBdr>
                              <w:divsChild>
                                <w:div w:id="9157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85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287">
          <w:marLeft w:val="0"/>
          <w:marRight w:val="0"/>
          <w:marTop w:val="0"/>
          <w:marBottom w:val="0"/>
          <w:divBdr>
            <w:top w:val="single" w:sz="2" w:space="0" w:color="CCCCCC"/>
            <w:left w:val="single" w:sz="6" w:space="11" w:color="CCCCCC"/>
            <w:bottom w:val="single" w:sz="6" w:space="0" w:color="CCCCCC"/>
            <w:right w:val="single" w:sz="6" w:space="11" w:color="CCCCCC"/>
          </w:divBdr>
          <w:divsChild>
            <w:div w:id="638802463">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149592751">
      <w:bodyDiv w:val="1"/>
      <w:marLeft w:val="0"/>
      <w:marRight w:val="0"/>
      <w:marTop w:val="0"/>
      <w:marBottom w:val="0"/>
      <w:divBdr>
        <w:top w:val="none" w:sz="0" w:space="0" w:color="auto"/>
        <w:left w:val="none" w:sz="0" w:space="0" w:color="auto"/>
        <w:bottom w:val="none" w:sz="0" w:space="0" w:color="auto"/>
        <w:right w:val="none" w:sz="0" w:space="0" w:color="auto"/>
      </w:divBdr>
    </w:div>
    <w:div w:id="1163548201">
      <w:bodyDiv w:val="1"/>
      <w:marLeft w:val="0"/>
      <w:marRight w:val="0"/>
      <w:marTop w:val="0"/>
      <w:marBottom w:val="0"/>
      <w:divBdr>
        <w:top w:val="none" w:sz="0" w:space="0" w:color="auto"/>
        <w:left w:val="none" w:sz="0" w:space="0" w:color="auto"/>
        <w:bottom w:val="none" w:sz="0" w:space="0" w:color="auto"/>
        <w:right w:val="none" w:sz="0" w:space="0" w:color="auto"/>
      </w:divBdr>
      <w:divsChild>
        <w:div w:id="1381780901">
          <w:marLeft w:val="0"/>
          <w:marRight w:val="0"/>
          <w:marTop w:val="0"/>
          <w:marBottom w:val="0"/>
          <w:divBdr>
            <w:top w:val="none" w:sz="0" w:space="0" w:color="auto"/>
            <w:left w:val="none" w:sz="0" w:space="0" w:color="auto"/>
            <w:bottom w:val="none" w:sz="0" w:space="0" w:color="auto"/>
            <w:right w:val="none" w:sz="0" w:space="0" w:color="auto"/>
          </w:divBdr>
          <w:divsChild>
            <w:div w:id="1961375810">
              <w:marLeft w:val="0"/>
              <w:marRight w:val="0"/>
              <w:marTop w:val="0"/>
              <w:marBottom w:val="0"/>
              <w:divBdr>
                <w:top w:val="none" w:sz="0" w:space="0" w:color="auto"/>
                <w:left w:val="none" w:sz="0" w:space="0" w:color="auto"/>
                <w:bottom w:val="none" w:sz="0" w:space="0" w:color="auto"/>
                <w:right w:val="none" w:sz="0" w:space="0" w:color="auto"/>
              </w:divBdr>
              <w:divsChild>
                <w:div w:id="1475180729">
                  <w:marLeft w:val="0"/>
                  <w:marRight w:val="0"/>
                  <w:marTop w:val="0"/>
                  <w:marBottom w:val="0"/>
                  <w:divBdr>
                    <w:top w:val="none" w:sz="0" w:space="0" w:color="auto"/>
                    <w:left w:val="none" w:sz="0" w:space="0" w:color="auto"/>
                    <w:bottom w:val="none" w:sz="0" w:space="0" w:color="auto"/>
                    <w:right w:val="none" w:sz="0" w:space="0" w:color="auto"/>
                  </w:divBdr>
                  <w:divsChild>
                    <w:div w:id="662389200">
                      <w:marLeft w:val="0"/>
                      <w:marRight w:val="0"/>
                      <w:marTop w:val="0"/>
                      <w:marBottom w:val="0"/>
                      <w:divBdr>
                        <w:top w:val="none" w:sz="0" w:space="0" w:color="auto"/>
                        <w:left w:val="none" w:sz="0" w:space="0" w:color="auto"/>
                        <w:bottom w:val="none" w:sz="0" w:space="0" w:color="auto"/>
                        <w:right w:val="none" w:sz="0" w:space="0" w:color="auto"/>
                      </w:divBdr>
                      <w:divsChild>
                        <w:div w:id="1372144906">
                          <w:marLeft w:val="0"/>
                          <w:marRight w:val="0"/>
                          <w:marTop w:val="0"/>
                          <w:marBottom w:val="0"/>
                          <w:divBdr>
                            <w:top w:val="none" w:sz="0" w:space="0" w:color="auto"/>
                            <w:left w:val="none" w:sz="0" w:space="0" w:color="auto"/>
                            <w:bottom w:val="none" w:sz="0" w:space="0" w:color="auto"/>
                            <w:right w:val="none" w:sz="0" w:space="0" w:color="auto"/>
                          </w:divBdr>
                          <w:divsChild>
                            <w:div w:id="328411164">
                              <w:marLeft w:val="0"/>
                              <w:marRight w:val="0"/>
                              <w:marTop w:val="0"/>
                              <w:marBottom w:val="0"/>
                              <w:divBdr>
                                <w:top w:val="none" w:sz="0" w:space="0" w:color="auto"/>
                                <w:left w:val="none" w:sz="0" w:space="0" w:color="auto"/>
                                <w:bottom w:val="none" w:sz="0" w:space="0" w:color="auto"/>
                                <w:right w:val="none" w:sz="0" w:space="0" w:color="auto"/>
                              </w:divBdr>
                              <w:divsChild>
                                <w:div w:id="1056319928">
                                  <w:marLeft w:val="0"/>
                                  <w:marRight w:val="0"/>
                                  <w:marTop w:val="0"/>
                                  <w:marBottom w:val="0"/>
                                  <w:divBdr>
                                    <w:top w:val="none" w:sz="0" w:space="0" w:color="auto"/>
                                    <w:left w:val="none" w:sz="0" w:space="0" w:color="auto"/>
                                    <w:bottom w:val="none" w:sz="0" w:space="0" w:color="auto"/>
                                    <w:right w:val="none" w:sz="0" w:space="0" w:color="auto"/>
                                  </w:divBdr>
                                  <w:divsChild>
                                    <w:div w:id="1701782786">
                                      <w:marLeft w:val="0"/>
                                      <w:marRight w:val="0"/>
                                      <w:marTop w:val="0"/>
                                      <w:marBottom w:val="0"/>
                                      <w:divBdr>
                                        <w:top w:val="none" w:sz="0" w:space="0" w:color="auto"/>
                                        <w:left w:val="none" w:sz="0" w:space="0" w:color="auto"/>
                                        <w:bottom w:val="none" w:sz="0" w:space="0" w:color="auto"/>
                                        <w:right w:val="none" w:sz="0" w:space="0" w:color="auto"/>
                                      </w:divBdr>
                                      <w:divsChild>
                                        <w:div w:id="111751044">
                                          <w:marLeft w:val="0"/>
                                          <w:marRight w:val="0"/>
                                          <w:marTop w:val="0"/>
                                          <w:marBottom w:val="0"/>
                                          <w:divBdr>
                                            <w:top w:val="none" w:sz="0" w:space="0" w:color="auto"/>
                                            <w:left w:val="none" w:sz="0" w:space="0" w:color="auto"/>
                                            <w:bottom w:val="none" w:sz="0" w:space="0" w:color="auto"/>
                                            <w:right w:val="none" w:sz="0" w:space="0" w:color="auto"/>
                                          </w:divBdr>
                                          <w:divsChild>
                                            <w:div w:id="276909598">
                                              <w:marLeft w:val="0"/>
                                              <w:marRight w:val="0"/>
                                              <w:marTop w:val="0"/>
                                              <w:marBottom w:val="0"/>
                                              <w:divBdr>
                                                <w:top w:val="none" w:sz="0" w:space="0" w:color="auto"/>
                                                <w:left w:val="none" w:sz="0" w:space="0" w:color="auto"/>
                                                <w:bottom w:val="none" w:sz="0" w:space="0" w:color="auto"/>
                                                <w:right w:val="none" w:sz="0" w:space="0" w:color="auto"/>
                                              </w:divBdr>
                                              <w:divsChild>
                                                <w:div w:id="1984499653">
                                                  <w:marLeft w:val="0"/>
                                                  <w:marRight w:val="0"/>
                                                  <w:marTop w:val="0"/>
                                                  <w:marBottom w:val="0"/>
                                                  <w:divBdr>
                                                    <w:top w:val="none" w:sz="0" w:space="0" w:color="auto"/>
                                                    <w:left w:val="none" w:sz="0" w:space="0" w:color="auto"/>
                                                    <w:bottom w:val="none" w:sz="0" w:space="0" w:color="auto"/>
                                                    <w:right w:val="none" w:sz="0" w:space="0" w:color="auto"/>
                                                  </w:divBdr>
                                                  <w:divsChild>
                                                    <w:div w:id="984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232950">
      <w:bodyDiv w:val="1"/>
      <w:marLeft w:val="0"/>
      <w:marRight w:val="0"/>
      <w:marTop w:val="0"/>
      <w:marBottom w:val="0"/>
      <w:divBdr>
        <w:top w:val="none" w:sz="0" w:space="0" w:color="auto"/>
        <w:left w:val="none" w:sz="0" w:space="0" w:color="auto"/>
        <w:bottom w:val="none" w:sz="0" w:space="0" w:color="auto"/>
        <w:right w:val="none" w:sz="0" w:space="0" w:color="auto"/>
      </w:divBdr>
    </w:div>
    <w:div w:id="1285574162">
      <w:bodyDiv w:val="1"/>
      <w:marLeft w:val="0"/>
      <w:marRight w:val="0"/>
      <w:marTop w:val="0"/>
      <w:marBottom w:val="0"/>
      <w:divBdr>
        <w:top w:val="none" w:sz="0" w:space="0" w:color="auto"/>
        <w:left w:val="none" w:sz="0" w:space="0" w:color="auto"/>
        <w:bottom w:val="none" w:sz="0" w:space="0" w:color="auto"/>
        <w:right w:val="none" w:sz="0" w:space="0" w:color="auto"/>
      </w:divBdr>
      <w:divsChild>
        <w:div w:id="1137912340">
          <w:marLeft w:val="0"/>
          <w:marRight w:val="1"/>
          <w:marTop w:val="0"/>
          <w:marBottom w:val="0"/>
          <w:divBdr>
            <w:top w:val="none" w:sz="0" w:space="0" w:color="auto"/>
            <w:left w:val="none" w:sz="0" w:space="0" w:color="auto"/>
            <w:bottom w:val="none" w:sz="0" w:space="0" w:color="auto"/>
            <w:right w:val="none" w:sz="0" w:space="0" w:color="auto"/>
          </w:divBdr>
          <w:divsChild>
            <w:div w:id="501237877">
              <w:marLeft w:val="0"/>
              <w:marRight w:val="0"/>
              <w:marTop w:val="0"/>
              <w:marBottom w:val="0"/>
              <w:divBdr>
                <w:top w:val="none" w:sz="0" w:space="0" w:color="auto"/>
                <w:left w:val="none" w:sz="0" w:space="0" w:color="auto"/>
                <w:bottom w:val="none" w:sz="0" w:space="0" w:color="auto"/>
                <w:right w:val="none" w:sz="0" w:space="0" w:color="auto"/>
              </w:divBdr>
              <w:divsChild>
                <w:div w:id="1093278512">
                  <w:marLeft w:val="0"/>
                  <w:marRight w:val="1"/>
                  <w:marTop w:val="0"/>
                  <w:marBottom w:val="0"/>
                  <w:divBdr>
                    <w:top w:val="none" w:sz="0" w:space="0" w:color="auto"/>
                    <w:left w:val="none" w:sz="0" w:space="0" w:color="auto"/>
                    <w:bottom w:val="none" w:sz="0" w:space="0" w:color="auto"/>
                    <w:right w:val="none" w:sz="0" w:space="0" w:color="auto"/>
                  </w:divBdr>
                  <w:divsChild>
                    <w:div w:id="2128773084">
                      <w:marLeft w:val="0"/>
                      <w:marRight w:val="0"/>
                      <w:marTop w:val="0"/>
                      <w:marBottom w:val="0"/>
                      <w:divBdr>
                        <w:top w:val="none" w:sz="0" w:space="0" w:color="auto"/>
                        <w:left w:val="none" w:sz="0" w:space="0" w:color="auto"/>
                        <w:bottom w:val="none" w:sz="0" w:space="0" w:color="auto"/>
                        <w:right w:val="none" w:sz="0" w:space="0" w:color="auto"/>
                      </w:divBdr>
                      <w:divsChild>
                        <w:div w:id="1908299298">
                          <w:marLeft w:val="0"/>
                          <w:marRight w:val="0"/>
                          <w:marTop w:val="0"/>
                          <w:marBottom w:val="0"/>
                          <w:divBdr>
                            <w:top w:val="none" w:sz="0" w:space="0" w:color="auto"/>
                            <w:left w:val="none" w:sz="0" w:space="0" w:color="auto"/>
                            <w:bottom w:val="none" w:sz="0" w:space="0" w:color="auto"/>
                            <w:right w:val="none" w:sz="0" w:space="0" w:color="auto"/>
                          </w:divBdr>
                          <w:divsChild>
                            <w:div w:id="466817552">
                              <w:marLeft w:val="0"/>
                              <w:marRight w:val="0"/>
                              <w:marTop w:val="120"/>
                              <w:marBottom w:val="360"/>
                              <w:divBdr>
                                <w:top w:val="none" w:sz="0" w:space="0" w:color="auto"/>
                                <w:left w:val="none" w:sz="0" w:space="0" w:color="auto"/>
                                <w:bottom w:val="none" w:sz="0" w:space="0" w:color="auto"/>
                                <w:right w:val="none" w:sz="0" w:space="0" w:color="auto"/>
                              </w:divBdr>
                              <w:divsChild>
                                <w:div w:id="1875071158">
                                  <w:marLeft w:val="0"/>
                                  <w:marRight w:val="0"/>
                                  <w:marTop w:val="0"/>
                                  <w:marBottom w:val="0"/>
                                  <w:divBdr>
                                    <w:top w:val="none" w:sz="0" w:space="0" w:color="auto"/>
                                    <w:left w:val="none" w:sz="0" w:space="0" w:color="auto"/>
                                    <w:bottom w:val="none" w:sz="0" w:space="0" w:color="auto"/>
                                    <w:right w:val="none" w:sz="0" w:space="0" w:color="auto"/>
                                  </w:divBdr>
                                </w:div>
                                <w:div w:id="2121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63531">
      <w:bodyDiv w:val="1"/>
      <w:marLeft w:val="0"/>
      <w:marRight w:val="0"/>
      <w:marTop w:val="0"/>
      <w:marBottom w:val="0"/>
      <w:divBdr>
        <w:top w:val="none" w:sz="0" w:space="0" w:color="auto"/>
        <w:left w:val="none" w:sz="0" w:space="0" w:color="auto"/>
        <w:bottom w:val="none" w:sz="0" w:space="0" w:color="auto"/>
        <w:right w:val="none" w:sz="0" w:space="0" w:color="auto"/>
      </w:divBdr>
      <w:divsChild>
        <w:div w:id="1164008813">
          <w:marLeft w:val="0"/>
          <w:marRight w:val="0"/>
          <w:marTop w:val="0"/>
          <w:marBottom w:val="0"/>
          <w:divBdr>
            <w:top w:val="none" w:sz="0" w:space="0" w:color="auto"/>
            <w:left w:val="none" w:sz="0" w:space="0" w:color="auto"/>
            <w:bottom w:val="none" w:sz="0" w:space="0" w:color="auto"/>
            <w:right w:val="none" w:sz="0" w:space="0" w:color="auto"/>
          </w:divBdr>
          <w:divsChild>
            <w:div w:id="2003776868">
              <w:marLeft w:val="0"/>
              <w:marRight w:val="0"/>
              <w:marTop w:val="0"/>
              <w:marBottom w:val="0"/>
              <w:divBdr>
                <w:top w:val="none" w:sz="0" w:space="0" w:color="auto"/>
                <w:left w:val="none" w:sz="0" w:space="0" w:color="auto"/>
                <w:bottom w:val="none" w:sz="0" w:space="0" w:color="auto"/>
                <w:right w:val="none" w:sz="0" w:space="0" w:color="auto"/>
              </w:divBdr>
              <w:divsChild>
                <w:div w:id="1202209109">
                  <w:marLeft w:val="0"/>
                  <w:marRight w:val="0"/>
                  <w:marTop w:val="0"/>
                  <w:marBottom w:val="0"/>
                  <w:divBdr>
                    <w:top w:val="none" w:sz="0" w:space="0" w:color="auto"/>
                    <w:left w:val="none" w:sz="0" w:space="0" w:color="auto"/>
                    <w:bottom w:val="none" w:sz="0" w:space="0" w:color="auto"/>
                    <w:right w:val="none" w:sz="0" w:space="0" w:color="auto"/>
                  </w:divBdr>
                  <w:divsChild>
                    <w:div w:id="1254121387">
                      <w:marLeft w:val="0"/>
                      <w:marRight w:val="0"/>
                      <w:marTop w:val="0"/>
                      <w:marBottom w:val="0"/>
                      <w:divBdr>
                        <w:top w:val="none" w:sz="0" w:space="0" w:color="auto"/>
                        <w:left w:val="none" w:sz="0" w:space="0" w:color="auto"/>
                        <w:bottom w:val="none" w:sz="0" w:space="0" w:color="auto"/>
                        <w:right w:val="none" w:sz="0" w:space="0" w:color="auto"/>
                      </w:divBdr>
                      <w:divsChild>
                        <w:div w:id="712774556">
                          <w:marLeft w:val="150"/>
                          <w:marRight w:val="0"/>
                          <w:marTop w:val="150"/>
                          <w:marBottom w:val="150"/>
                          <w:divBdr>
                            <w:top w:val="none" w:sz="0" w:space="0" w:color="auto"/>
                            <w:left w:val="none" w:sz="0" w:space="0" w:color="auto"/>
                            <w:bottom w:val="none" w:sz="0" w:space="0" w:color="auto"/>
                            <w:right w:val="none" w:sz="0" w:space="0" w:color="auto"/>
                          </w:divBdr>
                          <w:divsChild>
                            <w:div w:id="1786197944">
                              <w:marLeft w:val="0"/>
                              <w:marRight w:val="0"/>
                              <w:marTop w:val="0"/>
                              <w:marBottom w:val="0"/>
                              <w:divBdr>
                                <w:top w:val="none" w:sz="0" w:space="0" w:color="auto"/>
                                <w:left w:val="none" w:sz="0" w:space="0" w:color="auto"/>
                                <w:bottom w:val="none" w:sz="0" w:space="0" w:color="auto"/>
                                <w:right w:val="none" w:sz="0" w:space="0" w:color="auto"/>
                              </w:divBdr>
                              <w:divsChild>
                                <w:div w:id="798956172">
                                  <w:marLeft w:val="0"/>
                                  <w:marRight w:val="0"/>
                                  <w:marTop w:val="168"/>
                                  <w:marBottom w:val="150"/>
                                  <w:divBdr>
                                    <w:top w:val="none" w:sz="0" w:space="0" w:color="auto"/>
                                    <w:left w:val="none" w:sz="0" w:space="0" w:color="auto"/>
                                    <w:bottom w:val="dotted" w:sz="6" w:space="0" w:color="CCCCCC"/>
                                    <w:right w:val="none" w:sz="0" w:space="0" w:color="auto"/>
                                  </w:divBdr>
                                  <w:divsChild>
                                    <w:div w:id="3426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40771">
      <w:bodyDiv w:val="1"/>
      <w:marLeft w:val="0"/>
      <w:marRight w:val="0"/>
      <w:marTop w:val="0"/>
      <w:marBottom w:val="0"/>
      <w:divBdr>
        <w:top w:val="none" w:sz="0" w:space="0" w:color="auto"/>
        <w:left w:val="none" w:sz="0" w:space="0" w:color="auto"/>
        <w:bottom w:val="none" w:sz="0" w:space="0" w:color="auto"/>
        <w:right w:val="none" w:sz="0" w:space="0" w:color="auto"/>
      </w:divBdr>
    </w:div>
    <w:div w:id="1546718106">
      <w:bodyDiv w:val="1"/>
      <w:marLeft w:val="0"/>
      <w:marRight w:val="0"/>
      <w:marTop w:val="0"/>
      <w:marBottom w:val="0"/>
      <w:divBdr>
        <w:top w:val="none" w:sz="0" w:space="0" w:color="auto"/>
        <w:left w:val="none" w:sz="0" w:space="0" w:color="auto"/>
        <w:bottom w:val="none" w:sz="0" w:space="0" w:color="auto"/>
        <w:right w:val="none" w:sz="0" w:space="0" w:color="auto"/>
      </w:divBdr>
    </w:div>
    <w:div w:id="1762218343">
      <w:bodyDiv w:val="1"/>
      <w:marLeft w:val="0"/>
      <w:marRight w:val="0"/>
      <w:marTop w:val="0"/>
      <w:marBottom w:val="0"/>
      <w:divBdr>
        <w:top w:val="none" w:sz="0" w:space="0" w:color="auto"/>
        <w:left w:val="none" w:sz="0" w:space="0" w:color="auto"/>
        <w:bottom w:val="none" w:sz="0" w:space="0" w:color="auto"/>
        <w:right w:val="none" w:sz="0" w:space="0" w:color="auto"/>
      </w:divBdr>
    </w:div>
    <w:div w:id="2000645095">
      <w:bodyDiv w:val="1"/>
      <w:marLeft w:val="0"/>
      <w:marRight w:val="0"/>
      <w:marTop w:val="0"/>
      <w:marBottom w:val="0"/>
      <w:divBdr>
        <w:top w:val="none" w:sz="0" w:space="0" w:color="auto"/>
        <w:left w:val="none" w:sz="0" w:space="0" w:color="auto"/>
        <w:bottom w:val="none" w:sz="0" w:space="0" w:color="auto"/>
        <w:right w:val="none" w:sz="0" w:space="0" w:color="auto"/>
      </w:divBdr>
      <w:divsChild>
        <w:div w:id="592015204">
          <w:marLeft w:val="0"/>
          <w:marRight w:val="0"/>
          <w:marTop w:val="0"/>
          <w:marBottom w:val="0"/>
          <w:divBdr>
            <w:top w:val="none" w:sz="0" w:space="0" w:color="auto"/>
            <w:left w:val="none" w:sz="0" w:space="0" w:color="auto"/>
            <w:bottom w:val="none" w:sz="0" w:space="0" w:color="auto"/>
            <w:right w:val="none" w:sz="0" w:space="0" w:color="auto"/>
          </w:divBdr>
          <w:divsChild>
            <w:div w:id="1259408699">
              <w:marLeft w:val="0"/>
              <w:marRight w:val="0"/>
              <w:marTop w:val="0"/>
              <w:marBottom w:val="0"/>
              <w:divBdr>
                <w:top w:val="none" w:sz="0" w:space="0" w:color="auto"/>
                <w:left w:val="none" w:sz="0" w:space="0" w:color="auto"/>
                <w:bottom w:val="none" w:sz="0" w:space="0" w:color="auto"/>
                <w:right w:val="none" w:sz="0" w:space="0" w:color="auto"/>
              </w:divBdr>
              <w:divsChild>
                <w:div w:id="1218779580">
                  <w:marLeft w:val="0"/>
                  <w:marRight w:val="0"/>
                  <w:marTop w:val="0"/>
                  <w:marBottom w:val="0"/>
                  <w:divBdr>
                    <w:top w:val="none" w:sz="0" w:space="0" w:color="auto"/>
                    <w:left w:val="none" w:sz="0" w:space="0" w:color="auto"/>
                    <w:bottom w:val="none" w:sz="0" w:space="0" w:color="auto"/>
                    <w:right w:val="none" w:sz="0" w:space="0" w:color="auto"/>
                  </w:divBdr>
                  <w:divsChild>
                    <w:div w:id="461730529">
                      <w:marLeft w:val="0"/>
                      <w:marRight w:val="0"/>
                      <w:marTop w:val="0"/>
                      <w:marBottom w:val="0"/>
                      <w:divBdr>
                        <w:top w:val="none" w:sz="0" w:space="0" w:color="auto"/>
                        <w:left w:val="none" w:sz="0" w:space="0" w:color="auto"/>
                        <w:bottom w:val="none" w:sz="0" w:space="0" w:color="auto"/>
                        <w:right w:val="none" w:sz="0" w:space="0" w:color="auto"/>
                      </w:divBdr>
                      <w:divsChild>
                        <w:div w:id="878934522">
                          <w:marLeft w:val="0"/>
                          <w:marRight w:val="0"/>
                          <w:marTop w:val="0"/>
                          <w:marBottom w:val="0"/>
                          <w:divBdr>
                            <w:top w:val="none" w:sz="0" w:space="0" w:color="auto"/>
                            <w:left w:val="none" w:sz="0" w:space="0" w:color="auto"/>
                            <w:bottom w:val="none" w:sz="0" w:space="0" w:color="auto"/>
                            <w:right w:val="none" w:sz="0" w:space="0" w:color="auto"/>
                          </w:divBdr>
                          <w:divsChild>
                            <w:div w:id="1503280017">
                              <w:marLeft w:val="0"/>
                              <w:marRight w:val="0"/>
                              <w:marTop w:val="0"/>
                              <w:marBottom w:val="0"/>
                              <w:divBdr>
                                <w:top w:val="none" w:sz="0" w:space="0" w:color="auto"/>
                                <w:left w:val="none" w:sz="0" w:space="0" w:color="auto"/>
                                <w:bottom w:val="none" w:sz="0" w:space="0" w:color="auto"/>
                                <w:right w:val="none" w:sz="0" w:space="0" w:color="auto"/>
                              </w:divBdr>
                              <w:divsChild>
                                <w:div w:id="341401102">
                                  <w:marLeft w:val="0"/>
                                  <w:marRight w:val="0"/>
                                  <w:marTop w:val="0"/>
                                  <w:marBottom w:val="0"/>
                                  <w:divBdr>
                                    <w:top w:val="none" w:sz="0" w:space="0" w:color="auto"/>
                                    <w:left w:val="none" w:sz="0" w:space="0" w:color="auto"/>
                                    <w:bottom w:val="none" w:sz="0" w:space="0" w:color="auto"/>
                                    <w:right w:val="none" w:sz="0" w:space="0" w:color="auto"/>
                                  </w:divBdr>
                                  <w:divsChild>
                                    <w:div w:id="1034891765">
                                      <w:marLeft w:val="0"/>
                                      <w:marRight w:val="0"/>
                                      <w:marTop w:val="0"/>
                                      <w:marBottom w:val="0"/>
                                      <w:divBdr>
                                        <w:top w:val="none" w:sz="0" w:space="0" w:color="auto"/>
                                        <w:left w:val="none" w:sz="0" w:space="0" w:color="auto"/>
                                        <w:bottom w:val="none" w:sz="0" w:space="0" w:color="auto"/>
                                        <w:right w:val="none" w:sz="0" w:space="0" w:color="auto"/>
                                      </w:divBdr>
                                      <w:divsChild>
                                        <w:div w:id="2098404392">
                                          <w:marLeft w:val="0"/>
                                          <w:marRight w:val="0"/>
                                          <w:marTop w:val="0"/>
                                          <w:marBottom w:val="0"/>
                                          <w:divBdr>
                                            <w:top w:val="none" w:sz="0" w:space="0" w:color="auto"/>
                                            <w:left w:val="none" w:sz="0" w:space="0" w:color="auto"/>
                                            <w:bottom w:val="none" w:sz="0" w:space="0" w:color="auto"/>
                                            <w:right w:val="none" w:sz="0" w:space="0" w:color="auto"/>
                                          </w:divBdr>
                                          <w:divsChild>
                                            <w:div w:id="1075935380">
                                              <w:marLeft w:val="0"/>
                                              <w:marRight w:val="0"/>
                                              <w:marTop w:val="0"/>
                                              <w:marBottom w:val="0"/>
                                              <w:divBdr>
                                                <w:top w:val="none" w:sz="0" w:space="0" w:color="auto"/>
                                                <w:left w:val="none" w:sz="0" w:space="0" w:color="auto"/>
                                                <w:bottom w:val="none" w:sz="0" w:space="0" w:color="auto"/>
                                                <w:right w:val="none" w:sz="0" w:space="0" w:color="auto"/>
                                              </w:divBdr>
                                              <w:divsChild>
                                                <w:div w:id="1626084448">
                                                  <w:marLeft w:val="0"/>
                                                  <w:marRight w:val="0"/>
                                                  <w:marTop w:val="0"/>
                                                  <w:marBottom w:val="0"/>
                                                  <w:divBdr>
                                                    <w:top w:val="none" w:sz="0" w:space="0" w:color="auto"/>
                                                    <w:left w:val="none" w:sz="0" w:space="0" w:color="auto"/>
                                                    <w:bottom w:val="none" w:sz="0" w:space="0" w:color="auto"/>
                                                    <w:right w:val="none" w:sz="0" w:space="0" w:color="auto"/>
                                                  </w:divBdr>
                                                  <w:divsChild>
                                                    <w:div w:id="4394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at-network.eu/" TargetMode="External"/><Relationship Id="rId13" Type="http://schemas.openxmlformats.org/officeDocument/2006/relationships/hyperlink" Target="http://dx.doi.org/10.15585/mmwr.mm6509e2"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j.k.morris@qmul.ac.uk" TargetMode="External"/><Relationship Id="rId12" Type="http://schemas.openxmlformats.org/officeDocument/2006/relationships/hyperlink" Target="http://www.eurocat-network.eu/aboutus/datacollection/guidelinesforregistration/guide1_4%20accessed%2013%20May%20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585/mmwr.mm6503e2" TargetMode="External"/><Relationship Id="rId5" Type="http://schemas.openxmlformats.org/officeDocument/2006/relationships/settings" Target="settings.xml"/><Relationship Id="rId15" Type="http://schemas.openxmlformats.org/officeDocument/2006/relationships/hyperlink" Target="http://www.who.int/csr/resources/publications/zika/assessment-infants/en/" TargetMode="External"/><Relationship Id="rId10" Type="http://schemas.openxmlformats.org/officeDocument/2006/relationships/hyperlink" Target="mailto:JRC-EUROCAT@ec.europa.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urocat-network.eu/" TargetMode="External"/><Relationship Id="rId14" Type="http://schemas.openxmlformats.org/officeDocument/2006/relationships/hyperlink" Target="http://dx.doi.org/10.2471/BLT.16.172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EC58-A22A-43A4-B570-A6D46906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4875</Words>
  <Characters>27789</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Discussion</vt:lpstr>
    </vt:vector>
  </TitlesOfParts>
  <Company>Microsoft</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jkmorris</dc:creator>
  <cp:lastModifiedBy>jkmorris</cp:lastModifiedBy>
  <cp:revision>5</cp:revision>
  <cp:lastPrinted>2016-08-24T09:19:00Z</cp:lastPrinted>
  <dcterms:created xsi:type="dcterms:W3CDTF">2016-08-26T08:45:00Z</dcterms:created>
  <dcterms:modified xsi:type="dcterms:W3CDTF">2016-08-26T10:10:00Z</dcterms:modified>
</cp:coreProperties>
</file>