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EA" w:rsidRPr="00380B5A" w:rsidRDefault="00772707" w:rsidP="00763634">
      <w:pPr>
        <w:spacing w:line="480" w:lineRule="auto"/>
        <w:jc w:val="center"/>
        <w:rPr>
          <w:rFonts w:ascii="Times New Roman" w:hAnsi="Times New Roman" w:cs="Times New Roman"/>
          <w:sz w:val="32"/>
          <w:szCs w:val="32"/>
        </w:rPr>
      </w:pPr>
      <w:bookmarkStart w:id="0" w:name="_GoBack"/>
      <w:bookmarkEnd w:id="0"/>
      <w:r w:rsidRPr="00380B5A">
        <w:rPr>
          <w:rFonts w:ascii="Times New Roman" w:hAnsi="Times New Roman" w:cs="Times New Roman"/>
          <w:sz w:val="32"/>
          <w:szCs w:val="32"/>
        </w:rPr>
        <w:t>Introduction</w:t>
      </w:r>
    </w:p>
    <w:p w:rsidR="00D82FB2" w:rsidRPr="00380B5A" w:rsidRDefault="00D82FB2" w:rsidP="00763634">
      <w:pPr>
        <w:spacing w:line="480" w:lineRule="auto"/>
        <w:jc w:val="center"/>
        <w:rPr>
          <w:rFonts w:ascii="Times New Roman" w:hAnsi="Times New Roman" w:cs="Times New Roman"/>
          <w:sz w:val="32"/>
          <w:szCs w:val="32"/>
        </w:rPr>
      </w:pPr>
      <w:r w:rsidRPr="00380B5A">
        <w:rPr>
          <w:rFonts w:ascii="Times New Roman" w:hAnsi="Times New Roman" w:cs="Times New Roman"/>
          <w:sz w:val="32"/>
          <w:szCs w:val="32"/>
        </w:rPr>
        <w:t>P</w:t>
      </w:r>
      <w:r w:rsidR="00380B5A" w:rsidRPr="00380B5A">
        <w:rPr>
          <w:rFonts w:ascii="Times New Roman" w:hAnsi="Times New Roman" w:cs="Times New Roman"/>
          <w:sz w:val="32"/>
          <w:szCs w:val="32"/>
        </w:rPr>
        <w:t xml:space="preserve">hilip Major </w:t>
      </w:r>
    </w:p>
    <w:p w:rsidR="00C2458A" w:rsidRDefault="00C2458A" w:rsidP="00763634">
      <w:pPr>
        <w:spacing w:line="480" w:lineRule="auto"/>
        <w:jc w:val="center"/>
        <w:rPr>
          <w:rFonts w:ascii="Times New Roman" w:hAnsi="Times New Roman" w:cs="Times New Roman"/>
          <w:sz w:val="24"/>
          <w:szCs w:val="24"/>
        </w:rPr>
      </w:pPr>
    </w:p>
    <w:p w:rsidR="008F5B3E" w:rsidRDefault="008F5B3E" w:rsidP="00763634">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p w:rsidR="00C64FFB" w:rsidRDefault="007B7C5E" w:rsidP="00763634">
      <w:pPr>
        <w:spacing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There is little </w:t>
      </w:r>
      <w:r w:rsidR="0048717F">
        <w:rPr>
          <w:rFonts w:ascii="Times New Roman" w:hAnsi="Times New Roman" w:cs="Times New Roman"/>
          <w:sz w:val="24"/>
          <w:szCs w:val="24"/>
        </w:rPr>
        <w:t xml:space="preserve">question </w:t>
      </w:r>
      <w:r>
        <w:rPr>
          <w:rFonts w:ascii="Times New Roman" w:hAnsi="Times New Roman" w:cs="Times New Roman"/>
          <w:sz w:val="24"/>
          <w:szCs w:val="24"/>
        </w:rPr>
        <w:t xml:space="preserve">that Thomas Fairfax </w:t>
      </w:r>
      <w:r w:rsidR="00504D02">
        <w:rPr>
          <w:rFonts w:ascii="Times New Roman" w:hAnsi="Times New Roman" w:cs="Times New Roman"/>
          <w:sz w:val="24"/>
          <w:szCs w:val="24"/>
        </w:rPr>
        <w:t xml:space="preserve">made </w:t>
      </w:r>
      <w:r w:rsidR="006F0291">
        <w:rPr>
          <w:rFonts w:ascii="Times New Roman" w:hAnsi="Times New Roman" w:cs="Times New Roman"/>
          <w:sz w:val="24"/>
          <w:szCs w:val="24"/>
        </w:rPr>
        <w:t>a</w:t>
      </w:r>
      <w:r w:rsidR="007714FA">
        <w:rPr>
          <w:rFonts w:ascii="Times New Roman" w:hAnsi="Times New Roman" w:cs="Times New Roman"/>
          <w:sz w:val="24"/>
          <w:szCs w:val="24"/>
        </w:rPr>
        <w:t xml:space="preserve"> </w:t>
      </w:r>
      <w:r w:rsidR="008A7E63">
        <w:rPr>
          <w:rFonts w:ascii="Times New Roman" w:hAnsi="Times New Roman" w:cs="Times New Roman"/>
          <w:sz w:val="24"/>
          <w:szCs w:val="24"/>
        </w:rPr>
        <w:t xml:space="preserve">substantial </w:t>
      </w:r>
      <w:r w:rsidR="006F0291">
        <w:rPr>
          <w:rFonts w:ascii="Times New Roman" w:hAnsi="Times New Roman" w:cs="Times New Roman"/>
          <w:sz w:val="24"/>
          <w:szCs w:val="24"/>
        </w:rPr>
        <w:t xml:space="preserve">contribution to </w:t>
      </w:r>
      <w:r w:rsidR="005B77A1">
        <w:rPr>
          <w:rFonts w:ascii="Times New Roman" w:hAnsi="Times New Roman" w:cs="Times New Roman"/>
          <w:sz w:val="24"/>
          <w:szCs w:val="24"/>
        </w:rPr>
        <w:t xml:space="preserve">a </w:t>
      </w:r>
      <w:r w:rsidR="007714FA">
        <w:rPr>
          <w:rFonts w:ascii="Times New Roman" w:hAnsi="Times New Roman" w:cs="Times New Roman"/>
          <w:sz w:val="24"/>
          <w:szCs w:val="24"/>
        </w:rPr>
        <w:t xml:space="preserve">momentous </w:t>
      </w:r>
      <w:r w:rsidR="006F0291">
        <w:rPr>
          <w:rFonts w:ascii="Times New Roman" w:hAnsi="Times New Roman" w:cs="Times New Roman"/>
          <w:sz w:val="24"/>
          <w:szCs w:val="24"/>
        </w:rPr>
        <w:t xml:space="preserve">period in </w:t>
      </w:r>
      <w:r w:rsidR="009D66EC">
        <w:rPr>
          <w:rFonts w:ascii="Times New Roman" w:hAnsi="Times New Roman" w:cs="Times New Roman"/>
          <w:sz w:val="24"/>
          <w:szCs w:val="24"/>
        </w:rPr>
        <w:t>the nation’s history</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Captain-General of the New Model Army </w:t>
      </w:r>
      <w:r w:rsidR="00D53C51">
        <w:rPr>
          <w:rFonts w:ascii="Times New Roman" w:eastAsia="Times New Roman" w:hAnsi="Times New Roman" w:cs="Times New Roman"/>
          <w:sz w:val="24"/>
          <w:szCs w:val="24"/>
          <w:lang w:eastAsia="en-GB"/>
        </w:rPr>
        <w:t xml:space="preserve">he had </w:t>
      </w:r>
      <w:r w:rsidR="00650324">
        <w:rPr>
          <w:rFonts w:ascii="Times New Roman" w:eastAsia="Times New Roman" w:hAnsi="Times New Roman" w:cs="Times New Roman"/>
          <w:sz w:val="24"/>
          <w:szCs w:val="24"/>
          <w:lang w:eastAsia="en-GB"/>
        </w:rPr>
        <w:t xml:space="preserve">(with </w:t>
      </w:r>
      <w:r w:rsidR="005A6DCE">
        <w:rPr>
          <w:rFonts w:ascii="Times New Roman" w:eastAsia="Times New Roman" w:hAnsi="Times New Roman" w:cs="Times New Roman"/>
          <w:sz w:val="24"/>
          <w:szCs w:val="24"/>
          <w:lang w:eastAsia="en-GB"/>
        </w:rPr>
        <w:t xml:space="preserve">assistance from </w:t>
      </w:r>
      <w:r w:rsidR="00650324">
        <w:rPr>
          <w:rFonts w:ascii="Times New Roman" w:eastAsia="Times New Roman" w:hAnsi="Times New Roman" w:cs="Times New Roman"/>
          <w:sz w:val="24"/>
          <w:szCs w:val="24"/>
          <w:lang w:eastAsia="en-GB"/>
        </w:rPr>
        <w:t xml:space="preserve">Philip Skippon) </w:t>
      </w:r>
      <w:r w:rsidR="00D53C51">
        <w:rPr>
          <w:rFonts w:ascii="Times New Roman" w:eastAsia="Times New Roman" w:hAnsi="Times New Roman" w:cs="Times New Roman"/>
          <w:sz w:val="24"/>
          <w:szCs w:val="24"/>
          <w:lang w:eastAsia="en-GB"/>
        </w:rPr>
        <w:t xml:space="preserve">created, </w:t>
      </w:r>
      <w:r>
        <w:rPr>
          <w:rFonts w:ascii="Times New Roman" w:eastAsia="Times New Roman" w:hAnsi="Times New Roman" w:cs="Times New Roman"/>
          <w:sz w:val="24"/>
          <w:szCs w:val="24"/>
          <w:lang w:eastAsia="en-GB"/>
        </w:rPr>
        <w:t xml:space="preserve">and, from 1647, </w:t>
      </w:r>
      <w:r w:rsidRPr="009B03DE">
        <w:rPr>
          <w:rFonts w:ascii="Times New Roman" w:eastAsia="Times New Roman" w:hAnsi="Times New Roman" w:cs="Times New Roman"/>
          <w:sz w:val="24"/>
          <w:szCs w:val="24"/>
          <w:lang w:eastAsia="en-GB"/>
        </w:rPr>
        <w:t xml:space="preserve">Commander-in-Chief of all </w:t>
      </w:r>
      <w:r>
        <w:rPr>
          <w:rFonts w:ascii="Times New Roman" w:eastAsia="Times New Roman" w:hAnsi="Times New Roman" w:cs="Times New Roman"/>
          <w:sz w:val="24"/>
          <w:szCs w:val="24"/>
          <w:lang w:eastAsia="en-GB"/>
        </w:rPr>
        <w:t>p</w:t>
      </w:r>
      <w:r w:rsidRPr="009B03DE">
        <w:rPr>
          <w:rFonts w:ascii="Times New Roman" w:eastAsia="Times New Roman" w:hAnsi="Times New Roman" w:cs="Times New Roman"/>
          <w:sz w:val="24"/>
          <w:szCs w:val="24"/>
          <w:lang w:eastAsia="en-GB"/>
        </w:rPr>
        <w:t>arliamentarian forces</w:t>
      </w:r>
      <w:r>
        <w:rPr>
          <w:rFonts w:ascii="Times New Roman" w:eastAsia="Times New Roman" w:hAnsi="Times New Roman" w:cs="Times New Roman"/>
          <w:sz w:val="24"/>
          <w:szCs w:val="24"/>
          <w:lang w:eastAsia="en-GB"/>
        </w:rPr>
        <w:t xml:space="preserve">, he </w:t>
      </w:r>
      <w:r w:rsidR="0057545B">
        <w:rPr>
          <w:rFonts w:ascii="Times New Roman" w:eastAsia="Times New Roman" w:hAnsi="Times New Roman" w:cs="Times New Roman"/>
          <w:sz w:val="24"/>
          <w:szCs w:val="24"/>
          <w:lang w:eastAsia="en-GB"/>
        </w:rPr>
        <w:t>consistently d</w:t>
      </w:r>
      <w:r w:rsidR="001E2253">
        <w:rPr>
          <w:rFonts w:ascii="Times New Roman" w:eastAsia="Times New Roman" w:hAnsi="Times New Roman" w:cs="Times New Roman"/>
          <w:sz w:val="24"/>
          <w:szCs w:val="24"/>
          <w:lang w:eastAsia="en-GB"/>
        </w:rPr>
        <w:t xml:space="preserve">efeated </w:t>
      </w:r>
      <w:r w:rsidR="00B879C9">
        <w:rPr>
          <w:rFonts w:ascii="Times New Roman" w:eastAsia="Times New Roman" w:hAnsi="Times New Roman" w:cs="Times New Roman"/>
          <w:sz w:val="24"/>
          <w:szCs w:val="24"/>
          <w:lang w:eastAsia="en-GB"/>
        </w:rPr>
        <w:t>c</w:t>
      </w:r>
      <w:r w:rsidRPr="009B03DE">
        <w:rPr>
          <w:rFonts w:ascii="Times New Roman" w:eastAsia="Times New Roman" w:hAnsi="Times New Roman" w:cs="Times New Roman"/>
          <w:sz w:val="24"/>
          <w:szCs w:val="24"/>
          <w:lang w:eastAsia="en-GB"/>
        </w:rPr>
        <w:t xml:space="preserve">rown forces on </w:t>
      </w:r>
      <w:r>
        <w:rPr>
          <w:rFonts w:ascii="Times New Roman" w:eastAsia="Times New Roman" w:hAnsi="Times New Roman" w:cs="Times New Roman"/>
          <w:sz w:val="24"/>
          <w:szCs w:val="24"/>
          <w:lang w:eastAsia="en-GB"/>
        </w:rPr>
        <w:t>c</w:t>
      </w:r>
      <w:r w:rsidRPr="009B03DE">
        <w:rPr>
          <w:rFonts w:ascii="Times New Roman" w:eastAsia="Times New Roman" w:hAnsi="Times New Roman" w:cs="Times New Roman"/>
          <w:sz w:val="24"/>
          <w:szCs w:val="24"/>
          <w:lang w:eastAsia="en-GB"/>
        </w:rPr>
        <w:t>ivil</w:t>
      </w:r>
      <w:r w:rsidR="00C555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w:t>
      </w:r>
      <w:r w:rsidRPr="009B03DE">
        <w:rPr>
          <w:rFonts w:ascii="Times New Roman" w:eastAsia="Times New Roman" w:hAnsi="Times New Roman" w:cs="Times New Roman"/>
          <w:sz w:val="24"/>
          <w:szCs w:val="24"/>
          <w:lang w:eastAsia="en-GB"/>
        </w:rPr>
        <w:t>ar battlefield</w:t>
      </w:r>
      <w:r w:rsidR="0057545B">
        <w:rPr>
          <w:rFonts w:ascii="Times New Roman" w:eastAsia="Times New Roman" w:hAnsi="Times New Roman" w:cs="Times New Roman"/>
          <w:sz w:val="24"/>
          <w:szCs w:val="24"/>
          <w:lang w:eastAsia="en-GB"/>
        </w:rPr>
        <w:t>s</w:t>
      </w:r>
      <w:r w:rsidR="00C5558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such as Wakefield, Nantwich, Marston Moor, Maidstone and</w:t>
      </w:r>
      <w:r w:rsidR="00AF38A9">
        <w:rPr>
          <w:rFonts w:ascii="Times New Roman" w:eastAsia="Times New Roman" w:hAnsi="Times New Roman" w:cs="Times New Roman"/>
          <w:sz w:val="24"/>
          <w:szCs w:val="24"/>
          <w:lang w:eastAsia="en-GB"/>
        </w:rPr>
        <w:t xml:space="preserve"> – m</w:t>
      </w:r>
      <w:r w:rsidRPr="009B03DE">
        <w:rPr>
          <w:rFonts w:ascii="Times New Roman" w:eastAsia="Times New Roman" w:hAnsi="Times New Roman" w:cs="Times New Roman"/>
          <w:sz w:val="24"/>
          <w:szCs w:val="24"/>
          <w:lang w:eastAsia="en-GB"/>
        </w:rPr>
        <w:t xml:space="preserve">ost </w:t>
      </w:r>
      <w:r w:rsidR="003F720C">
        <w:rPr>
          <w:rFonts w:ascii="Times New Roman" w:eastAsia="Times New Roman" w:hAnsi="Times New Roman" w:cs="Times New Roman"/>
          <w:sz w:val="24"/>
          <w:szCs w:val="24"/>
          <w:lang w:eastAsia="en-GB"/>
        </w:rPr>
        <w:t>pivotally</w:t>
      </w:r>
      <w:r w:rsidR="00AF38A9">
        <w:rPr>
          <w:rFonts w:ascii="Times New Roman" w:eastAsia="Times New Roman" w:hAnsi="Times New Roman" w:cs="Times New Roman"/>
          <w:sz w:val="24"/>
          <w:szCs w:val="24"/>
          <w:lang w:eastAsia="en-GB"/>
        </w:rPr>
        <w:t xml:space="preserve"> – </w:t>
      </w:r>
      <w:r w:rsidRPr="009B03DE">
        <w:rPr>
          <w:rFonts w:ascii="Times New Roman" w:eastAsia="Times New Roman" w:hAnsi="Times New Roman" w:cs="Times New Roman"/>
          <w:sz w:val="24"/>
          <w:szCs w:val="24"/>
          <w:lang w:eastAsia="en-GB"/>
        </w:rPr>
        <w:t>Naseby</w:t>
      </w:r>
      <w:r w:rsidR="00772C83">
        <w:rPr>
          <w:rFonts w:ascii="Times New Roman" w:eastAsia="Times New Roman" w:hAnsi="Times New Roman" w:cs="Times New Roman"/>
          <w:sz w:val="24"/>
          <w:szCs w:val="24"/>
          <w:lang w:eastAsia="en-GB"/>
        </w:rPr>
        <w:t>, earning him the soubriquet of England’s Fortress, from which this book’s title derives</w:t>
      </w:r>
      <w:r w:rsidRPr="009B03DE">
        <w:rPr>
          <w:rFonts w:ascii="Times New Roman" w:eastAsia="Times New Roman" w:hAnsi="Times New Roman" w:cs="Times New Roman"/>
          <w:sz w:val="24"/>
          <w:szCs w:val="24"/>
          <w:lang w:eastAsia="en-GB"/>
        </w:rPr>
        <w:t>.</w:t>
      </w:r>
      <w:r w:rsidR="008A7F0F">
        <w:rPr>
          <w:rStyle w:val="FootnoteReference"/>
          <w:rFonts w:ascii="Times New Roman" w:eastAsia="Times New Roman" w:hAnsi="Times New Roman" w:cs="Times New Roman"/>
          <w:sz w:val="24"/>
          <w:szCs w:val="24"/>
          <w:lang w:eastAsia="en-GB"/>
        </w:rPr>
        <w:footnoteReference w:id="1"/>
      </w:r>
      <w:r w:rsidRPr="009B03DE">
        <w:rPr>
          <w:rFonts w:ascii="Times New Roman" w:eastAsia="Times New Roman" w:hAnsi="Times New Roman" w:cs="Times New Roman"/>
          <w:sz w:val="24"/>
          <w:szCs w:val="24"/>
          <w:lang w:eastAsia="en-GB"/>
        </w:rPr>
        <w:t xml:space="preserve"> </w:t>
      </w:r>
      <w:r w:rsidR="004B3D43">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espite this, he </w:t>
      </w:r>
      <w:r w:rsidR="009D66EC">
        <w:rPr>
          <w:rFonts w:ascii="Times New Roman" w:hAnsi="Times New Roman" w:cs="Times New Roman"/>
          <w:sz w:val="24"/>
          <w:szCs w:val="24"/>
        </w:rPr>
        <w:t xml:space="preserve">remains a curiously elusive and enigmatic </w:t>
      </w:r>
      <w:r w:rsidR="005B77A1">
        <w:rPr>
          <w:rFonts w:ascii="Times New Roman" w:hAnsi="Times New Roman" w:cs="Times New Roman"/>
          <w:sz w:val="24"/>
          <w:szCs w:val="24"/>
        </w:rPr>
        <w:t xml:space="preserve">figure. </w:t>
      </w:r>
      <w:r w:rsidR="000E2D03">
        <w:rPr>
          <w:rFonts w:ascii="Times New Roman" w:hAnsi="Times New Roman" w:cs="Times New Roman"/>
          <w:sz w:val="24"/>
          <w:szCs w:val="24"/>
        </w:rPr>
        <w:t xml:space="preserve">The comparatively modest volume of </w:t>
      </w:r>
      <w:r w:rsidR="00C47876">
        <w:rPr>
          <w:rFonts w:ascii="Times New Roman" w:hAnsi="Times New Roman" w:cs="Times New Roman"/>
          <w:sz w:val="24"/>
          <w:szCs w:val="24"/>
        </w:rPr>
        <w:t xml:space="preserve">relevant </w:t>
      </w:r>
      <w:r w:rsidR="000E2D03">
        <w:rPr>
          <w:rFonts w:ascii="Times New Roman" w:hAnsi="Times New Roman" w:cs="Times New Roman"/>
          <w:sz w:val="24"/>
          <w:szCs w:val="24"/>
        </w:rPr>
        <w:t xml:space="preserve">scholarship </w:t>
      </w:r>
      <w:r w:rsidR="00504D02">
        <w:rPr>
          <w:rFonts w:ascii="Times New Roman" w:hAnsi="Times New Roman" w:cs="Times New Roman"/>
          <w:sz w:val="24"/>
          <w:szCs w:val="24"/>
        </w:rPr>
        <w:t xml:space="preserve">both reflects and </w:t>
      </w:r>
      <w:r w:rsidR="00D67F69">
        <w:rPr>
          <w:rFonts w:ascii="Times New Roman" w:hAnsi="Times New Roman" w:cs="Times New Roman"/>
          <w:sz w:val="24"/>
          <w:szCs w:val="24"/>
        </w:rPr>
        <w:t>i</w:t>
      </w:r>
      <w:r w:rsidR="000E2D03">
        <w:rPr>
          <w:rFonts w:ascii="Times New Roman" w:hAnsi="Times New Roman" w:cs="Times New Roman"/>
          <w:sz w:val="24"/>
          <w:szCs w:val="24"/>
        </w:rPr>
        <w:t>s p</w:t>
      </w:r>
      <w:r w:rsidR="00296484">
        <w:rPr>
          <w:rFonts w:ascii="Times New Roman" w:hAnsi="Times New Roman" w:cs="Times New Roman"/>
          <w:sz w:val="24"/>
          <w:szCs w:val="24"/>
        </w:rPr>
        <w:t xml:space="preserve">artly </w:t>
      </w:r>
      <w:r w:rsidR="000E2D03">
        <w:rPr>
          <w:rFonts w:ascii="Times New Roman" w:hAnsi="Times New Roman" w:cs="Times New Roman"/>
          <w:sz w:val="24"/>
          <w:szCs w:val="24"/>
        </w:rPr>
        <w:t xml:space="preserve">responsible for this. </w:t>
      </w:r>
      <w:r w:rsidR="00462B69">
        <w:rPr>
          <w:rFonts w:ascii="Times New Roman" w:hAnsi="Times New Roman" w:cs="Times New Roman"/>
          <w:sz w:val="24"/>
          <w:szCs w:val="24"/>
        </w:rPr>
        <w:t>Andrew Hopper’s 2</w:t>
      </w:r>
      <w:r w:rsidR="00EA176D">
        <w:rPr>
          <w:rFonts w:ascii="Times New Roman" w:hAnsi="Times New Roman" w:cs="Times New Roman"/>
          <w:sz w:val="24"/>
          <w:szCs w:val="24"/>
        </w:rPr>
        <w:t xml:space="preserve">007 biography </w:t>
      </w:r>
      <w:r w:rsidR="00042BAA">
        <w:rPr>
          <w:rFonts w:ascii="Times New Roman" w:hAnsi="Times New Roman" w:cs="Times New Roman"/>
          <w:sz w:val="24"/>
          <w:szCs w:val="24"/>
        </w:rPr>
        <w:t xml:space="preserve">has </w:t>
      </w:r>
      <w:r w:rsidR="00462B69">
        <w:rPr>
          <w:rFonts w:ascii="Times New Roman" w:hAnsi="Times New Roman" w:cs="Times New Roman"/>
          <w:sz w:val="24"/>
          <w:szCs w:val="24"/>
        </w:rPr>
        <w:t>illum</w:t>
      </w:r>
      <w:r w:rsidR="003A0E2C">
        <w:rPr>
          <w:rFonts w:ascii="Times New Roman" w:hAnsi="Times New Roman" w:cs="Times New Roman"/>
          <w:sz w:val="24"/>
          <w:szCs w:val="24"/>
        </w:rPr>
        <w:t xml:space="preserve">inated important </w:t>
      </w:r>
      <w:r w:rsidR="00462B69">
        <w:rPr>
          <w:rFonts w:ascii="Times New Roman" w:hAnsi="Times New Roman" w:cs="Times New Roman"/>
          <w:sz w:val="24"/>
          <w:szCs w:val="24"/>
        </w:rPr>
        <w:t xml:space="preserve">new aspects of </w:t>
      </w:r>
      <w:r w:rsidR="00D24A6D">
        <w:rPr>
          <w:rFonts w:ascii="Times New Roman" w:hAnsi="Times New Roman" w:cs="Times New Roman"/>
          <w:sz w:val="24"/>
          <w:szCs w:val="24"/>
        </w:rPr>
        <w:t>his</w:t>
      </w:r>
      <w:r w:rsidR="00C47876">
        <w:rPr>
          <w:rFonts w:ascii="Times New Roman" w:hAnsi="Times New Roman" w:cs="Times New Roman"/>
          <w:sz w:val="24"/>
          <w:szCs w:val="24"/>
        </w:rPr>
        <w:t xml:space="preserve"> </w:t>
      </w:r>
      <w:r w:rsidR="00462B69">
        <w:rPr>
          <w:rFonts w:ascii="Times New Roman" w:hAnsi="Times New Roman" w:cs="Times New Roman"/>
          <w:sz w:val="24"/>
          <w:szCs w:val="24"/>
        </w:rPr>
        <w:t>life, especially those of political allegiance, religious affiliation and concepts of honour.</w:t>
      </w:r>
      <w:r w:rsidR="00462B69">
        <w:rPr>
          <w:rStyle w:val="FootnoteReference"/>
          <w:rFonts w:ascii="Times New Roman" w:hAnsi="Times New Roman" w:cs="Times New Roman"/>
          <w:sz w:val="24"/>
          <w:szCs w:val="24"/>
        </w:rPr>
        <w:footnoteReference w:id="2"/>
      </w:r>
      <w:r w:rsidR="00AF313B">
        <w:rPr>
          <w:rFonts w:ascii="Times New Roman" w:hAnsi="Times New Roman" w:cs="Times New Roman"/>
          <w:sz w:val="24"/>
          <w:szCs w:val="24"/>
        </w:rPr>
        <w:t xml:space="preserve"> </w:t>
      </w:r>
      <w:r w:rsidR="00D05AE0">
        <w:rPr>
          <w:rFonts w:ascii="Times New Roman" w:hAnsi="Times New Roman" w:cs="Times New Roman"/>
          <w:sz w:val="24"/>
          <w:szCs w:val="24"/>
        </w:rPr>
        <w:t xml:space="preserve">However, </w:t>
      </w:r>
      <w:r w:rsidR="00F609BA">
        <w:rPr>
          <w:rFonts w:ascii="Times New Roman" w:hAnsi="Times New Roman" w:cs="Times New Roman"/>
          <w:sz w:val="24"/>
          <w:szCs w:val="24"/>
        </w:rPr>
        <w:t xml:space="preserve">the fact that </w:t>
      </w:r>
      <w:r w:rsidR="00D24A6D">
        <w:rPr>
          <w:rFonts w:ascii="Times New Roman" w:hAnsi="Times New Roman" w:cs="Times New Roman"/>
          <w:sz w:val="24"/>
          <w:szCs w:val="24"/>
        </w:rPr>
        <w:t xml:space="preserve">only </w:t>
      </w:r>
      <w:r w:rsidR="002A5D4D">
        <w:rPr>
          <w:rFonts w:ascii="Times New Roman" w:hAnsi="Times New Roman" w:cs="Times New Roman"/>
          <w:sz w:val="24"/>
          <w:szCs w:val="24"/>
        </w:rPr>
        <w:t xml:space="preserve">three </w:t>
      </w:r>
      <w:r w:rsidR="00D24A6D">
        <w:rPr>
          <w:rFonts w:ascii="Times New Roman" w:hAnsi="Times New Roman" w:cs="Times New Roman"/>
          <w:sz w:val="24"/>
          <w:szCs w:val="24"/>
        </w:rPr>
        <w:t xml:space="preserve">other </w:t>
      </w:r>
      <w:r w:rsidR="00654371">
        <w:rPr>
          <w:rFonts w:ascii="Times New Roman" w:hAnsi="Times New Roman" w:cs="Times New Roman"/>
          <w:sz w:val="24"/>
          <w:szCs w:val="24"/>
        </w:rPr>
        <w:t xml:space="preserve">major studies </w:t>
      </w:r>
      <w:r w:rsidR="00F609BA">
        <w:rPr>
          <w:rFonts w:ascii="Times New Roman" w:hAnsi="Times New Roman" w:cs="Times New Roman"/>
          <w:sz w:val="24"/>
          <w:szCs w:val="24"/>
        </w:rPr>
        <w:t>exist</w:t>
      </w:r>
      <w:r w:rsidR="00D24A6D">
        <w:rPr>
          <w:rFonts w:ascii="Times New Roman" w:hAnsi="Times New Roman" w:cs="Times New Roman"/>
          <w:sz w:val="24"/>
          <w:szCs w:val="24"/>
        </w:rPr>
        <w:t>,</w:t>
      </w:r>
      <w:r w:rsidR="002A5D4D">
        <w:rPr>
          <w:rFonts w:ascii="Times New Roman" w:hAnsi="Times New Roman" w:cs="Times New Roman"/>
          <w:sz w:val="24"/>
          <w:szCs w:val="24"/>
        </w:rPr>
        <w:t xml:space="preserve"> </w:t>
      </w:r>
      <w:r w:rsidR="00A85B22">
        <w:rPr>
          <w:rFonts w:ascii="Times New Roman" w:hAnsi="Times New Roman" w:cs="Times New Roman"/>
          <w:sz w:val="24"/>
          <w:szCs w:val="24"/>
        </w:rPr>
        <w:t xml:space="preserve">published </w:t>
      </w:r>
      <w:r w:rsidR="002A5D4D">
        <w:rPr>
          <w:rFonts w:ascii="Times New Roman" w:hAnsi="Times New Roman" w:cs="Times New Roman"/>
          <w:sz w:val="24"/>
          <w:szCs w:val="24"/>
        </w:rPr>
        <w:t>in 1870, 1938 and 1985</w:t>
      </w:r>
      <w:r w:rsidR="00F609BA">
        <w:rPr>
          <w:rFonts w:ascii="Times New Roman" w:hAnsi="Times New Roman" w:cs="Times New Roman"/>
          <w:sz w:val="24"/>
          <w:szCs w:val="24"/>
        </w:rPr>
        <w:t xml:space="preserve">, comes as something of a surprise, </w:t>
      </w:r>
      <w:r w:rsidR="005F0E8B">
        <w:rPr>
          <w:rFonts w:ascii="Times New Roman" w:hAnsi="Times New Roman" w:cs="Times New Roman"/>
          <w:sz w:val="24"/>
          <w:szCs w:val="24"/>
        </w:rPr>
        <w:t xml:space="preserve">particularly </w:t>
      </w:r>
      <w:r w:rsidR="00F609BA">
        <w:rPr>
          <w:rFonts w:ascii="Times New Roman" w:hAnsi="Times New Roman" w:cs="Times New Roman"/>
          <w:sz w:val="24"/>
          <w:szCs w:val="24"/>
        </w:rPr>
        <w:t xml:space="preserve">when contrasted with the near-industrial scale of research </w:t>
      </w:r>
      <w:r w:rsidR="00610987">
        <w:rPr>
          <w:rFonts w:ascii="Times New Roman" w:hAnsi="Times New Roman" w:cs="Times New Roman"/>
          <w:sz w:val="24"/>
          <w:szCs w:val="24"/>
        </w:rPr>
        <w:t xml:space="preserve">and publication </w:t>
      </w:r>
      <w:r w:rsidR="00F609BA">
        <w:rPr>
          <w:rFonts w:ascii="Times New Roman" w:hAnsi="Times New Roman" w:cs="Times New Roman"/>
          <w:sz w:val="24"/>
          <w:szCs w:val="24"/>
        </w:rPr>
        <w:t>on Oliver Cromwell.</w:t>
      </w:r>
      <w:r w:rsidR="00FD3CE0">
        <w:rPr>
          <w:rStyle w:val="FootnoteReference"/>
          <w:rFonts w:ascii="Times New Roman" w:hAnsi="Times New Roman" w:cs="Times New Roman"/>
          <w:sz w:val="24"/>
          <w:szCs w:val="24"/>
        </w:rPr>
        <w:footnoteReference w:id="3"/>
      </w:r>
      <w:r w:rsidR="00EF50DD">
        <w:rPr>
          <w:rFonts w:ascii="Times New Roman" w:hAnsi="Times New Roman" w:cs="Times New Roman"/>
          <w:sz w:val="24"/>
          <w:szCs w:val="24"/>
        </w:rPr>
        <w:t xml:space="preserve"> </w:t>
      </w:r>
      <w:r w:rsidR="00F158F0">
        <w:rPr>
          <w:rFonts w:ascii="Times New Roman" w:eastAsia="Times New Roman" w:hAnsi="Times New Roman" w:cs="Times New Roman"/>
          <w:sz w:val="24"/>
          <w:szCs w:val="24"/>
          <w:lang w:eastAsia="en-GB"/>
        </w:rPr>
        <w:tab/>
      </w:r>
      <w:r w:rsidR="003945CE">
        <w:rPr>
          <w:rFonts w:ascii="Times New Roman" w:eastAsia="Times New Roman" w:hAnsi="Times New Roman" w:cs="Times New Roman"/>
          <w:sz w:val="24"/>
          <w:szCs w:val="24"/>
          <w:lang w:eastAsia="en-GB"/>
        </w:rPr>
        <w:tab/>
      </w:r>
      <w:r w:rsidR="003945CE">
        <w:rPr>
          <w:rFonts w:ascii="Times New Roman" w:eastAsia="Times New Roman" w:hAnsi="Times New Roman" w:cs="Times New Roman"/>
          <w:sz w:val="24"/>
          <w:szCs w:val="24"/>
          <w:lang w:eastAsia="en-GB"/>
        </w:rPr>
        <w:tab/>
      </w:r>
      <w:r w:rsidR="003945CE">
        <w:rPr>
          <w:rFonts w:ascii="Times New Roman" w:eastAsia="Times New Roman" w:hAnsi="Times New Roman" w:cs="Times New Roman"/>
          <w:sz w:val="24"/>
          <w:szCs w:val="24"/>
          <w:lang w:eastAsia="en-GB"/>
        </w:rPr>
        <w:tab/>
      </w:r>
      <w:r w:rsidR="007F0D0C">
        <w:rPr>
          <w:rFonts w:ascii="Times New Roman" w:eastAsia="Times New Roman" w:hAnsi="Times New Roman" w:cs="Times New Roman"/>
          <w:sz w:val="24"/>
          <w:szCs w:val="24"/>
          <w:lang w:eastAsia="en-GB"/>
        </w:rPr>
        <w:tab/>
      </w:r>
      <w:r w:rsidR="007F0D0C">
        <w:rPr>
          <w:rFonts w:ascii="Times New Roman" w:eastAsia="Times New Roman" w:hAnsi="Times New Roman" w:cs="Times New Roman"/>
          <w:sz w:val="24"/>
          <w:szCs w:val="24"/>
          <w:lang w:eastAsia="en-GB"/>
        </w:rPr>
        <w:tab/>
      </w:r>
      <w:r w:rsidR="007F0D0C">
        <w:rPr>
          <w:rFonts w:ascii="Times New Roman" w:eastAsia="Times New Roman" w:hAnsi="Times New Roman" w:cs="Times New Roman"/>
          <w:sz w:val="24"/>
          <w:szCs w:val="24"/>
          <w:lang w:eastAsia="en-GB"/>
        </w:rPr>
        <w:tab/>
      </w:r>
      <w:r w:rsidR="007F0D0C">
        <w:rPr>
          <w:rFonts w:ascii="Times New Roman" w:eastAsia="Times New Roman" w:hAnsi="Times New Roman" w:cs="Times New Roman"/>
          <w:sz w:val="24"/>
          <w:szCs w:val="24"/>
          <w:lang w:eastAsia="en-GB"/>
        </w:rPr>
        <w:tab/>
      </w:r>
      <w:r w:rsidR="007F0D0C">
        <w:rPr>
          <w:rFonts w:ascii="Times New Roman" w:eastAsia="Times New Roman" w:hAnsi="Times New Roman" w:cs="Times New Roman"/>
          <w:sz w:val="24"/>
          <w:szCs w:val="24"/>
          <w:lang w:eastAsia="en-GB"/>
        </w:rPr>
        <w:tab/>
      </w:r>
      <w:r w:rsidR="001661F9">
        <w:rPr>
          <w:rFonts w:ascii="Times New Roman" w:eastAsia="Times New Roman" w:hAnsi="Times New Roman" w:cs="Times New Roman"/>
          <w:sz w:val="24"/>
          <w:szCs w:val="24"/>
          <w:lang w:eastAsia="en-GB"/>
        </w:rPr>
        <w:t xml:space="preserve">There are </w:t>
      </w:r>
      <w:r w:rsidR="007850B9">
        <w:rPr>
          <w:rFonts w:ascii="Times New Roman" w:eastAsia="Times New Roman" w:hAnsi="Times New Roman" w:cs="Times New Roman"/>
          <w:sz w:val="24"/>
          <w:szCs w:val="24"/>
          <w:lang w:eastAsia="en-GB"/>
        </w:rPr>
        <w:t xml:space="preserve">several </w:t>
      </w:r>
      <w:r w:rsidR="00661D62">
        <w:rPr>
          <w:rFonts w:ascii="Times New Roman" w:eastAsia="Times New Roman" w:hAnsi="Times New Roman" w:cs="Times New Roman"/>
          <w:sz w:val="24"/>
          <w:szCs w:val="24"/>
          <w:lang w:eastAsia="en-GB"/>
        </w:rPr>
        <w:t xml:space="preserve">potential </w:t>
      </w:r>
      <w:r w:rsidR="007850B9">
        <w:rPr>
          <w:rFonts w:ascii="Times New Roman" w:eastAsia="Times New Roman" w:hAnsi="Times New Roman" w:cs="Times New Roman"/>
          <w:sz w:val="24"/>
          <w:szCs w:val="24"/>
          <w:lang w:eastAsia="en-GB"/>
        </w:rPr>
        <w:t>r</w:t>
      </w:r>
      <w:r w:rsidR="001661F9">
        <w:rPr>
          <w:rFonts w:ascii="Times New Roman" w:eastAsia="Times New Roman" w:hAnsi="Times New Roman" w:cs="Times New Roman"/>
          <w:sz w:val="24"/>
          <w:szCs w:val="24"/>
          <w:lang w:eastAsia="en-GB"/>
        </w:rPr>
        <w:t xml:space="preserve">easons </w:t>
      </w:r>
      <w:r w:rsidR="00661D62">
        <w:rPr>
          <w:rFonts w:ascii="Times New Roman" w:eastAsia="Times New Roman" w:hAnsi="Times New Roman" w:cs="Times New Roman"/>
          <w:sz w:val="24"/>
          <w:szCs w:val="24"/>
          <w:lang w:eastAsia="en-GB"/>
        </w:rPr>
        <w:t xml:space="preserve">why Fairfax has failed to receive </w:t>
      </w:r>
      <w:r w:rsidR="00347EE1">
        <w:rPr>
          <w:rFonts w:ascii="Times New Roman" w:eastAsia="Times New Roman" w:hAnsi="Times New Roman" w:cs="Times New Roman"/>
          <w:sz w:val="24"/>
          <w:szCs w:val="24"/>
          <w:lang w:eastAsia="en-GB"/>
        </w:rPr>
        <w:t xml:space="preserve">the </w:t>
      </w:r>
      <w:r w:rsidR="00132722">
        <w:rPr>
          <w:rFonts w:ascii="Times New Roman" w:eastAsia="Times New Roman" w:hAnsi="Times New Roman" w:cs="Times New Roman"/>
          <w:sz w:val="24"/>
          <w:szCs w:val="24"/>
          <w:lang w:eastAsia="en-GB"/>
        </w:rPr>
        <w:t xml:space="preserve">sustained </w:t>
      </w:r>
      <w:r w:rsidR="00132722">
        <w:rPr>
          <w:rFonts w:ascii="Times New Roman" w:eastAsia="Times New Roman" w:hAnsi="Times New Roman" w:cs="Times New Roman"/>
          <w:sz w:val="24"/>
          <w:szCs w:val="24"/>
          <w:lang w:eastAsia="en-GB"/>
        </w:rPr>
        <w:lastRenderedPageBreak/>
        <w:t xml:space="preserve">critical </w:t>
      </w:r>
      <w:r w:rsidR="00661D62">
        <w:rPr>
          <w:rFonts w:ascii="Times New Roman" w:eastAsia="Times New Roman" w:hAnsi="Times New Roman" w:cs="Times New Roman"/>
          <w:sz w:val="24"/>
          <w:szCs w:val="24"/>
          <w:lang w:eastAsia="en-GB"/>
        </w:rPr>
        <w:t xml:space="preserve">examination his life and achievements </w:t>
      </w:r>
      <w:r w:rsidR="003E0F36">
        <w:rPr>
          <w:rFonts w:ascii="Times New Roman" w:eastAsia="Times New Roman" w:hAnsi="Times New Roman" w:cs="Times New Roman"/>
          <w:sz w:val="24"/>
          <w:szCs w:val="24"/>
          <w:lang w:eastAsia="en-GB"/>
        </w:rPr>
        <w:t>wa</w:t>
      </w:r>
      <w:r w:rsidR="00A348C5">
        <w:rPr>
          <w:rFonts w:ascii="Times New Roman" w:eastAsia="Times New Roman" w:hAnsi="Times New Roman" w:cs="Times New Roman"/>
          <w:sz w:val="24"/>
          <w:szCs w:val="24"/>
          <w:lang w:eastAsia="en-GB"/>
        </w:rPr>
        <w:t>r</w:t>
      </w:r>
      <w:r w:rsidR="003E0F36">
        <w:rPr>
          <w:rFonts w:ascii="Times New Roman" w:eastAsia="Times New Roman" w:hAnsi="Times New Roman" w:cs="Times New Roman"/>
          <w:sz w:val="24"/>
          <w:szCs w:val="24"/>
          <w:lang w:eastAsia="en-GB"/>
        </w:rPr>
        <w:t>rant</w:t>
      </w:r>
      <w:r w:rsidR="00661D62">
        <w:rPr>
          <w:rFonts w:ascii="Times New Roman" w:eastAsia="Times New Roman" w:hAnsi="Times New Roman" w:cs="Times New Roman"/>
          <w:sz w:val="24"/>
          <w:szCs w:val="24"/>
          <w:lang w:eastAsia="en-GB"/>
        </w:rPr>
        <w:t xml:space="preserve">. </w:t>
      </w:r>
      <w:r w:rsidR="00296484">
        <w:rPr>
          <w:rFonts w:ascii="Times New Roman" w:eastAsia="Times New Roman" w:hAnsi="Times New Roman" w:cs="Times New Roman"/>
          <w:sz w:val="24"/>
          <w:szCs w:val="24"/>
          <w:lang w:eastAsia="en-GB"/>
        </w:rPr>
        <w:t xml:space="preserve">The </w:t>
      </w:r>
      <w:r w:rsidR="001661F9">
        <w:rPr>
          <w:rFonts w:ascii="Times New Roman" w:eastAsia="Times New Roman" w:hAnsi="Times New Roman" w:cs="Times New Roman"/>
          <w:sz w:val="24"/>
          <w:szCs w:val="24"/>
          <w:lang w:eastAsia="en-GB"/>
        </w:rPr>
        <w:t xml:space="preserve">most </w:t>
      </w:r>
      <w:r w:rsidR="00385C08">
        <w:rPr>
          <w:rFonts w:ascii="Times New Roman" w:eastAsia="Times New Roman" w:hAnsi="Times New Roman" w:cs="Times New Roman"/>
          <w:sz w:val="24"/>
          <w:szCs w:val="24"/>
          <w:lang w:eastAsia="en-GB"/>
        </w:rPr>
        <w:t xml:space="preserve">persuasive </w:t>
      </w:r>
      <w:r w:rsidR="001E54E8">
        <w:rPr>
          <w:rFonts w:ascii="Times New Roman" w:eastAsia="Times New Roman" w:hAnsi="Times New Roman" w:cs="Times New Roman"/>
          <w:sz w:val="24"/>
          <w:szCs w:val="24"/>
          <w:lang w:eastAsia="en-GB"/>
        </w:rPr>
        <w:t xml:space="preserve">of these </w:t>
      </w:r>
      <w:r w:rsidR="00347EE1">
        <w:rPr>
          <w:rFonts w:ascii="Times New Roman" w:eastAsia="Times New Roman" w:hAnsi="Times New Roman" w:cs="Times New Roman"/>
          <w:sz w:val="24"/>
          <w:szCs w:val="24"/>
          <w:lang w:eastAsia="en-GB"/>
        </w:rPr>
        <w:t xml:space="preserve">is </w:t>
      </w:r>
      <w:r w:rsidR="001661F9">
        <w:rPr>
          <w:rFonts w:ascii="Times New Roman" w:eastAsia="Times New Roman" w:hAnsi="Times New Roman" w:cs="Times New Roman"/>
          <w:sz w:val="24"/>
          <w:szCs w:val="24"/>
          <w:lang w:eastAsia="en-GB"/>
        </w:rPr>
        <w:t xml:space="preserve">that </w:t>
      </w:r>
      <w:r w:rsidR="00710EE0">
        <w:rPr>
          <w:rFonts w:ascii="Times New Roman" w:eastAsia="Times New Roman" w:hAnsi="Times New Roman" w:cs="Times New Roman"/>
          <w:sz w:val="24"/>
          <w:szCs w:val="24"/>
          <w:lang w:eastAsia="en-GB"/>
        </w:rPr>
        <w:t xml:space="preserve">he </w:t>
      </w:r>
      <w:r w:rsidR="001661F9">
        <w:rPr>
          <w:rFonts w:ascii="Times New Roman" w:eastAsia="Times New Roman" w:hAnsi="Times New Roman" w:cs="Times New Roman"/>
          <w:sz w:val="24"/>
          <w:szCs w:val="24"/>
          <w:lang w:eastAsia="en-GB"/>
        </w:rPr>
        <w:t>walked off the national stage</w:t>
      </w:r>
      <w:r w:rsidR="00710EE0">
        <w:rPr>
          <w:rFonts w:ascii="Times New Roman" w:eastAsia="Times New Roman" w:hAnsi="Times New Roman" w:cs="Times New Roman"/>
          <w:sz w:val="24"/>
          <w:szCs w:val="24"/>
          <w:lang w:eastAsia="en-GB"/>
        </w:rPr>
        <w:t xml:space="preserve"> – briskly and controversially – w</w:t>
      </w:r>
      <w:r w:rsidR="00C7754F">
        <w:rPr>
          <w:rFonts w:ascii="Times New Roman" w:eastAsia="Times New Roman" w:hAnsi="Times New Roman" w:cs="Times New Roman"/>
          <w:sz w:val="24"/>
          <w:szCs w:val="24"/>
          <w:lang w:eastAsia="en-GB"/>
        </w:rPr>
        <w:t>hen the English Revolution had (</w:t>
      </w:r>
      <w:r w:rsidR="00872C0F">
        <w:rPr>
          <w:rFonts w:ascii="Times New Roman" w:eastAsia="Times New Roman" w:hAnsi="Times New Roman" w:cs="Times New Roman"/>
          <w:sz w:val="24"/>
          <w:szCs w:val="24"/>
          <w:lang w:eastAsia="en-GB"/>
        </w:rPr>
        <w:t xml:space="preserve">as </w:t>
      </w:r>
      <w:r w:rsidR="00C7754F">
        <w:rPr>
          <w:rFonts w:ascii="Times New Roman" w:eastAsia="Times New Roman" w:hAnsi="Times New Roman" w:cs="Times New Roman"/>
          <w:sz w:val="24"/>
          <w:szCs w:val="24"/>
          <w:lang w:eastAsia="en-GB"/>
        </w:rPr>
        <w:t xml:space="preserve">we now know) a further </w:t>
      </w:r>
      <w:r w:rsidR="00213363">
        <w:rPr>
          <w:rFonts w:ascii="Times New Roman" w:eastAsia="Times New Roman" w:hAnsi="Times New Roman" w:cs="Times New Roman"/>
          <w:sz w:val="24"/>
          <w:szCs w:val="24"/>
          <w:lang w:eastAsia="en-GB"/>
        </w:rPr>
        <w:t>ten</w:t>
      </w:r>
      <w:r w:rsidR="00C7754F">
        <w:rPr>
          <w:rFonts w:ascii="Times New Roman" w:eastAsia="Times New Roman" w:hAnsi="Times New Roman" w:cs="Times New Roman"/>
          <w:sz w:val="24"/>
          <w:szCs w:val="24"/>
          <w:lang w:eastAsia="en-GB"/>
        </w:rPr>
        <w:t xml:space="preserve"> tumultuous years to run. </w:t>
      </w:r>
      <w:r w:rsidR="00977D00">
        <w:rPr>
          <w:rFonts w:ascii="Times New Roman" w:eastAsia="Times New Roman" w:hAnsi="Times New Roman" w:cs="Times New Roman"/>
          <w:sz w:val="24"/>
          <w:szCs w:val="24"/>
          <w:lang w:eastAsia="en-GB"/>
        </w:rPr>
        <w:t xml:space="preserve">Had </w:t>
      </w:r>
      <w:r w:rsidR="00C7754F">
        <w:rPr>
          <w:rFonts w:ascii="Times New Roman" w:eastAsia="Times New Roman" w:hAnsi="Times New Roman" w:cs="Times New Roman"/>
          <w:sz w:val="24"/>
          <w:szCs w:val="24"/>
          <w:lang w:eastAsia="en-GB"/>
        </w:rPr>
        <w:t>he</w:t>
      </w:r>
      <w:r w:rsidR="00977D00">
        <w:rPr>
          <w:rFonts w:ascii="Times New Roman" w:eastAsia="Times New Roman" w:hAnsi="Times New Roman" w:cs="Times New Roman"/>
          <w:sz w:val="24"/>
          <w:szCs w:val="24"/>
          <w:lang w:eastAsia="en-GB"/>
        </w:rPr>
        <w:t xml:space="preserve"> died a glorious death </w:t>
      </w:r>
      <w:r w:rsidR="00C7754F">
        <w:rPr>
          <w:rFonts w:ascii="Times New Roman" w:eastAsia="Times New Roman" w:hAnsi="Times New Roman" w:cs="Times New Roman"/>
          <w:sz w:val="24"/>
          <w:szCs w:val="24"/>
          <w:lang w:eastAsia="en-GB"/>
        </w:rPr>
        <w:t xml:space="preserve">on the battlefield, say at Naseby, he </w:t>
      </w:r>
      <w:r w:rsidR="00556AD5">
        <w:rPr>
          <w:rFonts w:ascii="Times New Roman" w:eastAsia="Times New Roman" w:hAnsi="Times New Roman" w:cs="Times New Roman"/>
          <w:sz w:val="24"/>
          <w:szCs w:val="24"/>
          <w:lang w:eastAsia="en-GB"/>
        </w:rPr>
        <w:t xml:space="preserve">would doubtless </w:t>
      </w:r>
      <w:r w:rsidR="00C7754F">
        <w:rPr>
          <w:rFonts w:ascii="Times New Roman" w:eastAsia="Times New Roman" w:hAnsi="Times New Roman" w:cs="Times New Roman"/>
          <w:sz w:val="24"/>
          <w:szCs w:val="24"/>
          <w:lang w:eastAsia="en-GB"/>
        </w:rPr>
        <w:t xml:space="preserve">have </w:t>
      </w:r>
      <w:r w:rsidR="00BE1147">
        <w:rPr>
          <w:rFonts w:ascii="Times New Roman" w:eastAsia="Times New Roman" w:hAnsi="Times New Roman" w:cs="Times New Roman"/>
          <w:sz w:val="24"/>
          <w:szCs w:val="24"/>
          <w:lang w:eastAsia="en-GB"/>
        </w:rPr>
        <w:t xml:space="preserve">been </w:t>
      </w:r>
      <w:r w:rsidR="00C7754F">
        <w:rPr>
          <w:rFonts w:ascii="Times New Roman" w:eastAsia="Times New Roman" w:hAnsi="Times New Roman" w:cs="Times New Roman"/>
          <w:sz w:val="24"/>
          <w:szCs w:val="24"/>
          <w:lang w:eastAsia="en-GB"/>
        </w:rPr>
        <w:t>better remembered</w:t>
      </w:r>
      <w:r w:rsidR="00183BFB">
        <w:rPr>
          <w:rFonts w:ascii="Times New Roman" w:eastAsia="Times New Roman" w:hAnsi="Times New Roman" w:cs="Times New Roman"/>
          <w:sz w:val="24"/>
          <w:szCs w:val="24"/>
          <w:lang w:eastAsia="en-GB"/>
        </w:rPr>
        <w:t>, if still largely by military rather than political or literary historians</w:t>
      </w:r>
      <w:r w:rsidR="00C7754F">
        <w:rPr>
          <w:rFonts w:ascii="Times New Roman" w:eastAsia="Times New Roman" w:hAnsi="Times New Roman" w:cs="Times New Roman"/>
          <w:sz w:val="24"/>
          <w:szCs w:val="24"/>
          <w:lang w:eastAsia="en-GB"/>
        </w:rPr>
        <w:t xml:space="preserve">. </w:t>
      </w:r>
      <w:r w:rsidR="00183BFB">
        <w:rPr>
          <w:rFonts w:ascii="Times New Roman" w:eastAsia="Times New Roman" w:hAnsi="Times New Roman" w:cs="Times New Roman"/>
          <w:sz w:val="24"/>
          <w:szCs w:val="24"/>
          <w:lang w:eastAsia="en-GB"/>
        </w:rPr>
        <w:t xml:space="preserve">But in a largely parliamentarian-dominated historiography of the English Revolution, </w:t>
      </w:r>
      <w:r w:rsidR="002E31A4">
        <w:rPr>
          <w:rFonts w:ascii="Times New Roman" w:eastAsia="Times New Roman" w:hAnsi="Times New Roman" w:cs="Times New Roman"/>
          <w:sz w:val="24"/>
          <w:szCs w:val="24"/>
          <w:lang w:eastAsia="en-GB"/>
        </w:rPr>
        <w:t>the suspicion is</w:t>
      </w:r>
      <w:r w:rsidR="00213363">
        <w:rPr>
          <w:rFonts w:ascii="Times New Roman" w:eastAsia="Times New Roman" w:hAnsi="Times New Roman" w:cs="Times New Roman"/>
          <w:sz w:val="24"/>
          <w:szCs w:val="24"/>
          <w:lang w:eastAsia="en-GB"/>
        </w:rPr>
        <w:t xml:space="preserve"> that</w:t>
      </w:r>
      <w:r w:rsidR="002E31A4">
        <w:rPr>
          <w:rFonts w:ascii="Times New Roman" w:eastAsia="Times New Roman" w:hAnsi="Times New Roman" w:cs="Times New Roman"/>
          <w:sz w:val="24"/>
          <w:szCs w:val="24"/>
          <w:lang w:eastAsia="en-GB"/>
        </w:rPr>
        <w:t xml:space="preserve"> it </w:t>
      </w:r>
      <w:r w:rsidR="007A7C59">
        <w:rPr>
          <w:rFonts w:ascii="Times New Roman" w:eastAsia="Times New Roman" w:hAnsi="Times New Roman" w:cs="Times New Roman"/>
          <w:sz w:val="24"/>
          <w:szCs w:val="24"/>
          <w:lang w:eastAsia="en-GB"/>
        </w:rPr>
        <w:t xml:space="preserve">was held </w:t>
      </w:r>
      <w:r w:rsidR="004F2EC1">
        <w:rPr>
          <w:rFonts w:ascii="Times New Roman" w:eastAsia="Times New Roman" w:hAnsi="Times New Roman" w:cs="Times New Roman"/>
          <w:sz w:val="24"/>
          <w:szCs w:val="24"/>
          <w:lang w:eastAsia="en-GB"/>
        </w:rPr>
        <w:t>against him</w:t>
      </w:r>
      <w:r w:rsidR="00A1121F">
        <w:rPr>
          <w:rFonts w:ascii="Times New Roman" w:eastAsia="Times New Roman" w:hAnsi="Times New Roman" w:cs="Times New Roman"/>
          <w:sz w:val="24"/>
          <w:szCs w:val="24"/>
          <w:lang w:eastAsia="en-GB"/>
        </w:rPr>
        <w:t xml:space="preserve">, not only </w:t>
      </w:r>
      <w:r w:rsidR="004F2EC1">
        <w:rPr>
          <w:rFonts w:ascii="Times New Roman" w:eastAsia="Times New Roman" w:hAnsi="Times New Roman" w:cs="Times New Roman"/>
          <w:sz w:val="24"/>
          <w:szCs w:val="24"/>
          <w:lang w:eastAsia="en-GB"/>
        </w:rPr>
        <w:t xml:space="preserve">that </w:t>
      </w:r>
      <w:r w:rsidR="008279D5">
        <w:rPr>
          <w:rFonts w:ascii="Times New Roman" w:eastAsia="Times New Roman" w:hAnsi="Times New Roman" w:cs="Times New Roman"/>
          <w:sz w:val="24"/>
          <w:szCs w:val="24"/>
          <w:lang w:eastAsia="en-GB"/>
        </w:rPr>
        <w:t xml:space="preserve">he </w:t>
      </w:r>
      <w:r w:rsidR="005772E7">
        <w:rPr>
          <w:rFonts w:ascii="Times New Roman" w:eastAsia="Times New Roman" w:hAnsi="Times New Roman" w:cs="Times New Roman"/>
          <w:sz w:val="24"/>
          <w:szCs w:val="24"/>
          <w:lang w:eastAsia="en-GB"/>
        </w:rPr>
        <w:t xml:space="preserve">exited stage left, </w:t>
      </w:r>
      <w:r w:rsidR="00C7754F">
        <w:rPr>
          <w:rFonts w:ascii="Times New Roman" w:eastAsia="Times New Roman" w:hAnsi="Times New Roman" w:cs="Times New Roman"/>
          <w:sz w:val="24"/>
          <w:szCs w:val="24"/>
          <w:lang w:eastAsia="en-GB"/>
        </w:rPr>
        <w:t xml:space="preserve">but in 1660 </w:t>
      </w:r>
      <w:r w:rsidR="00DE13C9">
        <w:rPr>
          <w:rFonts w:ascii="Times New Roman" w:eastAsia="Times New Roman" w:hAnsi="Times New Roman" w:cs="Times New Roman"/>
          <w:sz w:val="24"/>
          <w:szCs w:val="24"/>
          <w:lang w:eastAsia="en-GB"/>
        </w:rPr>
        <w:t>re</w:t>
      </w:r>
      <w:r w:rsidR="00A936C6">
        <w:rPr>
          <w:rFonts w:ascii="Times New Roman" w:eastAsia="Times New Roman" w:hAnsi="Times New Roman" w:cs="Times New Roman"/>
          <w:sz w:val="24"/>
          <w:szCs w:val="24"/>
          <w:lang w:eastAsia="en-GB"/>
        </w:rPr>
        <w:t xml:space="preserve">-entered </w:t>
      </w:r>
      <w:r w:rsidR="00DE13C9">
        <w:rPr>
          <w:rFonts w:ascii="Times New Roman" w:eastAsia="Times New Roman" w:hAnsi="Times New Roman" w:cs="Times New Roman"/>
          <w:sz w:val="24"/>
          <w:szCs w:val="24"/>
          <w:lang w:eastAsia="en-GB"/>
        </w:rPr>
        <w:t xml:space="preserve">(stage right) to </w:t>
      </w:r>
      <w:r w:rsidR="00C7754F">
        <w:rPr>
          <w:rFonts w:ascii="Times New Roman" w:eastAsia="Times New Roman" w:hAnsi="Times New Roman" w:cs="Times New Roman"/>
          <w:sz w:val="24"/>
          <w:szCs w:val="24"/>
          <w:lang w:eastAsia="en-GB"/>
        </w:rPr>
        <w:t>play a</w:t>
      </w:r>
      <w:r w:rsidR="008A5E1A">
        <w:rPr>
          <w:rFonts w:ascii="Times New Roman" w:eastAsia="Times New Roman" w:hAnsi="Times New Roman" w:cs="Times New Roman"/>
          <w:sz w:val="24"/>
          <w:szCs w:val="24"/>
          <w:lang w:eastAsia="en-GB"/>
        </w:rPr>
        <w:t xml:space="preserve"> significant </w:t>
      </w:r>
      <w:r w:rsidR="00C7754F">
        <w:rPr>
          <w:rFonts w:ascii="Times New Roman" w:eastAsia="Times New Roman" w:hAnsi="Times New Roman" w:cs="Times New Roman"/>
          <w:sz w:val="24"/>
          <w:szCs w:val="24"/>
          <w:lang w:eastAsia="en-GB"/>
        </w:rPr>
        <w:t xml:space="preserve">role </w:t>
      </w:r>
      <w:r w:rsidR="008A5E1A">
        <w:rPr>
          <w:rFonts w:ascii="Times New Roman" w:eastAsia="Times New Roman" w:hAnsi="Times New Roman" w:cs="Times New Roman"/>
          <w:sz w:val="24"/>
          <w:szCs w:val="24"/>
          <w:lang w:eastAsia="en-GB"/>
        </w:rPr>
        <w:t xml:space="preserve">(with </w:t>
      </w:r>
      <w:r w:rsidR="00CA7AD5">
        <w:rPr>
          <w:rFonts w:ascii="Times New Roman" w:eastAsia="Times New Roman" w:hAnsi="Times New Roman" w:cs="Times New Roman"/>
          <w:sz w:val="24"/>
          <w:szCs w:val="24"/>
          <w:lang w:eastAsia="en-GB"/>
        </w:rPr>
        <w:t xml:space="preserve">General </w:t>
      </w:r>
      <w:r w:rsidR="008A5E1A">
        <w:rPr>
          <w:rFonts w:ascii="Times New Roman" w:eastAsia="Times New Roman" w:hAnsi="Times New Roman" w:cs="Times New Roman"/>
          <w:sz w:val="24"/>
          <w:szCs w:val="24"/>
          <w:lang w:eastAsia="en-GB"/>
        </w:rPr>
        <w:t xml:space="preserve">Monck) </w:t>
      </w:r>
      <w:r w:rsidR="00C7754F">
        <w:rPr>
          <w:rFonts w:ascii="Times New Roman" w:eastAsia="Times New Roman" w:hAnsi="Times New Roman" w:cs="Times New Roman"/>
          <w:sz w:val="24"/>
          <w:szCs w:val="24"/>
          <w:lang w:eastAsia="en-GB"/>
        </w:rPr>
        <w:t xml:space="preserve">in effecting the Restoration of the monarchy. One </w:t>
      </w:r>
      <w:r w:rsidR="005772E7">
        <w:rPr>
          <w:rFonts w:ascii="Times New Roman" w:eastAsia="Times New Roman" w:hAnsi="Times New Roman" w:cs="Times New Roman"/>
          <w:sz w:val="24"/>
          <w:szCs w:val="24"/>
          <w:lang w:eastAsia="en-GB"/>
        </w:rPr>
        <w:t xml:space="preserve">suspects </w:t>
      </w:r>
      <w:r w:rsidR="00C7754F">
        <w:rPr>
          <w:rFonts w:ascii="Times New Roman" w:eastAsia="Times New Roman" w:hAnsi="Times New Roman" w:cs="Times New Roman"/>
          <w:sz w:val="24"/>
          <w:szCs w:val="24"/>
          <w:lang w:eastAsia="en-GB"/>
        </w:rPr>
        <w:t xml:space="preserve">that for some </w:t>
      </w:r>
      <w:r w:rsidR="001C2B15">
        <w:rPr>
          <w:rFonts w:ascii="Times New Roman" w:eastAsia="Times New Roman" w:hAnsi="Times New Roman" w:cs="Times New Roman"/>
          <w:sz w:val="24"/>
          <w:szCs w:val="24"/>
          <w:lang w:eastAsia="en-GB"/>
        </w:rPr>
        <w:t xml:space="preserve">politically motivated </w:t>
      </w:r>
      <w:r w:rsidR="00E67DC7">
        <w:rPr>
          <w:rFonts w:ascii="Times New Roman" w:eastAsia="Times New Roman" w:hAnsi="Times New Roman" w:cs="Times New Roman"/>
          <w:sz w:val="24"/>
          <w:szCs w:val="24"/>
          <w:lang w:eastAsia="en-GB"/>
        </w:rPr>
        <w:t>would-be scholars of Fairfax</w:t>
      </w:r>
      <w:r w:rsidR="00C7754F">
        <w:rPr>
          <w:rFonts w:ascii="Times New Roman" w:eastAsia="Times New Roman" w:hAnsi="Times New Roman" w:cs="Times New Roman"/>
          <w:sz w:val="24"/>
          <w:szCs w:val="24"/>
          <w:lang w:eastAsia="en-GB"/>
        </w:rPr>
        <w:t xml:space="preserve"> </w:t>
      </w:r>
      <w:r w:rsidR="00E67DC7">
        <w:rPr>
          <w:rFonts w:ascii="Times New Roman" w:eastAsia="Times New Roman" w:hAnsi="Times New Roman" w:cs="Times New Roman"/>
          <w:sz w:val="24"/>
          <w:szCs w:val="24"/>
          <w:lang w:eastAsia="en-GB"/>
        </w:rPr>
        <w:t>t</w:t>
      </w:r>
      <w:r w:rsidR="00C7754F">
        <w:rPr>
          <w:rFonts w:ascii="Times New Roman" w:eastAsia="Times New Roman" w:hAnsi="Times New Roman" w:cs="Times New Roman"/>
          <w:sz w:val="24"/>
          <w:szCs w:val="24"/>
          <w:lang w:eastAsia="en-GB"/>
        </w:rPr>
        <w:t xml:space="preserve">his </w:t>
      </w:r>
      <w:r w:rsidR="005772E7">
        <w:rPr>
          <w:rFonts w:ascii="Times New Roman" w:eastAsia="Times New Roman" w:hAnsi="Times New Roman" w:cs="Times New Roman"/>
          <w:sz w:val="24"/>
          <w:szCs w:val="24"/>
          <w:lang w:eastAsia="en-GB"/>
        </w:rPr>
        <w:t>was</w:t>
      </w:r>
      <w:r w:rsidR="00DB1C2C">
        <w:rPr>
          <w:rFonts w:ascii="Times New Roman" w:eastAsia="Times New Roman" w:hAnsi="Times New Roman" w:cs="Times New Roman"/>
          <w:sz w:val="24"/>
          <w:szCs w:val="24"/>
          <w:lang w:eastAsia="en-GB"/>
        </w:rPr>
        <w:t>,</w:t>
      </w:r>
      <w:r w:rsidR="005772E7">
        <w:rPr>
          <w:rFonts w:ascii="Times New Roman" w:eastAsia="Times New Roman" w:hAnsi="Times New Roman" w:cs="Times New Roman"/>
          <w:sz w:val="24"/>
          <w:szCs w:val="24"/>
          <w:lang w:eastAsia="en-GB"/>
        </w:rPr>
        <w:t xml:space="preserve"> and has remained</w:t>
      </w:r>
      <w:r w:rsidR="00DB1C2C">
        <w:rPr>
          <w:rFonts w:ascii="Times New Roman" w:eastAsia="Times New Roman" w:hAnsi="Times New Roman" w:cs="Times New Roman"/>
          <w:sz w:val="24"/>
          <w:szCs w:val="24"/>
          <w:lang w:eastAsia="en-GB"/>
        </w:rPr>
        <w:t>,</w:t>
      </w:r>
      <w:r w:rsidR="005772E7">
        <w:rPr>
          <w:rFonts w:ascii="Times New Roman" w:eastAsia="Times New Roman" w:hAnsi="Times New Roman" w:cs="Times New Roman"/>
          <w:sz w:val="24"/>
          <w:szCs w:val="24"/>
          <w:lang w:eastAsia="en-GB"/>
        </w:rPr>
        <w:t xml:space="preserve"> </w:t>
      </w:r>
      <w:r w:rsidR="00E67DC7">
        <w:rPr>
          <w:rFonts w:ascii="Times New Roman" w:eastAsia="Times New Roman" w:hAnsi="Times New Roman" w:cs="Times New Roman"/>
          <w:sz w:val="24"/>
          <w:szCs w:val="24"/>
          <w:lang w:eastAsia="en-GB"/>
        </w:rPr>
        <w:t xml:space="preserve">a </w:t>
      </w:r>
      <w:r w:rsidR="00DE13C9">
        <w:rPr>
          <w:rFonts w:ascii="Times New Roman" w:eastAsia="Times New Roman" w:hAnsi="Times New Roman" w:cs="Times New Roman"/>
          <w:sz w:val="24"/>
          <w:szCs w:val="24"/>
          <w:lang w:eastAsia="en-GB"/>
        </w:rPr>
        <w:t xml:space="preserve">discouraging </w:t>
      </w:r>
      <w:r w:rsidR="00E67DC7">
        <w:rPr>
          <w:rFonts w:ascii="Times New Roman" w:eastAsia="Times New Roman" w:hAnsi="Times New Roman" w:cs="Times New Roman"/>
          <w:sz w:val="24"/>
          <w:szCs w:val="24"/>
          <w:lang w:eastAsia="en-GB"/>
        </w:rPr>
        <w:t>c</w:t>
      </w:r>
      <w:r w:rsidR="00C7754F">
        <w:rPr>
          <w:rFonts w:ascii="Times New Roman" w:eastAsia="Times New Roman" w:hAnsi="Times New Roman" w:cs="Times New Roman"/>
          <w:sz w:val="24"/>
          <w:szCs w:val="24"/>
          <w:lang w:eastAsia="en-GB"/>
        </w:rPr>
        <w:t>oda</w:t>
      </w:r>
      <w:r w:rsidR="00977D00">
        <w:rPr>
          <w:rFonts w:ascii="Times New Roman" w:eastAsia="Times New Roman" w:hAnsi="Times New Roman" w:cs="Times New Roman"/>
          <w:sz w:val="24"/>
          <w:szCs w:val="24"/>
          <w:lang w:eastAsia="en-GB"/>
        </w:rPr>
        <w:t xml:space="preserve"> to his life</w:t>
      </w:r>
      <w:r w:rsidR="00E67DC7">
        <w:rPr>
          <w:rFonts w:ascii="Times New Roman" w:eastAsia="Times New Roman" w:hAnsi="Times New Roman" w:cs="Times New Roman"/>
          <w:sz w:val="24"/>
          <w:szCs w:val="24"/>
          <w:lang w:eastAsia="en-GB"/>
        </w:rPr>
        <w:t>.</w:t>
      </w:r>
      <w:r w:rsidR="005772E7">
        <w:rPr>
          <w:rFonts w:ascii="Times New Roman" w:eastAsia="Times New Roman" w:hAnsi="Times New Roman" w:cs="Times New Roman"/>
          <w:sz w:val="24"/>
          <w:szCs w:val="24"/>
          <w:lang w:eastAsia="en-GB"/>
        </w:rPr>
        <w:t xml:space="preserve"> </w:t>
      </w:r>
      <w:r w:rsidR="00556AD5">
        <w:rPr>
          <w:rFonts w:ascii="Times New Roman" w:eastAsia="Times New Roman" w:hAnsi="Times New Roman" w:cs="Times New Roman"/>
          <w:sz w:val="24"/>
          <w:szCs w:val="24"/>
          <w:lang w:eastAsia="en-GB"/>
        </w:rPr>
        <w:t xml:space="preserve">In an irony Shakespeare’s Richard II might have appreciated, </w:t>
      </w:r>
      <w:r w:rsidR="007A7C59">
        <w:rPr>
          <w:rFonts w:ascii="Times New Roman" w:eastAsia="Times New Roman" w:hAnsi="Times New Roman" w:cs="Times New Roman"/>
          <w:sz w:val="24"/>
          <w:szCs w:val="24"/>
          <w:lang w:eastAsia="en-GB"/>
        </w:rPr>
        <w:t>Fairfax, t</w:t>
      </w:r>
      <w:r w:rsidR="008A5E1A">
        <w:rPr>
          <w:rFonts w:ascii="Times New Roman" w:eastAsia="Times New Roman" w:hAnsi="Times New Roman" w:cs="Times New Roman"/>
          <w:sz w:val="24"/>
          <w:szCs w:val="24"/>
          <w:lang w:eastAsia="en-GB"/>
        </w:rPr>
        <w:t xml:space="preserve">he </w:t>
      </w:r>
      <w:r w:rsidR="007A7C59">
        <w:rPr>
          <w:rFonts w:ascii="Times New Roman" w:eastAsia="Times New Roman" w:hAnsi="Times New Roman" w:cs="Times New Roman"/>
          <w:sz w:val="24"/>
          <w:szCs w:val="24"/>
          <w:lang w:eastAsia="en-GB"/>
        </w:rPr>
        <w:t xml:space="preserve">bête noire </w:t>
      </w:r>
      <w:r w:rsidR="008A5E1A">
        <w:rPr>
          <w:rFonts w:ascii="Times New Roman" w:eastAsia="Times New Roman" w:hAnsi="Times New Roman" w:cs="Times New Roman"/>
          <w:sz w:val="24"/>
          <w:szCs w:val="24"/>
          <w:lang w:eastAsia="en-GB"/>
        </w:rPr>
        <w:t>of royalist forces</w:t>
      </w:r>
      <w:r w:rsidR="00581EF1">
        <w:rPr>
          <w:rFonts w:ascii="Times New Roman" w:eastAsia="Times New Roman" w:hAnsi="Times New Roman" w:cs="Times New Roman"/>
          <w:sz w:val="24"/>
          <w:szCs w:val="24"/>
          <w:lang w:eastAsia="en-GB"/>
        </w:rPr>
        <w:t>,</w:t>
      </w:r>
      <w:r w:rsidR="008A5E1A">
        <w:rPr>
          <w:rFonts w:ascii="Times New Roman" w:eastAsia="Times New Roman" w:hAnsi="Times New Roman" w:cs="Times New Roman"/>
          <w:sz w:val="24"/>
          <w:szCs w:val="24"/>
          <w:lang w:eastAsia="en-GB"/>
        </w:rPr>
        <w:t xml:space="preserve"> suppl</w:t>
      </w:r>
      <w:r w:rsidR="00686E78">
        <w:rPr>
          <w:rFonts w:ascii="Times New Roman" w:eastAsia="Times New Roman" w:hAnsi="Times New Roman" w:cs="Times New Roman"/>
          <w:sz w:val="24"/>
          <w:szCs w:val="24"/>
          <w:lang w:eastAsia="en-GB"/>
        </w:rPr>
        <w:t>ies</w:t>
      </w:r>
      <w:r w:rsidR="008A5E1A">
        <w:rPr>
          <w:rFonts w:ascii="Times New Roman" w:eastAsia="Times New Roman" w:hAnsi="Times New Roman" w:cs="Times New Roman"/>
          <w:sz w:val="24"/>
          <w:szCs w:val="24"/>
          <w:lang w:eastAsia="en-GB"/>
        </w:rPr>
        <w:t xml:space="preserve"> the horse upon which Charles II rides </w:t>
      </w:r>
      <w:r w:rsidR="00A07865">
        <w:rPr>
          <w:rFonts w:ascii="Times New Roman" w:eastAsia="Times New Roman" w:hAnsi="Times New Roman" w:cs="Times New Roman"/>
          <w:sz w:val="24"/>
          <w:szCs w:val="24"/>
          <w:lang w:eastAsia="en-GB"/>
        </w:rPr>
        <w:t>at</w:t>
      </w:r>
      <w:r w:rsidR="008A5E1A">
        <w:rPr>
          <w:rFonts w:ascii="Times New Roman" w:eastAsia="Times New Roman" w:hAnsi="Times New Roman" w:cs="Times New Roman"/>
          <w:sz w:val="24"/>
          <w:szCs w:val="24"/>
          <w:lang w:eastAsia="en-GB"/>
        </w:rPr>
        <w:t xml:space="preserve"> hi</w:t>
      </w:r>
      <w:r w:rsidR="00556AD5">
        <w:rPr>
          <w:rFonts w:ascii="Times New Roman" w:eastAsia="Times New Roman" w:hAnsi="Times New Roman" w:cs="Times New Roman"/>
          <w:sz w:val="24"/>
          <w:szCs w:val="24"/>
          <w:lang w:eastAsia="en-GB"/>
        </w:rPr>
        <w:t>s coronation.</w:t>
      </w:r>
      <w:r w:rsidR="009575C8">
        <w:rPr>
          <w:rFonts w:ascii="Times New Roman" w:eastAsia="Times New Roman" w:hAnsi="Times New Roman" w:cs="Times New Roman"/>
          <w:sz w:val="24"/>
          <w:szCs w:val="24"/>
          <w:lang w:eastAsia="en-GB"/>
        </w:rPr>
        <w:t xml:space="preserve"> </w:t>
      </w:r>
      <w:r w:rsidR="00B07F31">
        <w:rPr>
          <w:rFonts w:ascii="Times New Roman" w:eastAsia="Times New Roman" w:hAnsi="Times New Roman" w:cs="Times New Roman"/>
          <w:sz w:val="24"/>
          <w:szCs w:val="24"/>
          <w:lang w:eastAsia="en-GB"/>
        </w:rPr>
        <w:t>In th</w:t>
      </w:r>
      <w:r w:rsidR="00806044">
        <w:rPr>
          <w:rFonts w:ascii="Times New Roman" w:eastAsia="Times New Roman" w:hAnsi="Times New Roman" w:cs="Times New Roman"/>
          <w:sz w:val="24"/>
          <w:szCs w:val="24"/>
          <w:lang w:eastAsia="en-GB"/>
        </w:rPr>
        <w:t>is</w:t>
      </w:r>
      <w:r w:rsidR="00B07F31">
        <w:rPr>
          <w:rFonts w:ascii="Times New Roman" w:eastAsia="Times New Roman" w:hAnsi="Times New Roman" w:cs="Times New Roman"/>
          <w:sz w:val="24"/>
          <w:szCs w:val="24"/>
          <w:lang w:eastAsia="en-GB"/>
        </w:rPr>
        <w:t xml:space="preserve"> </w:t>
      </w:r>
      <w:r w:rsidR="009E22F3">
        <w:rPr>
          <w:rFonts w:ascii="Times New Roman" w:eastAsia="Times New Roman" w:hAnsi="Times New Roman" w:cs="Times New Roman"/>
          <w:sz w:val="24"/>
          <w:szCs w:val="24"/>
          <w:lang w:eastAsia="en-GB"/>
        </w:rPr>
        <w:t>view</w:t>
      </w:r>
      <w:r w:rsidR="00B07F31">
        <w:rPr>
          <w:rFonts w:ascii="Times New Roman" w:eastAsia="Times New Roman" w:hAnsi="Times New Roman" w:cs="Times New Roman"/>
          <w:sz w:val="24"/>
          <w:szCs w:val="24"/>
          <w:lang w:eastAsia="en-GB"/>
        </w:rPr>
        <w:t>, wh</w:t>
      </w:r>
      <w:r w:rsidR="005772E7">
        <w:rPr>
          <w:rFonts w:ascii="Times New Roman" w:eastAsia="Times New Roman" w:hAnsi="Times New Roman" w:cs="Times New Roman"/>
          <w:sz w:val="24"/>
          <w:szCs w:val="24"/>
          <w:lang w:eastAsia="en-GB"/>
        </w:rPr>
        <w:t xml:space="preserve">atever awkward issues </w:t>
      </w:r>
      <w:r w:rsidR="00220C0A">
        <w:rPr>
          <w:rFonts w:ascii="Times New Roman" w:eastAsia="Times New Roman" w:hAnsi="Times New Roman" w:cs="Times New Roman"/>
          <w:sz w:val="24"/>
          <w:szCs w:val="24"/>
          <w:lang w:eastAsia="en-GB"/>
        </w:rPr>
        <w:t xml:space="preserve">are </w:t>
      </w:r>
      <w:r w:rsidR="005772E7">
        <w:rPr>
          <w:rFonts w:ascii="Times New Roman" w:eastAsia="Times New Roman" w:hAnsi="Times New Roman" w:cs="Times New Roman"/>
          <w:sz w:val="24"/>
          <w:szCs w:val="24"/>
          <w:lang w:eastAsia="en-GB"/>
        </w:rPr>
        <w:t xml:space="preserve">raised by aspects </w:t>
      </w:r>
      <w:r w:rsidR="002E31A4">
        <w:rPr>
          <w:rFonts w:ascii="Times New Roman" w:eastAsia="Times New Roman" w:hAnsi="Times New Roman" w:cs="Times New Roman"/>
          <w:sz w:val="24"/>
          <w:szCs w:val="24"/>
          <w:lang w:eastAsia="en-GB"/>
        </w:rPr>
        <w:t xml:space="preserve">of his </w:t>
      </w:r>
      <w:r w:rsidR="00343598">
        <w:rPr>
          <w:rFonts w:ascii="Times New Roman" w:eastAsia="Times New Roman" w:hAnsi="Times New Roman" w:cs="Times New Roman"/>
          <w:sz w:val="24"/>
          <w:szCs w:val="24"/>
          <w:lang w:eastAsia="en-GB"/>
        </w:rPr>
        <w:t>Protectorates</w:t>
      </w:r>
      <w:r w:rsidR="005772E7">
        <w:rPr>
          <w:rFonts w:ascii="Times New Roman" w:eastAsia="Times New Roman" w:hAnsi="Times New Roman" w:cs="Times New Roman"/>
          <w:sz w:val="24"/>
          <w:szCs w:val="24"/>
          <w:lang w:eastAsia="en-GB"/>
        </w:rPr>
        <w:t xml:space="preserve">, </w:t>
      </w:r>
      <w:r w:rsidR="001C2B15">
        <w:rPr>
          <w:rFonts w:ascii="Times New Roman" w:eastAsia="Times New Roman" w:hAnsi="Times New Roman" w:cs="Times New Roman"/>
          <w:sz w:val="24"/>
          <w:szCs w:val="24"/>
          <w:lang w:eastAsia="en-GB"/>
        </w:rPr>
        <w:t xml:space="preserve">at least </w:t>
      </w:r>
      <w:r w:rsidR="002E31A4">
        <w:rPr>
          <w:rFonts w:ascii="Times New Roman" w:eastAsia="Times New Roman" w:hAnsi="Times New Roman" w:cs="Times New Roman"/>
          <w:sz w:val="24"/>
          <w:szCs w:val="24"/>
          <w:lang w:eastAsia="en-GB"/>
        </w:rPr>
        <w:t xml:space="preserve">Cromwell’s </w:t>
      </w:r>
      <w:r w:rsidR="005772E7">
        <w:rPr>
          <w:rFonts w:ascii="Times New Roman" w:eastAsia="Times New Roman" w:hAnsi="Times New Roman" w:cs="Times New Roman"/>
          <w:sz w:val="24"/>
          <w:szCs w:val="24"/>
          <w:lang w:eastAsia="en-GB"/>
        </w:rPr>
        <w:t xml:space="preserve">revolutionary credentials </w:t>
      </w:r>
      <w:r w:rsidR="000543D8">
        <w:rPr>
          <w:rFonts w:ascii="Times New Roman" w:eastAsia="Times New Roman" w:hAnsi="Times New Roman" w:cs="Times New Roman"/>
          <w:sz w:val="24"/>
          <w:szCs w:val="24"/>
          <w:lang w:eastAsia="en-GB"/>
        </w:rPr>
        <w:t xml:space="preserve">(broadly conceived) </w:t>
      </w:r>
      <w:r w:rsidR="005772E7">
        <w:rPr>
          <w:rFonts w:ascii="Times New Roman" w:eastAsia="Times New Roman" w:hAnsi="Times New Roman" w:cs="Times New Roman"/>
          <w:sz w:val="24"/>
          <w:szCs w:val="24"/>
          <w:lang w:eastAsia="en-GB"/>
        </w:rPr>
        <w:t>remained</w:t>
      </w:r>
      <w:r w:rsidR="000543D8">
        <w:rPr>
          <w:rFonts w:ascii="Times New Roman" w:eastAsia="Times New Roman" w:hAnsi="Times New Roman" w:cs="Times New Roman"/>
          <w:sz w:val="24"/>
          <w:szCs w:val="24"/>
          <w:lang w:eastAsia="en-GB"/>
        </w:rPr>
        <w:t xml:space="preserve"> </w:t>
      </w:r>
      <w:r w:rsidR="00893EBA">
        <w:rPr>
          <w:rFonts w:ascii="Times New Roman" w:eastAsia="Times New Roman" w:hAnsi="Times New Roman" w:cs="Times New Roman"/>
          <w:sz w:val="24"/>
          <w:szCs w:val="24"/>
          <w:lang w:eastAsia="en-GB"/>
        </w:rPr>
        <w:t xml:space="preserve">impeccable to the last. </w:t>
      </w:r>
      <w:r w:rsidR="005222B1">
        <w:rPr>
          <w:rFonts w:ascii="Times New Roman" w:eastAsia="Times New Roman" w:hAnsi="Times New Roman" w:cs="Times New Roman"/>
          <w:sz w:val="24"/>
          <w:szCs w:val="24"/>
          <w:lang w:eastAsia="en-GB"/>
        </w:rPr>
        <w:t xml:space="preserve">Even without </w:t>
      </w:r>
      <w:r w:rsidR="00BB5541">
        <w:rPr>
          <w:rFonts w:ascii="Times New Roman" w:eastAsia="Times New Roman" w:hAnsi="Times New Roman" w:cs="Times New Roman"/>
          <w:sz w:val="24"/>
          <w:szCs w:val="24"/>
          <w:lang w:eastAsia="en-GB"/>
        </w:rPr>
        <w:t xml:space="preserve">his </w:t>
      </w:r>
      <w:r w:rsidR="005222B1">
        <w:rPr>
          <w:rFonts w:ascii="Times New Roman" w:eastAsia="Times New Roman" w:hAnsi="Times New Roman" w:cs="Times New Roman"/>
          <w:sz w:val="24"/>
          <w:szCs w:val="24"/>
          <w:lang w:eastAsia="en-GB"/>
        </w:rPr>
        <w:t xml:space="preserve">apparent volte-face of 1660, however, </w:t>
      </w:r>
      <w:r w:rsidR="00BB5541">
        <w:rPr>
          <w:rFonts w:ascii="Times New Roman" w:eastAsia="Times New Roman" w:hAnsi="Times New Roman" w:cs="Times New Roman"/>
          <w:sz w:val="24"/>
          <w:szCs w:val="24"/>
          <w:lang w:eastAsia="en-GB"/>
        </w:rPr>
        <w:t xml:space="preserve">contemporary disquiet </w:t>
      </w:r>
      <w:r w:rsidR="002B7762">
        <w:rPr>
          <w:rFonts w:ascii="Times New Roman" w:eastAsia="Times New Roman" w:hAnsi="Times New Roman" w:cs="Times New Roman"/>
          <w:sz w:val="24"/>
          <w:szCs w:val="24"/>
          <w:lang w:eastAsia="en-GB"/>
        </w:rPr>
        <w:t>at Fairfax’s re</w:t>
      </w:r>
      <w:r w:rsidR="005222B1">
        <w:rPr>
          <w:rFonts w:ascii="Times New Roman" w:eastAsia="Times New Roman" w:hAnsi="Times New Roman" w:cs="Times New Roman"/>
          <w:sz w:val="24"/>
          <w:szCs w:val="24"/>
          <w:lang w:eastAsia="en-GB"/>
        </w:rPr>
        <w:t>signation</w:t>
      </w:r>
      <w:r w:rsidR="002B7762">
        <w:rPr>
          <w:rFonts w:ascii="Times New Roman" w:eastAsia="Times New Roman" w:hAnsi="Times New Roman" w:cs="Times New Roman"/>
          <w:sz w:val="24"/>
          <w:szCs w:val="24"/>
          <w:lang w:eastAsia="en-GB"/>
        </w:rPr>
        <w:t xml:space="preserve">, and the political attitudes informing it, </w:t>
      </w:r>
      <w:r w:rsidR="005222B1">
        <w:rPr>
          <w:rFonts w:ascii="Times New Roman" w:eastAsia="Times New Roman" w:hAnsi="Times New Roman" w:cs="Times New Roman"/>
          <w:sz w:val="24"/>
          <w:szCs w:val="24"/>
          <w:lang w:eastAsia="en-GB"/>
        </w:rPr>
        <w:t xml:space="preserve">had </w:t>
      </w:r>
      <w:r w:rsidR="00BB5541">
        <w:rPr>
          <w:rFonts w:ascii="Times New Roman" w:eastAsia="Times New Roman" w:hAnsi="Times New Roman" w:cs="Times New Roman"/>
          <w:sz w:val="24"/>
          <w:szCs w:val="24"/>
          <w:lang w:eastAsia="en-GB"/>
        </w:rPr>
        <w:t xml:space="preserve">left its </w:t>
      </w:r>
      <w:r w:rsidR="005222B1">
        <w:rPr>
          <w:rFonts w:ascii="Times New Roman" w:eastAsia="Times New Roman" w:hAnsi="Times New Roman" w:cs="Times New Roman"/>
          <w:sz w:val="24"/>
          <w:szCs w:val="24"/>
          <w:lang w:eastAsia="en-GB"/>
        </w:rPr>
        <w:t>mark</w:t>
      </w:r>
      <w:r w:rsidR="00D218FA">
        <w:rPr>
          <w:rFonts w:ascii="Times New Roman" w:eastAsia="Times New Roman" w:hAnsi="Times New Roman" w:cs="Times New Roman"/>
          <w:sz w:val="24"/>
          <w:szCs w:val="24"/>
          <w:lang w:eastAsia="en-GB"/>
        </w:rPr>
        <w:t>, and f</w:t>
      </w:r>
      <w:r w:rsidR="00BB5541">
        <w:rPr>
          <w:rFonts w:ascii="Times New Roman" w:eastAsia="Times New Roman" w:hAnsi="Times New Roman" w:cs="Times New Roman"/>
          <w:sz w:val="24"/>
          <w:szCs w:val="24"/>
          <w:lang w:eastAsia="en-GB"/>
        </w:rPr>
        <w:t xml:space="preserve">or </w:t>
      </w:r>
      <w:r w:rsidR="005222B1">
        <w:rPr>
          <w:rFonts w:ascii="Times New Roman" w:eastAsia="Times New Roman" w:hAnsi="Times New Roman" w:cs="Times New Roman"/>
          <w:sz w:val="24"/>
          <w:szCs w:val="24"/>
          <w:lang w:eastAsia="en-GB"/>
        </w:rPr>
        <w:t xml:space="preserve">this </w:t>
      </w:r>
      <w:r w:rsidR="008A654C">
        <w:rPr>
          <w:rFonts w:ascii="Times New Roman" w:eastAsia="Times New Roman" w:hAnsi="Times New Roman" w:cs="Times New Roman"/>
          <w:sz w:val="24"/>
          <w:szCs w:val="24"/>
          <w:lang w:eastAsia="en-GB"/>
        </w:rPr>
        <w:t xml:space="preserve">far-reaching consequence </w:t>
      </w:r>
      <w:r w:rsidR="005222B1">
        <w:rPr>
          <w:rFonts w:ascii="Times New Roman" w:eastAsia="Times New Roman" w:hAnsi="Times New Roman" w:cs="Times New Roman"/>
          <w:sz w:val="24"/>
          <w:szCs w:val="24"/>
          <w:lang w:eastAsia="en-GB"/>
        </w:rPr>
        <w:t xml:space="preserve">the event itself </w:t>
      </w:r>
      <w:r w:rsidR="008A654C">
        <w:rPr>
          <w:rFonts w:ascii="Times New Roman" w:eastAsia="Times New Roman" w:hAnsi="Times New Roman" w:cs="Times New Roman"/>
          <w:sz w:val="24"/>
          <w:szCs w:val="24"/>
          <w:lang w:eastAsia="en-GB"/>
        </w:rPr>
        <w:t xml:space="preserve">is worthy of close scrutiny. </w:t>
      </w:r>
    </w:p>
    <w:p w:rsidR="008F5B3E" w:rsidRDefault="008F5B3E" w:rsidP="00763634">
      <w:pPr>
        <w:tabs>
          <w:tab w:val="left" w:pos="540"/>
        </w:tabs>
        <w:spacing w:after="0" w:line="480" w:lineRule="auto"/>
        <w:jc w:val="both"/>
        <w:rPr>
          <w:rFonts w:ascii="Times New Roman" w:eastAsia="Times New Roman" w:hAnsi="Times New Roman" w:cs="Times New Roman"/>
          <w:sz w:val="24"/>
          <w:szCs w:val="24"/>
          <w:lang w:eastAsia="en-GB"/>
        </w:rPr>
      </w:pPr>
    </w:p>
    <w:p w:rsidR="008F5B3E" w:rsidRDefault="008F5B3E" w:rsidP="00763634">
      <w:pPr>
        <w:tabs>
          <w:tab w:val="left" w:pos="540"/>
        </w:tabs>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w:t>
      </w:r>
    </w:p>
    <w:p w:rsidR="00D16725" w:rsidRPr="009004F1" w:rsidRDefault="009B03DE" w:rsidP="00763634">
      <w:pPr>
        <w:spacing w:after="0" w:line="480" w:lineRule="auto"/>
        <w:jc w:val="both"/>
        <w:rPr>
          <w:rFonts w:ascii="Times New Roman" w:eastAsia="Times New Roman" w:hAnsi="Times New Roman" w:cs="Times New Roman"/>
          <w:sz w:val="24"/>
          <w:szCs w:val="24"/>
        </w:rPr>
      </w:pPr>
      <w:r w:rsidRPr="009B03DE">
        <w:rPr>
          <w:rFonts w:ascii="Times New Roman" w:eastAsia="Times New Roman" w:hAnsi="Times New Roman" w:cs="Times New Roman"/>
          <w:sz w:val="24"/>
          <w:szCs w:val="24"/>
          <w:lang w:eastAsia="en-GB"/>
        </w:rPr>
        <w:t>Fairfax resigned his commission</w:t>
      </w:r>
      <w:r w:rsidR="00D16725">
        <w:rPr>
          <w:rFonts w:ascii="Times New Roman" w:eastAsia="Times New Roman" w:hAnsi="Times New Roman" w:cs="Times New Roman"/>
          <w:sz w:val="24"/>
          <w:szCs w:val="24"/>
          <w:lang w:eastAsia="en-GB"/>
        </w:rPr>
        <w:t xml:space="preserve"> in a letter to Speaker </w:t>
      </w:r>
      <w:r w:rsidR="00D45D56">
        <w:rPr>
          <w:rFonts w:ascii="Times New Roman" w:eastAsia="Times New Roman" w:hAnsi="Times New Roman" w:cs="Times New Roman"/>
          <w:sz w:val="24"/>
          <w:szCs w:val="24"/>
          <w:lang w:eastAsia="en-GB"/>
        </w:rPr>
        <w:t xml:space="preserve">Lenthall </w:t>
      </w:r>
      <w:r w:rsidR="00D16725">
        <w:rPr>
          <w:rFonts w:ascii="Times New Roman" w:eastAsia="Times New Roman" w:hAnsi="Times New Roman" w:cs="Times New Roman"/>
          <w:sz w:val="24"/>
          <w:szCs w:val="24"/>
          <w:lang w:eastAsia="en-GB"/>
        </w:rPr>
        <w:t xml:space="preserve">dated 25 June 1650. In it, he </w:t>
      </w:r>
      <w:r w:rsidR="00D16725" w:rsidRPr="009004F1">
        <w:rPr>
          <w:rFonts w:ascii="Times New Roman" w:eastAsia="Times New Roman" w:hAnsi="Times New Roman" w:cs="Times New Roman"/>
          <w:sz w:val="24"/>
          <w:szCs w:val="24"/>
        </w:rPr>
        <w:t>explain</w:t>
      </w:r>
      <w:r w:rsidR="00D16725">
        <w:rPr>
          <w:rFonts w:ascii="Times New Roman" w:eastAsia="Times New Roman" w:hAnsi="Times New Roman" w:cs="Times New Roman"/>
          <w:sz w:val="24"/>
          <w:szCs w:val="24"/>
        </w:rPr>
        <w:t>ed</w:t>
      </w:r>
      <w:r w:rsidR="00D16725" w:rsidRPr="009004F1">
        <w:rPr>
          <w:rFonts w:ascii="Times New Roman" w:eastAsia="Times New Roman" w:hAnsi="Times New Roman" w:cs="Times New Roman"/>
          <w:sz w:val="24"/>
          <w:szCs w:val="24"/>
        </w:rPr>
        <w:t xml:space="preserve"> in </w:t>
      </w:r>
      <w:r w:rsidR="00B20C2D">
        <w:rPr>
          <w:rFonts w:ascii="Times New Roman" w:eastAsia="Times New Roman" w:hAnsi="Times New Roman" w:cs="Times New Roman"/>
          <w:sz w:val="24"/>
          <w:szCs w:val="24"/>
        </w:rPr>
        <w:t xml:space="preserve">typically </w:t>
      </w:r>
      <w:r w:rsidR="00D16725" w:rsidRPr="009004F1">
        <w:rPr>
          <w:rFonts w:ascii="Times New Roman" w:eastAsia="Times New Roman" w:hAnsi="Times New Roman" w:cs="Times New Roman"/>
          <w:sz w:val="24"/>
          <w:szCs w:val="24"/>
        </w:rPr>
        <w:t>sober terms that</w:t>
      </w:r>
    </w:p>
    <w:p w:rsidR="00D16725" w:rsidRPr="009004F1" w:rsidRDefault="00D16725" w:rsidP="00763634">
      <w:pPr>
        <w:spacing w:after="0" w:line="480" w:lineRule="auto"/>
        <w:jc w:val="both"/>
        <w:rPr>
          <w:rFonts w:ascii="Times New Roman" w:eastAsia="Times New Roman" w:hAnsi="Times New Roman" w:cs="Times New Roman"/>
          <w:sz w:val="24"/>
          <w:szCs w:val="24"/>
        </w:rPr>
      </w:pPr>
    </w:p>
    <w:p w:rsidR="00D16725" w:rsidRPr="00D16725" w:rsidRDefault="00D16725" w:rsidP="00763634">
      <w:pPr>
        <w:spacing w:after="0" w:line="480" w:lineRule="auto"/>
        <w:ind w:left="720"/>
        <w:jc w:val="both"/>
        <w:rPr>
          <w:rFonts w:ascii="Times New Roman" w:eastAsia="Times New Roman" w:hAnsi="Times New Roman" w:cs="Times New Roman"/>
        </w:rPr>
      </w:pPr>
      <w:r w:rsidRPr="00D16725">
        <w:rPr>
          <w:rFonts w:ascii="Times New Roman" w:eastAsia="Times New Roman" w:hAnsi="Times New Roman" w:cs="Times New Roman"/>
        </w:rPr>
        <w:t xml:space="preserve">Having lately received from the Parliament a new Commission as generall of these and so determining my former, I saw it was fitt for me seriously to </w:t>
      </w:r>
      <w:r>
        <w:rPr>
          <w:rFonts w:ascii="Times New Roman" w:eastAsia="Times New Roman" w:hAnsi="Times New Roman" w:cs="Times New Roman"/>
        </w:rPr>
        <w:t xml:space="preserve">consider how I might with good </w:t>
      </w:r>
      <w:r w:rsidRPr="00D16725">
        <w:rPr>
          <w:rFonts w:ascii="Times New Roman" w:eastAsia="Times New Roman" w:hAnsi="Times New Roman" w:cs="Times New Roman"/>
        </w:rPr>
        <w:t xml:space="preserve">conscience take that trust, and imployment upon me; But finding debilities both in body and </w:t>
      </w:r>
      <w:r w:rsidRPr="00D16725">
        <w:rPr>
          <w:rFonts w:ascii="Times New Roman" w:eastAsia="Times New Roman" w:hAnsi="Times New Roman" w:cs="Times New Roman"/>
        </w:rPr>
        <w:lastRenderedPageBreak/>
        <w:t>minde, occasioned by former actions and businesses, hat</w:t>
      </w:r>
      <w:r>
        <w:rPr>
          <w:rFonts w:ascii="Times New Roman" w:eastAsia="Times New Roman" w:hAnsi="Times New Roman" w:cs="Times New Roman"/>
        </w:rPr>
        <w:t xml:space="preserve">h caused mee not to be free to </w:t>
      </w:r>
      <w:r w:rsidRPr="00D16725">
        <w:rPr>
          <w:rFonts w:ascii="Times New Roman" w:eastAsia="Times New Roman" w:hAnsi="Times New Roman" w:cs="Times New Roman"/>
        </w:rPr>
        <w:t>undertake this new chance, so as I cannot but humbly desire to be excused of it.</w:t>
      </w:r>
      <w:r w:rsidRPr="00D16725">
        <w:rPr>
          <w:rFonts w:ascii="Times New Roman" w:eastAsia="Times New Roman" w:hAnsi="Times New Roman" w:cs="Times New Roman"/>
          <w:vertAlign w:val="superscript"/>
        </w:rPr>
        <w:footnoteReference w:id="4"/>
      </w:r>
      <w:r w:rsidRPr="00D16725">
        <w:rPr>
          <w:rFonts w:ascii="Times New Roman" w:eastAsia="Times New Roman" w:hAnsi="Times New Roman" w:cs="Times New Roman"/>
        </w:rPr>
        <w:t xml:space="preserve">  </w:t>
      </w:r>
    </w:p>
    <w:p w:rsidR="00D16725" w:rsidRPr="009004F1" w:rsidRDefault="00D16725" w:rsidP="00763634">
      <w:pPr>
        <w:spacing w:after="0" w:line="480" w:lineRule="auto"/>
        <w:jc w:val="both"/>
        <w:rPr>
          <w:rFonts w:ascii="Times New Roman" w:eastAsia="Times New Roman" w:hAnsi="Times New Roman" w:cs="Times New Roman"/>
          <w:sz w:val="24"/>
          <w:szCs w:val="24"/>
        </w:rPr>
      </w:pPr>
    </w:p>
    <w:p w:rsidR="00087C91" w:rsidRDefault="0065533A"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w:t>
      </w:r>
      <w:r w:rsidR="009F689A">
        <w:rPr>
          <w:rFonts w:ascii="Times New Roman" w:eastAsia="Times New Roman" w:hAnsi="Times New Roman" w:cs="Times New Roman"/>
          <w:sz w:val="24"/>
          <w:szCs w:val="24"/>
        </w:rPr>
        <w:t xml:space="preserve">reasons </w:t>
      </w:r>
      <w:r w:rsidR="005B262B">
        <w:rPr>
          <w:rFonts w:ascii="Times New Roman" w:eastAsia="Times New Roman" w:hAnsi="Times New Roman" w:cs="Times New Roman"/>
          <w:sz w:val="24"/>
          <w:szCs w:val="24"/>
        </w:rPr>
        <w:t xml:space="preserve">seemed wholly </w:t>
      </w:r>
      <w:r w:rsidR="009F689A">
        <w:rPr>
          <w:rFonts w:ascii="Times New Roman" w:eastAsia="Times New Roman" w:hAnsi="Times New Roman" w:cs="Times New Roman"/>
          <w:sz w:val="24"/>
          <w:szCs w:val="24"/>
        </w:rPr>
        <w:t xml:space="preserve">plausible. </w:t>
      </w:r>
      <w:r w:rsidR="00CF61E9" w:rsidRPr="009004F1">
        <w:rPr>
          <w:rFonts w:ascii="Times New Roman" w:eastAsia="Times New Roman" w:hAnsi="Times New Roman" w:cs="Times New Roman"/>
          <w:sz w:val="24"/>
          <w:szCs w:val="24"/>
        </w:rPr>
        <w:t>‘</w:t>
      </w:r>
      <w:r w:rsidR="009F689A">
        <w:rPr>
          <w:rFonts w:ascii="Times New Roman" w:eastAsia="Times New Roman" w:hAnsi="Times New Roman" w:cs="Times New Roman"/>
          <w:sz w:val="24"/>
          <w:szCs w:val="24"/>
        </w:rPr>
        <w:t>D</w:t>
      </w:r>
      <w:r w:rsidR="00CF61E9" w:rsidRPr="009004F1">
        <w:rPr>
          <w:rFonts w:ascii="Times New Roman" w:eastAsia="Times New Roman" w:hAnsi="Times New Roman" w:cs="Times New Roman"/>
          <w:sz w:val="24"/>
          <w:szCs w:val="24"/>
        </w:rPr>
        <w:t>ebilities both in body and minde’</w:t>
      </w:r>
      <w:r w:rsidR="009F689A">
        <w:rPr>
          <w:rFonts w:ascii="Times New Roman" w:eastAsia="Times New Roman" w:hAnsi="Times New Roman" w:cs="Times New Roman"/>
          <w:sz w:val="24"/>
          <w:szCs w:val="24"/>
        </w:rPr>
        <w:t xml:space="preserve"> </w:t>
      </w:r>
      <w:r w:rsidR="005E14AF">
        <w:rPr>
          <w:rFonts w:ascii="Times New Roman" w:eastAsia="Times New Roman" w:hAnsi="Times New Roman" w:cs="Times New Roman"/>
          <w:sz w:val="24"/>
          <w:szCs w:val="24"/>
        </w:rPr>
        <w:t xml:space="preserve">appeared a credible explanation for </w:t>
      </w:r>
      <w:r w:rsidR="00CF61E9" w:rsidRPr="009004F1">
        <w:rPr>
          <w:rFonts w:ascii="Times New Roman" w:eastAsia="Times New Roman" w:hAnsi="Times New Roman" w:cs="Times New Roman"/>
          <w:sz w:val="24"/>
          <w:szCs w:val="24"/>
        </w:rPr>
        <w:t xml:space="preserve">a loyal, long-serving and war-worn </w:t>
      </w:r>
      <w:r w:rsidR="009F689A">
        <w:rPr>
          <w:rFonts w:ascii="Times New Roman" w:eastAsia="Times New Roman" w:hAnsi="Times New Roman" w:cs="Times New Roman"/>
          <w:sz w:val="24"/>
          <w:szCs w:val="24"/>
        </w:rPr>
        <w:t>General</w:t>
      </w:r>
      <w:r w:rsidR="00F51548">
        <w:rPr>
          <w:rFonts w:ascii="Times New Roman" w:eastAsia="Times New Roman" w:hAnsi="Times New Roman" w:cs="Times New Roman"/>
          <w:sz w:val="24"/>
          <w:szCs w:val="24"/>
        </w:rPr>
        <w:t xml:space="preserve"> </w:t>
      </w:r>
      <w:r w:rsidR="0053310C">
        <w:rPr>
          <w:rFonts w:ascii="Times New Roman" w:eastAsia="Times New Roman" w:hAnsi="Times New Roman" w:cs="Times New Roman"/>
          <w:sz w:val="24"/>
          <w:szCs w:val="24"/>
        </w:rPr>
        <w:t xml:space="preserve">wishing </w:t>
      </w:r>
      <w:r w:rsidR="005E14AF">
        <w:rPr>
          <w:rFonts w:ascii="Times New Roman" w:eastAsia="Times New Roman" w:hAnsi="Times New Roman" w:cs="Times New Roman"/>
          <w:sz w:val="24"/>
          <w:szCs w:val="24"/>
        </w:rPr>
        <w:t xml:space="preserve">to </w:t>
      </w:r>
      <w:r w:rsidR="00F51548">
        <w:rPr>
          <w:rFonts w:ascii="Times New Roman" w:eastAsia="Times New Roman" w:hAnsi="Times New Roman" w:cs="Times New Roman"/>
          <w:sz w:val="24"/>
          <w:szCs w:val="24"/>
        </w:rPr>
        <w:t>tak</w:t>
      </w:r>
      <w:r w:rsidR="005E14AF">
        <w:rPr>
          <w:rFonts w:ascii="Times New Roman" w:eastAsia="Times New Roman" w:hAnsi="Times New Roman" w:cs="Times New Roman"/>
          <w:sz w:val="24"/>
          <w:szCs w:val="24"/>
        </w:rPr>
        <w:t xml:space="preserve">e </w:t>
      </w:r>
      <w:r w:rsidR="009F689A">
        <w:rPr>
          <w:rFonts w:ascii="Times New Roman" w:eastAsia="Times New Roman" w:hAnsi="Times New Roman" w:cs="Times New Roman"/>
          <w:sz w:val="24"/>
          <w:szCs w:val="24"/>
        </w:rPr>
        <w:t xml:space="preserve">permanent </w:t>
      </w:r>
      <w:r w:rsidR="00F51548">
        <w:rPr>
          <w:rFonts w:ascii="Times New Roman" w:eastAsia="Times New Roman" w:hAnsi="Times New Roman" w:cs="Times New Roman"/>
          <w:sz w:val="24"/>
          <w:szCs w:val="24"/>
        </w:rPr>
        <w:t xml:space="preserve">leave </w:t>
      </w:r>
      <w:r w:rsidR="00CF61E9" w:rsidRPr="009004F1">
        <w:rPr>
          <w:rFonts w:ascii="Times New Roman" w:eastAsia="Times New Roman" w:hAnsi="Times New Roman" w:cs="Times New Roman"/>
          <w:sz w:val="24"/>
          <w:szCs w:val="24"/>
        </w:rPr>
        <w:t xml:space="preserve">from the ravages of </w:t>
      </w:r>
      <w:r w:rsidR="009F689A">
        <w:rPr>
          <w:rFonts w:ascii="Times New Roman" w:eastAsia="Times New Roman" w:hAnsi="Times New Roman" w:cs="Times New Roman"/>
          <w:sz w:val="24"/>
          <w:szCs w:val="24"/>
        </w:rPr>
        <w:t>the battlefield</w:t>
      </w:r>
      <w:r w:rsidR="00087C91">
        <w:rPr>
          <w:rFonts w:ascii="Times New Roman" w:eastAsia="Times New Roman" w:hAnsi="Times New Roman" w:cs="Times New Roman"/>
          <w:sz w:val="24"/>
          <w:szCs w:val="24"/>
        </w:rPr>
        <w:t>,</w:t>
      </w:r>
      <w:r w:rsidR="009F689A">
        <w:rPr>
          <w:rFonts w:ascii="Times New Roman" w:eastAsia="Times New Roman" w:hAnsi="Times New Roman" w:cs="Times New Roman"/>
          <w:sz w:val="24"/>
          <w:szCs w:val="24"/>
        </w:rPr>
        <w:t xml:space="preserve"> </w:t>
      </w:r>
      <w:r w:rsidR="00087C91">
        <w:rPr>
          <w:rFonts w:ascii="Times New Roman" w:eastAsia="Times New Roman" w:hAnsi="Times New Roman" w:cs="Times New Roman"/>
          <w:sz w:val="24"/>
          <w:szCs w:val="24"/>
        </w:rPr>
        <w:t>to</w:t>
      </w:r>
      <w:r w:rsidR="009F689A">
        <w:rPr>
          <w:rFonts w:ascii="Times New Roman" w:eastAsia="Times New Roman" w:hAnsi="Times New Roman" w:cs="Times New Roman"/>
          <w:sz w:val="24"/>
          <w:szCs w:val="24"/>
        </w:rPr>
        <w:t xml:space="preserve"> </w:t>
      </w:r>
      <w:r w:rsidR="00CF61E9" w:rsidRPr="009004F1">
        <w:rPr>
          <w:rFonts w:ascii="Times New Roman" w:eastAsia="Times New Roman" w:hAnsi="Times New Roman" w:cs="Times New Roman"/>
          <w:sz w:val="24"/>
          <w:szCs w:val="24"/>
        </w:rPr>
        <w:t>slip honourably</w:t>
      </w:r>
      <w:r w:rsidR="009F689A">
        <w:rPr>
          <w:rFonts w:ascii="Times New Roman" w:eastAsia="Times New Roman" w:hAnsi="Times New Roman" w:cs="Times New Roman"/>
          <w:sz w:val="24"/>
          <w:szCs w:val="24"/>
        </w:rPr>
        <w:t xml:space="preserve"> and s</w:t>
      </w:r>
      <w:r w:rsidR="00CF61E9" w:rsidRPr="009004F1">
        <w:rPr>
          <w:rFonts w:ascii="Times New Roman" w:eastAsia="Times New Roman" w:hAnsi="Times New Roman" w:cs="Times New Roman"/>
          <w:sz w:val="24"/>
          <w:szCs w:val="24"/>
        </w:rPr>
        <w:t>eamlessly</w:t>
      </w:r>
      <w:r w:rsidR="009F689A">
        <w:rPr>
          <w:rFonts w:ascii="Times New Roman" w:eastAsia="Times New Roman" w:hAnsi="Times New Roman" w:cs="Times New Roman"/>
          <w:sz w:val="24"/>
          <w:szCs w:val="24"/>
        </w:rPr>
        <w:t xml:space="preserve"> </w:t>
      </w:r>
      <w:r w:rsidR="00CF61E9" w:rsidRPr="009004F1">
        <w:rPr>
          <w:rFonts w:ascii="Times New Roman" w:eastAsia="Times New Roman" w:hAnsi="Times New Roman" w:cs="Times New Roman"/>
          <w:sz w:val="24"/>
          <w:szCs w:val="24"/>
        </w:rPr>
        <w:t xml:space="preserve">into a well-earned and dignified retirement. </w:t>
      </w:r>
      <w:r w:rsidR="00CA3A92">
        <w:rPr>
          <w:rFonts w:ascii="Times New Roman" w:eastAsia="Times New Roman" w:hAnsi="Times New Roman" w:cs="Times New Roman"/>
          <w:sz w:val="24"/>
          <w:szCs w:val="24"/>
        </w:rPr>
        <w:t xml:space="preserve">Long </w:t>
      </w:r>
      <w:r w:rsidR="00CF61E9" w:rsidRPr="009004F1">
        <w:rPr>
          <w:rFonts w:ascii="Times New Roman" w:eastAsia="Times New Roman" w:hAnsi="Times New Roman" w:cs="Times New Roman"/>
          <w:sz w:val="24"/>
          <w:szCs w:val="24"/>
        </w:rPr>
        <w:t xml:space="preserve">before bad health blighted his final years in the late 1660s and early 1670s, </w:t>
      </w:r>
      <w:r w:rsidR="00CA3A92">
        <w:rPr>
          <w:rFonts w:ascii="Times New Roman" w:eastAsia="Times New Roman" w:hAnsi="Times New Roman" w:cs="Times New Roman"/>
          <w:sz w:val="24"/>
          <w:szCs w:val="24"/>
        </w:rPr>
        <w:t xml:space="preserve">injuries </w:t>
      </w:r>
      <w:r w:rsidR="00CF61E9" w:rsidRPr="009004F1">
        <w:rPr>
          <w:rFonts w:ascii="Times New Roman" w:eastAsia="Times New Roman" w:hAnsi="Times New Roman" w:cs="Times New Roman"/>
          <w:sz w:val="24"/>
          <w:szCs w:val="24"/>
        </w:rPr>
        <w:t>suffered in the course of battle had</w:t>
      </w:r>
      <w:r w:rsidR="00B20C2D">
        <w:rPr>
          <w:rFonts w:ascii="Times New Roman" w:eastAsia="Times New Roman" w:hAnsi="Times New Roman" w:cs="Times New Roman"/>
          <w:sz w:val="24"/>
          <w:szCs w:val="24"/>
        </w:rPr>
        <w:t xml:space="preserve"> all too </w:t>
      </w:r>
      <w:r w:rsidR="00CF61E9" w:rsidRPr="009004F1">
        <w:rPr>
          <w:rFonts w:ascii="Times New Roman" w:eastAsia="Times New Roman" w:hAnsi="Times New Roman" w:cs="Times New Roman"/>
          <w:sz w:val="24"/>
          <w:szCs w:val="24"/>
        </w:rPr>
        <w:t>literally left their mark</w:t>
      </w:r>
      <w:r w:rsidR="005B262B">
        <w:rPr>
          <w:rFonts w:ascii="Times New Roman" w:eastAsia="Times New Roman" w:hAnsi="Times New Roman" w:cs="Times New Roman"/>
          <w:sz w:val="24"/>
          <w:szCs w:val="24"/>
        </w:rPr>
        <w:t xml:space="preserve"> on Fairfax</w:t>
      </w:r>
      <w:r w:rsidR="00F51548">
        <w:rPr>
          <w:rFonts w:ascii="Times New Roman" w:eastAsia="Times New Roman" w:hAnsi="Times New Roman" w:cs="Times New Roman"/>
          <w:sz w:val="24"/>
          <w:szCs w:val="24"/>
        </w:rPr>
        <w:t xml:space="preserve">. These included </w:t>
      </w:r>
      <w:r w:rsidR="00CF61E9" w:rsidRPr="009004F1">
        <w:rPr>
          <w:rFonts w:ascii="Times New Roman" w:eastAsia="Times New Roman" w:hAnsi="Times New Roman" w:cs="Times New Roman"/>
          <w:sz w:val="24"/>
          <w:szCs w:val="24"/>
        </w:rPr>
        <w:t xml:space="preserve">a serious sabre wound to the head </w:t>
      </w:r>
      <w:r w:rsidR="006B6550">
        <w:rPr>
          <w:rFonts w:ascii="Times New Roman" w:eastAsia="Times New Roman" w:hAnsi="Times New Roman" w:cs="Times New Roman"/>
          <w:sz w:val="24"/>
          <w:szCs w:val="24"/>
        </w:rPr>
        <w:t xml:space="preserve">sustained </w:t>
      </w:r>
      <w:r w:rsidR="00CF61E9" w:rsidRPr="009004F1">
        <w:rPr>
          <w:rFonts w:ascii="Times New Roman" w:eastAsia="Times New Roman" w:hAnsi="Times New Roman" w:cs="Times New Roman"/>
          <w:sz w:val="24"/>
          <w:szCs w:val="24"/>
        </w:rPr>
        <w:t>at Marston Moor</w:t>
      </w:r>
      <w:r w:rsidR="00CA3A92">
        <w:rPr>
          <w:rFonts w:ascii="Times New Roman" w:eastAsia="Times New Roman" w:hAnsi="Times New Roman" w:cs="Times New Roman"/>
          <w:sz w:val="24"/>
          <w:szCs w:val="24"/>
        </w:rPr>
        <w:t xml:space="preserve">, </w:t>
      </w:r>
      <w:r w:rsidR="00CF61E9" w:rsidRPr="009004F1">
        <w:rPr>
          <w:rFonts w:ascii="Times New Roman" w:eastAsia="Times New Roman" w:hAnsi="Times New Roman" w:cs="Times New Roman"/>
          <w:sz w:val="24"/>
          <w:szCs w:val="24"/>
        </w:rPr>
        <w:t xml:space="preserve">which scarred </w:t>
      </w:r>
      <w:r w:rsidR="00CA3A92">
        <w:rPr>
          <w:rFonts w:ascii="Times New Roman" w:eastAsia="Times New Roman" w:hAnsi="Times New Roman" w:cs="Times New Roman"/>
          <w:sz w:val="24"/>
          <w:szCs w:val="24"/>
        </w:rPr>
        <w:t xml:space="preserve">him </w:t>
      </w:r>
      <w:r w:rsidR="00CF61E9" w:rsidRPr="009004F1">
        <w:rPr>
          <w:rFonts w:ascii="Times New Roman" w:eastAsia="Times New Roman" w:hAnsi="Times New Roman" w:cs="Times New Roman"/>
          <w:sz w:val="24"/>
          <w:szCs w:val="24"/>
        </w:rPr>
        <w:t>for l</w:t>
      </w:r>
      <w:r w:rsidR="00CA3A92">
        <w:rPr>
          <w:rFonts w:ascii="Times New Roman" w:eastAsia="Times New Roman" w:hAnsi="Times New Roman" w:cs="Times New Roman"/>
          <w:sz w:val="24"/>
          <w:szCs w:val="24"/>
        </w:rPr>
        <w:t>i</w:t>
      </w:r>
      <w:r w:rsidR="00CF61E9" w:rsidRPr="009004F1">
        <w:rPr>
          <w:rFonts w:ascii="Times New Roman" w:eastAsia="Times New Roman" w:hAnsi="Times New Roman" w:cs="Times New Roman"/>
          <w:sz w:val="24"/>
          <w:szCs w:val="24"/>
        </w:rPr>
        <w:t xml:space="preserve">fe. </w:t>
      </w:r>
      <w:r w:rsidR="002A49FA">
        <w:rPr>
          <w:rFonts w:ascii="Times New Roman" w:eastAsia="Times New Roman" w:hAnsi="Times New Roman" w:cs="Times New Roman"/>
          <w:sz w:val="24"/>
          <w:szCs w:val="24"/>
        </w:rPr>
        <w:t>I</w:t>
      </w:r>
      <w:r w:rsidR="00CF61E9" w:rsidRPr="009004F1">
        <w:rPr>
          <w:rFonts w:ascii="Times New Roman" w:eastAsia="Times New Roman" w:hAnsi="Times New Roman" w:cs="Times New Roman"/>
          <w:sz w:val="24"/>
          <w:szCs w:val="24"/>
        </w:rPr>
        <w:t>nfirmities of the ‘minde’</w:t>
      </w:r>
      <w:r w:rsidR="002A49FA">
        <w:rPr>
          <w:rFonts w:ascii="Times New Roman" w:eastAsia="Times New Roman" w:hAnsi="Times New Roman" w:cs="Times New Roman"/>
          <w:sz w:val="24"/>
          <w:szCs w:val="24"/>
        </w:rPr>
        <w:t xml:space="preserve"> </w:t>
      </w:r>
      <w:r w:rsidR="00CF61E9" w:rsidRPr="009004F1">
        <w:rPr>
          <w:rFonts w:ascii="Times New Roman" w:eastAsia="Times New Roman" w:hAnsi="Times New Roman" w:cs="Times New Roman"/>
          <w:sz w:val="24"/>
          <w:szCs w:val="24"/>
        </w:rPr>
        <w:t xml:space="preserve">are necessarily more </w:t>
      </w:r>
      <w:r w:rsidR="002A49FA">
        <w:rPr>
          <w:rFonts w:ascii="Times New Roman" w:eastAsia="Times New Roman" w:hAnsi="Times New Roman" w:cs="Times New Roman"/>
          <w:sz w:val="24"/>
          <w:szCs w:val="24"/>
        </w:rPr>
        <w:t>nebulous than physical ailments</w:t>
      </w:r>
      <w:r w:rsidR="00CF61E9" w:rsidRPr="009004F1">
        <w:rPr>
          <w:rFonts w:ascii="Times New Roman" w:eastAsia="Times New Roman" w:hAnsi="Times New Roman" w:cs="Times New Roman"/>
          <w:sz w:val="24"/>
          <w:szCs w:val="24"/>
        </w:rPr>
        <w:t xml:space="preserve">, </w:t>
      </w:r>
      <w:r w:rsidR="002A49FA">
        <w:rPr>
          <w:rFonts w:ascii="Times New Roman" w:eastAsia="Times New Roman" w:hAnsi="Times New Roman" w:cs="Times New Roman"/>
          <w:sz w:val="24"/>
          <w:szCs w:val="24"/>
        </w:rPr>
        <w:t xml:space="preserve">though </w:t>
      </w:r>
      <w:r w:rsidR="00CF61E9" w:rsidRPr="009004F1">
        <w:rPr>
          <w:rFonts w:ascii="Times New Roman" w:eastAsia="Times New Roman" w:hAnsi="Times New Roman" w:cs="Times New Roman"/>
          <w:sz w:val="24"/>
          <w:szCs w:val="24"/>
        </w:rPr>
        <w:t xml:space="preserve">again </w:t>
      </w:r>
      <w:r w:rsidR="002A49FA">
        <w:rPr>
          <w:rFonts w:ascii="Times New Roman" w:eastAsia="Times New Roman" w:hAnsi="Times New Roman" w:cs="Times New Roman"/>
          <w:sz w:val="24"/>
          <w:szCs w:val="24"/>
        </w:rPr>
        <w:t>these need not</w:t>
      </w:r>
      <w:r w:rsidR="00CE3372">
        <w:rPr>
          <w:rFonts w:ascii="Times New Roman" w:eastAsia="Times New Roman" w:hAnsi="Times New Roman" w:cs="Times New Roman"/>
          <w:sz w:val="24"/>
          <w:szCs w:val="24"/>
        </w:rPr>
        <w:t xml:space="preserve"> – </w:t>
      </w:r>
      <w:r w:rsidR="008D5CE6">
        <w:rPr>
          <w:rFonts w:ascii="Times New Roman" w:eastAsia="Times New Roman" w:hAnsi="Times New Roman" w:cs="Times New Roman"/>
          <w:sz w:val="24"/>
          <w:szCs w:val="24"/>
        </w:rPr>
        <w:t xml:space="preserve">taken </w:t>
      </w:r>
      <w:r w:rsidR="00CE3372">
        <w:rPr>
          <w:rFonts w:ascii="Times New Roman" w:eastAsia="Times New Roman" w:hAnsi="Times New Roman" w:cs="Times New Roman"/>
          <w:sz w:val="24"/>
          <w:szCs w:val="24"/>
        </w:rPr>
        <w:t xml:space="preserve">at face value – </w:t>
      </w:r>
      <w:r w:rsidR="002A49FA">
        <w:rPr>
          <w:rFonts w:ascii="Times New Roman" w:eastAsia="Times New Roman" w:hAnsi="Times New Roman" w:cs="Times New Roman"/>
          <w:sz w:val="24"/>
          <w:szCs w:val="24"/>
        </w:rPr>
        <w:t xml:space="preserve">have hinted at anything </w:t>
      </w:r>
      <w:r w:rsidR="007D4DF9">
        <w:rPr>
          <w:rFonts w:ascii="Times New Roman" w:eastAsia="Times New Roman" w:hAnsi="Times New Roman" w:cs="Times New Roman"/>
          <w:sz w:val="24"/>
          <w:szCs w:val="24"/>
        </w:rPr>
        <w:t xml:space="preserve">more than the extenuations of </w:t>
      </w:r>
      <w:r w:rsidR="00CF61E9" w:rsidRPr="009004F1">
        <w:rPr>
          <w:rFonts w:ascii="Times New Roman" w:eastAsia="Times New Roman" w:hAnsi="Times New Roman" w:cs="Times New Roman"/>
          <w:sz w:val="24"/>
          <w:szCs w:val="24"/>
        </w:rPr>
        <w:t>a war-we</w:t>
      </w:r>
      <w:r w:rsidR="007D4DF9">
        <w:rPr>
          <w:rFonts w:ascii="Times New Roman" w:eastAsia="Times New Roman" w:hAnsi="Times New Roman" w:cs="Times New Roman"/>
          <w:sz w:val="24"/>
          <w:szCs w:val="24"/>
        </w:rPr>
        <w:t xml:space="preserve">ary </w:t>
      </w:r>
      <w:r w:rsidR="003B3B1C">
        <w:rPr>
          <w:rFonts w:ascii="Times New Roman" w:eastAsia="Times New Roman" w:hAnsi="Times New Roman" w:cs="Times New Roman"/>
          <w:sz w:val="24"/>
          <w:szCs w:val="24"/>
        </w:rPr>
        <w:t>commander</w:t>
      </w:r>
      <w:r w:rsidR="00CF61E9" w:rsidRPr="009004F1">
        <w:rPr>
          <w:rFonts w:ascii="Times New Roman" w:eastAsia="Times New Roman" w:hAnsi="Times New Roman" w:cs="Times New Roman"/>
          <w:sz w:val="24"/>
          <w:szCs w:val="24"/>
        </w:rPr>
        <w:t xml:space="preserve">.  </w:t>
      </w:r>
      <w:r w:rsidR="00D82B2A">
        <w:rPr>
          <w:rFonts w:ascii="Times New Roman" w:eastAsia="Times New Roman" w:hAnsi="Times New Roman" w:cs="Times New Roman"/>
          <w:sz w:val="24"/>
          <w:szCs w:val="24"/>
        </w:rPr>
        <w:tab/>
      </w:r>
      <w:r w:rsidR="00D82B2A">
        <w:rPr>
          <w:rFonts w:ascii="Times New Roman" w:eastAsia="Times New Roman" w:hAnsi="Times New Roman" w:cs="Times New Roman"/>
          <w:sz w:val="24"/>
          <w:szCs w:val="24"/>
        </w:rPr>
        <w:tab/>
      </w:r>
    </w:p>
    <w:p w:rsidR="00CF61E9" w:rsidRPr="009004F1" w:rsidRDefault="00F851C6" w:rsidP="0076363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there </w:t>
      </w:r>
      <w:r w:rsidR="001A6B1D">
        <w:rPr>
          <w:rFonts w:ascii="Times New Roman" w:eastAsia="Times New Roman" w:hAnsi="Times New Roman" w:cs="Times New Roman"/>
          <w:sz w:val="24"/>
          <w:szCs w:val="24"/>
        </w:rPr>
        <w:t xml:space="preserve">was far more </w:t>
      </w:r>
      <w:r w:rsidR="00373A8D">
        <w:rPr>
          <w:rFonts w:ascii="Times New Roman" w:eastAsia="Times New Roman" w:hAnsi="Times New Roman" w:cs="Times New Roman"/>
          <w:sz w:val="24"/>
          <w:szCs w:val="24"/>
        </w:rPr>
        <w:t xml:space="preserve">to </w:t>
      </w:r>
      <w:r w:rsidR="00CF61E9" w:rsidRPr="009004F1">
        <w:rPr>
          <w:rFonts w:ascii="Times New Roman" w:eastAsia="Times New Roman" w:hAnsi="Times New Roman" w:cs="Times New Roman"/>
          <w:sz w:val="24"/>
          <w:szCs w:val="24"/>
        </w:rPr>
        <w:t xml:space="preserve">the resignation </w:t>
      </w:r>
      <w:r w:rsidR="001A6B1D">
        <w:rPr>
          <w:rFonts w:ascii="Times New Roman" w:eastAsia="Times New Roman" w:hAnsi="Times New Roman" w:cs="Times New Roman"/>
          <w:sz w:val="24"/>
          <w:szCs w:val="24"/>
        </w:rPr>
        <w:t>letter than met th</w:t>
      </w:r>
      <w:r w:rsidR="00087C91">
        <w:rPr>
          <w:rFonts w:ascii="Times New Roman" w:eastAsia="Times New Roman" w:hAnsi="Times New Roman" w:cs="Times New Roman"/>
          <w:sz w:val="24"/>
          <w:szCs w:val="24"/>
        </w:rPr>
        <w:t>e eye. Considered in the specifi</w:t>
      </w:r>
      <w:r w:rsidR="001A6B1D">
        <w:rPr>
          <w:rFonts w:ascii="Times New Roman" w:eastAsia="Times New Roman" w:hAnsi="Times New Roman" w:cs="Times New Roman"/>
          <w:sz w:val="24"/>
          <w:szCs w:val="24"/>
        </w:rPr>
        <w:t xml:space="preserve">c context </w:t>
      </w:r>
      <w:r w:rsidR="00CF61E9" w:rsidRPr="009004F1">
        <w:rPr>
          <w:rFonts w:ascii="Times New Roman" w:eastAsia="Times New Roman" w:hAnsi="Times New Roman" w:cs="Times New Roman"/>
          <w:sz w:val="24"/>
          <w:szCs w:val="24"/>
        </w:rPr>
        <w:t>of June 1650, Fairfax’s words can mor</w:t>
      </w:r>
      <w:r w:rsidR="001A6B1D">
        <w:rPr>
          <w:rFonts w:ascii="Times New Roman" w:eastAsia="Times New Roman" w:hAnsi="Times New Roman" w:cs="Times New Roman"/>
          <w:sz w:val="24"/>
          <w:szCs w:val="24"/>
        </w:rPr>
        <w:t xml:space="preserve">e accurately </w:t>
      </w:r>
      <w:r w:rsidR="006D5988" w:rsidRPr="009004F1">
        <w:rPr>
          <w:rFonts w:ascii="Times New Roman" w:eastAsia="Times New Roman" w:hAnsi="Times New Roman" w:cs="Times New Roman"/>
          <w:sz w:val="24"/>
          <w:szCs w:val="24"/>
        </w:rPr>
        <w:t xml:space="preserve">be </w:t>
      </w:r>
      <w:r w:rsidR="001A6B1D">
        <w:rPr>
          <w:rFonts w:ascii="Times New Roman" w:eastAsia="Times New Roman" w:hAnsi="Times New Roman" w:cs="Times New Roman"/>
          <w:sz w:val="24"/>
          <w:szCs w:val="24"/>
        </w:rPr>
        <w:t xml:space="preserve">interpreted as the </w:t>
      </w:r>
      <w:r w:rsidR="00CF61E9" w:rsidRPr="009004F1">
        <w:rPr>
          <w:rFonts w:ascii="Times New Roman" w:eastAsia="Times New Roman" w:hAnsi="Times New Roman" w:cs="Times New Roman"/>
          <w:sz w:val="24"/>
          <w:szCs w:val="24"/>
        </w:rPr>
        <w:t>deliberately emollient, conciliatory courtesies of a still</w:t>
      </w:r>
      <w:r w:rsidR="001A6B1D">
        <w:rPr>
          <w:rFonts w:ascii="Times New Roman" w:eastAsia="Times New Roman" w:hAnsi="Times New Roman" w:cs="Times New Roman"/>
          <w:sz w:val="24"/>
          <w:szCs w:val="24"/>
        </w:rPr>
        <w:t>-</w:t>
      </w:r>
      <w:r w:rsidR="00CF61E9" w:rsidRPr="009004F1">
        <w:rPr>
          <w:rFonts w:ascii="Times New Roman" w:eastAsia="Times New Roman" w:hAnsi="Times New Roman" w:cs="Times New Roman"/>
          <w:sz w:val="24"/>
          <w:szCs w:val="24"/>
        </w:rPr>
        <w:t xml:space="preserve">loyal, but increasingly disenchanted, </w:t>
      </w:r>
      <w:r w:rsidR="006D5988">
        <w:rPr>
          <w:rFonts w:ascii="Times New Roman" w:eastAsia="Times New Roman" w:hAnsi="Times New Roman" w:cs="Times New Roman"/>
          <w:sz w:val="24"/>
          <w:szCs w:val="24"/>
        </w:rPr>
        <w:t xml:space="preserve">servant of </w:t>
      </w:r>
      <w:r w:rsidR="001A6B1D">
        <w:rPr>
          <w:rFonts w:ascii="Times New Roman" w:eastAsia="Times New Roman" w:hAnsi="Times New Roman" w:cs="Times New Roman"/>
          <w:sz w:val="24"/>
          <w:szCs w:val="24"/>
        </w:rPr>
        <w:t>p</w:t>
      </w:r>
      <w:r w:rsidR="00CF61E9" w:rsidRPr="009004F1">
        <w:rPr>
          <w:rFonts w:ascii="Times New Roman" w:eastAsia="Times New Roman" w:hAnsi="Times New Roman" w:cs="Times New Roman"/>
          <w:sz w:val="24"/>
          <w:szCs w:val="24"/>
        </w:rPr>
        <w:t xml:space="preserve">arliament. </w:t>
      </w:r>
      <w:r w:rsidR="00CC71CE">
        <w:rPr>
          <w:rFonts w:ascii="Times New Roman" w:eastAsia="Times New Roman" w:hAnsi="Times New Roman" w:cs="Times New Roman"/>
          <w:sz w:val="24"/>
          <w:szCs w:val="24"/>
        </w:rPr>
        <w:t>Cl</w:t>
      </w:r>
      <w:r w:rsidR="0078401B">
        <w:rPr>
          <w:rFonts w:ascii="Times New Roman" w:eastAsia="Times New Roman" w:hAnsi="Times New Roman" w:cs="Times New Roman"/>
          <w:sz w:val="24"/>
          <w:szCs w:val="24"/>
        </w:rPr>
        <w:t xml:space="preserve">oser to the truth </w:t>
      </w:r>
      <w:r w:rsidR="00530E95">
        <w:rPr>
          <w:rFonts w:ascii="Times New Roman" w:eastAsia="Times New Roman" w:hAnsi="Times New Roman" w:cs="Times New Roman"/>
          <w:sz w:val="24"/>
          <w:szCs w:val="24"/>
        </w:rPr>
        <w:t>wa</w:t>
      </w:r>
      <w:r w:rsidR="00CF61E9" w:rsidRPr="009004F1">
        <w:rPr>
          <w:rFonts w:ascii="Times New Roman" w:eastAsia="Times New Roman" w:hAnsi="Times New Roman" w:cs="Times New Roman"/>
          <w:sz w:val="24"/>
          <w:szCs w:val="24"/>
        </w:rPr>
        <w:t>s that</w:t>
      </w:r>
      <w:r w:rsidR="00CC71CE">
        <w:rPr>
          <w:rFonts w:ascii="Times New Roman" w:eastAsia="Times New Roman" w:hAnsi="Times New Roman" w:cs="Times New Roman"/>
          <w:sz w:val="24"/>
          <w:szCs w:val="24"/>
        </w:rPr>
        <w:t>,</w:t>
      </w:r>
      <w:r w:rsidR="00CF61E9" w:rsidRPr="009004F1">
        <w:rPr>
          <w:rFonts w:ascii="Times New Roman" w:eastAsia="Times New Roman" w:hAnsi="Times New Roman" w:cs="Times New Roman"/>
          <w:sz w:val="24"/>
          <w:szCs w:val="24"/>
        </w:rPr>
        <w:t xml:space="preserve"> while willing to lead the army in a defensive engagement with Scotland, he </w:t>
      </w:r>
      <w:r w:rsidR="00530E95">
        <w:rPr>
          <w:rFonts w:ascii="Times New Roman" w:eastAsia="Times New Roman" w:hAnsi="Times New Roman" w:cs="Times New Roman"/>
          <w:sz w:val="24"/>
          <w:szCs w:val="24"/>
        </w:rPr>
        <w:t>wa</w:t>
      </w:r>
      <w:r w:rsidR="00CF61E9" w:rsidRPr="009004F1">
        <w:rPr>
          <w:rFonts w:ascii="Times New Roman" w:eastAsia="Times New Roman" w:hAnsi="Times New Roman" w:cs="Times New Roman"/>
          <w:sz w:val="24"/>
          <w:szCs w:val="24"/>
        </w:rPr>
        <w:t>s unable in good conscience to lead a pre-emptive invasion of it</w:t>
      </w:r>
      <w:r w:rsidR="00530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undertaking central to </w:t>
      </w:r>
      <w:r w:rsidR="00530E95">
        <w:rPr>
          <w:rFonts w:ascii="Times New Roman" w:eastAsia="Times New Roman" w:hAnsi="Times New Roman" w:cs="Times New Roman"/>
          <w:sz w:val="24"/>
          <w:szCs w:val="24"/>
        </w:rPr>
        <w:t>the terms of his ‘new Com</w:t>
      </w:r>
      <w:r w:rsidR="00AD013B">
        <w:rPr>
          <w:rFonts w:ascii="Times New Roman" w:eastAsia="Times New Roman" w:hAnsi="Times New Roman" w:cs="Times New Roman"/>
          <w:sz w:val="24"/>
          <w:szCs w:val="24"/>
        </w:rPr>
        <w:t>m</w:t>
      </w:r>
      <w:r w:rsidR="00530E95">
        <w:rPr>
          <w:rFonts w:ascii="Times New Roman" w:eastAsia="Times New Roman" w:hAnsi="Times New Roman" w:cs="Times New Roman"/>
          <w:sz w:val="24"/>
          <w:szCs w:val="24"/>
        </w:rPr>
        <w:t>ission’)</w:t>
      </w:r>
      <w:r w:rsidR="00CF61E9" w:rsidRPr="009004F1">
        <w:rPr>
          <w:rFonts w:ascii="Times New Roman" w:eastAsia="Times New Roman" w:hAnsi="Times New Roman" w:cs="Times New Roman"/>
          <w:sz w:val="24"/>
          <w:szCs w:val="24"/>
        </w:rPr>
        <w:t xml:space="preserve">, citing as </w:t>
      </w:r>
      <w:r w:rsidR="0046616B">
        <w:rPr>
          <w:rFonts w:ascii="Times New Roman" w:eastAsia="Times New Roman" w:hAnsi="Times New Roman" w:cs="Times New Roman"/>
          <w:sz w:val="24"/>
          <w:szCs w:val="24"/>
        </w:rPr>
        <w:t xml:space="preserve">his chief objection </w:t>
      </w:r>
      <w:r w:rsidR="00CF61E9" w:rsidRPr="009004F1">
        <w:rPr>
          <w:rFonts w:ascii="Times New Roman" w:eastAsia="Times New Roman" w:hAnsi="Times New Roman" w:cs="Times New Roman"/>
          <w:sz w:val="24"/>
          <w:szCs w:val="24"/>
        </w:rPr>
        <w:t>the mutual ties between the two countries established by the Solemn League and Covenant.</w:t>
      </w:r>
      <w:r w:rsidR="00B6601E">
        <w:rPr>
          <w:rStyle w:val="FootnoteReference"/>
          <w:rFonts w:ascii="Times New Roman" w:eastAsia="Times New Roman" w:hAnsi="Times New Roman" w:cs="Times New Roman"/>
          <w:sz w:val="24"/>
          <w:szCs w:val="24"/>
        </w:rPr>
        <w:footnoteReference w:id="5"/>
      </w:r>
      <w:r w:rsidR="00CF61E9" w:rsidRPr="009004F1">
        <w:rPr>
          <w:rFonts w:ascii="Times New Roman" w:eastAsia="Times New Roman" w:hAnsi="Times New Roman" w:cs="Times New Roman"/>
          <w:sz w:val="24"/>
          <w:szCs w:val="24"/>
        </w:rPr>
        <w:t xml:space="preserve"> </w:t>
      </w:r>
      <w:r w:rsidR="0078401B">
        <w:rPr>
          <w:rFonts w:ascii="Times New Roman" w:eastAsia="Times New Roman" w:hAnsi="Times New Roman" w:cs="Times New Roman"/>
          <w:sz w:val="24"/>
          <w:szCs w:val="24"/>
        </w:rPr>
        <w:t>I</w:t>
      </w:r>
      <w:r w:rsidR="00CF61E9" w:rsidRPr="009004F1">
        <w:rPr>
          <w:rFonts w:ascii="Times New Roman" w:eastAsia="Times New Roman" w:hAnsi="Times New Roman" w:cs="Times New Roman"/>
          <w:sz w:val="24"/>
          <w:szCs w:val="24"/>
        </w:rPr>
        <w:t xml:space="preserve">f </w:t>
      </w:r>
      <w:r w:rsidR="0078401B">
        <w:rPr>
          <w:rFonts w:ascii="Times New Roman" w:eastAsia="Times New Roman" w:hAnsi="Times New Roman" w:cs="Times New Roman"/>
          <w:sz w:val="24"/>
          <w:szCs w:val="24"/>
        </w:rPr>
        <w:t xml:space="preserve">the </w:t>
      </w:r>
      <w:r w:rsidR="00CF61E9" w:rsidRPr="009004F1">
        <w:rPr>
          <w:rFonts w:ascii="Times New Roman" w:eastAsia="Times New Roman" w:hAnsi="Times New Roman" w:cs="Times New Roman"/>
          <w:sz w:val="24"/>
          <w:szCs w:val="24"/>
        </w:rPr>
        <w:t xml:space="preserve">announcement of his retirement was sudden, </w:t>
      </w:r>
      <w:r w:rsidR="0078401B">
        <w:rPr>
          <w:rFonts w:ascii="Times New Roman" w:eastAsia="Times New Roman" w:hAnsi="Times New Roman" w:cs="Times New Roman"/>
          <w:sz w:val="24"/>
          <w:szCs w:val="24"/>
        </w:rPr>
        <w:t xml:space="preserve">Fairfax’s </w:t>
      </w:r>
      <w:r w:rsidR="00CC71CE">
        <w:rPr>
          <w:rFonts w:ascii="Times New Roman" w:eastAsia="Times New Roman" w:hAnsi="Times New Roman" w:cs="Times New Roman"/>
          <w:sz w:val="24"/>
          <w:szCs w:val="24"/>
        </w:rPr>
        <w:t>unease at t</w:t>
      </w:r>
      <w:r w:rsidR="00CF61E9" w:rsidRPr="009004F1">
        <w:rPr>
          <w:rFonts w:ascii="Times New Roman" w:eastAsia="Times New Roman" w:hAnsi="Times New Roman" w:cs="Times New Roman"/>
          <w:sz w:val="24"/>
          <w:szCs w:val="24"/>
        </w:rPr>
        <w:t xml:space="preserve">he </w:t>
      </w:r>
      <w:r w:rsidR="00F93A28">
        <w:rPr>
          <w:rFonts w:ascii="Times New Roman" w:eastAsia="Times New Roman" w:hAnsi="Times New Roman" w:cs="Times New Roman"/>
          <w:sz w:val="24"/>
          <w:szCs w:val="24"/>
        </w:rPr>
        <w:t xml:space="preserve">speed and direction of </w:t>
      </w:r>
      <w:r w:rsidR="00CF61E9" w:rsidRPr="009004F1">
        <w:rPr>
          <w:rFonts w:ascii="Times New Roman" w:eastAsia="Times New Roman" w:hAnsi="Times New Roman" w:cs="Times New Roman"/>
          <w:sz w:val="24"/>
          <w:szCs w:val="24"/>
        </w:rPr>
        <w:t xml:space="preserve">the </w:t>
      </w:r>
      <w:r w:rsidR="00F93A28">
        <w:rPr>
          <w:rFonts w:ascii="Times New Roman" w:eastAsia="Times New Roman" w:hAnsi="Times New Roman" w:cs="Times New Roman"/>
          <w:sz w:val="24"/>
          <w:szCs w:val="24"/>
        </w:rPr>
        <w:t>R</w:t>
      </w:r>
      <w:r w:rsidR="00CF61E9" w:rsidRPr="009004F1">
        <w:rPr>
          <w:rFonts w:ascii="Times New Roman" w:eastAsia="Times New Roman" w:hAnsi="Times New Roman" w:cs="Times New Roman"/>
          <w:sz w:val="24"/>
          <w:szCs w:val="24"/>
        </w:rPr>
        <w:t xml:space="preserve">evolution </w:t>
      </w:r>
      <w:r w:rsidR="00F93A28">
        <w:rPr>
          <w:rFonts w:ascii="Times New Roman" w:eastAsia="Times New Roman" w:hAnsi="Times New Roman" w:cs="Times New Roman"/>
          <w:sz w:val="24"/>
          <w:szCs w:val="24"/>
        </w:rPr>
        <w:t>had been building</w:t>
      </w:r>
      <w:r w:rsidR="00105921">
        <w:rPr>
          <w:rFonts w:ascii="Times New Roman" w:eastAsia="Times New Roman" w:hAnsi="Times New Roman" w:cs="Times New Roman"/>
          <w:sz w:val="24"/>
          <w:szCs w:val="24"/>
        </w:rPr>
        <w:t xml:space="preserve"> gradually</w:t>
      </w:r>
      <w:r w:rsidR="000641D8">
        <w:rPr>
          <w:rFonts w:ascii="Times New Roman" w:eastAsia="Times New Roman" w:hAnsi="Times New Roman" w:cs="Times New Roman"/>
          <w:sz w:val="24"/>
          <w:szCs w:val="24"/>
        </w:rPr>
        <w:t xml:space="preserve">. </w:t>
      </w:r>
      <w:r w:rsidR="00A509EE">
        <w:rPr>
          <w:rFonts w:ascii="Times New Roman" w:eastAsia="Times New Roman" w:hAnsi="Times New Roman" w:cs="Times New Roman"/>
          <w:sz w:val="24"/>
          <w:szCs w:val="24"/>
        </w:rPr>
        <w:t xml:space="preserve">According to his memoir, </w:t>
      </w:r>
      <w:r w:rsidR="00CF61E9" w:rsidRPr="009004F1">
        <w:rPr>
          <w:rFonts w:ascii="Times New Roman" w:eastAsia="Times New Roman" w:hAnsi="Times New Roman" w:cs="Times New Roman"/>
          <w:sz w:val="24"/>
          <w:szCs w:val="24"/>
        </w:rPr>
        <w:t xml:space="preserve">the war with Scotland and the establishment of a Commonwealth ‘against the Kingly Power’ he </w:t>
      </w:r>
      <w:r w:rsidR="000641D8">
        <w:rPr>
          <w:rFonts w:ascii="Times New Roman" w:eastAsia="Times New Roman" w:hAnsi="Times New Roman" w:cs="Times New Roman"/>
          <w:sz w:val="24"/>
          <w:szCs w:val="24"/>
        </w:rPr>
        <w:t xml:space="preserve">had seen </w:t>
      </w:r>
      <w:r w:rsidR="00CF61E9" w:rsidRPr="009004F1">
        <w:rPr>
          <w:rFonts w:ascii="Times New Roman" w:eastAsia="Times New Roman" w:hAnsi="Times New Roman" w:cs="Times New Roman"/>
          <w:sz w:val="24"/>
          <w:szCs w:val="24"/>
        </w:rPr>
        <w:t xml:space="preserve">‘saw with grief and sorrow’, </w:t>
      </w:r>
      <w:r w:rsidR="007D4782">
        <w:rPr>
          <w:rFonts w:ascii="Times New Roman" w:eastAsia="Times New Roman" w:hAnsi="Times New Roman" w:cs="Times New Roman"/>
          <w:sz w:val="24"/>
          <w:szCs w:val="24"/>
        </w:rPr>
        <w:t xml:space="preserve">to the extent that he saw fit, </w:t>
      </w:r>
      <w:r w:rsidR="00CF61E9" w:rsidRPr="009004F1">
        <w:rPr>
          <w:rFonts w:ascii="Times New Roman" w:eastAsia="Times New Roman" w:hAnsi="Times New Roman" w:cs="Times New Roman"/>
          <w:sz w:val="24"/>
          <w:szCs w:val="24"/>
        </w:rPr>
        <w:t xml:space="preserve">‘so long as I continued </w:t>
      </w:r>
      <w:r w:rsidR="00CF61E9" w:rsidRPr="009004F1">
        <w:rPr>
          <w:rFonts w:ascii="Times New Roman" w:eastAsia="Times New Roman" w:hAnsi="Times New Roman" w:cs="Times New Roman"/>
          <w:sz w:val="24"/>
          <w:szCs w:val="24"/>
        </w:rPr>
        <w:lastRenderedPageBreak/>
        <w:t xml:space="preserve">in the Army, </w:t>
      </w:r>
      <w:r w:rsidR="007D4782">
        <w:rPr>
          <w:rFonts w:ascii="Times New Roman" w:eastAsia="Times New Roman" w:hAnsi="Times New Roman" w:cs="Times New Roman"/>
          <w:sz w:val="24"/>
          <w:szCs w:val="24"/>
        </w:rPr>
        <w:t xml:space="preserve">[to] </w:t>
      </w:r>
      <w:r w:rsidR="00CF61E9" w:rsidRPr="009004F1">
        <w:rPr>
          <w:rFonts w:ascii="Times New Roman" w:eastAsia="Times New Roman" w:hAnsi="Times New Roman" w:cs="Times New Roman"/>
          <w:sz w:val="24"/>
          <w:szCs w:val="24"/>
        </w:rPr>
        <w:t>oppose all those Ways in their Councils, and when I could do no more, I declined their Actions.’</w:t>
      </w:r>
      <w:r w:rsidR="00CF61E9" w:rsidRPr="009004F1">
        <w:rPr>
          <w:rFonts w:ascii="Times New Roman" w:eastAsia="Times New Roman" w:hAnsi="Times New Roman" w:cs="Times New Roman"/>
          <w:sz w:val="24"/>
          <w:szCs w:val="24"/>
          <w:vertAlign w:val="superscript"/>
        </w:rPr>
        <w:footnoteReference w:id="6"/>
      </w:r>
      <w:r w:rsidR="00CF61E9" w:rsidRPr="009004F1">
        <w:rPr>
          <w:rFonts w:ascii="Times New Roman" w:eastAsia="Times New Roman" w:hAnsi="Times New Roman" w:cs="Times New Roman"/>
          <w:sz w:val="24"/>
          <w:szCs w:val="24"/>
        </w:rPr>
        <w:t xml:space="preserve"> </w:t>
      </w:r>
      <w:r w:rsidR="000641D8">
        <w:rPr>
          <w:rFonts w:ascii="Times New Roman" w:eastAsia="Times New Roman" w:hAnsi="Times New Roman" w:cs="Times New Roman"/>
          <w:sz w:val="24"/>
          <w:szCs w:val="24"/>
        </w:rPr>
        <w:t xml:space="preserve">Supporting evidence for this is </w:t>
      </w:r>
      <w:r w:rsidR="00105921">
        <w:rPr>
          <w:rFonts w:ascii="Times New Roman" w:eastAsia="Times New Roman" w:hAnsi="Times New Roman" w:cs="Times New Roman"/>
          <w:sz w:val="24"/>
          <w:szCs w:val="24"/>
        </w:rPr>
        <w:t xml:space="preserve">adduced by </w:t>
      </w:r>
      <w:r w:rsidR="000641D8">
        <w:rPr>
          <w:rFonts w:ascii="Times New Roman" w:eastAsia="Times New Roman" w:hAnsi="Times New Roman" w:cs="Times New Roman"/>
          <w:sz w:val="24"/>
          <w:szCs w:val="24"/>
        </w:rPr>
        <w:t xml:space="preserve">his apparent failure to attend the parliament he had been elected to as </w:t>
      </w:r>
      <w:r w:rsidR="00CF61E9" w:rsidRPr="009004F1">
        <w:rPr>
          <w:rFonts w:ascii="Times New Roman" w:eastAsia="Times New Roman" w:hAnsi="Times New Roman" w:cs="Times New Roman"/>
          <w:sz w:val="24"/>
          <w:szCs w:val="24"/>
        </w:rPr>
        <w:t xml:space="preserve">an M.P. in </w:t>
      </w:r>
      <w:r w:rsidR="000641D8">
        <w:rPr>
          <w:rFonts w:ascii="Times New Roman" w:eastAsia="Times New Roman" w:hAnsi="Times New Roman" w:cs="Times New Roman"/>
          <w:sz w:val="24"/>
          <w:szCs w:val="24"/>
        </w:rPr>
        <w:t>e</w:t>
      </w:r>
      <w:r w:rsidR="00CF61E9" w:rsidRPr="009004F1">
        <w:rPr>
          <w:rFonts w:ascii="Times New Roman" w:eastAsia="Times New Roman" w:hAnsi="Times New Roman" w:cs="Times New Roman"/>
          <w:sz w:val="24"/>
          <w:szCs w:val="24"/>
        </w:rPr>
        <w:t>arly 1649</w:t>
      </w:r>
      <w:r w:rsidR="00D42737">
        <w:rPr>
          <w:rFonts w:ascii="Times New Roman" w:eastAsia="Times New Roman" w:hAnsi="Times New Roman" w:cs="Times New Roman"/>
          <w:sz w:val="24"/>
          <w:szCs w:val="24"/>
        </w:rPr>
        <w:t>,</w:t>
      </w:r>
      <w:r w:rsidR="00CF61E9" w:rsidRPr="009004F1">
        <w:rPr>
          <w:rFonts w:ascii="Times New Roman" w:eastAsia="Times New Roman" w:hAnsi="Times New Roman" w:cs="Times New Roman"/>
          <w:sz w:val="24"/>
          <w:szCs w:val="24"/>
        </w:rPr>
        <w:t xml:space="preserve"> and his </w:t>
      </w:r>
      <w:r w:rsidR="00224059">
        <w:rPr>
          <w:rFonts w:ascii="Times New Roman" w:eastAsia="Times New Roman" w:hAnsi="Times New Roman" w:cs="Times New Roman"/>
          <w:sz w:val="24"/>
          <w:szCs w:val="24"/>
        </w:rPr>
        <w:t xml:space="preserve">increasingly </w:t>
      </w:r>
      <w:r w:rsidR="001A2C35">
        <w:rPr>
          <w:rFonts w:ascii="Times New Roman" w:eastAsia="Times New Roman" w:hAnsi="Times New Roman" w:cs="Times New Roman"/>
          <w:sz w:val="24"/>
          <w:szCs w:val="24"/>
        </w:rPr>
        <w:t>s</w:t>
      </w:r>
      <w:r w:rsidR="000641D8">
        <w:rPr>
          <w:rFonts w:ascii="Times New Roman" w:eastAsia="Times New Roman" w:hAnsi="Times New Roman" w:cs="Times New Roman"/>
          <w:sz w:val="24"/>
          <w:szCs w:val="24"/>
        </w:rPr>
        <w:t xml:space="preserve">poradic </w:t>
      </w:r>
      <w:r w:rsidR="00CF61E9" w:rsidRPr="009004F1">
        <w:rPr>
          <w:rFonts w:ascii="Times New Roman" w:eastAsia="Times New Roman" w:hAnsi="Times New Roman" w:cs="Times New Roman"/>
          <w:sz w:val="24"/>
          <w:szCs w:val="24"/>
        </w:rPr>
        <w:t>attendance at the Council of State</w:t>
      </w:r>
      <w:r w:rsidR="000641D8">
        <w:rPr>
          <w:rFonts w:ascii="Times New Roman" w:eastAsia="Times New Roman" w:hAnsi="Times New Roman" w:cs="Times New Roman"/>
          <w:sz w:val="24"/>
          <w:szCs w:val="24"/>
        </w:rPr>
        <w:t xml:space="preserve">. </w:t>
      </w:r>
    </w:p>
    <w:p w:rsidR="00CF61E9" w:rsidRPr="009004F1" w:rsidRDefault="00CF61E9"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 xml:space="preserve">In February 1650 he </w:t>
      </w:r>
      <w:r w:rsidR="005010B5">
        <w:rPr>
          <w:rFonts w:ascii="Times New Roman" w:eastAsia="Times New Roman" w:hAnsi="Times New Roman" w:cs="Times New Roman"/>
          <w:sz w:val="24"/>
          <w:szCs w:val="24"/>
        </w:rPr>
        <w:t>wa</w:t>
      </w:r>
      <w:r w:rsidRPr="009004F1">
        <w:rPr>
          <w:rFonts w:ascii="Times New Roman" w:eastAsia="Times New Roman" w:hAnsi="Times New Roman" w:cs="Times New Roman"/>
          <w:sz w:val="24"/>
          <w:szCs w:val="24"/>
        </w:rPr>
        <w:t xml:space="preserve">s reported as ‘melancholy mad’ concerning his unwillingness to sign the </w:t>
      </w:r>
      <w:r w:rsidR="000B25B2">
        <w:rPr>
          <w:rFonts w:ascii="Times New Roman" w:eastAsia="Times New Roman" w:hAnsi="Times New Roman" w:cs="Times New Roman"/>
          <w:sz w:val="24"/>
          <w:szCs w:val="24"/>
        </w:rPr>
        <w:t>E</w:t>
      </w:r>
      <w:r w:rsidRPr="009004F1">
        <w:rPr>
          <w:rFonts w:ascii="Times New Roman" w:eastAsia="Times New Roman" w:hAnsi="Times New Roman" w:cs="Times New Roman"/>
          <w:sz w:val="24"/>
          <w:szCs w:val="24"/>
        </w:rPr>
        <w:t xml:space="preserve">ngagement, because it </w:t>
      </w:r>
      <w:r w:rsidR="000B25B2">
        <w:rPr>
          <w:rFonts w:ascii="Times New Roman" w:eastAsia="Times New Roman" w:hAnsi="Times New Roman" w:cs="Times New Roman"/>
          <w:sz w:val="24"/>
          <w:szCs w:val="24"/>
        </w:rPr>
        <w:t>wa</w:t>
      </w:r>
      <w:r w:rsidRPr="009004F1">
        <w:rPr>
          <w:rFonts w:ascii="Times New Roman" w:eastAsia="Times New Roman" w:hAnsi="Times New Roman" w:cs="Times New Roman"/>
          <w:sz w:val="24"/>
          <w:szCs w:val="24"/>
        </w:rPr>
        <w:t>s retrospective.</w:t>
      </w:r>
      <w:r w:rsidRPr="009004F1">
        <w:rPr>
          <w:rFonts w:ascii="Times New Roman" w:eastAsia="Times New Roman" w:hAnsi="Times New Roman" w:cs="Times New Roman"/>
          <w:sz w:val="24"/>
          <w:szCs w:val="24"/>
          <w:vertAlign w:val="superscript"/>
        </w:rPr>
        <w:footnoteReference w:id="7"/>
      </w:r>
      <w:r w:rsidRPr="009004F1">
        <w:rPr>
          <w:rFonts w:ascii="Times New Roman" w:eastAsia="Times New Roman" w:hAnsi="Times New Roman" w:cs="Times New Roman"/>
          <w:sz w:val="24"/>
          <w:szCs w:val="24"/>
        </w:rPr>
        <w:t xml:space="preserve"> </w:t>
      </w:r>
      <w:r w:rsidR="005A5D16">
        <w:rPr>
          <w:rFonts w:ascii="Times New Roman" w:eastAsia="Times New Roman" w:hAnsi="Times New Roman" w:cs="Times New Roman"/>
          <w:sz w:val="24"/>
          <w:szCs w:val="24"/>
        </w:rPr>
        <w:t>T</w:t>
      </w:r>
      <w:r w:rsidRPr="009004F1">
        <w:rPr>
          <w:rFonts w:ascii="Times New Roman" w:eastAsia="Times New Roman" w:hAnsi="Times New Roman" w:cs="Times New Roman"/>
          <w:sz w:val="24"/>
          <w:szCs w:val="24"/>
        </w:rPr>
        <w:t>his reluctance had stemmed from at least January 1649, when he had refused to serve as one of the judges in the king’s trial and was</w:t>
      </w:r>
      <w:r w:rsidR="000B25B2">
        <w:rPr>
          <w:rFonts w:ascii="Times New Roman" w:eastAsia="Times New Roman" w:hAnsi="Times New Roman" w:cs="Times New Roman"/>
          <w:sz w:val="24"/>
          <w:szCs w:val="24"/>
        </w:rPr>
        <w:t xml:space="preserve"> – like his </w:t>
      </w:r>
      <w:r w:rsidR="000B25B2" w:rsidRPr="009004F1">
        <w:rPr>
          <w:rFonts w:ascii="Times New Roman" w:eastAsia="Times New Roman" w:hAnsi="Times New Roman" w:cs="Times New Roman"/>
          <w:sz w:val="24"/>
          <w:szCs w:val="24"/>
        </w:rPr>
        <w:t>formidable wife</w:t>
      </w:r>
      <w:r w:rsidR="000B25B2">
        <w:rPr>
          <w:rFonts w:ascii="Times New Roman" w:eastAsia="Times New Roman" w:hAnsi="Times New Roman" w:cs="Times New Roman"/>
          <w:sz w:val="24"/>
          <w:szCs w:val="24"/>
        </w:rPr>
        <w:t xml:space="preserve"> Anne, whose hostility towards the regicide</w:t>
      </w:r>
      <w:r w:rsidR="005010B5">
        <w:rPr>
          <w:rFonts w:ascii="Times New Roman" w:eastAsia="Times New Roman" w:hAnsi="Times New Roman" w:cs="Times New Roman"/>
          <w:sz w:val="24"/>
          <w:szCs w:val="24"/>
        </w:rPr>
        <w:t xml:space="preserve"> </w:t>
      </w:r>
      <w:r w:rsidR="005A5D16">
        <w:rPr>
          <w:rFonts w:ascii="Times New Roman" w:eastAsia="Times New Roman" w:hAnsi="Times New Roman" w:cs="Times New Roman"/>
          <w:sz w:val="24"/>
          <w:szCs w:val="24"/>
        </w:rPr>
        <w:t>wa</w:t>
      </w:r>
      <w:r w:rsidR="000B25B2">
        <w:rPr>
          <w:rFonts w:ascii="Times New Roman" w:eastAsia="Times New Roman" w:hAnsi="Times New Roman" w:cs="Times New Roman"/>
          <w:sz w:val="24"/>
          <w:szCs w:val="24"/>
        </w:rPr>
        <w:t xml:space="preserve">s axiomatic – </w:t>
      </w:r>
      <w:r w:rsidR="00C13C38">
        <w:rPr>
          <w:rFonts w:ascii="Times New Roman" w:eastAsia="Times New Roman" w:hAnsi="Times New Roman" w:cs="Times New Roman"/>
          <w:sz w:val="24"/>
          <w:szCs w:val="24"/>
        </w:rPr>
        <w:t>dismayed a</w:t>
      </w:r>
      <w:r w:rsidRPr="009004F1">
        <w:rPr>
          <w:rFonts w:ascii="Times New Roman" w:eastAsia="Times New Roman" w:hAnsi="Times New Roman" w:cs="Times New Roman"/>
          <w:sz w:val="24"/>
          <w:szCs w:val="24"/>
        </w:rPr>
        <w:t xml:space="preserve">t the sentence passed on a man whose armies he had done more than anyone to </w:t>
      </w:r>
      <w:r w:rsidR="00D94B02">
        <w:rPr>
          <w:rFonts w:ascii="Times New Roman" w:eastAsia="Times New Roman" w:hAnsi="Times New Roman" w:cs="Times New Roman"/>
          <w:sz w:val="24"/>
          <w:szCs w:val="24"/>
        </w:rPr>
        <w:t>vanquish</w:t>
      </w:r>
      <w:r w:rsidRPr="009004F1">
        <w:rPr>
          <w:rFonts w:ascii="Times New Roman" w:eastAsia="Times New Roman" w:hAnsi="Times New Roman" w:cs="Times New Roman"/>
          <w:sz w:val="24"/>
          <w:szCs w:val="24"/>
        </w:rPr>
        <w:t xml:space="preserve">. Indeed, </w:t>
      </w:r>
      <w:r w:rsidR="00A11257">
        <w:rPr>
          <w:rFonts w:ascii="Times New Roman" w:eastAsia="Times New Roman" w:hAnsi="Times New Roman" w:cs="Times New Roman"/>
          <w:sz w:val="24"/>
          <w:szCs w:val="24"/>
        </w:rPr>
        <w:t xml:space="preserve">his </w:t>
      </w:r>
      <w:r w:rsidRPr="009004F1">
        <w:rPr>
          <w:rFonts w:ascii="Times New Roman" w:eastAsia="Times New Roman" w:hAnsi="Times New Roman" w:cs="Times New Roman"/>
          <w:sz w:val="24"/>
          <w:szCs w:val="24"/>
        </w:rPr>
        <w:t>poem on Charles</w:t>
      </w:r>
      <w:r w:rsidR="00404468">
        <w:rPr>
          <w:rFonts w:ascii="Times New Roman" w:eastAsia="Times New Roman" w:hAnsi="Times New Roman" w:cs="Times New Roman"/>
          <w:sz w:val="24"/>
          <w:szCs w:val="24"/>
        </w:rPr>
        <w:t xml:space="preserve"> I’</w:t>
      </w:r>
      <w:r w:rsidRPr="009004F1">
        <w:rPr>
          <w:rFonts w:ascii="Times New Roman" w:eastAsia="Times New Roman" w:hAnsi="Times New Roman" w:cs="Times New Roman"/>
          <w:sz w:val="24"/>
          <w:szCs w:val="24"/>
        </w:rPr>
        <w:t xml:space="preserve">s execution, ‘On the Fatal day’, </w:t>
      </w:r>
      <w:r w:rsidR="00E32DDA">
        <w:rPr>
          <w:rFonts w:ascii="Times New Roman" w:eastAsia="Times New Roman" w:hAnsi="Times New Roman" w:cs="Times New Roman"/>
          <w:sz w:val="24"/>
          <w:szCs w:val="24"/>
        </w:rPr>
        <w:t xml:space="preserve">signals the beginning of </w:t>
      </w:r>
      <w:r w:rsidR="00A11257">
        <w:rPr>
          <w:rFonts w:ascii="Times New Roman" w:eastAsia="Times New Roman" w:hAnsi="Times New Roman" w:cs="Times New Roman"/>
          <w:sz w:val="24"/>
          <w:szCs w:val="24"/>
        </w:rPr>
        <w:t xml:space="preserve">Fairfax’s </w:t>
      </w:r>
      <w:r w:rsidR="00E32DDA">
        <w:rPr>
          <w:rFonts w:ascii="Times New Roman" w:eastAsia="Times New Roman" w:hAnsi="Times New Roman" w:cs="Times New Roman"/>
          <w:sz w:val="24"/>
          <w:szCs w:val="24"/>
        </w:rPr>
        <w:t>e</w:t>
      </w:r>
      <w:r w:rsidRPr="009004F1">
        <w:rPr>
          <w:rFonts w:ascii="Times New Roman" w:eastAsia="Times New Roman" w:hAnsi="Times New Roman" w:cs="Times New Roman"/>
          <w:sz w:val="24"/>
          <w:szCs w:val="24"/>
        </w:rPr>
        <w:t>strangement</w:t>
      </w:r>
      <w:r w:rsidR="00640A9A">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from the cause of </w:t>
      </w:r>
      <w:r w:rsidR="00E32DDA">
        <w:rPr>
          <w:rFonts w:ascii="Times New Roman" w:eastAsia="Times New Roman" w:hAnsi="Times New Roman" w:cs="Times New Roman"/>
          <w:sz w:val="24"/>
          <w:szCs w:val="24"/>
        </w:rPr>
        <w:t>p</w:t>
      </w:r>
      <w:r w:rsidRPr="009004F1">
        <w:rPr>
          <w:rFonts w:ascii="Times New Roman" w:eastAsia="Times New Roman" w:hAnsi="Times New Roman" w:cs="Times New Roman"/>
          <w:sz w:val="24"/>
          <w:szCs w:val="24"/>
        </w:rPr>
        <w:t>arliament:</w:t>
      </w:r>
    </w:p>
    <w:p w:rsidR="00CF61E9" w:rsidRPr="009004F1" w:rsidRDefault="00CF61E9" w:rsidP="00763634">
      <w:pPr>
        <w:spacing w:after="0" w:line="480" w:lineRule="auto"/>
        <w:jc w:val="both"/>
        <w:rPr>
          <w:rFonts w:ascii="Times New Roman" w:eastAsia="Times New Roman" w:hAnsi="Times New Roman" w:cs="Times New Roman"/>
          <w:sz w:val="24"/>
          <w:szCs w:val="24"/>
        </w:rPr>
      </w:pPr>
    </w:p>
    <w:p w:rsidR="00CF61E9" w:rsidRPr="009004F1" w:rsidRDefault="00CF61E9" w:rsidP="00763634">
      <w:pPr>
        <w:spacing w:after="0" w:line="480" w:lineRule="auto"/>
        <w:jc w:val="both"/>
        <w:outlineLvl w:val="0"/>
        <w:rPr>
          <w:rFonts w:ascii="Times New Roman" w:eastAsia="Times New Roman" w:hAnsi="Times New Roman" w:cs="Times New Roman"/>
          <w:sz w:val="20"/>
          <w:szCs w:val="20"/>
        </w:rPr>
      </w:pPr>
    </w:p>
    <w:p w:rsidR="00CF61E9" w:rsidRPr="00E32DDA" w:rsidRDefault="00CF61E9" w:rsidP="00763634">
      <w:pPr>
        <w:spacing w:after="0" w:line="480" w:lineRule="auto"/>
        <w:ind w:left="1440" w:firstLine="720"/>
        <w:jc w:val="both"/>
        <w:outlineLvl w:val="0"/>
        <w:rPr>
          <w:rFonts w:ascii="Times New Roman" w:eastAsia="Times New Roman" w:hAnsi="Times New Roman" w:cs="Times New Roman"/>
        </w:rPr>
      </w:pPr>
      <w:r w:rsidRPr="00E32DDA">
        <w:rPr>
          <w:rFonts w:ascii="Times New Roman" w:eastAsia="Times New Roman" w:hAnsi="Times New Roman" w:cs="Times New Roman"/>
        </w:rPr>
        <w:t>Oh lett that Day from time be blotted quitt</w:t>
      </w:r>
    </w:p>
    <w:p w:rsidR="00CF61E9" w:rsidRPr="00E32DDA" w:rsidRDefault="00CF61E9" w:rsidP="00763634">
      <w:pPr>
        <w:spacing w:after="0" w:line="480" w:lineRule="auto"/>
        <w:ind w:left="1440" w:firstLine="720"/>
        <w:jc w:val="both"/>
        <w:rPr>
          <w:rFonts w:ascii="Times New Roman" w:eastAsia="Times New Roman" w:hAnsi="Times New Roman" w:cs="Times New Roman"/>
        </w:rPr>
      </w:pPr>
      <w:r w:rsidRPr="00E32DDA">
        <w:rPr>
          <w:rFonts w:ascii="Times New Roman" w:eastAsia="Times New Roman" w:hAnsi="Times New Roman" w:cs="Times New Roman"/>
        </w:rPr>
        <w:t>And lett beleefe of’t in next Age be waved</w:t>
      </w:r>
    </w:p>
    <w:p w:rsidR="00CF61E9" w:rsidRPr="00E32DDA" w:rsidRDefault="00CF61E9" w:rsidP="00763634">
      <w:pPr>
        <w:spacing w:after="0" w:line="480" w:lineRule="auto"/>
        <w:ind w:left="1440" w:firstLine="720"/>
        <w:jc w:val="both"/>
        <w:rPr>
          <w:rFonts w:ascii="Times New Roman" w:eastAsia="Times New Roman" w:hAnsi="Times New Roman" w:cs="Times New Roman"/>
        </w:rPr>
      </w:pPr>
      <w:r w:rsidRPr="00E32DDA">
        <w:rPr>
          <w:rFonts w:ascii="Times New Roman" w:eastAsia="Times New Roman" w:hAnsi="Times New Roman" w:cs="Times New Roman"/>
        </w:rPr>
        <w:t>In deepest silence th’ Act Concealed might</w:t>
      </w:r>
    </w:p>
    <w:p w:rsidR="00CF61E9" w:rsidRPr="00E32DDA" w:rsidRDefault="00CF61E9" w:rsidP="00763634">
      <w:pPr>
        <w:spacing w:after="0" w:line="480" w:lineRule="auto"/>
        <w:ind w:left="1440" w:firstLine="720"/>
        <w:jc w:val="both"/>
        <w:rPr>
          <w:rFonts w:ascii="Times New Roman" w:eastAsia="Times New Roman" w:hAnsi="Times New Roman" w:cs="Times New Roman"/>
        </w:rPr>
      </w:pPr>
      <w:r w:rsidRPr="00E32DDA">
        <w:rPr>
          <w:rFonts w:ascii="Times New Roman" w:eastAsia="Times New Roman" w:hAnsi="Times New Roman" w:cs="Times New Roman"/>
        </w:rPr>
        <w:t>Soe that the King-doms Credit might be saved</w:t>
      </w:r>
    </w:p>
    <w:p w:rsidR="00CF61E9" w:rsidRPr="00E32DDA" w:rsidRDefault="00CF61E9" w:rsidP="00763634">
      <w:pPr>
        <w:spacing w:after="0" w:line="480" w:lineRule="auto"/>
        <w:ind w:left="1440" w:firstLine="720"/>
        <w:jc w:val="both"/>
        <w:rPr>
          <w:rFonts w:ascii="Times New Roman" w:eastAsia="Times New Roman" w:hAnsi="Times New Roman" w:cs="Times New Roman"/>
        </w:rPr>
      </w:pPr>
      <w:r w:rsidRPr="00E32DDA">
        <w:rPr>
          <w:rFonts w:ascii="Times New Roman" w:eastAsia="Times New Roman" w:hAnsi="Times New Roman" w:cs="Times New Roman"/>
        </w:rPr>
        <w:t>But if the Power divine permitted this</w:t>
      </w:r>
    </w:p>
    <w:p w:rsidR="00CF61E9" w:rsidRPr="00E32DDA" w:rsidRDefault="00CF61E9" w:rsidP="00763634">
      <w:pPr>
        <w:spacing w:after="0" w:line="480" w:lineRule="auto"/>
        <w:ind w:left="1440" w:firstLine="720"/>
        <w:jc w:val="both"/>
        <w:rPr>
          <w:rFonts w:ascii="Times New Roman" w:eastAsia="Times New Roman" w:hAnsi="Times New Roman" w:cs="Times New Roman"/>
        </w:rPr>
      </w:pPr>
      <w:r w:rsidRPr="00E32DDA">
        <w:rPr>
          <w:rFonts w:ascii="Times New Roman" w:eastAsia="Times New Roman" w:hAnsi="Times New Roman" w:cs="Times New Roman"/>
        </w:rPr>
        <w:t>His Will’s the Law &amp; ours must acquiesce.</w:t>
      </w:r>
      <w:r w:rsidRPr="00E32DDA">
        <w:rPr>
          <w:rFonts w:ascii="Times New Roman" w:eastAsia="Times New Roman" w:hAnsi="Times New Roman" w:cs="Times New Roman"/>
          <w:vertAlign w:val="superscript"/>
        </w:rPr>
        <w:footnoteReference w:id="8"/>
      </w:r>
    </w:p>
    <w:p w:rsidR="00CF61E9" w:rsidRPr="009004F1" w:rsidRDefault="00CF61E9" w:rsidP="00763634">
      <w:pPr>
        <w:spacing w:after="0" w:line="480" w:lineRule="auto"/>
        <w:jc w:val="both"/>
        <w:rPr>
          <w:rFonts w:ascii="Times New Roman" w:eastAsia="Times New Roman" w:hAnsi="Times New Roman" w:cs="Times New Roman"/>
          <w:sz w:val="20"/>
          <w:szCs w:val="20"/>
        </w:rPr>
      </w:pPr>
    </w:p>
    <w:p w:rsidR="0058615B" w:rsidRDefault="00CF61E9"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 xml:space="preserve">Markham’s claim that ‘All moderate politicians were in despair at the threatened resignation of Fairfax – the one absolutely unselfish public man in England’ is </w:t>
      </w:r>
      <w:r w:rsidR="00F82A9C">
        <w:rPr>
          <w:rFonts w:ascii="Times New Roman" w:eastAsia="Times New Roman" w:hAnsi="Times New Roman" w:cs="Times New Roman"/>
          <w:sz w:val="24"/>
          <w:szCs w:val="24"/>
        </w:rPr>
        <w:lastRenderedPageBreak/>
        <w:t xml:space="preserve">characteristically </w:t>
      </w:r>
      <w:r w:rsidR="00C9750B">
        <w:rPr>
          <w:rFonts w:ascii="Times New Roman" w:eastAsia="Times New Roman" w:hAnsi="Times New Roman" w:cs="Times New Roman"/>
          <w:sz w:val="24"/>
          <w:szCs w:val="24"/>
        </w:rPr>
        <w:t>extravagant</w:t>
      </w:r>
      <w:r w:rsidR="0007309F">
        <w:rPr>
          <w:rFonts w:ascii="Times New Roman" w:eastAsia="Times New Roman" w:hAnsi="Times New Roman" w:cs="Times New Roman"/>
          <w:sz w:val="24"/>
          <w:szCs w:val="24"/>
        </w:rPr>
        <w:t xml:space="preserve">, but more </w:t>
      </w:r>
      <w:r w:rsidR="009A0B80">
        <w:rPr>
          <w:rFonts w:ascii="Times New Roman" w:eastAsia="Times New Roman" w:hAnsi="Times New Roman" w:cs="Times New Roman"/>
          <w:sz w:val="24"/>
          <w:szCs w:val="24"/>
        </w:rPr>
        <w:t xml:space="preserve">obviously </w:t>
      </w:r>
      <w:r w:rsidR="0007309F">
        <w:rPr>
          <w:rFonts w:ascii="Times New Roman" w:eastAsia="Times New Roman" w:hAnsi="Times New Roman" w:cs="Times New Roman"/>
          <w:sz w:val="24"/>
          <w:szCs w:val="24"/>
        </w:rPr>
        <w:t>in its second clause than first</w:t>
      </w:r>
      <w:r w:rsidR="004A7EF6">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vertAlign w:val="superscript"/>
        </w:rPr>
        <w:footnoteReference w:id="9"/>
      </w:r>
      <w:r w:rsidRPr="009004F1">
        <w:rPr>
          <w:rFonts w:ascii="Times New Roman" w:eastAsia="Times New Roman" w:hAnsi="Times New Roman" w:cs="Times New Roman"/>
          <w:sz w:val="24"/>
          <w:szCs w:val="24"/>
        </w:rPr>
        <w:t xml:space="preserve"> </w:t>
      </w:r>
      <w:r w:rsidR="009A0B80">
        <w:rPr>
          <w:rFonts w:ascii="Times New Roman" w:eastAsia="Times New Roman" w:hAnsi="Times New Roman" w:cs="Times New Roman"/>
          <w:sz w:val="24"/>
          <w:szCs w:val="24"/>
        </w:rPr>
        <w:t>For c</w:t>
      </w:r>
      <w:r w:rsidRPr="009004F1">
        <w:rPr>
          <w:rFonts w:ascii="Times New Roman" w:eastAsia="Times New Roman" w:hAnsi="Times New Roman" w:cs="Times New Roman"/>
          <w:sz w:val="24"/>
          <w:szCs w:val="24"/>
        </w:rPr>
        <w:t xml:space="preserve">ontemporary </w:t>
      </w:r>
      <w:r w:rsidR="003C7E81">
        <w:rPr>
          <w:rFonts w:ascii="Times New Roman" w:eastAsia="Times New Roman" w:hAnsi="Times New Roman" w:cs="Times New Roman"/>
          <w:sz w:val="24"/>
          <w:szCs w:val="24"/>
        </w:rPr>
        <w:t xml:space="preserve">accounts </w:t>
      </w:r>
      <w:r w:rsidR="009A0B80">
        <w:rPr>
          <w:rFonts w:ascii="Times New Roman" w:eastAsia="Times New Roman" w:hAnsi="Times New Roman" w:cs="Times New Roman"/>
          <w:sz w:val="24"/>
          <w:szCs w:val="24"/>
        </w:rPr>
        <w:t xml:space="preserve">point – not unnaturally – </w:t>
      </w:r>
      <w:r w:rsidRPr="009004F1">
        <w:rPr>
          <w:rFonts w:ascii="Times New Roman" w:eastAsia="Times New Roman" w:hAnsi="Times New Roman" w:cs="Times New Roman"/>
          <w:sz w:val="24"/>
          <w:szCs w:val="24"/>
        </w:rPr>
        <w:t>to a</w:t>
      </w:r>
      <w:r w:rsidR="009A0B80">
        <w:rPr>
          <w:rFonts w:ascii="Times New Roman" w:eastAsia="Times New Roman" w:hAnsi="Times New Roman" w:cs="Times New Roman"/>
          <w:sz w:val="24"/>
          <w:szCs w:val="24"/>
        </w:rPr>
        <w:t xml:space="preserve"> pervasive </w:t>
      </w:r>
      <w:r w:rsidRPr="009004F1">
        <w:rPr>
          <w:rFonts w:ascii="Times New Roman" w:eastAsia="Times New Roman" w:hAnsi="Times New Roman" w:cs="Times New Roman"/>
          <w:sz w:val="24"/>
          <w:szCs w:val="24"/>
        </w:rPr>
        <w:t xml:space="preserve">sense of trepidation within government at Fairfax’s decision. Not only would the country </w:t>
      </w:r>
      <w:r w:rsidR="00293978">
        <w:rPr>
          <w:rFonts w:ascii="Times New Roman" w:eastAsia="Times New Roman" w:hAnsi="Times New Roman" w:cs="Times New Roman"/>
          <w:sz w:val="24"/>
          <w:szCs w:val="24"/>
        </w:rPr>
        <w:t xml:space="preserve">lose </w:t>
      </w:r>
      <w:r w:rsidRPr="009004F1">
        <w:rPr>
          <w:rFonts w:ascii="Times New Roman" w:eastAsia="Times New Roman" w:hAnsi="Times New Roman" w:cs="Times New Roman"/>
          <w:sz w:val="24"/>
          <w:szCs w:val="24"/>
        </w:rPr>
        <w:t xml:space="preserve">his </w:t>
      </w:r>
      <w:r w:rsidR="00293978">
        <w:rPr>
          <w:rFonts w:ascii="Times New Roman" w:eastAsia="Times New Roman" w:hAnsi="Times New Roman" w:cs="Times New Roman"/>
          <w:sz w:val="24"/>
          <w:szCs w:val="24"/>
        </w:rPr>
        <w:t xml:space="preserve">considerable </w:t>
      </w:r>
      <w:r w:rsidRPr="009004F1">
        <w:rPr>
          <w:rFonts w:ascii="Times New Roman" w:eastAsia="Times New Roman" w:hAnsi="Times New Roman" w:cs="Times New Roman"/>
          <w:sz w:val="24"/>
          <w:szCs w:val="24"/>
        </w:rPr>
        <w:t xml:space="preserve">military </w:t>
      </w:r>
      <w:r w:rsidR="00293978">
        <w:rPr>
          <w:rFonts w:ascii="Times New Roman" w:eastAsia="Times New Roman" w:hAnsi="Times New Roman" w:cs="Times New Roman"/>
          <w:sz w:val="24"/>
          <w:szCs w:val="24"/>
        </w:rPr>
        <w:t>acumen</w:t>
      </w:r>
      <w:r w:rsidRPr="009004F1">
        <w:rPr>
          <w:rFonts w:ascii="Times New Roman" w:eastAsia="Times New Roman" w:hAnsi="Times New Roman" w:cs="Times New Roman"/>
          <w:sz w:val="24"/>
          <w:szCs w:val="24"/>
        </w:rPr>
        <w:t>, but Fairfax</w:t>
      </w:r>
      <w:r w:rsidR="00394135">
        <w:rPr>
          <w:rFonts w:ascii="Times New Roman" w:eastAsia="Times New Roman" w:hAnsi="Times New Roman" w:cs="Times New Roman"/>
          <w:sz w:val="24"/>
          <w:szCs w:val="24"/>
        </w:rPr>
        <w:t xml:space="preserve">, ever inclined towards uniting the Godly, </w:t>
      </w:r>
      <w:r w:rsidR="008274DC">
        <w:rPr>
          <w:rFonts w:ascii="Times New Roman" w:eastAsia="Times New Roman" w:hAnsi="Times New Roman" w:cs="Times New Roman"/>
          <w:sz w:val="24"/>
          <w:szCs w:val="24"/>
        </w:rPr>
        <w:t xml:space="preserve">also </w:t>
      </w:r>
      <w:r w:rsidRPr="009004F1">
        <w:rPr>
          <w:rFonts w:ascii="Times New Roman" w:eastAsia="Times New Roman" w:hAnsi="Times New Roman" w:cs="Times New Roman"/>
          <w:sz w:val="24"/>
          <w:szCs w:val="24"/>
        </w:rPr>
        <w:t xml:space="preserve">stood as a ‘symbol of conciliation’ between moderate Presbyterians and Independents, and his withdrawal was </w:t>
      </w:r>
      <w:r w:rsidR="00293978">
        <w:rPr>
          <w:rFonts w:ascii="Times New Roman" w:eastAsia="Times New Roman" w:hAnsi="Times New Roman" w:cs="Times New Roman"/>
          <w:sz w:val="24"/>
          <w:szCs w:val="24"/>
        </w:rPr>
        <w:t xml:space="preserve">therefore </w:t>
      </w:r>
      <w:r w:rsidRPr="009004F1">
        <w:rPr>
          <w:rFonts w:ascii="Times New Roman" w:eastAsia="Times New Roman" w:hAnsi="Times New Roman" w:cs="Times New Roman"/>
          <w:sz w:val="24"/>
          <w:szCs w:val="24"/>
        </w:rPr>
        <w:t xml:space="preserve">‘the severest blow’ which could be dealt to hopes of </w:t>
      </w:r>
      <w:r w:rsidR="00BA1FF0">
        <w:rPr>
          <w:rFonts w:ascii="Times New Roman" w:eastAsia="Times New Roman" w:hAnsi="Times New Roman" w:cs="Times New Roman"/>
          <w:sz w:val="24"/>
          <w:szCs w:val="24"/>
        </w:rPr>
        <w:t xml:space="preserve">effecting </w:t>
      </w:r>
      <w:r w:rsidR="008F17D7">
        <w:rPr>
          <w:rFonts w:ascii="Times New Roman" w:eastAsia="Times New Roman" w:hAnsi="Times New Roman" w:cs="Times New Roman"/>
          <w:sz w:val="24"/>
          <w:szCs w:val="24"/>
        </w:rPr>
        <w:t xml:space="preserve">such an </w:t>
      </w:r>
      <w:r w:rsidR="00F331A0">
        <w:rPr>
          <w:rFonts w:ascii="Times New Roman" w:eastAsia="Times New Roman" w:hAnsi="Times New Roman" w:cs="Times New Roman"/>
          <w:sz w:val="24"/>
          <w:szCs w:val="24"/>
        </w:rPr>
        <w:t>al</w:t>
      </w:r>
      <w:r w:rsidR="00794BAF">
        <w:rPr>
          <w:rFonts w:ascii="Times New Roman" w:eastAsia="Times New Roman" w:hAnsi="Times New Roman" w:cs="Times New Roman"/>
          <w:sz w:val="24"/>
          <w:szCs w:val="24"/>
        </w:rPr>
        <w:t>liance</w:t>
      </w:r>
      <w:r w:rsidRPr="009004F1">
        <w:rPr>
          <w:rFonts w:ascii="Times New Roman" w:eastAsia="Times New Roman" w:hAnsi="Times New Roman" w:cs="Times New Roman"/>
          <w:sz w:val="24"/>
          <w:szCs w:val="24"/>
        </w:rPr>
        <w:t>.</w:t>
      </w:r>
      <w:r w:rsidR="00D7361E">
        <w:rPr>
          <w:rStyle w:val="FootnoteReference"/>
          <w:rFonts w:ascii="Times New Roman" w:eastAsia="Times New Roman" w:hAnsi="Times New Roman" w:cs="Times New Roman"/>
          <w:sz w:val="24"/>
          <w:szCs w:val="24"/>
        </w:rPr>
        <w:footnoteReference w:id="10"/>
      </w:r>
      <w:r w:rsidR="001859FB">
        <w:rPr>
          <w:rFonts w:ascii="Times New Roman" w:eastAsia="Times New Roman" w:hAnsi="Times New Roman" w:cs="Times New Roman"/>
          <w:sz w:val="24"/>
          <w:szCs w:val="24"/>
        </w:rPr>
        <w:t xml:space="preserve"> </w:t>
      </w:r>
      <w:r w:rsidR="006432D7">
        <w:rPr>
          <w:rFonts w:ascii="Times New Roman" w:eastAsia="Times New Roman" w:hAnsi="Times New Roman" w:cs="Times New Roman"/>
          <w:sz w:val="24"/>
          <w:szCs w:val="24"/>
        </w:rPr>
        <w:t xml:space="preserve">In </w:t>
      </w:r>
      <w:r w:rsidR="00064CD3">
        <w:rPr>
          <w:rFonts w:ascii="Times New Roman" w:eastAsia="Times New Roman" w:hAnsi="Times New Roman" w:cs="Times New Roman"/>
          <w:sz w:val="24"/>
          <w:szCs w:val="24"/>
        </w:rPr>
        <w:t xml:space="preserve"> </w:t>
      </w:r>
      <w:r w:rsidR="00A30855">
        <w:rPr>
          <w:rFonts w:ascii="Times New Roman" w:eastAsia="Times New Roman" w:hAnsi="Times New Roman" w:cs="Times New Roman"/>
          <w:sz w:val="24"/>
          <w:szCs w:val="24"/>
        </w:rPr>
        <w:t xml:space="preserve">harsher </w:t>
      </w:r>
      <w:r w:rsidR="001859FB">
        <w:rPr>
          <w:rFonts w:ascii="Times New Roman" w:eastAsia="Times New Roman" w:hAnsi="Times New Roman" w:cs="Times New Roman"/>
          <w:sz w:val="24"/>
          <w:szCs w:val="24"/>
        </w:rPr>
        <w:t>tone</w:t>
      </w:r>
      <w:r w:rsidR="006432D7">
        <w:rPr>
          <w:rFonts w:ascii="Times New Roman" w:eastAsia="Times New Roman" w:hAnsi="Times New Roman" w:cs="Times New Roman"/>
          <w:sz w:val="24"/>
          <w:szCs w:val="24"/>
        </w:rPr>
        <w:t>s</w:t>
      </w:r>
      <w:r w:rsidR="001859FB">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Lucy Hutchinson </w:t>
      </w:r>
      <w:r w:rsidR="00AF3376">
        <w:rPr>
          <w:rFonts w:ascii="Times New Roman" w:eastAsia="Times New Roman" w:hAnsi="Times New Roman" w:cs="Times New Roman"/>
          <w:sz w:val="24"/>
          <w:szCs w:val="24"/>
        </w:rPr>
        <w:t xml:space="preserve">saw as </w:t>
      </w:r>
      <w:r w:rsidRPr="009004F1">
        <w:rPr>
          <w:rFonts w:ascii="Times New Roman" w:eastAsia="Times New Roman" w:hAnsi="Times New Roman" w:cs="Times New Roman"/>
          <w:sz w:val="24"/>
          <w:szCs w:val="24"/>
        </w:rPr>
        <w:t xml:space="preserve">clearly the </w:t>
      </w:r>
      <w:r w:rsidR="001635F8">
        <w:rPr>
          <w:rFonts w:ascii="Times New Roman" w:eastAsia="Times New Roman" w:hAnsi="Times New Roman" w:cs="Times New Roman"/>
          <w:sz w:val="24"/>
          <w:szCs w:val="24"/>
        </w:rPr>
        <w:t xml:space="preserve">real </w:t>
      </w:r>
      <w:r w:rsidRPr="009004F1">
        <w:rPr>
          <w:rFonts w:ascii="Times New Roman" w:eastAsia="Times New Roman" w:hAnsi="Times New Roman" w:cs="Times New Roman"/>
          <w:sz w:val="24"/>
          <w:szCs w:val="24"/>
        </w:rPr>
        <w:t>dangers which Fairfax’s resignation pose</w:t>
      </w:r>
      <w:r w:rsidR="00AF3376">
        <w:rPr>
          <w:rFonts w:ascii="Times New Roman" w:eastAsia="Times New Roman" w:hAnsi="Times New Roman" w:cs="Times New Roman"/>
          <w:sz w:val="24"/>
          <w:szCs w:val="24"/>
        </w:rPr>
        <w:t>d</w:t>
      </w:r>
      <w:r w:rsidRPr="009004F1">
        <w:rPr>
          <w:rFonts w:ascii="Times New Roman" w:eastAsia="Times New Roman" w:hAnsi="Times New Roman" w:cs="Times New Roman"/>
          <w:sz w:val="24"/>
          <w:szCs w:val="24"/>
        </w:rPr>
        <w:t>, claiming that, ‘persuaded by his wife and her Presbyterian chaplains, [Fairfax] threw up his commission at such a time, when it could not have been done more spitefully and ruinously to the whole Parliament interest.’</w:t>
      </w:r>
      <w:r w:rsidRPr="009004F1">
        <w:rPr>
          <w:rFonts w:ascii="Times New Roman" w:eastAsia="Times New Roman" w:hAnsi="Times New Roman" w:cs="Times New Roman"/>
          <w:sz w:val="24"/>
          <w:szCs w:val="24"/>
          <w:vertAlign w:val="superscript"/>
        </w:rPr>
        <w:footnoteReference w:id="11"/>
      </w:r>
      <w:r w:rsidRPr="009004F1">
        <w:rPr>
          <w:rFonts w:ascii="Times New Roman" w:eastAsia="Times New Roman" w:hAnsi="Times New Roman" w:cs="Times New Roman"/>
          <w:sz w:val="24"/>
          <w:szCs w:val="24"/>
        </w:rPr>
        <w:t xml:space="preserve"> From a purely military perspective, meanwhile, </w:t>
      </w:r>
      <w:r w:rsidR="001635F8">
        <w:rPr>
          <w:rFonts w:ascii="Times New Roman" w:eastAsia="Times New Roman" w:hAnsi="Times New Roman" w:cs="Times New Roman"/>
          <w:sz w:val="24"/>
          <w:szCs w:val="24"/>
        </w:rPr>
        <w:t xml:space="preserve">Edmund </w:t>
      </w:r>
      <w:r w:rsidRPr="009004F1">
        <w:rPr>
          <w:rFonts w:ascii="Times New Roman" w:eastAsia="Times New Roman" w:hAnsi="Times New Roman" w:cs="Times New Roman"/>
          <w:sz w:val="24"/>
          <w:szCs w:val="24"/>
        </w:rPr>
        <w:t>Ludlow state</w:t>
      </w:r>
      <w:r w:rsidR="00AF3376">
        <w:rPr>
          <w:rFonts w:ascii="Times New Roman" w:eastAsia="Times New Roman" w:hAnsi="Times New Roman" w:cs="Times New Roman"/>
          <w:sz w:val="24"/>
          <w:szCs w:val="24"/>
        </w:rPr>
        <w:t>d</w:t>
      </w:r>
      <w:r w:rsidRPr="009004F1">
        <w:rPr>
          <w:rFonts w:ascii="Times New Roman" w:eastAsia="Times New Roman" w:hAnsi="Times New Roman" w:cs="Times New Roman"/>
          <w:sz w:val="24"/>
          <w:szCs w:val="24"/>
        </w:rPr>
        <w:t xml:space="preserve"> that the Council of State had set great store by Fairfax’s agreement to attack Scotland, to deal with ‘the storm which threatened us from the North…knowing that the satisfaction of their General was of great importance to that service’.</w:t>
      </w:r>
      <w:r w:rsidRPr="009004F1">
        <w:rPr>
          <w:rFonts w:ascii="Times New Roman" w:eastAsia="Times New Roman" w:hAnsi="Times New Roman" w:cs="Times New Roman"/>
          <w:sz w:val="24"/>
          <w:szCs w:val="24"/>
          <w:vertAlign w:val="superscript"/>
        </w:rPr>
        <w:footnoteReference w:id="12"/>
      </w:r>
      <w:r w:rsidR="00ED7F96">
        <w:rPr>
          <w:rFonts w:ascii="Times New Roman" w:eastAsia="Times New Roman" w:hAnsi="Times New Roman" w:cs="Times New Roman"/>
          <w:sz w:val="24"/>
          <w:szCs w:val="24"/>
        </w:rPr>
        <w:t xml:space="preserve"> </w:t>
      </w:r>
      <w:r w:rsidR="00BB0E3C">
        <w:rPr>
          <w:rFonts w:ascii="Times New Roman" w:eastAsia="Times New Roman" w:hAnsi="Times New Roman" w:cs="Times New Roman"/>
          <w:sz w:val="24"/>
          <w:szCs w:val="24"/>
        </w:rPr>
        <w:t>T</w:t>
      </w:r>
      <w:r w:rsidR="00ED7F96">
        <w:rPr>
          <w:rFonts w:ascii="Times New Roman" w:eastAsia="Times New Roman" w:hAnsi="Times New Roman" w:cs="Times New Roman"/>
          <w:sz w:val="24"/>
          <w:szCs w:val="24"/>
        </w:rPr>
        <w:t xml:space="preserve">he reaction to Fairfax’s resignation of his former Yorkshire officers was one of </w:t>
      </w:r>
      <w:r w:rsidR="000B7A49">
        <w:rPr>
          <w:rFonts w:ascii="Times New Roman" w:eastAsia="Times New Roman" w:hAnsi="Times New Roman" w:cs="Times New Roman"/>
          <w:sz w:val="24"/>
          <w:szCs w:val="24"/>
        </w:rPr>
        <w:t xml:space="preserve">particular </w:t>
      </w:r>
      <w:r w:rsidR="00ED7F96">
        <w:rPr>
          <w:rFonts w:ascii="Times New Roman" w:eastAsia="Times New Roman" w:hAnsi="Times New Roman" w:cs="Times New Roman"/>
          <w:sz w:val="24"/>
          <w:szCs w:val="24"/>
        </w:rPr>
        <w:t>sorrow and alarm: Colonel Thomas Rokeby was ‘very sorry for this business of my Ld Generall I could earnestly wish he might be ingaged if possible’</w:t>
      </w:r>
      <w:r w:rsidR="008D05DD">
        <w:rPr>
          <w:rFonts w:ascii="Times New Roman" w:eastAsia="Times New Roman" w:hAnsi="Times New Roman" w:cs="Times New Roman"/>
          <w:sz w:val="24"/>
          <w:szCs w:val="24"/>
        </w:rPr>
        <w:t xml:space="preserve">, while </w:t>
      </w:r>
      <w:r w:rsidR="00ED7F96">
        <w:rPr>
          <w:rFonts w:ascii="Times New Roman" w:eastAsia="Times New Roman" w:hAnsi="Times New Roman" w:cs="Times New Roman"/>
          <w:sz w:val="24"/>
          <w:szCs w:val="24"/>
        </w:rPr>
        <w:t xml:space="preserve">Captain William Siddall </w:t>
      </w:r>
      <w:r w:rsidR="00BA0855">
        <w:rPr>
          <w:rFonts w:ascii="Times New Roman" w:eastAsia="Times New Roman" w:hAnsi="Times New Roman" w:cs="Times New Roman"/>
          <w:sz w:val="24"/>
          <w:szCs w:val="24"/>
        </w:rPr>
        <w:t>considered t</w:t>
      </w:r>
      <w:r w:rsidR="006E1059">
        <w:rPr>
          <w:rFonts w:ascii="Times New Roman" w:eastAsia="Times New Roman" w:hAnsi="Times New Roman" w:cs="Times New Roman"/>
          <w:sz w:val="24"/>
          <w:szCs w:val="24"/>
        </w:rPr>
        <w:t>he event as ‘estranged by most men.’</w:t>
      </w:r>
      <w:r w:rsidR="006E1059">
        <w:rPr>
          <w:rStyle w:val="FootnoteReference"/>
          <w:rFonts w:ascii="Times New Roman" w:eastAsia="Times New Roman" w:hAnsi="Times New Roman" w:cs="Times New Roman"/>
          <w:sz w:val="24"/>
          <w:szCs w:val="24"/>
        </w:rPr>
        <w:footnoteReference w:id="13"/>
      </w:r>
      <w:r w:rsidR="00ED7F96">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 </w:t>
      </w:r>
    </w:p>
    <w:p w:rsidR="00CF61E9" w:rsidRPr="009004F1" w:rsidRDefault="0058615B" w:rsidP="0076363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CF61E9" w:rsidRPr="009004F1">
        <w:rPr>
          <w:rFonts w:ascii="Times New Roman" w:eastAsia="Times New Roman" w:hAnsi="Times New Roman" w:cs="Times New Roman"/>
          <w:sz w:val="24"/>
          <w:szCs w:val="24"/>
        </w:rPr>
        <w:t xml:space="preserve">both military and political reasons, </w:t>
      </w:r>
      <w:r>
        <w:rPr>
          <w:rFonts w:ascii="Times New Roman" w:eastAsia="Times New Roman" w:hAnsi="Times New Roman" w:cs="Times New Roman"/>
          <w:sz w:val="24"/>
          <w:szCs w:val="24"/>
        </w:rPr>
        <w:t xml:space="preserve">then, when </w:t>
      </w:r>
      <w:r w:rsidR="00CF61E9" w:rsidRPr="009004F1">
        <w:rPr>
          <w:rFonts w:ascii="Times New Roman" w:eastAsia="Times New Roman" w:hAnsi="Times New Roman" w:cs="Times New Roman"/>
          <w:sz w:val="24"/>
          <w:szCs w:val="24"/>
        </w:rPr>
        <w:t xml:space="preserve">Fairfax </w:t>
      </w:r>
      <w:r>
        <w:rPr>
          <w:rFonts w:ascii="Times New Roman" w:eastAsia="Times New Roman" w:hAnsi="Times New Roman" w:cs="Times New Roman"/>
          <w:sz w:val="24"/>
          <w:szCs w:val="24"/>
        </w:rPr>
        <w:t xml:space="preserve">signalled his intention to resign </w:t>
      </w:r>
      <w:r w:rsidR="00CF61E9" w:rsidRPr="009004F1">
        <w:rPr>
          <w:rFonts w:ascii="Times New Roman" w:eastAsia="Times New Roman" w:hAnsi="Times New Roman" w:cs="Times New Roman"/>
          <w:sz w:val="24"/>
          <w:szCs w:val="24"/>
        </w:rPr>
        <w:t xml:space="preserve">the government </w:t>
      </w:r>
      <w:r>
        <w:rPr>
          <w:rFonts w:ascii="Times New Roman" w:eastAsia="Times New Roman" w:hAnsi="Times New Roman" w:cs="Times New Roman"/>
          <w:sz w:val="24"/>
          <w:szCs w:val="24"/>
        </w:rPr>
        <w:t xml:space="preserve">made </w:t>
      </w:r>
      <w:r w:rsidR="00230E1E">
        <w:rPr>
          <w:rFonts w:ascii="Times New Roman" w:eastAsia="Times New Roman" w:hAnsi="Times New Roman" w:cs="Times New Roman"/>
          <w:sz w:val="24"/>
          <w:szCs w:val="24"/>
        </w:rPr>
        <w:t xml:space="preserve">strenuous </w:t>
      </w:r>
      <w:r>
        <w:rPr>
          <w:rFonts w:ascii="Times New Roman" w:eastAsia="Times New Roman" w:hAnsi="Times New Roman" w:cs="Times New Roman"/>
          <w:sz w:val="24"/>
          <w:szCs w:val="24"/>
        </w:rPr>
        <w:t xml:space="preserve">efforts to dissuade him. </w:t>
      </w:r>
      <w:r w:rsidR="00CF61E9" w:rsidRPr="009004F1">
        <w:rPr>
          <w:rFonts w:ascii="Times New Roman" w:eastAsia="Times New Roman" w:hAnsi="Times New Roman" w:cs="Times New Roman"/>
          <w:sz w:val="24"/>
          <w:szCs w:val="24"/>
        </w:rPr>
        <w:t>First, Colonel Hutchinson led a delegation of M.P.s to Fairfax’s house</w:t>
      </w:r>
      <w:r w:rsidR="00A511C0">
        <w:rPr>
          <w:rFonts w:ascii="Times New Roman" w:eastAsia="Times New Roman" w:hAnsi="Times New Roman" w:cs="Times New Roman"/>
          <w:sz w:val="24"/>
          <w:szCs w:val="24"/>
        </w:rPr>
        <w:t xml:space="preserve">, </w:t>
      </w:r>
      <w:r w:rsidR="00CF61E9" w:rsidRPr="009004F1">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to no avail</w:t>
      </w:r>
      <w:r w:rsidR="00CF61E9" w:rsidRPr="009004F1">
        <w:rPr>
          <w:rFonts w:ascii="Times New Roman" w:eastAsia="Times New Roman" w:hAnsi="Times New Roman" w:cs="Times New Roman"/>
          <w:sz w:val="24"/>
          <w:szCs w:val="24"/>
        </w:rPr>
        <w:t xml:space="preserve">. Next, </w:t>
      </w:r>
      <w:r w:rsidR="00F826A6">
        <w:rPr>
          <w:rFonts w:ascii="Times New Roman" w:eastAsia="Times New Roman" w:hAnsi="Times New Roman" w:cs="Times New Roman"/>
          <w:sz w:val="24"/>
          <w:szCs w:val="24"/>
        </w:rPr>
        <w:t xml:space="preserve">as </w:t>
      </w:r>
      <w:r w:rsidR="00090254">
        <w:rPr>
          <w:rFonts w:ascii="Times New Roman" w:eastAsia="Times New Roman" w:hAnsi="Times New Roman" w:cs="Times New Roman"/>
          <w:sz w:val="24"/>
          <w:szCs w:val="24"/>
        </w:rPr>
        <w:t xml:space="preserve">Bulstrode </w:t>
      </w:r>
      <w:r w:rsidR="00CF61E9" w:rsidRPr="009004F1">
        <w:rPr>
          <w:rFonts w:ascii="Times New Roman" w:eastAsia="Times New Roman" w:hAnsi="Times New Roman" w:cs="Times New Roman"/>
          <w:sz w:val="24"/>
          <w:szCs w:val="24"/>
        </w:rPr>
        <w:t>Whitelock re</w:t>
      </w:r>
      <w:r w:rsidR="00F826A6">
        <w:rPr>
          <w:rFonts w:ascii="Times New Roman" w:eastAsia="Times New Roman" w:hAnsi="Times New Roman" w:cs="Times New Roman"/>
          <w:sz w:val="24"/>
          <w:szCs w:val="24"/>
        </w:rPr>
        <w:t xml:space="preserve">cords, </w:t>
      </w:r>
      <w:r w:rsidR="00CF61E9" w:rsidRPr="009004F1">
        <w:rPr>
          <w:rFonts w:ascii="Times New Roman" w:eastAsia="Times New Roman" w:hAnsi="Times New Roman" w:cs="Times New Roman"/>
          <w:sz w:val="24"/>
          <w:szCs w:val="24"/>
        </w:rPr>
        <w:t xml:space="preserve">‘The Council of State somewhat troubled at his excellency’s scruples appointed </w:t>
      </w:r>
      <w:r w:rsidR="00CF61E9" w:rsidRPr="009004F1">
        <w:rPr>
          <w:rFonts w:ascii="Times New Roman" w:eastAsia="Times New Roman" w:hAnsi="Times New Roman" w:cs="Times New Roman"/>
          <w:sz w:val="24"/>
          <w:szCs w:val="24"/>
        </w:rPr>
        <w:lastRenderedPageBreak/>
        <w:t xml:space="preserve">Cromwell, Lambert, Harrison, St John and myself a Committee to confer hereupon with Fairfax; and to endeavour to satisfy him of the justice and lawfulness of this </w:t>
      </w:r>
      <w:r w:rsidR="00090254">
        <w:rPr>
          <w:rFonts w:ascii="Times New Roman" w:eastAsia="Times New Roman" w:hAnsi="Times New Roman" w:cs="Times New Roman"/>
          <w:sz w:val="24"/>
          <w:szCs w:val="24"/>
        </w:rPr>
        <w:t xml:space="preserve">[Scottish] </w:t>
      </w:r>
      <w:r w:rsidR="00CF61E9" w:rsidRPr="009004F1">
        <w:rPr>
          <w:rFonts w:ascii="Times New Roman" w:eastAsia="Times New Roman" w:hAnsi="Times New Roman" w:cs="Times New Roman"/>
          <w:sz w:val="24"/>
          <w:szCs w:val="24"/>
        </w:rPr>
        <w:t>undertaking’.</w:t>
      </w:r>
      <w:r w:rsidR="00CF61E9" w:rsidRPr="009004F1">
        <w:rPr>
          <w:rFonts w:ascii="Times New Roman" w:eastAsia="Times New Roman" w:hAnsi="Times New Roman" w:cs="Times New Roman"/>
          <w:sz w:val="24"/>
          <w:szCs w:val="24"/>
          <w:vertAlign w:val="superscript"/>
        </w:rPr>
        <w:footnoteReference w:id="14"/>
      </w:r>
      <w:r w:rsidR="00CF61E9" w:rsidRPr="009004F1">
        <w:rPr>
          <w:rFonts w:ascii="Times New Roman" w:eastAsia="Times New Roman" w:hAnsi="Times New Roman" w:cs="Times New Roman"/>
          <w:sz w:val="24"/>
          <w:szCs w:val="24"/>
        </w:rPr>
        <w:t xml:space="preserve"> </w:t>
      </w:r>
      <w:r w:rsidR="00626B12">
        <w:rPr>
          <w:rFonts w:ascii="Times New Roman" w:eastAsia="Times New Roman" w:hAnsi="Times New Roman" w:cs="Times New Roman"/>
          <w:sz w:val="24"/>
          <w:szCs w:val="24"/>
        </w:rPr>
        <w:t xml:space="preserve">However, </w:t>
      </w:r>
      <w:r w:rsidR="00CF61E9" w:rsidRPr="009004F1">
        <w:rPr>
          <w:rFonts w:ascii="Times New Roman" w:eastAsia="Times New Roman" w:hAnsi="Times New Roman" w:cs="Times New Roman"/>
          <w:sz w:val="24"/>
          <w:szCs w:val="24"/>
        </w:rPr>
        <w:t>despite their best efforts throughout the night</w:t>
      </w:r>
      <w:r w:rsidR="00090254">
        <w:rPr>
          <w:rFonts w:ascii="Times New Roman" w:eastAsia="Times New Roman" w:hAnsi="Times New Roman" w:cs="Times New Roman"/>
          <w:sz w:val="24"/>
          <w:szCs w:val="24"/>
        </w:rPr>
        <w:t>,</w:t>
      </w:r>
      <w:r w:rsidR="00CF61E9" w:rsidRPr="009004F1">
        <w:rPr>
          <w:rFonts w:ascii="Times New Roman" w:eastAsia="Times New Roman" w:hAnsi="Times New Roman" w:cs="Times New Roman"/>
          <w:sz w:val="24"/>
          <w:szCs w:val="24"/>
        </w:rPr>
        <w:t xml:space="preserve"> Fairfax ‘was unwilling to alter his res</w:t>
      </w:r>
      <w:r w:rsidR="00323159">
        <w:rPr>
          <w:rFonts w:ascii="Times New Roman" w:eastAsia="Times New Roman" w:hAnsi="Times New Roman" w:cs="Times New Roman"/>
          <w:sz w:val="24"/>
          <w:szCs w:val="24"/>
        </w:rPr>
        <w:t xml:space="preserve">olution in consideration of any </w:t>
      </w:r>
      <w:r w:rsidR="00CF61E9" w:rsidRPr="009004F1">
        <w:rPr>
          <w:rFonts w:ascii="Times New Roman" w:eastAsia="Times New Roman" w:hAnsi="Times New Roman" w:cs="Times New Roman"/>
          <w:sz w:val="24"/>
          <w:szCs w:val="24"/>
        </w:rPr>
        <w:t>thing that could be said.’</w:t>
      </w:r>
      <w:r w:rsidR="00CF61E9" w:rsidRPr="009004F1">
        <w:rPr>
          <w:rFonts w:ascii="Times New Roman" w:eastAsia="Times New Roman" w:hAnsi="Times New Roman" w:cs="Times New Roman"/>
          <w:sz w:val="24"/>
          <w:szCs w:val="24"/>
          <w:vertAlign w:val="superscript"/>
        </w:rPr>
        <w:footnoteReference w:id="15"/>
      </w:r>
      <w:r w:rsidR="00CF61E9" w:rsidRPr="009004F1">
        <w:rPr>
          <w:rFonts w:ascii="Times New Roman" w:eastAsia="Times New Roman" w:hAnsi="Times New Roman" w:cs="Times New Roman"/>
          <w:sz w:val="24"/>
          <w:szCs w:val="24"/>
        </w:rPr>
        <w:t xml:space="preserve"> As far as Fairfax was concerned his </w:t>
      </w:r>
      <w:r w:rsidR="006831AA">
        <w:rPr>
          <w:rFonts w:ascii="Times New Roman" w:eastAsia="Times New Roman" w:hAnsi="Times New Roman" w:cs="Times New Roman"/>
          <w:sz w:val="24"/>
          <w:szCs w:val="24"/>
        </w:rPr>
        <w:t xml:space="preserve">qualms </w:t>
      </w:r>
      <w:r w:rsidR="00090254">
        <w:rPr>
          <w:rFonts w:ascii="Times New Roman" w:eastAsia="Times New Roman" w:hAnsi="Times New Roman" w:cs="Times New Roman"/>
          <w:sz w:val="24"/>
          <w:szCs w:val="24"/>
        </w:rPr>
        <w:t>were</w:t>
      </w:r>
      <w:r w:rsidR="006831AA">
        <w:rPr>
          <w:rFonts w:ascii="Times New Roman" w:eastAsia="Times New Roman" w:hAnsi="Times New Roman" w:cs="Times New Roman"/>
          <w:sz w:val="24"/>
          <w:szCs w:val="24"/>
        </w:rPr>
        <w:t xml:space="preserve"> </w:t>
      </w:r>
      <w:r w:rsidR="00D94052">
        <w:rPr>
          <w:rFonts w:ascii="Times New Roman" w:eastAsia="Times New Roman" w:hAnsi="Times New Roman" w:cs="Times New Roman"/>
          <w:sz w:val="24"/>
          <w:szCs w:val="24"/>
        </w:rPr>
        <w:t>(</w:t>
      </w:r>
      <w:r w:rsidR="00A440EF">
        <w:rPr>
          <w:rFonts w:ascii="Times New Roman" w:eastAsia="Times New Roman" w:hAnsi="Times New Roman" w:cs="Times New Roman"/>
          <w:sz w:val="24"/>
          <w:szCs w:val="24"/>
        </w:rPr>
        <w:t xml:space="preserve">embarrassingly </w:t>
      </w:r>
      <w:r w:rsidR="00CF61E9" w:rsidRPr="009004F1">
        <w:rPr>
          <w:rFonts w:ascii="Times New Roman" w:eastAsia="Times New Roman" w:hAnsi="Times New Roman" w:cs="Times New Roman"/>
          <w:sz w:val="24"/>
          <w:szCs w:val="24"/>
        </w:rPr>
        <w:t xml:space="preserve">enough for a government which </w:t>
      </w:r>
      <w:r w:rsidR="00B313F6">
        <w:rPr>
          <w:rFonts w:ascii="Times New Roman" w:eastAsia="Times New Roman" w:hAnsi="Times New Roman" w:cs="Times New Roman"/>
          <w:sz w:val="24"/>
          <w:szCs w:val="24"/>
        </w:rPr>
        <w:t xml:space="preserve">virtually </w:t>
      </w:r>
      <w:r w:rsidR="00CF61E9" w:rsidRPr="009004F1">
        <w:rPr>
          <w:rFonts w:ascii="Times New Roman" w:eastAsia="Times New Roman" w:hAnsi="Times New Roman" w:cs="Times New Roman"/>
          <w:sz w:val="24"/>
          <w:szCs w:val="24"/>
        </w:rPr>
        <w:t>defined itself by the moral elevation</w:t>
      </w:r>
      <w:r w:rsidR="00090254">
        <w:rPr>
          <w:rFonts w:ascii="Times New Roman" w:eastAsia="Times New Roman" w:hAnsi="Times New Roman" w:cs="Times New Roman"/>
          <w:sz w:val="24"/>
          <w:szCs w:val="24"/>
        </w:rPr>
        <w:t xml:space="preserve"> of the p</w:t>
      </w:r>
      <w:r w:rsidR="00CF61E9" w:rsidRPr="009004F1">
        <w:rPr>
          <w:rFonts w:ascii="Times New Roman" w:eastAsia="Times New Roman" w:hAnsi="Times New Roman" w:cs="Times New Roman"/>
          <w:sz w:val="24"/>
          <w:szCs w:val="24"/>
        </w:rPr>
        <w:t xml:space="preserve">arliamentarian-puritan </w:t>
      </w:r>
      <w:r w:rsidR="00090254">
        <w:rPr>
          <w:rFonts w:ascii="Times New Roman" w:eastAsia="Times New Roman" w:hAnsi="Times New Roman" w:cs="Times New Roman"/>
          <w:sz w:val="24"/>
          <w:szCs w:val="24"/>
        </w:rPr>
        <w:t>nexus</w:t>
      </w:r>
      <w:r w:rsidR="00D94052">
        <w:rPr>
          <w:rFonts w:ascii="Times New Roman" w:eastAsia="Times New Roman" w:hAnsi="Times New Roman" w:cs="Times New Roman"/>
          <w:sz w:val="24"/>
          <w:szCs w:val="24"/>
        </w:rPr>
        <w:t xml:space="preserve">) </w:t>
      </w:r>
      <w:r w:rsidR="006831AA">
        <w:rPr>
          <w:rFonts w:ascii="Times New Roman" w:eastAsia="Times New Roman" w:hAnsi="Times New Roman" w:cs="Times New Roman"/>
          <w:sz w:val="24"/>
          <w:szCs w:val="24"/>
        </w:rPr>
        <w:t xml:space="preserve">a </w:t>
      </w:r>
      <w:r w:rsidR="00CF61E9" w:rsidRPr="009004F1">
        <w:rPr>
          <w:rFonts w:ascii="Times New Roman" w:eastAsia="Times New Roman" w:hAnsi="Times New Roman" w:cs="Times New Roman"/>
          <w:sz w:val="24"/>
          <w:szCs w:val="24"/>
        </w:rPr>
        <w:t>matter of conscience: ‘What my conscience yields unto as just and lawful I shall follow; and what seems to me to be otherwise I will not do. My conscience is not satisfied, and therefore I must desire to be excused.’</w:t>
      </w:r>
      <w:r w:rsidR="00CF61E9" w:rsidRPr="009004F1">
        <w:rPr>
          <w:rFonts w:ascii="Times New Roman" w:eastAsia="Times New Roman" w:hAnsi="Times New Roman" w:cs="Times New Roman"/>
          <w:sz w:val="24"/>
          <w:szCs w:val="24"/>
          <w:vertAlign w:val="superscript"/>
        </w:rPr>
        <w:footnoteReference w:id="16"/>
      </w:r>
      <w:r w:rsidR="00CF61E9" w:rsidRPr="009004F1">
        <w:rPr>
          <w:rFonts w:ascii="Times New Roman" w:eastAsia="Times New Roman" w:hAnsi="Times New Roman" w:cs="Times New Roman"/>
          <w:sz w:val="24"/>
          <w:szCs w:val="24"/>
        </w:rPr>
        <w:t xml:space="preserve">  </w:t>
      </w:r>
    </w:p>
    <w:p w:rsidR="000B6C3A" w:rsidRDefault="00CF61E9"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r>
      <w:r w:rsidR="00230E1E">
        <w:rPr>
          <w:rFonts w:ascii="Times New Roman" w:eastAsia="Times New Roman" w:hAnsi="Times New Roman" w:cs="Times New Roman"/>
          <w:sz w:val="24"/>
          <w:szCs w:val="24"/>
        </w:rPr>
        <w:t>Once t</w:t>
      </w:r>
      <w:r w:rsidR="001D69AF">
        <w:rPr>
          <w:rFonts w:ascii="Times New Roman" w:eastAsia="Times New Roman" w:hAnsi="Times New Roman" w:cs="Times New Roman"/>
          <w:sz w:val="24"/>
          <w:szCs w:val="24"/>
        </w:rPr>
        <w:t>he frantic</w:t>
      </w:r>
      <w:r w:rsidRPr="009004F1">
        <w:rPr>
          <w:rFonts w:ascii="Times New Roman" w:eastAsia="Times New Roman" w:hAnsi="Times New Roman" w:cs="Times New Roman"/>
          <w:sz w:val="24"/>
          <w:szCs w:val="24"/>
        </w:rPr>
        <w:t xml:space="preserve"> official and private efforts </w:t>
      </w:r>
      <w:r w:rsidR="007D5451">
        <w:rPr>
          <w:rFonts w:ascii="Times New Roman" w:eastAsia="Times New Roman" w:hAnsi="Times New Roman" w:cs="Times New Roman"/>
          <w:sz w:val="24"/>
          <w:szCs w:val="24"/>
        </w:rPr>
        <w:t xml:space="preserve">at </w:t>
      </w:r>
      <w:r w:rsidR="00B210B6">
        <w:rPr>
          <w:rFonts w:ascii="Times New Roman" w:eastAsia="Times New Roman" w:hAnsi="Times New Roman" w:cs="Times New Roman"/>
          <w:sz w:val="24"/>
          <w:szCs w:val="24"/>
        </w:rPr>
        <w:t xml:space="preserve">persuasion </w:t>
      </w:r>
      <w:r w:rsidRPr="009004F1">
        <w:rPr>
          <w:rFonts w:ascii="Times New Roman" w:eastAsia="Times New Roman" w:hAnsi="Times New Roman" w:cs="Times New Roman"/>
          <w:sz w:val="24"/>
          <w:szCs w:val="24"/>
        </w:rPr>
        <w:t xml:space="preserve">had </w:t>
      </w:r>
      <w:r w:rsidR="00293A12">
        <w:rPr>
          <w:rFonts w:ascii="Times New Roman" w:eastAsia="Times New Roman" w:hAnsi="Times New Roman" w:cs="Times New Roman"/>
          <w:sz w:val="24"/>
          <w:szCs w:val="24"/>
        </w:rPr>
        <w:t xml:space="preserve">all </w:t>
      </w:r>
      <w:r w:rsidRPr="009004F1">
        <w:rPr>
          <w:rFonts w:ascii="Times New Roman" w:eastAsia="Times New Roman" w:hAnsi="Times New Roman" w:cs="Times New Roman"/>
          <w:sz w:val="24"/>
          <w:szCs w:val="24"/>
        </w:rPr>
        <w:t>come to no</w:t>
      </w:r>
      <w:r w:rsidR="00B210B6">
        <w:rPr>
          <w:rFonts w:ascii="Times New Roman" w:eastAsia="Times New Roman" w:hAnsi="Times New Roman" w:cs="Times New Roman"/>
          <w:sz w:val="24"/>
          <w:szCs w:val="24"/>
        </w:rPr>
        <w:t>ught</w:t>
      </w:r>
      <w:r w:rsidRPr="009004F1">
        <w:rPr>
          <w:rFonts w:ascii="Times New Roman" w:eastAsia="Times New Roman" w:hAnsi="Times New Roman" w:cs="Times New Roman"/>
          <w:sz w:val="24"/>
          <w:szCs w:val="24"/>
        </w:rPr>
        <w:t xml:space="preserve">, the </w:t>
      </w:r>
      <w:r w:rsidR="00B210B6">
        <w:rPr>
          <w:rFonts w:ascii="Times New Roman" w:eastAsia="Times New Roman" w:hAnsi="Times New Roman" w:cs="Times New Roman"/>
          <w:sz w:val="24"/>
          <w:szCs w:val="24"/>
        </w:rPr>
        <w:t xml:space="preserve">machinery </w:t>
      </w:r>
      <w:r w:rsidRPr="009004F1">
        <w:rPr>
          <w:rFonts w:ascii="Times New Roman" w:eastAsia="Times New Roman" w:hAnsi="Times New Roman" w:cs="Times New Roman"/>
          <w:sz w:val="24"/>
          <w:szCs w:val="24"/>
        </w:rPr>
        <w:t>of government w</w:t>
      </w:r>
      <w:r w:rsidR="00B210B6">
        <w:rPr>
          <w:rFonts w:ascii="Times New Roman" w:eastAsia="Times New Roman" w:hAnsi="Times New Roman" w:cs="Times New Roman"/>
          <w:sz w:val="24"/>
          <w:szCs w:val="24"/>
        </w:rPr>
        <w:t xml:space="preserve">as </w:t>
      </w:r>
      <w:r w:rsidR="007D183C">
        <w:rPr>
          <w:rFonts w:ascii="Times New Roman" w:eastAsia="Times New Roman" w:hAnsi="Times New Roman" w:cs="Times New Roman"/>
          <w:sz w:val="24"/>
          <w:szCs w:val="24"/>
        </w:rPr>
        <w:t xml:space="preserve">fully deployed to </w:t>
      </w:r>
      <w:r w:rsidRPr="009004F1">
        <w:rPr>
          <w:rFonts w:ascii="Times New Roman" w:eastAsia="Times New Roman" w:hAnsi="Times New Roman" w:cs="Times New Roman"/>
          <w:sz w:val="24"/>
          <w:szCs w:val="24"/>
        </w:rPr>
        <w:t xml:space="preserve">ensure </w:t>
      </w:r>
      <w:r w:rsidR="003D11BA">
        <w:rPr>
          <w:rFonts w:ascii="Times New Roman" w:eastAsia="Times New Roman" w:hAnsi="Times New Roman" w:cs="Times New Roman"/>
          <w:sz w:val="24"/>
          <w:szCs w:val="24"/>
        </w:rPr>
        <w:t xml:space="preserve">a </w:t>
      </w:r>
      <w:r w:rsidRPr="009004F1">
        <w:rPr>
          <w:rFonts w:ascii="Times New Roman" w:eastAsia="Times New Roman" w:hAnsi="Times New Roman" w:cs="Times New Roman"/>
          <w:sz w:val="24"/>
          <w:szCs w:val="24"/>
        </w:rPr>
        <w:t xml:space="preserve">seamless transition between </w:t>
      </w:r>
      <w:r w:rsidR="00000856">
        <w:rPr>
          <w:rFonts w:ascii="Times New Roman" w:eastAsia="Times New Roman" w:hAnsi="Times New Roman" w:cs="Times New Roman"/>
          <w:sz w:val="24"/>
          <w:szCs w:val="24"/>
        </w:rPr>
        <w:t xml:space="preserve">the old and new </w:t>
      </w:r>
      <w:r w:rsidRPr="009004F1">
        <w:rPr>
          <w:rFonts w:ascii="Times New Roman" w:eastAsia="Times New Roman" w:hAnsi="Times New Roman" w:cs="Times New Roman"/>
          <w:sz w:val="24"/>
          <w:szCs w:val="24"/>
        </w:rPr>
        <w:t>Commander-in-Chief, to give the impression</w:t>
      </w:r>
      <w:r w:rsidR="00000856">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of business as usual. First, the combination of genuinely warm public and private sentiment, together with the exigencies of protocol, dictated that the towering contribution of the Lord General to the </w:t>
      </w:r>
      <w:r w:rsidR="005A48C1">
        <w:rPr>
          <w:rFonts w:ascii="Times New Roman" w:eastAsia="Times New Roman" w:hAnsi="Times New Roman" w:cs="Times New Roman"/>
          <w:sz w:val="24"/>
          <w:szCs w:val="24"/>
        </w:rPr>
        <w:t>p</w:t>
      </w:r>
      <w:r w:rsidRPr="009004F1">
        <w:rPr>
          <w:rFonts w:ascii="Times New Roman" w:eastAsia="Times New Roman" w:hAnsi="Times New Roman" w:cs="Times New Roman"/>
          <w:sz w:val="24"/>
          <w:szCs w:val="24"/>
        </w:rPr>
        <w:t xml:space="preserve">arliamentarian war effort be publicly recognised. A committee of the House was appointed to express to Fairfax the gratitude of </w:t>
      </w:r>
      <w:r w:rsidR="005A48C1">
        <w:rPr>
          <w:rFonts w:ascii="Times New Roman" w:eastAsia="Times New Roman" w:hAnsi="Times New Roman" w:cs="Times New Roman"/>
          <w:sz w:val="24"/>
          <w:szCs w:val="24"/>
        </w:rPr>
        <w:t>p</w:t>
      </w:r>
      <w:r w:rsidRPr="009004F1">
        <w:rPr>
          <w:rFonts w:ascii="Times New Roman" w:eastAsia="Times New Roman" w:hAnsi="Times New Roman" w:cs="Times New Roman"/>
          <w:sz w:val="24"/>
          <w:szCs w:val="24"/>
        </w:rPr>
        <w:t>arliament for his former services, and an annua</w:t>
      </w:r>
      <w:r w:rsidR="007D183C">
        <w:rPr>
          <w:rFonts w:ascii="Times New Roman" w:eastAsia="Times New Roman" w:hAnsi="Times New Roman" w:cs="Times New Roman"/>
          <w:sz w:val="24"/>
          <w:szCs w:val="24"/>
        </w:rPr>
        <w:t xml:space="preserve">l government gratuity </w:t>
      </w:r>
      <w:r w:rsidR="009B7880">
        <w:rPr>
          <w:rFonts w:ascii="Times New Roman" w:eastAsia="Times New Roman" w:hAnsi="Times New Roman" w:cs="Times New Roman"/>
          <w:sz w:val="24"/>
          <w:szCs w:val="24"/>
        </w:rPr>
        <w:t xml:space="preserve">of </w:t>
      </w:r>
      <w:r w:rsidRPr="009004F1">
        <w:rPr>
          <w:rFonts w:ascii="Times New Roman" w:eastAsia="Times New Roman" w:hAnsi="Times New Roman" w:cs="Times New Roman"/>
          <w:sz w:val="24"/>
          <w:szCs w:val="24"/>
        </w:rPr>
        <w:t xml:space="preserve">five thousand pounds was </w:t>
      </w:r>
      <w:r w:rsidR="00F36986">
        <w:rPr>
          <w:rFonts w:ascii="Times New Roman" w:eastAsia="Times New Roman" w:hAnsi="Times New Roman" w:cs="Times New Roman"/>
          <w:sz w:val="24"/>
          <w:szCs w:val="24"/>
        </w:rPr>
        <w:t>announced</w:t>
      </w:r>
      <w:r w:rsidRPr="009004F1">
        <w:rPr>
          <w:rFonts w:ascii="Times New Roman" w:eastAsia="Times New Roman" w:hAnsi="Times New Roman" w:cs="Times New Roman"/>
          <w:sz w:val="24"/>
          <w:szCs w:val="24"/>
        </w:rPr>
        <w:t>.</w:t>
      </w:r>
      <w:r w:rsidR="00EC4425">
        <w:rPr>
          <w:rStyle w:val="FootnoteReference"/>
          <w:rFonts w:ascii="Times New Roman" w:eastAsia="Times New Roman" w:hAnsi="Times New Roman" w:cs="Times New Roman"/>
          <w:sz w:val="24"/>
          <w:szCs w:val="24"/>
        </w:rPr>
        <w:footnoteReference w:id="17"/>
      </w:r>
      <w:r w:rsidRPr="009004F1">
        <w:rPr>
          <w:rFonts w:ascii="Times New Roman" w:eastAsia="Times New Roman" w:hAnsi="Times New Roman" w:cs="Times New Roman"/>
          <w:sz w:val="24"/>
          <w:szCs w:val="24"/>
        </w:rPr>
        <w:t xml:space="preserve"> Nor was this the </w:t>
      </w:r>
      <w:r w:rsidR="00244187">
        <w:rPr>
          <w:rFonts w:ascii="Times New Roman" w:eastAsia="Times New Roman" w:hAnsi="Times New Roman" w:cs="Times New Roman"/>
          <w:sz w:val="24"/>
          <w:szCs w:val="24"/>
        </w:rPr>
        <w:t xml:space="preserve">last public </w:t>
      </w:r>
      <w:r w:rsidRPr="009004F1">
        <w:rPr>
          <w:rFonts w:ascii="Times New Roman" w:eastAsia="Times New Roman" w:hAnsi="Times New Roman" w:cs="Times New Roman"/>
          <w:sz w:val="24"/>
          <w:szCs w:val="24"/>
        </w:rPr>
        <w:t>demonstration of Parliament’s indebtedness: in 1651</w:t>
      </w:r>
      <w:r w:rsidR="006A760F">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Fairfax was a</w:t>
      </w:r>
      <w:r w:rsidR="00E9710F">
        <w:rPr>
          <w:rFonts w:ascii="Times New Roman" w:eastAsia="Times New Roman" w:hAnsi="Times New Roman" w:cs="Times New Roman"/>
          <w:sz w:val="24"/>
          <w:szCs w:val="24"/>
        </w:rPr>
        <w:t xml:space="preserve">warded the </w:t>
      </w:r>
      <w:r w:rsidRPr="009004F1">
        <w:rPr>
          <w:rFonts w:ascii="Times New Roman" w:eastAsia="Times New Roman" w:hAnsi="Times New Roman" w:cs="Times New Roman"/>
          <w:sz w:val="24"/>
          <w:szCs w:val="24"/>
        </w:rPr>
        <w:t>Lord</w:t>
      </w:r>
      <w:r w:rsidR="00E9710F">
        <w:rPr>
          <w:rFonts w:ascii="Times New Roman" w:eastAsia="Times New Roman" w:hAnsi="Times New Roman" w:cs="Times New Roman"/>
          <w:sz w:val="24"/>
          <w:szCs w:val="24"/>
        </w:rPr>
        <w:t xml:space="preserve">ship of the </w:t>
      </w:r>
      <w:r w:rsidRPr="009004F1">
        <w:rPr>
          <w:rFonts w:ascii="Times New Roman" w:eastAsia="Times New Roman" w:hAnsi="Times New Roman" w:cs="Times New Roman"/>
          <w:sz w:val="24"/>
          <w:szCs w:val="24"/>
        </w:rPr>
        <w:t>Isle of Man</w:t>
      </w:r>
      <w:r w:rsidR="001C4A2D">
        <w:rPr>
          <w:rFonts w:ascii="Times New Roman" w:eastAsia="Times New Roman" w:hAnsi="Times New Roman" w:cs="Times New Roman"/>
          <w:sz w:val="24"/>
          <w:szCs w:val="24"/>
        </w:rPr>
        <w:t xml:space="preserve">, a role examined in detail </w:t>
      </w:r>
      <w:r w:rsidR="00A8178F">
        <w:rPr>
          <w:rFonts w:ascii="Times New Roman" w:eastAsia="Times New Roman" w:hAnsi="Times New Roman" w:cs="Times New Roman"/>
          <w:sz w:val="24"/>
          <w:szCs w:val="24"/>
        </w:rPr>
        <w:t xml:space="preserve">by John Callow </w:t>
      </w:r>
      <w:r w:rsidR="001C4A2D">
        <w:rPr>
          <w:rFonts w:ascii="Times New Roman" w:eastAsia="Times New Roman" w:hAnsi="Times New Roman" w:cs="Times New Roman"/>
          <w:sz w:val="24"/>
          <w:szCs w:val="24"/>
        </w:rPr>
        <w:t xml:space="preserve">in Chapter 1. </w:t>
      </w:r>
      <w:r w:rsidRPr="009004F1">
        <w:rPr>
          <w:rFonts w:ascii="Times New Roman" w:eastAsia="Times New Roman" w:hAnsi="Times New Roman" w:cs="Times New Roman"/>
          <w:sz w:val="24"/>
          <w:szCs w:val="24"/>
        </w:rPr>
        <w:t>Yet</w:t>
      </w:r>
      <w:r w:rsidR="00535FCA">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 xml:space="preserve"> while </w:t>
      </w:r>
      <w:r w:rsidR="00535FCA">
        <w:rPr>
          <w:rFonts w:ascii="Times New Roman" w:eastAsia="Times New Roman" w:hAnsi="Times New Roman" w:cs="Times New Roman"/>
          <w:sz w:val="24"/>
          <w:szCs w:val="24"/>
        </w:rPr>
        <w:t xml:space="preserve">the </w:t>
      </w:r>
      <w:r w:rsidRPr="009004F1">
        <w:rPr>
          <w:rFonts w:ascii="Times New Roman" w:eastAsia="Times New Roman" w:hAnsi="Times New Roman" w:cs="Times New Roman"/>
          <w:sz w:val="24"/>
          <w:szCs w:val="24"/>
        </w:rPr>
        <w:t>protocol</w:t>
      </w:r>
      <w:r w:rsidR="00535FCA">
        <w:rPr>
          <w:rFonts w:ascii="Times New Roman" w:eastAsia="Times New Roman" w:hAnsi="Times New Roman" w:cs="Times New Roman"/>
          <w:sz w:val="24"/>
          <w:szCs w:val="24"/>
        </w:rPr>
        <w:t>s and felicities of government gratitude c</w:t>
      </w:r>
      <w:r w:rsidRPr="009004F1">
        <w:rPr>
          <w:rFonts w:ascii="Times New Roman" w:eastAsia="Times New Roman" w:hAnsi="Times New Roman" w:cs="Times New Roman"/>
          <w:sz w:val="24"/>
          <w:szCs w:val="24"/>
        </w:rPr>
        <w:t xml:space="preserve">ould </w:t>
      </w:r>
      <w:r w:rsidR="00535FCA">
        <w:rPr>
          <w:rFonts w:ascii="Times New Roman" w:eastAsia="Times New Roman" w:hAnsi="Times New Roman" w:cs="Times New Roman"/>
          <w:sz w:val="24"/>
          <w:szCs w:val="24"/>
        </w:rPr>
        <w:t>assuage any sense of crisis, the more pressing question was that of the succession</w:t>
      </w:r>
      <w:r w:rsidR="00000856">
        <w:rPr>
          <w:rFonts w:ascii="Times New Roman" w:eastAsia="Times New Roman" w:hAnsi="Times New Roman" w:cs="Times New Roman"/>
          <w:sz w:val="24"/>
          <w:szCs w:val="24"/>
        </w:rPr>
        <w:t xml:space="preserve"> itself</w:t>
      </w:r>
      <w:r w:rsidRPr="009004F1">
        <w:rPr>
          <w:rFonts w:ascii="Times New Roman" w:eastAsia="Times New Roman" w:hAnsi="Times New Roman" w:cs="Times New Roman"/>
          <w:sz w:val="24"/>
          <w:szCs w:val="24"/>
        </w:rPr>
        <w:t>. With almost indecent haste</w:t>
      </w:r>
      <w:r w:rsidR="00000856">
        <w:rPr>
          <w:rFonts w:ascii="Times New Roman" w:eastAsia="Times New Roman" w:hAnsi="Times New Roman" w:cs="Times New Roman"/>
          <w:sz w:val="24"/>
          <w:szCs w:val="24"/>
        </w:rPr>
        <w:t xml:space="preserve"> – </w:t>
      </w:r>
      <w:r w:rsidR="00535FCA">
        <w:rPr>
          <w:rFonts w:ascii="Times New Roman" w:eastAsia="Times New Roman" w:hAnsi="Times New Roman" w:cs="Times New Roman"/>
          <w:sz w:val="24"/>
          <w:szCs w:val="24"/>
        </w:rPr>
        <w:t>indeed</w:t>
      </w:r>
      <w:r w:rsidR="00000856">
        <w:rPr>
          <w:rFonts w:ascii="Times New Roman" w:eastAsia="Times New Roman" w:hAnsi="Times New Roman" w:cs="Times New Roman"/>
          <w:sz w:val="24"/>
          <w:szCs w:val="24"/>
        </w:rPr>
        <w:t>,</w:t>
      </w:r>
      <w:r w:rsidR="00535FCA">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on the day after Fairfax’s </w:t>
      </w:r>
      <w:r w:rsidRPr="009004F1">
        <w:rPr>
          <w:rFonts w:ascii="Times New Roman" w:eastAsia="Times New Roman" w:hAnsi="Times New Roman" w:cs="Times New Roman"/>
          <w:sz w:val="24"/>
          <w:szCs w:val="24"/>
        </w:rPr>
        <w:lastRenderedPageBreak/>
        <w:t>resignation</w:t>
      </w:r>
      <w:r w:rsidR="00000856">
        <w:rPr>
          <w:rFonts w:ascii="Times New Roman" w:eastAsia="Times New Roman" w:hAnsi="Times New Roman" w:cs="Times New Roman"/>
          <w:sz w:val="24"/>
          <w:szCs w:val="24"/>
        </w:rPr>
        <w:t xml:space="preserve"> – </w:t>
      </w:r>
      <w:r w:rsidRPr="009004F1">
        <w:rPr>
          <w:rFonts w:ascii="Times New Roman" w:eastAsia="Times New Roman" w:hAnsi="Times New Roman" w:cs="Times New Roman"/>
          <w:sz w:val="24"/>
          <w:szCs w:val="24"/>
        </w:rPr>
        <w:t>an Act was passed which ‘repealed, annulled, and made void to all intents and purposes’ the authority vested in him for the past five years as Captain</w:t>
      </w:r>
      <w:r w:rsidR="00535FCA">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General, constitut</w:t>
      </w:r>
      <w:r w:rsidR="00535FCA">
        <w:rPr>
          <w:rFonts w:ascii="Times New Roman" w:eastAsia="Times New Roman" w:hAnsi="Times New Roman" w:cs="Times New Roman"/>
          <w:sz w:val="24"/>
          <w:szCs w:val="24"/>
        </w:rPr>
        <w:t>ing</w:t>
      </w:r>
      <w:r w:rsidRPr="009004F1">
        <w:rPr>
          <w:rFonts w:ascii="Times New Roman" w:eastAsia="Times New Roman" w:hAnsi="Times New Roman" w:cs="Times New Roman"/>
          <w:sz w:val="24"/>
          <w:szCs w:val="24"/>
        </w:rPr>
        <w:t xml:space="preserve"> an initially reluctant Cromwell as his successor. </w:t>
      </w:r>
      <w:r w:rsidR="00535FCA">
        <w:rPr>
          <w:rFonts w:ascii="Times New Roman" w:eastAsia="Times New Roman" w:hAnsi="Times New Roman" w:cs="Times New Roman"/>
          <w:sz w:val="24"/>
          <w:szCs w:val="24"/>
        </w:rPr>
        <w:t xml:space="preserve">With </w:t>
      </w:r>
      <w:r w:rsidRPr="009004F1">
        <w:rPr>
          <w:rFonts w:ascii="Times New Roman" w:eastAsia="Times New Roman" w:hAnsi="Times New Roman" w:cs="Times New Roman"/>
          <w:sz w:val="24"/>
          <w:szCs w:val="24"/>
        </w:rPr>
        <w:t xml:space="preserve">the </w:t>
      </w:r>
      <w:r w:rsidR="00535FCA">
        <w:rPr>
          <w:rFonts w:ascii="Times New Roman" w:eastAsia="Times New Roman" w:hAnsi="Times New Roman" w:cs="Times New Roman"/>
          <w:sz w:val="24"/>
          <w:szCs w:val="24"/>
        </w:rPr>
        <w:t xml:space="preserve">country on a firm war footing, the </w:t>
      </w:r>
      <w:r w:rsidRPr="009004F1">
        <w:rPr>
          <w:rFonts w:ascii="Times New Roman" w:eastAsia="Times New Roman" w:hAnsi="Times New Roman" w:cs="Times New Roman"/>
          <w:sz w:val="24"/>
          <w:szCs w:val="24"/>
        </w:rPr>
        <w:t xml:space="preserve">direction of </w:t>
      </w:r>
      <w:r w:rsidR="007826B7">
        <w:rPr>
          <w:rFonts w:ascii="Times New Roman" w:eastAsia="Times New Roman" w:hAnsi="Times New Roman" w:cs="Times New Roman"/>
          <w:sz w:val="24"/>
          <w:szCs w:val="24"/>
        </w:rPr>
        <w:t>p</w:t>
      </w:r>
      <w:r w:rsidRPr="009004F1">
        <w:rPr>
          <w:rFonts w:ascii="Times New Roman" w:eastAsia="Times New Roman" w:hAnsi="Times New Roman" w:cs="Times New Roman"/>
          <w:sz w:val="24"/>
          <w:szCs w:val="24"/>
        </w:rPr>
        <w:t xml:space="preserve">arliament on the issue of Scotland was not about to be changed by the principled retirement of one person, however estimable. </w:t>
      </w:r>
      <w:r w:rsidR="007826B7">
        <w:rPr>
          <w:rFonts w:ascii="Times New Roman" w:eastAsia="Times New Roman" w:hAnsi="Times New Roman" w:cs="Times New Roman"/>
          <w:sz w:val="24"/>
          <w:szCs w:val="24"/>
        </w:rPr>
        <w:t xml:space="preserve">Fairfax’s </w:t>
      </w:r>
      <w:r w:rsidR="000B6C3A">
        <w:rPr>
          <w:rFonts w:ascii="Times New Roman" w:eastAsia="Times New Roman" w:hAnsi="Times New Roman" w:cs="Times New Roman"/>
          <w:sz w:val="24"/>
          <w:szCs w:val="24"/>
        </w:rPr>
        <w:t xml:space="preserve">near-evisceration by Cromwell in the public memory </w:t>
      </w:r>
      <w:r w:rsidR="001119F8">
        <w:rPr>
          <w:rFonts w:ascii="Times New Roman" w:eastAsia="Times New Roman" w:hAnsi="Times New Roman" w:cs="Times New Roman"/>
          <w:sz w:val="24"/>
          <w:szCs w:val="24"/>
        </w:rPr>
        <w:t xml:space="preserve">of the English Revolution </w:t>
      </w:r>
      <w:r w:rsidR="000B6C3A">
        <w:rPr>
          <w:rFonts w:ascii="Times New Roman" w:eastAsia="Times New Roman" w:hAnsi="Times New Roman" w:cs="Times New Roman"/>
          <w:sz w:val="24"/>
          <w:szCs w:val="24"/>
        </w:rPr>
        <w:t xml:space="preserve">was </w:t>
      </w:r>
      <w:r w:rsidR="00244187">
        <w:rPr>
          <w:rFonts w:ascii="Times New Roman" w:eastAsia="Times New Roman" w:hAnsi="Times New Roman" w:cs="Times New Roman"/>
          <w:sz w:val="24"/>
          <w:szCs w:val="24"/>
        </w:rPr>
        <w:t>underway</w:t>
      </w:r>
      <w:r w:rsidR="000B6C3A">
        <w:rPr>
          <w:rFonts w:ascii="Times New Roman" w:eastAsia="Times New Roman" w:hAnsi="Times New Roman" w:cs="Times New Roman"/>
          <w:sz w:val="24"/>
          <w:szCs w:val="24"/>
        </w:rPr>
        <w:t>.</w:t>
      </w:r>
      <w:r w:rsidR="00244187">
        <w:rPr>
          <w:rFonts w:ascii="Times New Roman" w:eastAsia="Times New Roman" w:hAnsi="Times New Roman" w:cs="Times New Roman"/>
          <w:sz w:val="24"/>
          <w:szCs w:val="24"/>
        </w:rPr>
        <w:t xml:space="preserve"> </w:t>
      </w:r>
      <w:r w:rsidR="000B6C3A">
        <w:rPr>
          <w:rFonts w:ascii="Times New Roman" w:eastAsia="Times New Roman" w:hAnsi="Times New Roman" w:cs="Times New Roman"/>
          <w:sz w:val="24"/>
          <w:szCs w:val="24"/>
        </w:rPr>
        <w:t xml:space="preserve"> </w:t>
      </w:r>
    </w:p>
    <w:p w:rsidR="005E74D1" w:rsidRPr="009004F1" w:rsidRDefault="009B03DE" w:rsidP="00763634">
      <w:pPr>
        <w:spacing w:after="0" w:line="480" w:lineRule="auto"/>
        <w:ind w:firstLine="720"/>
        <w:jc w:val="both"/>
        <w:rPr>
          <w:rFonts w:ascii="Times New Roman" w:eastAsia="Times New Roman" w:hAnsi="Times New Roman" w:cs="Times New Roman"/>
          <w:sz w:val="24"/>
          <w:szCs w:val="24"/>
        </w:rPr>
      </w:pPr>
      <w:r w:rsidRPr="009B03DE">
        <w:rPr>
          <w:rFonts w:ascii="Times New Roman" w:eastAsia="Times New Roman" w:hAnsi="Times New Roman" w:cs="Times New Roman"/>
          <w:sz w:val="24"/>
          <w:szCs w:val="24"/>
          <w:lang w:eastAsia="en-GB"/>
        </w:rPr>
        <w:t xml:space="preserve">The narrow stream which </w:t>
      </w:r>
      <w:r w:rsidR="00300593">
        <w:rPr>
          <w:rFonts w:ascii="Times New Roman" w:eastAsia="Times New Roman" w:hAnsi="Times New Roman" w:cs="Times New Roman"/>
          <w:sz w:val="24"/>
          <w:szCs w:val="24"/>
          <w:lang w:eastAsia="en-GB"/>
        </w:rPr>
        <w:t>p</w:t>
      </w:r>
      <w:r w:rsidRPr="009B03DE">
        <w:rPr>
          <w:rFonts w:ascii="Times New Roman" w:eastAsia="Times New Roman" w:hAnsi="Times New Roman" w:cs="Times New Roman"/>
          <w:sz w:val="24"/>
          <w:szCs w:val="24"/>
          <w:lang w:eastAsia="en-GB"/>
        </w:rPr>
        <w:t>arliament now needed to navigate</w:t>
      </w:r>
      <w:r w:rsidR="00D97D51">
        <w:rPr>
          <w:rFonts w:ascii="Times New Roman" w:eastAsia="Times New Roman" w:hAnsi="Times New Roman" w:cs="Times New Roman"/>
          <w:sz w:val="24"/>
          <w:szCs w:val="24"/>
          <w:lang w:eastAsia="en-GB"/>
        </w:rPr>
        <w:t>,</w:t>
      </w:r>
      <w:r w:rsidR="00300593">
        <w:rPr>
          <w:rFonts w:ascii="Times New Roman" w:eastAsia="Times New Roman" w:hAnsi="Times New Roman" w:cs="Times New Roman"/>
          <w:sz w:val="24"/>
          <w:szCs w:val="24"/>
          <w:lang w:eastAsia="en-GB"/>
        </w:rPr>
        <w:t xml:space="preserve"> b</w:t>
      </w:r>
      <w:r w:rsidRPr="009B03DE">
        <w:rPr>
          <w:rFonts w:ascii="Times New Roman" w:eastAsia="Times New Roman" w:hAnsi="Times New Roman" w:cs="Times New Roman"/>
          <w:sz w:val="24"/>
          <w:szCs w:val="24"/>
          <w:lang w:eastAsia="en-GB"/>
        </w:rPr>
        <w:t xml:space="preserve">etween showing </w:t>
      </w:r>
      <w:r w:rsidR="004E6E04">
        <w:rPr>
          <w:rFonts w:ascii="Times New Roman" w:eastAsia="Times New Roman" w:hAnsi="Times New Roman" w:cs="Times New Roman"/>
          <w:sz w:val="24"/>
          <w:szCs w:val="24"/>
          <w:lang w:eastAsia="en-GB"/>
        </w:rPr>
        <w:t xml:space="preserve">all </w:t>
      </w:r>
      <w:r w:rsidRPr="009B03DE">
        <w:rPr>
          <w:rFonts w:ascii="Times New Roman" w:eastAsia="Times New Roman" w:hAnsi="Times New Roman" w:cs="Times New Roman"/>
          <w:sz w:val="24"/>
          <w:szCs w:val="24"/>
          <w:lang w:eastAsia="en-GB"/>
        </w:rPr>
        <w:t>due courtesy toward</w:t>
      </w:r>
      <w:r w:rsidR="00300593">
        <w:rPr>
          <w:rFonts w:ascii="Times New Roman" w:eastAsia="Times New Roman" w:hAnsi="Times New Roman" w:cs="Times New Roman"/>
          <w:sz w:val="24"/>
          <w:szCs w:val="24"/>
          <w:lang w:eastAsia="en-GB"/>
        </w:rPr>
        <w:t>s</w:t>
      </w:r>
      <w:r w:rsidRPr="009B03DE">
        <w:rPr>
          <w:rFonts w:ascii="Times New Roman" w:eastAsia="Times New Roman" w:hAnsi="Times New Roman" w:cs="Times New Roman"/>
          <w:sz w:val="24"/>
          <w:szCs w:val="24"/>
          <w:lang w:eastAsia="en-GB"/>
        </w:rPr>
        <w:t xml:space="preserve"> the old </w:t>
      </w:r>
      <w:r w:rsidR="004E6E04">
        <w:rPr>
          <w:rFonts w:ascii="Times New Roman" w:eastAsia="Times New Roman" w:hAnsi="Times New Roman" w:cs="Times New Roman"/>
          <w:sz w:val="24"/>
          <w:szCs w:val="24"/>
          <w:lang w:eastAsia="en-GB"/>
        </w:rPr>
        <w:t>c</w:t>
      </w:r>
      <w:r w:rsidRPr="009B03DE">
        <w:rPr>
          <w:rFonts w:ascii="Times New Roman" w:eastAsia="Times New Roman" w:hAnsi="Times New Roman" w:cs="Times New Roman"/>
          <w:sz w:val="24"/>
          <w:szCs w:val="24"/>
          <w:lang w:eastAsia="en-GB"/>
        </w:rPr>
        <w:t>ommander</w:t>
      </w:r>
      <w:r w:rsidR="004E6E04">
        <w:rPr>
          <w:rFonts w:ascii="Times New Roman" w:eastAsia="Times New Roman" w:hAnsi="Times New Roman" w:cs="Times New Roman"/>
          <w:sz w:val="24"/>
          <w:szCs w:val="24"/>
          <w:lang w:eastAsia="en-GB"/>
        </w:rPr>
        <w:t xml:space="preserve"> </w:t>
      </w:r>
      <w:r w:rsidRPr="009B03DE">
        <w:rPr>
          <w:rFonts w:ascii="Times New Roman" w:eastAsia="Times New Roman" w:hAnsi="Times New Roman" w:cs="Times New Roman"/>
          <w:sz w:val="24"/>
          <w:szCs w:val="24"/>
          <w:lang w:eastAsia="en-GB"/>
        </w:rPr>
        <w:t xml:space="preserve">and </w:t>
      </w:r>
      <w:r w:rsidR="00300593">
        <w:rPr>
          <w:rFonts w:ascii="Times New Roman" w:eastAsia="Times New Roman" w:hAnsi="Times New Roman" w:cs="Times New Roman"/>
          <w:sz w:val="24"/>
          <w:szCs w:val="24"/>
          <w:lang w:eastAsia="en-GB"/>
        </w:rPr>
        <w:t xml:space="preserve">unconditional </w:t>
      </w:r>
      <w:r w:rsidRPr="009B03DE">
        <w:rPr>
          <w:rFonts w:ascii="Times New Roman" w:eastAsia="Times New Roman" w:hAnsi="Times New Roman" w:cs="Times New Roman"/>
          <w:sz w:val="24"/>
          <w:szCs w:val="24"/>
          <w:lang w:eastAsia="en-GB"/>
        </w:rPr>
        <w:t>support for the new</w:t>
      </w:r>
      <w:r w:rsidR="00D97D51">
        <w:rPr>
          <w:rFonts w:ascii="Times New Roman" w:eastAsia="Times New Roman" w:hAnsi="Times New Roman" w:cs="Times New Roman"/>
          <w:sz w:val="24"/>
          <w:szCs w:val="24"/>
          <w:lang w:eastAsia="en-GB"/>
        </w:rPr>
        <w:t xml:space="preserve">, </w:t>
      </w:r>
      <w:r w:rsidRPr="009B03DE">
        <w:rPr>
          <w:rFonts w:ascii="Times New Roman" w:eastAsia="Times New Roman" w:hAnsi="Times New Roman" w:cs="Times New Roman"/>
          <w:sz w:val="24"/>
          <w:szCs w:val="24"/>
          <w:lang w:eastAsia="en-GB"/>
        </w:rPr>
        <w:t xml:space="preserve">is partly reflected </w:t>
      </w:r>
      <w:r w:rsidR="00300593">
        <w:rPr>
          <w:rFonts w:ascii="Times New Roman" w:eastAsia="Times New Roman" w:hAnsi="Times New Roman" w:cs="Times New Roman"/>
          <w:sz w:val="24"/>
          <w:szCs w:val="24"/>
          <w:lang w:eastAsia="en-GB"/>
        </w:rPr>
        <w:t xml:space="preserve">in </w:t>
      </w:r>
      <w:r w:rsidRPr="009B03DE">
        <w:rPr>
          <w:rFonts w:ascii="Times New Roman" w:eastAsia="Times New Roman" w:hAnsi="Times New Roman" w:cs="Times New Roman"/>
          <w:sz w:val="24"/>
          <w:szCs w:val="24"/>
          <w:lang w:eastAsia="en-GB"/>
        </w:rPr>
        <w:t xml:space="preserve">the reaction of the </w:t>
      </w:r>
      <w:r w:rsidR="00300593">
        <w:rPr>
          <w:rFonts w:ascii="Times New Roman" w:eastAsia="Times New Roman" w:hAnsi="Times New Roman" w:cs="Times New Roman"/>
          <w:sz w:val="24"/>
          <w:szCs w:val="24"/>
          <w:lang w:eastAsia="en-GB"/>
        </w:rPr>
        <w:t>p</w:t>
      </w:r>
      <w:r w:rsidRPr="009B03DE">
        <w:rPr>
          <w:rFonts w:ascii="Times New Roman" w:eastAsia="Times New Roman" w:hAnsi="Times New Roman" w:cs="Times New Roman"/>
          <w:sz w:val="24"/>
          <w:szCs w:val="24"/>
          <w:lang w:eastAsia="en-GB"/>
        </w:rPr>
        <w:t xml:space="preserve">uritan congregations. In a </w:t>
      </w:r>
      <w:r w:rsidR="00B60025">
        <w:rPr>
          <w:rFonts w:ascii="Times New Roman" w:eastAsia="Times New Roman" w:hAnsi="Times New Roman" w:cs="Times New Roman"/>
          <w:sz w:val="24"/>
          <w:szCs w:val="24"/>
          <w:lang w:eastAsia="en-GB"/>
        </w:rPr>
        <w:t xml:space="preserve">remarkable </w:t>
      </w:r>
      <w:r w:rsidRPr="009B03DE">
        <w:rPr>
          <w:rFonts w:ascii="Times New Roman" w:eastAsia="Times New Roman" w:hAnsi="Times New Roman" w:cs="Times New Roman"/>
          <w:sz w:val="24"/>
          <w:szCs w:val="24"/>
          <w:lang w:eastAsia="en-GB"/>
        </w:rPr>
        <w:t>sermon preached on the day after the Act</w:t>
      </w:r>
      <w:r w:rsidR="00244187">
        <w:rPr>
          <w:rFonts w:ascii="Times New Roman" w:eastAsia="Times New Roman" w:hAnsi="Times New Roman" w:cs="Times New Roman"/>
          <w:sz w:val="24"/>
          <w:szCs w:val="24"/>
          <w:lang w:eastAsia="en-GB"/>
        </w:rPr>
        <w:t>,</w:t>
      </w:r>
      <w:r w:rsidRPr="009B03DE">
        <w:rPr>
          <w:rFonts w:ascii="Times New Roman" w:eastAsia="Times New Roman" w:hAnsi="Times New Roman" w:cs="Times New Roman"/>
          <w:sz w:val="24"/>
          <w:szCs w:val="24"/>
          <w:lang w:eastAsia="en-GB"/>
        </w:rPr>
        <w:t xml:space="preserve"> the preacher Henry Walker </w:t>
      </w:r>
      <w:r w:rsidR="00B60025" w:rsidRPr="009004F1">
        <w:rPr>
          <w:rFonts w:ascii="Times New Roman" w:eastAsia="Times New Roman" w:hAnsi="Times New Roman" w:cs="Times New Roman"/>
          <w:sz w:val="24"/>
          <w:szCs w:val="24"/>
        </w:rPr>
        <w:t>offer</w:t>
      </w:r>
      <w:r w:rsidR="004E6E04">
        <w:rPr>
          <w:rFonts w:ascii="Times New Roman" w:eastAsia="Times New Roman" w:hAnsi="Times New Roman" w:cs="Times New Roman"/>
          <w:sz w:val="24"/>
          <w:szCs w:val="24"/>
        </w:rPr>
        <w:t>ed</w:t>
      </w:r>
      <w:r w:rsidR="00B60025" w:rsidRPr="009004F1">
        <w:rPr>
          <w:rFonts w:ascii="Times New Roman" w:eastAsia="Times New Roman" w:hAnsi="Times New Roman" w:cs="Times New Roman"/>
          <w:sz w:val="24"/>
          <w:szCs w:val="24"/>
        </w:rPr>
        <w:t xml:space="preserve"> what </w:t>
      </w:r>
      <w:r w:rsidR="004E6E04">
        <w:rPr>
          <w:rFonts w:ascii="Times New Roman" w:eastAsia="Times New Roman" w:hAnsi="Times New Roman" w:cs="Times New Roman"/>
          <w:sz w:val="24"/>
          <w:szCs w:val="24"/>
        </w:rPr>
        <w:t>wa</w:t>
      </w:r>
      <w:r w:rsidR="00B60025" w:rsidRPr="009004F1">
        <w:rPr>
          <w:rFonts w:ascii="Times New Roman" w:eastAsia="Times New Roman" w:hAnsi="Times New Roman" w:cs="Times New Roman"/>
          <w:sz w:val="24"/>
          <w:szCs w:val="24"/>
        </w:rPr>
        <w:t xml:space="preserve">s effectively a public puritan explication </w:t>
      </w:r>
      <w:r w:rsidR="004E6E04">
        <w:rPr>
          <w:rFonts w:ascii="Times New Roman" w:eastAsia="Times New Roman" w:hAnsi="Times New Roman" w:cs="Times New Roman"/>
          <w:sz w:val="24"/>
          <w:szCs w:val="24"/>
        </w:rPr>
        <w:t xml:space="preserve">and endorsement </w:t>
      </w:r>
      <w:r w:rsidR="00B60025" w:rsidRPr="009004F1">
        <w:rPr>
          <w:rFonts w:ascii="Times New Roman" w:eastAsia="Times New Roman" w:hAnsi="Times New Roman" w:cs="Times New Roman"/>
          <w:sz w:val="24"/>
          <w:szCs w:val="24"/>
        </w:rPr>
        <w:t>of</w:t>
      </w:r>
      <w:r w:rsidR="004E6E04">
        <w:rPr>
          <w:rFonts w:ascii="Times New Roman" w:eastAsia="Times New Roman" w:hAnsi="Times New Roman" w:cs="Times New Roman"/>
          <w:sz w:val="24"/>
          <w:szCs w:val="24"/>
        </w:rPr>
        <w:t xml:space="preserve"> </w:t>
      </w:r>
      <w:r w:rsidR="00B60025" w:rsidRPr="009004F1">
        <w:rPr>
          <w:rFonts w:ascii="Times New Roman" w:eastAsia="Times New Roman" w:hAnsi="Times New Roman" w:cs="Times New Roman"/>
          <w:sz w:val="24"/>
          <w:szCs w:val="24"/>
        </w:rPr>
        <w:t xml:space="preserve">what might </w:t>
      </w:r>
      <w:r w:rsidR="00244187">
        <w:rPr>
          <w:rFonts w:ascii="Times New Roman" w:eastAsia="Times New Roman" w:hAnsi="Times New Roman" w:cs="Times New Roman"/>
          <w:sz w:val="24"/>
          <w:szCs w:val="24"/>
        </w:rPr>
        <w:t xml:space="preserve">otherwise </w:t>
      </w:r>
      <w:r w:rsidR="004E6E04">
        <w:rPr>
          <w:rFonts w:ascii="Times New Roman" w:eastAsia="Times New Roman" w:hAnsi="Times New Roman" w:cs="Times New Roman"/>
          <w:sz w:val="24"/>
          <w:szCs w:val="24"/>
        </w:rPr>
        <w:t xml:space="preserve">have </w:t>
      </w:r>
      <w:r w:rsidR="00B60025" w:rsidRPr="009004F1">
        <w:rPr>
          <w:rFonts w:ascii="Times New Roman" w:eastAsia="Times New Roman" w:hAnsi="Times New Roman" w:cs="Times New Roman"/>
          <w:sz w:val="24"/>
          <w:szCs w:val="24"/>
        </w:rPr>
        <w:t>appear</w:t>
      </w:r>
      <w:r w:rsidR="004E6E04">
        <w:rPr>
          <w:rFonts w:ascii="Times New Roman" w:eastAsia="Times New Roman" w:hAnsi="Times New Roman" w:cs="Times New Roman"/>
          <w:sz w:val="24"/>
          <w:szCs w:val="24"/>
        </w:rPr>
        <w:t xml:space="preserve">ed both </w:t>
      </w:r>
      <w:r w:rsidR="00B60025" w:rsidRPr="009004F1">
        <w:rPr>
          <w:rFonts w:ascii="Times New Roman" w:eastAsia="Times New Roman" w:hAnsi="Times New Roman" w:cs="Times New Roman"/>
          <w:sz w:val="24"/>
          <w:szCs w:val="24"/>
        </w:rPr>
        <w:t>to the country</w:t>
      </w:r>
      <w:r w:rsidR="00244187">
        <w:rPr>
          <w:rFonts w:ascii="Times New Roman" w:eastAsia="Times New Roman" w:hAnsi="Times New Roman" w:cs="Times New Roman"/>
          <w:sz w:val="24"/>
          <w:szCs w:val="24"/>
        </w:rPr>
        <w:t>,</w:t>
      </w:r>
      <w:r w:rsidR="00B60025" w:rsidRPr="009004F1">
        <w:rPr>
          <w:rFonts w:ascii="Times New Roman" w:eastAsia="Times New Roman" w:hAnsi="Times New Roman" w:cs="Times New Roman"/>
          <w:sz w:val="24"/>
          <w:szCs w:val="24"/>
        </w:rPr>
        <w:t xml:space="preserve"> and more importantly the soon-to-be-mobilised army</w:t>
      </w:r>
      <w:r w:rsidR="00244187">
        <w:rPr>
          <w:rFonts w:ascii="Times New Roman" w:eastAsia="Times New Roman" w:hAnsi="Times New Roman" w:cs="Times New Roman"/>
          <w:sz w:val="24"/>
          <w:szCs w:val="24"/>
        </w:rPr>
        <w:t>,</w:t>
      </w:r>
      <w:r w:rsidR="00B60025" w:rsidRPr="009004F1">
        <w:rPr>
          <w:rFonts w:ascii="Times New Roman" w:eastAsia="Times New Roman" w:hAnsi="Times New Roman" w:cs="Times New Roman"/>
          <w:sz w:val="24"/>
          <w:szCs w:val="24"/>
        </w:rPr>
        <w:t xml:space="preserve"> as a </w:t>
      </w:r>
      <w:r w:rsidR="00F90FA2">
        <w:rPr>
          <w:rFonts w:ascii="Times New Roman" w:eastAsia="Times New Roman" w:hAnsi="Times New Roman" w:cs="Times New Roman"/>
          <w:sz w:val="24"/>
          <w:szCs w:val="24"/>
        </w:rPr>
        <w:t>precipitous d</w:t>
      </w:r>
      <w:r w:rsidR="00B60025" w:rsidRPr="009004F1">
        <w:rPr>
          <w:rFonts w:ascii="Times New Roman" w:eastAsia="Times New Roman" w:hAnsi="Times New Roman" w:cs="Times New Roman"/>
          <w:sz w:val="24"/>
          <w:szCs w:val="24"/>
        </w:rPr>
        <w:t>evelopment.</w:t>
      </w:r>
      <w:r w:rsidR="00B60025" w:rsidRPr="009004F1">
        <w:rPr>
          <w:rFonts w:ascii="Times New Roman" w:eastAsia="Times New Roman" w:hAnsi="Times New Roman" w:cs="Times New Roman"/>
          <w:sz w:val="24"/>
          <w:szCs w:val="24"/>
          <w:vertAlign w:val="superscript"/>
        </w:rPr>
        <w:footnoteReference w:id="18"/>
      </w:r>
      <w:r w:rsidR="00B60025">
        <w:rPr>
          <w:rFonts w:ascii="Times New Roman" w:eastAsia="Times New Roman" w:hAnsi="Times New Roman" w:cs="Times New Roman"/>
          <w:sz w:val="24"/>
          <w:szCs w:val="24"/>
        </w:rPr>
        <w:t xml:space="preserve"> </w:t>
      </w:r>
      <w:r w:rsidR="005E74D1" w:rsidRPr="009004F1">
        <w:rPr>
          <w:rFonts w:ascii="Times New Roman" w:eastAsia="Times New Roman" w:hAnsi="Times New Roman" w:cs="Times New Roman"/>
          <w:sz w:val="24"/>
          <w:szCs w:val="24"/>
        </w:rPr>
        <w:t xml:space="preserve">Given that the sermon </w:t>
      </w:r>
      <w:r w:rsidR="004E6E04">
        <w:rPr>
          <w:rFonts w:ascii="Times New Roman" w:eastAsia="Times New Roman" w:hAnsi="Times New Roman" w:cs="Times New Roman"/>
          <w:sz w:val="24"/>
          <w:szCs w:val="24"/>
        </w:rPr>
        <w:t>wa</w:t>
      </w:r>
      <w:r w:rsidR="005E74D1" w:rsidRPr="009004F1">
        <w:rPr>
          <w:rFonts w:ascii="Times New Roman" w:eastAsia="Times New Roman" w:hAnsi="Times New Roman" w:cs="Times New Roman"/>
          <w:sz w:val="24"/>
          <w:szCs w:val="24"/>
        </w:rPr>
        <w:t xml:space="preserve">s published the </w:t>
      </w:r>
      <w:r w:rsidR="004E6E04">
        <w:rPr>
          <w:rFonts w:ascii="Times New Roman" w:eastAsia="Times New Roman" w:hAnsi="Times New Roman" w:cs="Times New Roman"/>
          <w:sz w:val="24"/>
          <w:szCs w:val="24"/>
        </w:rPr>
        <w:t xml:space="preserve">following </w:t>
      </w:r>
      <w:r w:rsidR="005E74D1" w:rsidRPr="009004F1">
        <w:rPr>
          <w:rFonts w:ascii="Times New Roman" w:eastAsia="Times New Roman" w:hAnsi="Times New Roman" w:cs="Times New Roman"/>
          <w:sz w:val="24"/>
          <w:szCs w:val="24"/>
        </w:rPr>
        <w:t xml:space="preserve">day, almost certainly with government approval, Walker’s journalistic popularity and political leanings are </w:t>
      </w:r>
      <w:r w:rsidR="002479D5">
        <w:rPr>
          <w:rFonts w:ascii="Times New Roman" w:eastAsia="Times New Roman" w:hAnsi="Times New Roman" w:cs="Times New Roman"/>
          <w:sz w:val="24"/>
          <w:szCs w:val="24"/>
        </w:rPr>
        <w:t xml:space="preserve">of </w:t>
      </w:r>
      <w:r w:rsidR="005244DB">
        <w:rPr>
          <w:rFonts w:ascii="Times New Roman" w:eastAsia="Times New Roman" w:hAnsi="Times New Roman" w:cs="Times New Roman"/>
          <w:sz w:val="24"/>
          <w:szCs w:val="24"/>
        </w:rPr>
        <w:t>r</w:t>
      </w:r>
      <w:r w:rsidR="005E74D1" w:rsidRPr="009004F1">
        <w:rPr>
          <w:rFonts w:ascii="Times New Roman" w:eastAsia="Times New Roman" w:hAnsi="Times New Roman" w:cs="Times New Roman"/>
          <w:sz w:val="24"/>
          <w:szCs w:val="24"/>
        </w:rPr>
        <w:t>elevan</w:t>
      </w:r>
      <w:r w:rsidR="002479D5">
        <w:rPr>
          <w:rFonts w:ascii="Times New Roman" w:eastAsia="Times New Roman" w:hAnsi="Times New Roman" w:cs="Times New Roman"/>
          <w:sz w:val="24"/>
          <w:szCs w:val="24"/>
        </w:rPr>
        <w:t>ce</w:t>
      </w:r>
      <w:r w:rsidR="005244DB">
        <w:rPr>
          <w:rFonts w:ascii="Times New Roman" w:eastAsia="Times New Roman" w:hAnsi="Times New Roman" w:cs="Times New Roman"/>
          <w:sz w:val="24"/>
          <w:szCs w:val="24"/>
        </w:rPr>
        <w:t xml:space="preserve">. Only </w:t>
      </w:r>
      <w:r w:rsidR="005E74D1" w:rsidRPr="009004F1">
        <w:rPr>
          <w:rFonts w:ascii="Times New Roman" w:eastAsia="Times New Roman" w:hAnsi="Times New Roman" w:cs="Times New Roman"/>
          <w:sz w:val="24"/>
          <w:szCs w:val="24"/>
        </w:rPr>
        <w:t xml:space="preserve">Marchamont Nedham </w:t>
      </w:r>
      <w:r w:rsidR="005244DB">
        <w:rPr>
          <w:rFonts w:ascii="Times New Roman" w:eastAsia="Times New Roman" w:hAnsi="Times New Roman" w:cs="Times New Roman"/>
          <w:sz w:val="24"/>
          <w:szCs w:val="24"/>
        </w:rPr>
        <w:t>achieved greater pro</w:t>
      </w:r>
      <w:r w:rsidR="005E74D1" w:rsidRPr="009004F1">
        <w:rPr>
          <w:rFonts w:ascii="Times New Roman" w:eastAsia="Times New Roman" w:hAnsi="Times New Roman" w:cs="Times New Roman"/>
          <w:sz w:val="24"/>
          <w:szCs w:val="24"/>
        </w:rPr>
        <w:t>minence in newsbook editorship in the 1640s and 1650s</w:t>
      </w:r>
      <w:r w:rsidR="00905509">
        <w:rPr>
          <w:rFonts w:ascii="Times New Roman" w:eastAsia="Times New Roman" w:hAnsi="Times New Roman" w:cs="Times New Roman"/>
          <w:sz w:val="24"/>
          <w:szCs w:val="24"/>
        </w:rPr>
        <w:t xml:space="preserve">, </w:t>
      </w:r>
      <w:r w:rsidR="005244DB">
        <w:rPr>
          <w:rFonts w:ascii="Times New Roman" w:eastAsia="Times New Roman" w:hAnsi="Times New Roman" w:cs="Times New Roman"/>
          <w:sz w:val="24"/>
          <w:szCs w:val="24"/>
        </w:rPr>
        <w:t xml:space="preserve">hence </w:t>
      </w:r>
      <w:r w:rsidR="005E74D1" w:rsidRPr="009004F1">
        <w:rPr>
          <w:rFonts w:ascii="Times New Roman" w:eastAsia="Times New Roman" w:hAnsi="Times New Roman" w:cs="Times New Roman"/>
          <w:sz w:val="24"/>
          <w:szCs w:val="24"/>
        </w:rPr>
        <w:t xml:space="preserve">the readership for </w:t>
      </w:r>
      <w:r w:rsidR="005244DB">
        <w:rPr>
          <w:rFonts w:ascii="Times New Roman" w:eastAsia="Times New Roman" w:hAnsi="Times New Roman" w:cs="Times New Roman"/>
          <w:sz w:val="24"/>
          <w:szCs w:val="24"/>
        </w:rPr>
        <w:t xml:space="preserve">Walker’s </w:t>
      </w:r>
      <w:r w:rsidR="005E74D1" w:rsidRPr="009004F1">
        <w:rPr>
          <w:rFonts w:ascii="Times New Roman" w:eastAsia="Times New Roman" w:hAnsi="Times New Roman" w:cs="Times New Roman"/>
          <w:sz w:val="24"/>
          <w:szCs w:val="24"/>
        </w:rPr>
        <w:t xml:space="preserve">sermon is likely to have been wide. Moreover, in the lively and innovative newsbook </w:t>
      </w:r>
      <w:r w:rsidR="005E74D1" w:rsidRPr="009004F1">
        <w:rPr>
          <w:rFonts w:ascii="Times New Roman" w:eastAsia="Times New Roman" w:hAnsi="Times New Roman" w:cs="Times New Roman"/>
          <w:i/>
          <w:sz w:val="24"/>
          <w:szCs w:val="24"/>
        </w:rPr>
        <w:t>Perfect Occurrences</w:t>
      </w:r>
      <w:r w:rsidR="005E74D1" w:rsidRPr="009004F1">
        <w:rPr>
          <w:rFonts w:ascii="Times New Roman" w:eastAsia="Times New Roman" w:hAnsi="Times New Roman" w:cs="Times New Roman"/>
          <w:sz w:val="24"/>
          <w:szCs w:val="24"/>
        </w:rPr>
        <w:t xml:space="preserve">, </w:t>
      </w:r>
      <w:r w:rsidR="00F83582">
        <w:rPr>
          <w:rFonts w:ascii="Times New Roman" w:eastAsia="Times New Roman" w:hAnsi="Times New Roman" w:cs="Times New Roman"/>
          <w:sz w:val="24"/>
          <w:szCs w:val="24"/>
        </w:rPr>
        <w:t>in w</w:t>
      </w:r>
      <w:r w:rsidR="005E74D1" w:rsidRPr="009004F1">
        <w:rPr>
          <w:rFonts w:ascii="Times New Roman" w:eastAsia="Times New Roman" w:hAnsi="Times New Roman" w:cs="Times New Roman"/>
          <w:sz w:val="24"/>
          <w:szCs w:val="24"/>
        </w:rPr>
        <w:t xml:space="preserve">hich </w:t>
      </w:r>
      <w:r w:rsidR="00B65B1F">
        <w:rPr>
          <w:rFonts w:ascii="Times New Roman" w:eastAsia="Times New Roman" w:hAnsi="Times New Roman" w:cs="Times New Roman"/>
          <w:sz w:val="24"/>
          <w:szCs w:val="24"/>
        </w:rPr>
        <w:t xml:space="preserve">he </w:t>
      </w:r>
      <w:r w:rsidR="005E74D1" w:rsidRPr="009004F1">
        <w:rPr>
          <w:rFonts w:ascii="Times New Roman" w:eastAsia="Times New Roman" w:hAnsi="Times New Roman" w:cs="Times New Roman"/>
          <w:sz w:val="24"/>
          <w:szCs w:val="24"/>
        </w:rPr>
        <w:t xml:space="preserve">had made his name, Walker had consistently shown political support for Cromwell. If </w:t>
      </w:r>
      <w:r w:rsidR="001C263A">
        <w:rPr>
          <w:rFonts w:ascii="Times New Roman" w:eastAsia="Times New Roman" w:hAnsi="Times New Roman" w:cs="Times New Roman"/>
          <w:sz w:val="24"/>
          <w:szCs w:val="24"/>
        </w:rPr>
        <w:t xml:space="preserve">ever </w:t>
      </w:r>
      <w:r w:rsidR="005244DB">
        <w:rPr>
          <w:rFonts w:ascii="Times New Roman" w:eastAsia="Times New Roman" w:hAnsi="Times New Roman" w:cs="Times New Roman"/>
          <w:sz w:val="24"/>
          <w:szCs w:val="24"/>
        </w:rPr>
        <w:t>p</w:t>
      </w:r>
      <w:r w:rsidR="005E74D1" w:rsidRPr="009004F1">
        <w:rPr>
          <w:rFonts w:ascii="Times New Roman" w:eastAsia="Times New Roman" w:hAnsi="Times New Roman" w:cs="Times New Roman"/>
          <w:sz w:val="24"/>
          <w:szCs w:val="24"/>
        </w:rPr>
        <w:t xml:space="preserve">arliament needed a </w:t>
      </w:r>
      <w:r w:rsidR="006344B7">
        <w:rPr>
          <w:rFonts w:ascii="Times New Roman" w:eastAsia="Times New Roman" w:hAnsi="Times New Roman" w:cs="Times New Roman"/>
          <w:sz w:val="24"/>
          <w:szCs w:val="24"/>
        </w:rPr>
        <w:t xml:space="preserve">convincing </w:t>
      </w:r>
      <w:r w:rsidR="005E74D1" w:rsidRPr="009004F1">
        <w:rPr>
          <w:rFonts w:ascii="Times New Roman" w:eastAsia="Times New Roman" w:hAnsi="Times New Roman" w:cs="Times New Roman"/>
          <w:sz w:val="24"/>
          <w:szCs w:val="24"/>
        </w:rPr>
        <w:t xml:space="preserve">puritan mouthpiece at </w:t>
      </w:r>
      <w:r w:rsidR="00E329C7">
        <w:rPr>
          <w:rFonts w:ascii="Times New Roman" w:eastAsia="Times New Roman" w:hAnsi="Times New Roman" w:cs="Times New Roman"/>
          <w:sz w:val="24"/>
          <w:szCs w:val="24"/>
        </w:rPr>
        <w:t xml:space="preserve">such as </w:t>
      </w:r>
      <w:r w:rsidR="001C263A">
        <w:rPr>
          <w:rFonts w:ascii="Times New Roman" w:eastAsia="Times New Roman" w:hAnsi="Times New Roman" w:cs="Times New Roman"/>
          <w:sz w:val="24"/>
          <w:szCs w:val="24"/>
        </w:rPr>
        <w:t xml:space="preserve">defining </w:t>
      </w:r>
      <w:r w:rsidR="005E74D1" w:rsidRPr="009004F1">
        <w:rPr>
          <w:rFonts w:ascii="Times New Roman" w:eastAsia="Times New Roman" w:hAnsi="Times New Roman" w:cs="Times New Roman"/>
          <w:sz w:val="24"/>
          <w:szCs w:val="24"/>
        </w:rPr>
        <w:t>moment</w:t>
      </w:r>
      <w:r w:rsidR="001C263A">
        <w:rPr>
          <w:rFonts w:ascii="Times New Roman" w:eastAsia="Times New Roman" w:hAnsi="Times New Roman" w:cs="Times New Roman"/>
          <w:sz w:val="24"/>
          <w:szCs w:val="24"/>
        </w:rPr>
        <w:t xml:space="preserve">, </w:t>
      </w:r>
      <w:r w:rsidR="00E329C7">
        <w:rPr>
          <w:rFonts w:ascii="Times New Roman" w:eastAsia="Times New Roman" w:hAnsi="Times New Roman" w:cs="Times New Roman"/>
          <w:sz w:val="24"/>
          <w:szCs w:val="24"/>
        </w:rPr>
        <w:t xml:space="preserve">this </w:t>
      </w:r>
      <w:r w:rsidR="001C263A">
        <w:rPr>
          <w:rFonts w:ascii="Times New Roman" w:eastAsia="Times New Roman" w:hAnsi="Times New Roman" w:cs="Times New Roman"/>
          <w:sz w:val="24"/>
          <w:szCs w:val="24"/>
        </w:rPr>
        <w:t>was the</w:t>
      </w:r>
      <w:r w:rsidR="00E86F66">
        <w:rPr>
          <w:rFonts w:ascii="Times New Roman" w:eastAsia="Times New Roman" w:hAnsi="Times New Roman" w:cs="Times New Roman"/>
          <w:sz w:val="24"/>
          <w:szCs w:val="24"/>
        </w:rPr>
        <w:t>ir</w:t>
      </w:r>
      <w:r w:rsidR="001C263A">
        <w:rPr>
          <w:rFonts w:ascii="Times New Roman" w:eastAsia="Times New Roman" w:hAnsi="Times New Roman" w:cs="Times New Roman"/>
          <w:sz w:val="24"/>
          <w:szCs w:val="24"/>
        </w:rPr>
        <w:t xml:space="preserve"> man</w:t>
      </w:r>
      <w:r w:rsidR="005E74D1" w:rsidRPr="009004F1">
        <w:rPr>
          <w:rFonts w:ascii="Times New Roman" w:eastAsia="Times New Roman" w:hAnsi="Times New Roman" w:cs="Times New Roman"/>
          <w:sz w:val="24"/>
          <w:szCs w:val="24"/>
        </w:rPr>
        <w:t>.</w:t>
      </w:r>
    </w:p>
    <w:p w:rsidR="005E74D1" w:rsidRPr="009004F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Walker beg</w:t>
      </w:r>
      <w:r w:rsidR="005244DB">
        <w:rPr>
          <w:rFonts w:ascii="Times New Roman" w:eastAsia="Times New Roman" w:hAnsi="Times New Roman" w:cs="Times New Roman"/>
          <w:sz w:val="24"/>
          <w:szCs w:val="24"/>
        </w:rPr>
        <w:t xml:space="preserve">ins </w:t>
      </w:r>
      <w:r w:rsidRPr="009004F1">
        <w:rPr>
          <w:rFonts w:ascii="Times New Roman" w:eastAsia="Times New Roman" w:hAnsi="Times New Roman" w:cs="Times New Roman"/>
          <w:sz w:val="24"/>
          <w:szCs w:val="24"/>
        </w:rPr>
        <w:t>by r</w:t>
      </w:r>
      <w:r w:rsidR="005244DB">
        <w:rPr>
          <w:rFonts w:ascii="Times New Roman" w:eastAsia="Times New Roman" w:hAnsi="Times New Roman" w:cs="Times New Roman"/>
          <w:sz w:val="24"/>
          <w:szCs w:val="24"/>
        </w:rPr>
        <w:t>eassuring his congregation that</w:t>
      </w:r>
      <w:r w:rsidRPr="009004F1">
        <w:rPr>
          <w:rFonts w:ascii="Times New Roman" w:eastAsia="Times New Roman" w:hAnsi="Times New Roman" w:cs="Times New Roman"/>
          <w:sz w:val="24"/>
          <w:szCs w:val="24"/>
        </w:rPr>
        <w:t xml:space="preserve"> ‘though your old Lord Generall be not with you he is not against you...he hath promised to be faithful to you, you have his heart still in the Ca</w:t>
      </w:r>
      <w:r w:rsidR="005244DB">
        <w:rPr>
          <w:rFonts w:ascii="Times New Roman" w:eastAsia="Times New Roman" w:hAnsi="Times New Roman" w:cs="Times New Roman"/>
          <w:sz w:val="24"/>
          <w:szCs w:val="24"/>
        </w:rPr>
        <w:t>mp, though his Spouse hath persu</w:t>
      </w:r>
      <w:r w:rsidRPr="009004F1">
        <w:rPr>
          <w:rFonts w:ascii="Times New Roman" w:eastAsia="Times New Roman" w:hAnsi="Times New Roman" w:cs="Times New Roman"/>
          <w:sz w:val="24"/>
          <w:szCs w:val="24"/>
        </w:rPr>
        <w:t>aded his wearied body to take rest in her bosome.’ T</w:t>
      </w:r>
      <w:r w:rsidR="005244DB">
        <w:rPr>
          <w:rFonts w:ascii="Times New Roman" w:eastAsia="Times New Roman" w:hAnsi="Times New Roman" w:cs="Times New Roman"/>
          <w:sz w:val="24"/>
          <w:szCs w:val="24"/>
        </w:rPr>
        <w:t>h</w:t>
      </w:r>
      <w:r w:rsidR="00561290">
        <w:rPr>
          <w:rFonts w:ascii="Times New Roman" w:eastAsia="Times New Roman" w:hAnsi="Times New Roman" w:cs="Times New Roman"/>
          <w:sz w:val="24"/>
          <w:szCs w:val="24"/>
        </w:rPr>
        <w:t xml:space="preserve">is is – initially, at least – an explicit </w:t>
      </w:r>
      <w:r w:rsidR="005244DB">
        <w:rPr>
          <w:rFonts w:ascii="Times New Roman" w:eastAsia="Times New Roman" w:hAnsi="Times New Roman" w:cs="Times New Roman"/>
          <w:sz w:val="24"/>
          <w:szCs w:val="24"/>
        </w:rPr>
        <w:t>attempt to under</w:t>
      </w:r>
      <w:r w:rsidR="00561290">
        <w:rPr>
          <w:rFonts w:ascii="Times New Roman" w:eastAsia="Times New Roman" w:hAnsi="Times New Roman" w:cs="Times New Roman"/>
          <w:sz w:val="24"/>
          <w:szCs w:val="24"/>
        </w:rPr>
        <w:t xml:space="preserve">line </w:t>
      </w:r>
      <w:r w:rsidRPr="009004F1">
        <w:rPr>
          <w:rFonts w:ascii="Times New Roman" w:eastAsia="Times New Roman" w:hAnsi="Times New Roman" w:cs="Times New Roman"/>
          <w:sz w:val="24"/>
          <w:szCs w:val="24"/>
        </w:rPr>
        <w:t xml:space="preserve">Fairfax’s continued loyalty to the army and </w:t>
      </w:r>
      <w:r w:rsidR="00666255">
        <w:rPr>
          <w:rFonts w:ascii="Times New Roman" w:eastAsia="Times New Roman" w:hAnsi="Times New Roman" w:cs="Times New Roman"/>
          <w:sz w:val="24"/>
          <w:szCs w:val="24"/>
        </w:rPr>
        <w:t xml:space="preserve">to </w:t>
      </w:r>
      <w:r w:rsidRPr="009004F1">
        <w:rPr>
          <w:rFonts w:ascii="Times New Roman" w:eastAsia="Times New Roman" w:hAnsi="Times New Roman" w:cs="Times New Roman"/>
          <w:sz w:val="24"/>
          <w:szCs w:val="24"/>
        </w:rPr>
        <w:t xml:space="preserve">the wider cause of </w:t>
      </w:r>
      <w:r w:rsidR="005244DB">
        <w:rPr>
          <w:rFonts w:ascii="Times New Roman" w:eastAsia="Times New Roman" w:hAnsi="Times New Roman" w:cs="Times New Roman"/>
          <w:sz w:val="24"/>
          <w:szCs w:val="24"/>
        </w:rPr>
        <w:t>p</w:t>
      </w:r>
      <w:r w:rsidRPr="009004F1">
        <w:rPr>
          <w:rFonts w:ascii="Times New Roman" w:eastAsia="Times New Roman" w:hAnsi="Times New Roman" w:cs="Times New Roman"/>
          <w:sz w:val="24"/>
          <w:szCs w:val="24"/>
        </w:rPr>
        <w:t>arliament</w:t>
      </w:r>
      <w:r w:rsidR="005244DB">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the </w:t>
      </w:r>
      <w:r w:rsidR="00D45D56">
        <w:rPr>
          <w:rFonts w:ascii="Times New Roman" w:eastAsia="Times New Roman" w:hAnsi="Times New Roman" w:cs="Times New Roman"/>
          <w:sz w:val="24"/>
          <w:szCs w:val="24"/>
        </w:rPr>
        <w:t xml:space="preserve">strong ties of respect and loyalty </w:t>
      </w:r>
      <w:r w:rsidR="00D45D56">
        <w:rPr>
          <w:rFonts w:ascii="Times New Roman" w:eastAsia="Times New Roman" w:hAnsi="Times New Roman" w:cs="Times New Roman"/>
          <w:sz w:val="24"/>
          <w:szCs w:val="24"/>
        </w:rPr>
        <w:lastRenderedPageBreak/>
        <w:t xml:space="preserve">established </w:t>
      </w:r>
      <w:r w:rsidRPr="009004F1">
        <w:rPr>
          <w:rFonts w:ascii="Times New Roman" w:eastAsia="Times New Roman" w:hAnsi="Times New Roman" w:cs="Times New Roman"/>
          <w:sz w:val="24"/>
          <w:szCs w:val="24"/>
        </w:rPr>
        <w:t>between Fairfax and the army over the previous five years of his leadership cannot</w:t>
      </w:r>
      <w:r w:rsidR="00BE7B1A">
        <w:rPr>
          <w:rFonts w:ascii="Times New Roman" w:eastAsia="Times New Roman" w:hAnsi="Times New Roman" w:cs="Times New Roman"/>
          <w:sz w:val="24"/>
          <w:szCs w:val="24"/>
        </w:rPr>
        <w:t xml:space="preserve"> b</w:t>
      </w:r>
      <w:r w:rsidRPr="009004F1">
        <w:rPr>
          <w:rFonts w:ascii="Times New Roman" w:eastAsia="Times New Roman" w:hAnsi="Times New Roman" w:cs="Times New Roman"/>
          <w:sz w:val="24"/>
          <w:szCs w:val="24"/>
        </w:rPr>
        <w:t xml:space="preserve">e </w:t>
      </w:r>
      <w:r w:rsidR="00D45D56">
        <w:rPr>
          <w:rFonts w:ascii="Times New Roman" w:eastAsia="Times New Roman" w:hAnsi="Times New Roman" w:cs="Times New Roman"/>
          <w:sz w:val="24"/>
          <w:szCs w:val="24"/>
        </w:rPr>
        <w:t>broken</w:t>
      </w:r>
      <w:r w:rsidRPr="009004F1">
        <w:rPr>
          <w:rFonts w:ascii="Times New Roman" w:eastAsia="Times New Roman" w:hAnsi="Times New Roman" w:cs="Times New Roman"/>
          <w:sz w:val="24"/>
          <w:szCs w:val="24"/>
        </w:rPr>
        <w:t xml:space="preserve">. And the reference to ‘his wearied body’, usefully </w:t>
      </w:r>
      <w:r w:rsidR="00D45D56">
        <w:rPr>
          <w:rFonts w:ascii="Times New Roman" w:eastAsia="Times New Roman" w:hAnsi="Times New Roman" w:cs="Times New Roman"/>
          <w:sz w:val="24"/>
          <w:szCs w:val="24"/>
        </w:rPr>
        <w:t>f</w:t>
      </w:r>
      <w:r w:rsidRPr="009004F1">
        <w:rPr>
          <w:rFonts w:ascii="Times New Roman" w:eastAsia="Times New Roman" w:hAnsi="Times New Roman" w:cs="Times New Roman"/>
          <w:sz w:val="24"/>
          <w:szCs w:val="24"/>
        </w:rPr>
        <w:t xml:space="preserve">or all sides, takes his resignation letter to </w:t>
      </w:r>
      <w:r w:rsidR="00D45D56">
        <w:rPr>
          <w:rFonts w:ascii="Times New Roman" w:eastAsia="Times New Roman" w:hAnsi="Times New Roman" w:cs="Times New Roman"/>
          <w:sz w:val="24"/>
          <w:szCs w:val="24"/>
        </w:rPr>
        <w:t xml:space="preserve">the </w:t>
      </w:r>
      <w:r w:rsidRPr="009004F1">
        <w:rPr>
          <w:rFonts w:ascii="Times New Roman" w:eastAsia="Times New Roman" w:hAnsi="Times New Roman" w:cs="Times New Roman"/>
          <w:sz w:val="24"/>
          <w:szCs w:val="24"/>
        </w:rPr>
        <w:t xml:space="preserve">Speaker at </w:t>
      </w:r>
      <w:r w:rsidR="00B045CE">
        <w:rPr>
          <w:rFonts w:ascii="Times New Roman" w:eastAsia="Times New Roman" w:hAnsi="Times New Roman" w:cs="Times New Roman"/>
          <w:sz w:val="24"/>
          <w:szCs w:val="24"/>
        </w:rPr>
        <w:t>face value</w:t>
      </w:r>
      <w:r w:rsidRPr="009004F1">
        <w:rPr>
          <w:rFonts w:ascii="Times New Roman" w:eastAsia="Times New Roman" w:hAnsi="Times New Roman" w:cs="Times New Roman"/>
          <w:sz w:val="24"/>
          <w:szCs w:val="24"/>
        </w:rPr>
        <w:t>. Yet</w:t>
      </w:r>
      <w:r w:rsidR="00105C5C">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 xml:space="preserve"> in affirming that Fairfax is indeed the ‘</w:t>
      </w:r>
      <w:r w:rsidRPr="00F32417">
        <w:rPr>
          <w:rFonts w:ascii="Times New Roman" w:eastAsia="Times New Roman" w:hAnsi="Times New Roman" w:cs="Times New Roman"/>
          <w:i/>
          <w:sz w:val="24"/>
          <w:szCs w:val="24"/>
        </w:rPr>
        <w:t>old</w:t>
      </w:r>
      <w:r w:rsidRPr="009004F1">
        <w:rPr>
          <w:rFonts w:ascii="Times New Roman" w:eastAsia="Times New Roman" w:hAnsi="Times New Roman" w:cs="Times New Roman"/>
          <w:sz w:val="24"/>
          <w:szCs w:val="24"/>
        </w:rPr>
        <w:t xml:space="preserve"> Lord General</w:t>
      </w:r>
      <w:r w:rsidR="00F32417">
        <w:rPr>
          <w:rFonts w:ascii="Times New Roman" w:eastAsia="Times New Roman" w:hAnsi="Times New Roman" w:cs="Times New Roman"/>
          <w:sz w:val="24"/>
          <w:szCs w:val="24"/>
        </w:rPr>
        <w:t>l’</w:t>
      </w:r>
      <w:r w:rsidR="00377406">
        <w:rPr>
          <w:rFonts w:ascii="Times New Roman" w:eastAsia="Times New Roman" w:hAnsi="Times New Roman" w:cs="Times New Roman"/>
          <w:sz w:val="24"/>
          <w:szCs w:val="24"/>
        </w:rPr>
        <w:t xml:space="preserve"> (i</w:t>
      </w:r>
      <w:r w:rsidR="00B045CE">
        <w:rPr>
          <w:rFonts w:ascii="Times New Roman" w:eastAsia="Times New Roman" w:hAnsi="Times New Roman" w:cs="Times New Roman"/>
          <w:sz w:val="24"/>
          <w:szCs w:val="24"/>
        </w:rPr>
        <w:t>n the sense of ‘former’</w:t>
      </w:r>
      <w:r w:rsidR="00377406">
        <w:rPr>
          <w:rFonts w:ascii="Times New Roman" w:eastAsia="Times New Roman" w:hAnsi="Times New Roman" w:cs="Times New Roman"/>
          <w:sz w:val="24"/>
          <w:szCs w:val="24"/>
        </w:rPr>
        <w:t>)</w:t>
      </w:r>
      <w:r w:rsidR="00B045CE">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and in declaring that he has been swayed into retirement by his wife, Walker hints at </w:t>
      </w:r>
      <w:r w:rsidR="00FD2213">
        <w:rPr>
          <w:rFonts w:ascii="Times New Roman" w:eastAsia="Times New Roman" w:hAnsi="Times New Roman" w:cs="Times New Roman"/>
          <w:sz w:val="24"/>
          <w:szCs w:val="24"/>
        </w:rPr>
        <w:t xml:space="preserve">a layer of </w:t>
      </w:r>
      <w:r w:rsidRPr="009004F1">
        <w:rPr>
          <w:rFonts w:ascii="Times New Roman" w:eastAsia="Times New Roman" w:hAnsi="Times New Roman" w:cs="Times New Roman"/>
          <w:sz w:val="24"/>
          <w:szCs w:val="24"/>
        </w:rPr>
        <w:t xml:space="preserve">ambiguity and irony </w:t>
      </w:r>
      <w:r w:rsidR="00FD2213">
        <w:rPr>
          <w:rFonts w:ascii="Times New Roman" w:eastAsia="Times New Roman" w:hAnsi="Times New Roman" w:cs="Times New Roman"/>
          <w:sz w:val="24"/>
          <w:szCs w:val="24"/>
        </w:rPr>
        <w:t xml:space="preserve">in </w:t>
      </w:r>
      <w:r w:rsidRPr="009004F1">
        <w:rPr>
          <w:rFonts w:ascii="Times New Roman" w:eastAsia="Times New Roman" w:hAnsi="Times New Roman" w:cs="Times New Roman"/>
          <w:sz w:val="24"/>
          <w:szCs w:val="24"/>
        </w:rPr>
        <w:t xml:space="preserve">his narrative; </w:t>
      </w:r>
      <w:r w:rsidR="00F32417">
        <w:rPr>
          <w:rFonts w:ascii="Times New Roman" w:eastAsia="Times New Roman" w:hAnsi="Times New Roman" w:cs="Times New Roman"/>
          <w:sz w:val="24"/>
          <w:szCs w:val="24"/>
        </w:rPr>
        <w:t xml:space="preserve">this </w:t>
      </w:r>
      <w:r w:rsidRPr="009004F1">
        <w:rPr>
          <w:rFonts w:ascii="Times New Roman" w:eastAsia="Times New Roman" w:hAnsi="Times New Roman" w:cs="Times New Roman"/>
          <w:sz w:val="24"/>
          <w:szCs w:val="24"/>
        </w:rPr>
        <w:t xml:space="preserve">retirement is to be honoured, regretted even, but not necessarily lamented.  </w:t>
      </w:r>
    </w:p>
    <w:p w:rsidR="005E74D1" w:rsidRPr="009004F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 xml:space="preserve">Tellingly, Walker wastes little time in introducing into his sermon Cromwell, the new Commander-in-Chief: </w:t>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Pr="00D42181" w:rsidRDefault="005E74D1" w:rsidP="00763634">
      <w:pPr>
        <w:spacing w:after="0" w:line="480" w:lineRule="auto"/>
        <w:ind w:left="720"/>
        <w:jc w:val="both"/>
        <w:rPr>
          <w:rFonts w:ascii="Times New Roman" w:eastAsia="Times New Roman" w:hAnsi="Times New Roman" w:cs="Times New Roman"/>
        </w:rPr>
      </w:pPr>
      <w:r w:rsidRPr="00D42181">
        <w:rPr>
          <w:rFonts w:ascii="Times New Roman" w:eastAsia="Times New Roman" w:hAnsi="Times New Roman" w:cs="Times New Roman"/>
        </w:rPr>
        <w:t xml:space="preserve">And you have his Excellency still with you, now General, who was before, under God, the primum mobile of your Motions, and is still the myrrour of Hoasts, the Metropolitan of Religion, and the glory of this Nation: And though your former Generall hath been perswaded to take a writ of Ease to himself, for his wife, and her friends sake: Yet do not ye divide but stand the more firme in your owne union, grounded upon God, as you love your own lives, the Parliament, and the English Nation.  </w:t>
      </w:r>
      <w:r w:rsidRPr="00D42181">
        <w:rPr>
          <w:rFonts w:ascii="Times New Roman" w:eastAsia="Times New Roman" w:hAnsi="Times New Roman" w:cs="Times New Roman"/>
        </w:rPr>
        <w:tab/>
      </w:r>
      <w:r w:rsidRPr="00D42181">
        <w:rPr>
          <w:rFonts w:ascii="Times New Roman" w:eastAsia="Times New Roman" w:hAnsi="Times New Roman" w:cs="Times New Roman"/>
        </w:rPr>
        <w:tab/>
      </w:r>
      <w:r w:rsidRPr="00D42181">
        <w:rPr>
          <w:rFonts w:ascii="Times New Roman" w:eastAsia="Times New Roman" w:hAnsi="Times New Roman" w:cs="Times New Roman"/>
        </w:rPr>
        <w:tab/>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Pr="009004F1" w:rsidRDefault="000616D8"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C3CD8">
        <w:rPr>
          <w:rFonts w:ascii="Times New Roman" w:eastAsia="Times New Roman" w:hAnsi="Times New Roman" w:cs="Times New Roman"/>
          <w:sz w:val="24"/>
          <w:szCs w:val="24"/>
        </w:rPr>
        <w:t xml:space="preserve">ince before </w:t>
      </w:r>
      <w:r w:rsidR="005E74D1" w:rsidRPr="009004F1">
        <w:rPr>
          <w:rFonts w:ascii="Times New Roman" w:eastAsia="Times New Roman" w:hAnsi="Times New Roman" w:cs="Times New Roman"/>
          <w:sz w:val="24"/>
          <w:szCs w:val="24"/>
        </w:rPr>
        <w:t xml:space="preserve">his </w:t>
      </w:r>
      <w:r w:rsidR="00EB7AD8">
        <w:rPr>
          <w:rFonts w:ascii="Times New Roman" w:eastAsia="Times New Roman" w:hAnsi="Times New Roman" w:cs="Times New Roman"/>
          <w:sz w:val="24"/>
          <w:szCs w:val="24"/>
        </w:rPr>
        <w:t xml:space="preserve">recent </w:t>
      </w:r>
      <w:r w:rsidR="005E74D1" w:rsidRPr="009004F1">
        <w:rPr>
          <w:rFonts w:ascii="Times New Roman" w:eastAsia="Times New Roman" w:hAnsi="Times New Roman" w:cs="Times New Roman"/>
          <w:sz w:val="24"/>
          <w:szCs w:val="24"/>
        </w:rPr>
        <w:t>appointment</w:t>
      </w:r>
      <w:r w:rsidR="008C3CD8">
        <w:rPr>
          <w:rFonts w:ascii="Times New Roman" w:eastAsia="Times New Roman" w:hAnsi="Times New Roman" w:cs="Times New Roman"/>
          <w:sz w:val="24"/>
          <w:szCs w:val="24"/>
        </w:rPr>
        <w:t xml:space="preserve">, Walker </w:t>
      </w:r>
      <w:r w:rsidR="00EB7AD8">
        <w:rPr>
          <w:rFonts w:ascii="Times New Roman" w:eastAsia="Times New Roman" w:hAnsi="Times New Roman" w:cs="Times New Roman"/>
          <w:sz w:val="24"/>
          <w:szCs w:val="24"/>
        </w:rPr>
        <w:t>suggests</w:t>
      </w:r>
      <w:r w:rsidR="008C3CD8">
        <w:rPr>
          <w:rFonts w:ascii="Times New Roman" w:eastAsia="Times New Roman" w:hAnsi="Times New Roman" w:cs="Times New Roman"/>
          <w:sz w:val="24"/>
          <w:szCs w:val="24"/>
        </w:rPr>
        <w:t>, Cromwell has</w:t>
      </w:r>
      <w:r w:rsidR="005E74D1" w:rsidRPr="009004F1">
        <w:rPr>
          <w:rFonts w:ascii="Times New Roman" w:eastAsia="Times New Roman" w:hAnsi="Times New Roman" w:cs="Times New Roman"/>
          <w:sz w:val="24"/>
          <w:szCs w:val="24"/>
        </w:rPr>
        <w:t xml:space="preserve"> been the prime influence </w:t>
      </w:r>
      <w:r w:rsidR="00067571">
        <w:rPr>
          <w:rFonts w:ascii="Times New Roman" w:eastAsia="Times New Roman" w:hAnsi="Times New Roman" w:cs="Times New Roman"/>
          <w:sz w:val="24"/>
          <w:szCs w:val="24"/>
        </w:rPr>
        <w:t>on t</w:t>
      </w:r>
      <w:r w:rsidR="005E74D1" w:rsidRPr="009004F1">
        <w:rPr>
          <w:rFonts w:ascii="Times New Roman" w:eastAsia="Times New Roman" w:hAnsi="Times New Roman" w:cs="Times New Roman"/>
          <w:sz w:val="24"/>
          <w:szCs w:val="24"/>
        </w:rPr>
        <w:t xml:space="preserve">he army’s successes. A </w:t>
      </w:r>
      <w:r w:rsidR="003C696F">
        <w:rPr>
          <w:rFonts w:ascii="Times New Roman" w:eastAsia="Times New Roman" w:hAnsi="Times New Roman" w:cs="Times New Roman"/>
          <w:sz w:val="24"/>
          <w:szCs w:val="24"/>
        </w:rPr>
        <w:t>s</w:t>
      </w:r>
      <w:r w:rsidR="005E74D1" w:rsidRPr="009004F1">
        <w:rPr>
          <w:rFonts w:ascii="Times New Roman" w:eastAsia="Times New Roman" w:hAnsi="Times New Roman" w:cs="Times New Roman"/>
          <w:sz w:val="24"/>
          <w:szCs w:val="24"/>
        </w:rPr>
        <w:t>ense of continuity with the recent past is th</w:t>
      </w:r>
      <w:r w:rsidR="003C696F">
        <w:rPr>
          <w:rFonts w:ascii="Times New Roman" w:eastAsia="Times New Roman" w:hAnsi="Times New Roman" w:cs="Times New Roman"/>
          <w:sz w:val="24"/>
          <w:szCs w:val="24"/>
        </w:rPr>
        <w:t xml:space="preserve">ereby </w:t>
      </w:r>
      <w:r w:rsidR="005E74D1" w:rsidRPr="009004F1">
        <w:rPr>
          <w:rFonts w:ascii="Times New Roman" w:eastAsia="Times New Roman" w:hAnsi="Times New Roman" w:cs="Times New Roman"/>
          <w:sz w:val="24"/>
          <w:szCs w:val="24"/>
        </w:rPr>
        <w:t>established</w:t>
      </w:r>
      <w:r w:rsidR="003C696F">
        <w:rPr>
          <w:rFonts w:ascii="Times New Roman" w:eastAsia="Times New Roman" w:hAnsi="Times New Roman" w:cs="Times New Roman"/>
          <w:sz w:val="24"/>
          <w:szCs w:val="24"/>
        </w:rPr>
        <w:t xml:space="preserve">, one which does not merely </w:t>
      </w:r>
      <w:r w:rsidR="00FB7C3B">
        <w:rPr>
          <w:rFonts w:ascii="Times New Roman" w:eastAsia="Times New Roman" w:hAnsi="Times New Roman" w:cs="Times New Roman"/>
          <w:sz w:val="24"/>
          <w:szCs w:val="24"/>
        </w:rPr>
        <w:t xml:space="preserve">contain </w:t>
      </w:r>
      <w:r w:rsidR="005E74D1" w:rsidRPr="009004F1">
        <w:rPr>
          <w:rFonts w:ascii="Times New Roman" w:eastAsia="Times New Roman" w:hAnsi="Times New Roman" w:cs="Times New Roman"/>
          <w:sz w:val="24"/>
          <w:szCs w:val="24"/>
        </w:rPr>
        <w:t>the impact of Fairfax’s departure</w:t>
      </w:r>
      <w:r w:rsidR="003C696F">
        <w:rPr>
          <w:rFonts w:ascii="Times New Roman" w:eastAsia="Times New Roman" w:hAnsi="Times New Roman" w:cs="Times New Roman"/>
          <w:sz w:val="24"/>
          <w:szCs w:val="24"/>
        </w:rPr>
        <w:t xml:space="preserve"> but implicitly diminishes it</w:t>
      </w:r>
      <w:r w:rsidR="005E74D1" w:rsidRPr="009004F1">
        <w:rPr>
          <w:rFonts w:ascii="Times New Roman" w:eastAsia="Times New Roman" w:hAnsi="Times New Roman" w:cs="Times New Roman"/>
          <w:sz w:val="24"/>
          <w:szCs w:val="24"/>
        </w:rPr>
        <w:t>.</w:t>
      </w:r>
      <w:r w:rsidR="003C696F">
        <w:rPr>
          <w:rFonts w:ascii="Times New Roman" w:eastAsia="Times New Roman" w:hAnsi="Times New Roman" w:cs="Times New Roman"/>
          <w:sz w:val="24"/>
          <w:szCs w:val="24"/>
        </w:rPr>
        <w:t xml:space="preserve"> Correspondingly, the reference to </w:t>
      </w:r>
      <w:r w:rsidR="005E74D1" w:rsidRPr="009004F1">
        <w:rPr>
          <w:rFonts w:ascii="Times New Roman" w:eastAsia="Times New Roman" w:hAnsi="Times New Roman" w:cs="Times New Roman"/>
          <w:sz w:val="24"/>
          <w:szCs w:val="24"/>
        </w:rPr>
        <w:t>Fairfax</w:t>
      </w:r>
      <w:r w:rsidR="00221B18">
        <w:rPr>
          <w:rFonts w:ascii="Times New Roman" w:eastAsia="Times New Roman" w:hAnsi="Times New Roman" w:cs="Times New Roman"/>
          <w:sz w:val="24"/>
          <w:szCs w:val="24"/>
        </w:rPr>
        <w:t xml:space="preserve"> </w:t>
      </w:r>
      <w:r w:rsidR="003C696F">
        <w:rPr>
          <w:rFonts w:ascii="Times New Roman" w:eastAsia="Times New Roman" w:hAnsi="Times New Roman" w:cs="Times New Roman"/>
          <w:sz w:val="24"/>
          <w:szCs w:val="24"/>
        </w:rPr>
        <w:t xml:space="preserve">having resigned </w:t>
      </w:r>
      <w:r w:rsidR="005E74D1" w:rsidRPr="009004F1">
        <w:rPr>
          <w:rFonts w:ascii="Times New Roman" w:eastAsia="Times New Roman" w:hAnsi="Times New Roman" w:cs="Times New Roman"/>
          <w:sz w:val="24"/>
          <w:szCs w:val="24"/>
        </w:rPr>
        <w:t>‘for his wife</w:t>
      </w:r>
      <w:r w:rsidR="003C696F">
        <w:rPr>
          <w:rFonts w:ascii="Times New Roman" w:eastAsia="Times New Roman" w:hAnsi="Times New Roman" w:cs="Times New Roman"/>
          <w:sz w:val="24"/>
          <w:szCs w:val="24"/>
        </w:rPr>
        <w:t xml:space="preserve">, and </w:t>
      </w:r>
      <w:r w:rsidR="005E74D1" w:rsidRPr="009004F1">
        <w:rPr>
          <w:rFonts w:ascii="Times New Roman" w:eastAsia="Times New Roman" w:hAnsi="Times New Roman" w:cs="Times New Roman"/>
          <w:sz w:val="24"/>
          <w:szCs w:val="24"/>
        </w:rPr>
        <w:t xml:space="preserve">her friends sake’ </w:t>
      </w:r>
      <w:r w:rsidR="003C696F">
        <w:rPr>
          <w:rFonts w:ascii="Times New Roman" w:eastAsia="Times New Roman" w:hAnsi="Times New Roman" w:cs="Times New Roman"/>
          <w:sz w:val="24"/>
          <w:szCs w:val="24"/>
        </w:rPr>
        <w:t xml:space="preserve">seems more akin to an insinuation than </w:t>
      </w:r>
      <w:r w:rsidR="006B7EF4">
        <w:rPr>
          <w:rFonts w:ascii="Times New Roman" w:eastAsia="Times New Roman" w:hAnsi="Times New Roman" w:cs="Times New Roman"/>
          <w:sz w:val="24"/>
          <w:szCs w:val="24"/>
        </w:rPr>
        <w:t>a</w:t>
      </w:r>
      <w:r w:rsidR="00221B18">
        <w:rPr>
          <w:rFonts w:ascii="Times New Roman" w:eastAsia="Times New Roman" w:hAnsi="Times New Roman" w:cs="Times New Roman"/>
          <w:sz w:val="24"/>
          <w:szCs w:val="24"/>
        </w:rPr>
        <w:t xml:space="preserve"> glowing </w:t>
      </w:r>
      <w:r w:rsidR="006B7EF4">
        <w:rPr>
          <w:rFonts w:ascii="Times New Roman" w:eastAsia="Times New Roman" w:hAnsi="Times New Roman" w:cs="Times New Roman"/>
          <w:sz w:val="24"/>
          <w:szCs w:val="24"/>
        </w:rPr>
        <w:t xml:space="preserve">example of familial gallantry. </w:t>
      </w:r>
      <w:r w:rsidR="006559E6">
        <w:rPr>
          <w:rFonts w:ascii="Times New Roman" w:eastAsia="Times New Roman" w:hAnsi="Times New Roman" w:cs="Times New Roman"/>
          <w:sz w:val="24"/>
          <w:szCs w:val="24"/>
        </w:rPr>
        <w:t>And w</w:t>
      </w:r>
      <w:r w:rsidR="005E74D1" w:rsidRPr="009004F1">
        <w:rPr>
          <w:rFonts w:ascii="Times New Roman" w:eastAsia="Times New Roman" w:hAnsi="Times New Roman" w:cs="Times New Roman"/>
          <w:sz w:val="24"/>
          <w:szCs w:val="24"/>
        </w:rPr>
        <w:t>hat is p</w:t>
      </w:r>
      <w:r w:rsidR="003E6058">
        <w:rPr>
          <w:rFonts w:ascii="Times New Roman" w:eastAsia="Times New Roman" w:hAnsi="Times New Roman" w:cs="Times New Roman"/>
          <w:sz w:val="24"/>
          <w:szCs w:val="24"/>
        </w:rPr>
        <w:t>ejoratively p</w:t>
      </w:r>
      <w:r w:rsidR="005E74D1" w:rsidRPr="009004F1">
        <w:rPr>
          <w:rFonts w:ascii="Times New Roman" w:eastAsia="Times New Roman" w:hAnsi="Times New Roman" w:cs="Times New Roman"/>
          <w:sz w:val="24"/>
          <w:szCs w:val="24"/>
        </w:rPr>
        <w:t xml:space="preserve">ortrayed as a domestically </w:t>
      </w:r>
      <w:r w:rsidR="003E6058">
        <w:rPr>
          <w:rFonts w:ascii="Times New Roman" w:eastAsia="Times New Roman" w:hAnsi="Times New Roman" w:cs="Times New Roman"/>
          <w:sz w:val="24"/>
          <w:szCs w:val="24"/>
        </w:rPr>
        <w:t xml:space="preserve">motivated </w:t>
      </w:r>
      <w:r w:rsidR="005E74D1" w:rsidRPr="009004F1">
        <w:rPr>
          <w:rFonts w:ascii="Times New Roman" w:eastAsia="Times New Roman" w:hAnsi="Times New Roman" w:cs="Times New Roman"/>
          <w:sz w:val="24"/>
          <w:szCs w:val="24"/>
        </w:rPr>
        <w:t>decision by Fair</w:t>
      </w:r>
      <w:r w:rsidR="003E6058">
        <w:rPr>
          <w:rFonts w:ascii="Times New Roman" w:eastAsia="Times New Roman" w:hAnsi="Times New Roman" w:cs="Times New Roman"/>
          <w:sz w:val="24"/>
          <w:szCs w:val="24"/>
        </w:rPr>
        <w:t>fax is rendered all the more parochial and un-</w:t>
      </w:r>
      <w:r w:rsidR="005E74D1" w:rsidRPr="009004F1">
        <w:rPr>
          <w:rFonts w:ascii="Times New Roman" w:eastAsia="Times New Roman" w:hAnsi="Times New Roman" w:cs="Times New Roman"/>
          <w:sz w:val="24"/>
          <w:szCs w:val="24"/>
        </w:rPr>
        <w:t>statesmanlike</w:t>
      </w:r>
      <w:r w:rsidR="00221B18">
        <w:rPr>
          <w:rFonts w:ascii="Times New Roman" w:eastAsia="Times New Roman" w:hAnsi="Times New Roman" w:cs="Times New Roman"/>
          <w:sz w:val="24"/>
          <w:szCs w:val="24"/>
        </w:rPr>
        <w:t xml:space="preserve">, </w:t>
      </w:r>
      <w:r w:rsidR="00B43244">
        <w:rPr>
          <w:rFonts w:ascii="Times New Roman" w:eastAsia="Times New Roman" w:hAnsi="Times New Roman" w:cs="Times New Roman"/>
          <w:sz w:val="24"/>
          <w:szCs w:val="24"/>
        </w:rPr>
        <w:t>placed</w:t>
      </w:r>
      <w:r w:rsidR="00A140DE">
        <w:rPr>
          <w:rFonts w:ascii="Times New Roman" w:eastAsia="Times New Roman" w:hAnsi="Times New Roman" w:cs="Times New Roman"/>
          <w:sz w:val="24"/>
          <w:szCs w:val="24"/>
        </w:rPr>
        <w:t xml:space="preserve"> </w:t>
      </w:r>
      <w:r w:rsidR="00221B18">
        <w:rPr>
          <w:rFonts w:ascii="Times New Roman" w:eastAsia="Times New Roman" w:hAnsi="Times New Roman" w:cs="Times New Roman"/>
          <w:sz w:val="24"/>
          <w:szCs w:val="24"/>
        </w:rPr>
        <w:t xml:space="preserve">as it is </w:t>
      </w:r>
      <w:r w:rsidR="00B43244">
        <w:rPr>
          <w:rFonts w:ascii="Times New Roman" w:eastAsia="Times New Roman" w:hAnsi="Times New Roman" w:cs="Times New Roman"/>
          <w:sz w:val="24"/>
          <w:szCs w:val="24"/>
        </w:rPr>
        <w:t xml:space="preserve">before a </w:t>
      </w:r>
      <w:r w:rsidR="003E6058">
        <w:rPr>
          <w:rFonts w:ascii="Times New Roman" w:eastAsia="Times New Roman" w:hAnsi="Times New Roman" w:cs="Times New Roman"/>
          <w:sz w:val="24"/>
          <w:szCs w:val="24"/>
        </w:rPr>
        <w:t xml:space="preserve">sentence in which the trinity of God, parliament and the nation is </w:t>
      </w:r>
      <w:r w:rsidR="00870B3E">
        <w:rPr>
          <w:rFonts w:ascii="Times New Roman" w:eastAsia="Times New Roman" w:hAnsi="Times New Roman" w:cs="Times New Roman"/>
          <w:sz w:val="24"/>
          <w:szCs w:val="24"/>
        </w:rPr>
        <w:t xml:space="preserve">stirringly </w:t>
      </w:r>
      <w:r w:rsidR="003E6058">
        <w:rPr>
          <w:rFonts w:ascii="Times New Roman" w:eastAsia="Times New Roman" w:hAnsi="Times New Roman" w:cs="Times New Roman"/>
          <w:sz w:val="24"/>
          <w:szCs w:val="24"/>
        </w:rPr>
        <w:t>invoked</w:t>
      </w:r>
      <w:r w:rsidR="005E74D1" w:rsidRPr="009004F1">
        <w:rPr>
          <w:rFonts w:ascii="Times New Roman" w:eastAsia="Times New Roman" w:hAnsi="Times New Roman" w:cs="Times New Roman"/>
          <w:sz w:val="24"/>
          <w:szCs w:val="24"/>
        </w:rPr>
        <w:t>.</w:t>
      </w:r>
      <w:r w:rsidR="005F6A6B">
        <w:rPr>
          <w:rFonts w:ascii="Times New Roman" w:eastAsia="Times New Roman" w:hAnsi="Times New Roman" w:cs="Times New Roman"/>
          <w:sz w:val="24"/>
          <w:szCs w:val="24"/>
        </w:rPr>
        <w:t xml:space="preserve"> </w:t>
      </w:r>
      <w:r w:rsidR="005E74D1" w:rsidRPr="009004F1">
        <w:rPr>
          <w:rFonts w:ascii="Times New Roman" w:eastAsia="Times New Roman" w:hAnsi="Times New Roman" w:cs="Times New Roman"/>
          <w:sz w:val="24"/>
          <w:szCs w:val="24"/>
        </w:rPr>
        <w:t xml:space="preserve">If the official reasons for Fairfax’s resignation, </w:t>
      </w:r>
      <w:r w:rsidR="00BC5735">
        <w:rPr>
          <w:rFonts w:ascii="Times New Roman" w:eastAsia="Times New Roman" w:hAnsi="Times New Roman" w:cs="Times New Roman"/>
          <w:sz w:val="24"/>
          <w:szCs w:val="24"/>
        </w:rPr>
        <w:t xml:space="preserve">those </w:t>
      </w:r>
      <w:r w:rsidR="005E74D1" w:rsidRPr="009004F1">
        <w:rPr>
          <w:rFonts w:ascii="Times New Roman" w:eastAsia="Times New Roman" w:hAnsi="Times New Roman" w:cs="Times New Roman"/>
          <w:sz w:val="24"/>
          <w:szCs w:val="24"/>
        </w:rPr>
        <w:t xml:space="preserve">‘debilities in body and minde’, </w:t>
      </w:r>
      <w:r w:rsidR="00BC5735">
        <w:rPr>
          <w:rFonts w:ascii="Times New Roman" w:eastAsia="Times New Roman" w:hAnsi="Times New Roman" w:cs="Times New Roman"/>
          <w:sz w:val="24"/>
          <w:szCs w:val="24"/>
        </w:rPr>
        <w:t xml:space="preserve">receive less than sustained attention by </w:t>
      </w:r>
      <w:r w:rsidR="005E74D1" w:rsidRPr="009004F1">
        <w:rPr>
          <w:rFonts w:ascii="Times New Roman" w:eastAsia="Times New Roman" w:hAnsi="Times New Roman" w:cs="Times New Roman"/>
          <w:sz w:val="24"/>
          <w:szCs w:val="24"/>
        </w:rPr>
        <w:t xml:space="preserve">Walker, </w:t>
      </w:r>
      <w:r w:rsidR="005F6A6B">
        <w:rPr>
          <w:rFonts w:ascii="Times New Roman" w:eastAsia="Times New Roman" w:hAnsi="Times New Roman" w:cs="Times New Roman"/>
          <w:sz w:val="24"/>
          <w:szCs w:val="24"/>
        </w:rPr>
        <w:t>the</w:t>
      </w:r>
      <w:r w:rsidR="005E74D1" w:rsidRPr="009004F1">
        <w:rPr>
          <w:rFonts w:ascii="Times New Roman" w:eastAsia="Times New Roman" w:hAnsi="Times New Roman" w:cs="Times New Roman"/>
          <w:sz w:val="24"/>
          <w:szCs w:val="24"/>
        </w:rPr>
        <w:t xml:space="preserve"> unofficial </w:t>
      </w:r>
      <w:r w:rsidR="00BC5735">
        <w:rPr>
          <w:rFonts w:ascii="Times New Roman" w:eastAsia="Times New Roman" w:hAnsi="Times New Roman" w:cs="Times New Roman"/>
          <w:sz w:val="24"/>
          <w:szCs w:val="24"/>
        </w:rPr>
        <w:t xml:space="preserve">cause </w:t>
      </w:r>
      <w:r w:rsidR="005E74D1" w:rsidRPr="009004F1">
        <w:rPr>
          <w:rFonts w:ascii="Times New Roman" w:eastAsia="Times New Roman" w:hAnsi="Times New Roman" w:cs="Times New Roman"/>
          <w:sz w:val="24"/>
          <w:szCs w:val="24"/>
        </w:rPr>
        <w:t xml:space="preserve">is </w:t>
      </w:r>
      <w:r w:rsidR="00316115">
        <w:rPr>
          <w:rFonts w:ascii="Times New Roman" w:eastAsia="Times New Roman" w:hAnsi="Times New Roman" w:cs="Times New Roman"/>
          <w:sz w:val="24"/>
          <w:szCs w:val="24"/>
        </w:rPr>
        <w:t xml:space="preserve">tacitly </w:t>
      </w:r>
      <w:r w:rsidR="00C570C4">
        <w:rPr>
          <w:rFonts w:ascii="Times New Roman" w:eastAsia="Times New Roman" w:hAnsi="Times New Roman" w:cs="Times New Roman"/>
          <w:sz w:val="24"/>
          <w:szCs w:val="24"/>
        </w:rPr>
        <w:t>repudiated</w:t>
      </w:r>
      <w:r w:rsidR="005E74D1" w:rsidRPr="009004F1">
        <w:rPr>
          <w:rFonts w:ascii="Times New Roman" w:eastAsia="Times New Roman" w:hAnsi="Times New Roman" w:cs="Times New Roman"/>
          <w:sz w:val="24"/>
          <w:szCs w:val="24"/>
        </w:rPr>
        <w:t xml:space="preserve">. </w:t>
      </w:r>
      <w:r w:rsidR="00420E76">
        <w:rPr>
          <w:rFonts w:ascii="Times New Roman" w:eastAsia="Times New Roman" w:hAnsi="Times New Roman" w:cs="Times New Roman"/>
          <w:sz w:val="24"/>
          <w:szCs w:val="24"/>
        </w:rPr>
        <w:t>Next, i</w:t>
      </w:r>
      <w:r w:rsidR="005E74D1" w:rsidRPr="009004F1">
        <w:rPr>
          <w:rFonts w:ascii="Times New Roman" w:eastAsia="Times New Roman" w:hAnsi="Times New Roman" w:cs="Times New Roman"/>
          <w:sz w:val="24"/>
          <w:szCs w:val="24"/>
        </w:rPr>
        <w:t xml:space="preserve">n what </w:t>
      </w:r>
      <w:r w:rsidR="005E74D1" w:rsidRPr="009004F1">
        <w:rPr>
          <w:rFonts w:ascii="Times New Roman" w:eastAsia="Times New Roman" w:hAnsi="Times New Roman" w:cs="Times New Roman"/>
          <w:sz w:val="24"/>
          <w:szCs w:val="24"/>
        </w:rPr>
        <w:lastRenderedPageBreak/>
        <w:t xml:space="preserve">effectively constitutes a government-approved rallying cry </w:t>
      </w:r>
      <w:r w:rsidR="00D81C2F">
        <w:rPr>
          <w:rFonts w:ascii="Times New Roman" w:eastAsia="Times New Roman" w:hAnsi="Times New Roman" w:cs="Times New Roman"/>
          <w:sz w:val="24"/>
          <w:szCs w:val="24"/>
        </w:rPr>
        <w:t xml:space="preserve">to </w:t>
      </w:r>
      <w:r w:rsidR="005E74D1" w:rsidRPr="009004F1">
        <w:rPr>
          <w:rFonts w:ascii="Times New Roman" w:eastAsia="Times New Roman" w:hAnsi="Times New Roman" w:cs="Times New Roman"/>
          <w:sz w:val="24"/>
          <w:szCs w:val="24"/>
        </w:rPr>
        <w:t xml:space="preserve">the </w:t>
      </w:r>
      <w:r w:rsidR="00D81C2F">
        <w:rPr>
          <w:rFonts w:ascii="Times New Roman" w:eastAsia="Times New Roman" w:hAnsi="Times New Roman" w:cs="Times New Roman"/>
          <w:sz w:val="24"/>
          <w:szCs w:val="24"/>
        </w:rPr>
        <w:t>a</w:t>
      </w:r>
      <w:r w:rsidR="005E74D1" w:rsidRPr="009004F1">
        <w:rPr>
          <w:rFonts w:ascii="Times New Roman" w:eastAsia="Times New Roman" w:hAnsi="Times New Roman" w:cs="Times New Roman"/>
          <w:sz w:val="24"/>
          <w:szCs w:val="24"/>
        </w:rPr>
        <w:t>rmy, the policy of pre-emptive invasion of Scotland is</w:t>
      </w:r>
      <w:r w:rsidR="00D81C2F">
        <w:rPr>
          <w:rFonts w:ascii="Times New Roman" w:eastAsia="Times New Roman" w:hAnsi="Times New Roman" w:cs="Times New Roman"/>
          <w:sz w:val="24"/>
          <w:szCs w:val="24"/>
        </w:rPr>
        <w:t xml:space="preserve"> given </w:t>
      </w:r>
      <w:r w:rsidR="005E74D1" w:rsidRPr="009004F1">
        <w:rPr>
          <w:rFonts w:ascii="Times New Roman" w:eastAsia="Times New Roman" w:hAnsi="Times New Roman" w:cs="Times New Roman"/>
          <w:sz w:val="24"/>
          <w:szCs w:val="24"/>
        </w:rPr>
        <w:t>unambiguous clerical backing</w:t>
      </w:r>
      <w:r w:rsidR="0095439F">
        <w:rPr>
          <w:rFonts w:ascii="Times New Roman" w:eastAsia="Times New Roman" w:hAnsi="Times New Roman" w:cs="Times New Roman"/>
          <w:sz w:val="24"/>
          <w:szCs w:val="24"/>
        </w:rPr>
        <w:t>, and by extension Fairfax’s position is disavowed</w:t>
      </w:r>
      <w:r w:rsidR="005E74D1" w:rsidRPr="009004F1">
        <w:rPr>
          <w:rFonts w:ascii="Times New Roman" w:eastAsia="Times New Roman" w:hAnsi="Times New Roman" w:cs="Times New Roman"/>
          <w:sz w:val="24"/>
          <w:szCs w:val="24"/>
        </w:rPr>
        <w:t>:</w:t>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Pr="00D3194D" w:rsidRDefault="005E74D1" w:rsidP="00763634">
      <w:pPr>
        <w:spacing w:after="0" w:line="480" w:lineRule="auto"/>
        <w:ind w:left="720"/>
        <w:jc w:val="both"/>
        <w:rPr>
          <w:rFonts w:ascii="Times New Roman" w:eastAsia="Times New Roman" w:hAnsi="Times New Roman" w:cs="Times New Roman"/>
        </w:rPr>
      </w:pPr>
      <w:r w:rsidRPr="00D3194D">
        <w:rPr>
          <w:rFonts w:ascii="Times New Roman" w:eastAsia="Times New Roman" w:hAnsi="Times New Roman" w:cs="Times New Roman"/>
        </w:rPr>
        <w:t xml:space="preserve">Yet now the Lording Taskmasters in Scotland, are desiring to lay burdens upon us, if they can surprise you to their Egyptian bondage, therefore look about you, and stand to your Armes…If they love blood, let them have it in their own Land; It is better to crush the Cockatrice in the Egge, then let him swell to a troublesome monster. </w:t>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r>
      <w:r w:rsidR="00687107">
        <w:rPr>
          <w:rFonts w:ascii="Times New Roman" w:eastAsia="Times New Roman" w:hAnsi="Times New Roman" w:cs="Times New Roman"/>
          <w:sz w:val="24"/>
          <w:szCs w:val="24"/>
        </w:rPr>
        <w:t>T</w:t>
      </w:r>
      <w:r w:rsidRPr="009004F1">
        <w:rPr>
          <w:rFonts w:ascii="Times New Roman" w:eastAsia="Times New Roman" w:hAnsi="Times New Roman" w:cs="Times New Roman"/>
          <w:sz w:val="24"/>
          <w:szCs w:val="24"/>
        </w:rPr>
        <w:t xml:space="preserve">he central passage of the sermon, in which the </w:t>
      </w:r>
      <w:r w:rsidR="00E72F30">
        <w:rPr>
          <w:rFonts w:ascii="Times New Roman" w:eastAsia="Times New Roman" w:hAnsi="Times New Roman" w:cs="Times New Roman"/>
          <w:sz w:val="24"/>
          <w:szCs w:val="24"/>
        </w:rPr>
        <w:t>coming s</w:t>
      </w:r>
      <w:r w:rsidRPr="009004F1">
        <w:rPr>
          <w:rFonts w:ascii="Times New Roman" w:eastAsia="Times New Roman" w:hAnsi="Times New Roman" w:cs="Times New Roman"/>
          <w:sz w:val="24"/>
          <w:szCs w:val="24"/>
        </w:rPr>
        <w:t xml:space="preserve">eparation of Cromwell </w:t>
      </w:r>
      <w:r w:rsidR="00B229F5">
        <w:rPr>
          <w:rFonts w:ascii="Times New Roman" w:eastAsia="Times New Roman" w:hAnsi="Times New Roman" w:cs="Times New Roman"/>
          <w:sz w:val="24"/>
          <w:szCs w:val="24"/>
        </w:rPr>
        <w:t xml:space="preserve">from </w:t>
      </w:r>
      <w:r w:rsidR="002B643F">
        <w:rPr>
          <w:rFonts w:ascii="Times New Roman" w:eastAsia="Times New Roman" w:hAnsi="Times New Roman" w:cs="Times New Roman"/>
          <w:sz w:val="24"/>
          <w:szCs w:val="24"/>
        </w:rPr>
        <w:t xml:space="preserve">the retiring </w:t>
      </w:r>
      <w:r w:rsidR="00B229F5">
        <w:rPr>
          <w:rFonts w:ascii="Times New Roman" w:eastAsia="Times New Roman" w:hAnsi="Times New Roman" w:cs="Times New Roman"/>
          <w:sz w:val="24"/>
          <w:szCs w:val="24"/>
        </w:rPr>
        <w:t>Fa</w:t>
      </w:r>
      <w:r w:rsidRPr="009004F1">
        <w:rPr>
          <w:rFonts w:ascii="Times New Roman" w:eastAsia="Times New Roman" w:hAnsi="Times New Roman" w:cs="Times New Roman"/>
          <w:sz w:val="24"/>
          <w:szCs w:val="24"/>
        </w:rPr>
        <w:t>irfax is compared with</w:t>
      </w:r>
      <w:r w:rsidR="00687107">
        <w:rPr>
          <w:rFonts w:ascii="Times New Roman" w:eastAsia="Times New Roman" w:hAnsi="Times New Roman" w:cs="Times New Roman"/>
          <w:sz w:val="24"/>
          <w:szCs w:val="24"/>
        </w:rPr>
        <w:t xml:space="preserve"> that of Abraham </w:t>
      </w:r>
      <w:r w:rsidR="00304CA8">
        <w:rPr>
          <w:rFonts w:ascii="Times New Roman" w:eastAsia="Times New Roman" w:hAnsi="Times New Roman" w:cs="Times New Roman"/>
          <w:sz w:val="24"/>
          <w:szCs w:val="24"/>
        </w:rPr>
        <w:t xml:space="preserve">from </w:t>
      </w:r>
      <w:r w:rsidR="00687107">
        <w:rPr>
          <w:rFonts w:ascii="Times New Roman" w:eastAsia="Times New Roman" w:hAnsi="Times New Roman" w:cs="Times New Roman"/>
          <w:sz w:val="24"/>
          <w:szCs w:val="24"/>
        </w:rPr>
        <w:t xml:space="preserve">Lot, is of signal </w:t>
      </w:r>
      <w:r w:rsidRPr="009004F1">
        <w:rPr>
          <w:rFonts w:ascii="Times New Roman" w:eastAsia="Times New Roman" w:hAnsi="Times New Roman" w:cs="Times New Roman"/>
          <w:sz w:val="24"/>
          <w:szCs w:val="24"/>
        </w:rPr>
        <w:t>interest</w:t>
      </w:r>
      <w:r w:rsidR="00687107">
        <w:rPr>
          <w:rFonts w:ascii="Times New Roman" w:eastAsia="Times New Roman" w:hAnsi="Times New Roman" w:cs="Times New Roman"/>
          <w:sz w:val="24"/>
          <w:szCs w:val="24"/>
        </w:rPr>
        <w:t xml:space="preserve">, not least for </w:t>
      </w:r>
      <w:r w:rsidR="00687107" w:rsidRPr="009004F1">
        <w:rPr>
          <w:rFonts w:ascii="Times New Roman" w:eastAsia="Times New Roman" w:hAnsi="Times New Roman" w:cs="Times New Roman"/>
          <w:sz w:val="24"/>
          <w:szCs w:val="24"/>
        </w:rPr>
        <w:t>its more nuanced and exegetic tone</w:t>
      </w:r>
      <w:r w:rsidR="00687107">
        <w:rPr>
          <w:rFonts w:ascii="Times New Roman" w:eastAsia="Times New Roman" w:hAnsi="Times New Roman" w:cs="Times New Roman"/>
          <w:sz w:val="24"/>
          <w:szCs w:val="24"/>
        </w:rPr>
        <w:t>.</w:t>
      </w:r>
      <w:r w:rsidR="00687107" w:rsidRPr="009004F1">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Walker’s theme</w:t>
      </w:r>
      <w:r w:rsidR="00304CA8">
        <w:rPr>
          <w:rFonts w:ascii="Times New Roman" w:eastAsia="Times New Roman" w:hAnsi="Times New Roman" w:cs="Times New Roman"/>
          <w:sz w:val="24"/>
          <w:szCs w:val="24"/>
        </w:rPr>
        <w:t xml:space="preserve"> is t</w:t>
      </w:r>
      <w:r w:rsidRPr="009004F1">
        <w:rPr>
          <w:rFonts w:ascii="Times New Roman" w:eastAsia="Times New Roman" w:hAnsi="Times New Roman" w:cs="Times New Roman"/>
          <w:sz w:val="24"/>
          <w:szCs w:val="24"/>
        </w:rPr>
        <w:t>he irrelevance of physical distance between loyal and pious companions</w:t>
      </w:r>
      <w:r w:rsidR="00304CA8">
        <w:rPr>
          <w:rFonts w:ascii="Times New Roman" w:eastAsia="Times New Roman" w:hAnsi="Times New Roman" w:cs="Times New Roman"/>
          <w:sz w:val="24"/>
          <w:szCs w:val="24"/>
        </w:rPr>
        <w:t>:</w:t>
      </w:r>
    </w:p>
    <w:p w:rsidR="00304CA8" w:rsidRPr="009004F1" w:rsidRDefault="00304CA8" w:rsidP="00763634">
      <w:pPr>
        <w:spacing w:after="0" w:line="480" w:lineRule="auto"/>
        <w:jc w:val="both"/>
        <w:rPr>
          <w:rFonts w:ascii="Times New Roman" w:eastAsia="Times New Roman" w:hAnsi="Times New Roman" w:cs="Times New Roman"/>
          <w:sz w:val="24"/>
          <w:szCs w:val="24"/>
        </w:rPr>
      </w:pPr>
    </w:p>
    <w:p w:rsidR="005E74D1" w:rsidRPr="00687107" w:rsidRDefault="005E74D1" w:rsidP="00763634">
      <w:pPr>
        <w:spacing w:after="0" w:line="480" w:lineRule="auto"/>
        <w:ind w:left="720"/>
        <w:jc w:val="both"/>
        <w:rPr>
          <w:rFonts w:ascii="Times New Roman" w:eastAsia="Times New Roman" w:hAnsi="Times New Roman" w:cs="Times New Roman"/>
        </w:rPr>
      </w:pPr>
      <w:r w:rsidRPr="00BF71E7">
        <w:rPr>
          <w:rFonts w:ascii="Times New Roman" w:eastAsia="Times New Roman" w:hAnsi="Times New Roman" w:cs="Times New Roman"/>
        </w:rPr>
        <w:t xml:space="preserve">Great men, that have eminently acted together in goodness, and prospered by the blessings of God, upon their indeavours, they may be personally separated, yet therein receive </w:t>
      </w:r>
      <w:r w:rsidR="00304CA8">
        <w:rPr>
          <w:rFonts w:ascii="Times New Roman" w:eastAsia="Times New Roman" w:hAnsi="Times New Roman" w:cs="Times New Roman"/>
        </w:rPr>
        <w:t xml:space="preserve">comfort </w:t>
      </w:r>
      <w:r w:rsidRPr="00BF71E7">
        <w:rPr>
          <w:rFonts w:ascii="Times New Roman" w:eastAsia="Times New Roman" w:hAnsi="Times New Roman" w:cs="Times New Roman"/>
        </w:rPr>
        <w:t>from the Lord</w:t>
      </w:r>
      <w:r w:rsidR="00304CA8">
        <w:rPr>
          <w:rFonts w:ascii="Times New Roman" w:eastAsia="Times New Roman" w:hAnsi="Times New Roman" w:cs="Times New Roman"/>
        </w:rPr>
        <w:t>…</w:t>
      </w:r>
      <w:r w:rsidRPr="00687107">
        <w:rPr>
          <w:rFonts w:ascii="Times New Roman" w:eastAsia="Times New Roman" w:hAnsi="Times New Roman" w:cs="Times New Roman"/>
        </w:rPr>
        <w:t xml:space="preserve">Thus it was with Abraham and Lot, they were eminent in their actings together, for the glory </w:t>
      </w:r>
      <w:r w:rsidRPr="00687107">
        <w:rPr>
          <w:rFonts w:ascii="Times New Roman" w:eastAsia="Times New Roman" w:hAnsi="Times New Roman" w:cs="Times New Roman"/>
        </w:rPr>
        <w:tab/>
        <w:t xml:space="preserve">Of God: they believed, trusted in God, and were holy in life and conversation, yet they </w:t>
      </w:r>
      <w:r w:rsidRPr="00687107">
        <w:rPr>
          <w:rFonts w:ascii="Times New Roman" w:eastAsia="Times New Roman" w:hAnsi="Times New Roman" w:cs="Times New Roman"/>
        </w:rPr>
        <w:tab/>
        <w:t>separated heere: God had severall imployement for them, to glorifie his name.</w:t>
      </w:r>
    </w:p>
    <w:p w:rsidR="005E74D1" w:rsidRPr="009004F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 xml:space="preserve"> </w:t>
      </w:r>
    </w:p>
    <w:p w:rsidR="00420612" w:rsidRPr="009004F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 xml:space="preserve">The analogy seems to operate on two levels. Cromwell has been </w:t>
      </w:r>
      <w:r w:rsidR="00067571">
        <w:rPr>
          <w:rFonts w:ascii="Times New Roman" w:eastAsia="Times New Roman" w:hAnsi="Times New Roman" w:cs="Times New Roman"/>
          <w:sz w:val="24"/>
          <w:szCs w:val="24"/>
        </w:rPr>
        <w:t xml:space="preserve">physically </w:t>
      </w:r>
      <w:r w:rsidRPr="009004F1">
        <w:rPr>
          <w:rFonts w:ascii="Times New Roman" w:eastAsia="Times New Roman" w:hAnsi="Times New Roman" w:cs="Times New Roman"/>
          <w:sz w:val="24"/>
          <w:szCs w:val="24"/>
        </w:rPr>
        <w:t>separated from Fairfax, a</w:t>
      </w:r>
      <w:r w:rsidR="00067571">
        <w:rPr>
          <w:rFonts w:ascii="Times New Roman" w:eastAsia="Times New Roman" w:hAnsi="Times New Roman" w:cs="Times New Roman"/>
          <w:sz w:val="24"/>
          <w:szCs w:val="24"/>
        </w:rPr>
        <w:t xml:space="preserve">s by </w:t>
      </w:r>
      <w:r w:rsidRPr="009004F1">
        <w:rPr>
          <w:rFonts w:ascii="Times New Roman" w:eastAsia="Times New Roman" w:hAnsi="Times New Roman" w:cs="Times New Roman"/>
          <w:sz w:val="24"/>
          <w:szCs w:val="24"/>
        </w:rPr>
        <w:t xml:space="preserve">association </w:t>
      </w:r>
      <w:r w:rsidR="00067571">
        <w:rPr>
          <w:rFonts w:ascii="Times New Roman" w:eastAsia="Times New Roman" w:hAnsi="Times New Roman" w:cs="Times New Roman"/>
          <w:sz w:val="24"/>
          <w:szCs w:val="24"/>
        </w:rPr>
        <w:t xml:space="preserve">has </w:t>
      </w:r>
      <w:r w:rsidRPr="009004F1">
        <w:rPr>
          <w:rFonts w:ascii="Times New Roman" w:eastAsia="Times New Roman" w:hAnsi="Times New Roman" w:cs="Times New Roman"/>
          <w:sz w:val="24"/>
          <w:szCs w:val="24"/>
        </w:rPr>
        <w:t>the army</w:t>
      </w:r>
      <w:r w:rsidR="00067571">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 xml:space="preserve">but neither party need </w:t>
      </w:r>
      <w:r w:rsidR="00067571">
        <w:rPr>
          <w:rFonts w:ascii="Times New Roman" w:eastAsia="Times New Roman" w:hAnsi="Times New Roman" w:cs="Times New Roman"/>
          <w:sz w:val="24"/>
          <w:szCs w:val="24"/>
        </w:rPr>
        <w:t>be disquieted</w:t>
      </w:r>
      <w:r w:rsidRPr="009004F1">
        <w:rPr>
          <w:rFonts w:ascii="Times New Roman" w:eastAsia="Times New Roman" w:hAnsi="Times New Roman" w:cs="Times New Roman"/>
          <w:sz w:val="24"/>
          <w:szCs w:val="24"/>
        </w:rPr>
        <w:t xml:space="preserve">, </w:t>
      </w:r>
      <w:r w:rsidR="00067571">
        <w:rPr>
          <w:rFonts w:ascii="Times New Roman" w:eastAsia="Times New Roman" w:hAnsi="Times New Roman" w:cs="Times New Roman"/>
          <w:sz w:val="24"/>
          <w:szCs w:val="24"/>
        </w:rPr>
        <w:t xml:space="preserve">for </w:t>
      </w:r>
      <w:r w:rsidRPr="009004F1">
        <w:rPr>
          <w:rFonts w:ascii="Times New Roman" w:eastAsia="Times New Roman" w:hAnsi="Times New Roman" w:cs="Times New Roman"/>
          <w:sz w:val="24"/>
          <w:szCs w:val="24"/>
        </w:rPr>
        <w:t xml:space="preserve">there is </w:t>
      </w:r>
      <w:r w:rsidR="00067571">
        <w:rPr>
          <w:rFonts w:ascii="Times New Roman" w:eastAsia="Times New Roman" w:hAnsi="Times New Roman" w:cs="Times New Roman"/>
          <w:sz w:val="24"/>
          <w:szCs w:val="24"/>
        </w:rPr>
        <w:t xml:space="preserve">to this estrangement </w:t>
      </w:r>
      <w:r w:rsidRPr="009004F1">
        <w:rPr>
          <w:rFonts w:ascii="Times New Roman" w:eastAsia="Times New Roman" w:hAnsi="Times New Roman" w:cs="Times New Roman"/>
          <w:sz w:val="24"/>
          <w:szCs w:val="24"/>
        </w:rPr>
        <w:t xml:space="preserve">a divine purpose. </w:t>
      </w:r>
      <w:r w:rsidR="00EF624D">
        <w:rPr>
          <w:rFonts w:ascii="Times New Roman" w:eastAsia="Times New Roman" w:hAnsi="Times New Roman" w:cs="Times New Roman"/>
          <w:sz w:val="24"/>
          <w:szCs w:val="24"/>
        </w:rPr>
        <w:t xml:space="preserve">Superficially </w:t>
      </w:r>
      <w:r w:rsidR="00067571">
        <w:rPr>
          <w:rFonts w:ascii="Times New Roman" w:eastAsia="Times New Roman" w:hAnsi="Times New Roman" w:cs="Times New Roman"/>
          <w:sz w:val="24"/>
          <w:szCs w:val="24"/>
        </w:rPr>
        <w:t>this is a</w:t>
      </w:r>
      <w:r w:rsidR="00671D74">
        <w:rPr>
          <w:rFonts w:ascii="Times New Roman" w:eastAsia="Times New Roman" w:hAnsi="Times New Roman" w:cs="Times New Roman"/>
          <w:sz w:val="24"/>
          <w:szCs w:val="24"/>
        </w:rPr>
        <w:t xml:space="preserve">n equitable </w:t>
      </w:r>
      <w:r w:rsidRPr="009004F1">
        <w:rPr>
          <w:rFonts w:ascii="Times New Roman" w:eastAsia="Times New Roman" w:hAnsi="Times New Roman" w:cs="Times New Roman"/>
          <w:sz w:val="24"/>
          <w:szCs w:val="24"/>
        </w:rPr>
        <w:t xml:space="preserve">stance towards </w:t>
      </w:r>
      <w:r w:rsidR="00811CCF">
        <w:rPr>
          <w:rFonts w:ascii="Times New Roman" w:eastAsia="Times New Roman" w:hAnsi="Times New Roman" w:cs="Times New Roman"/>
          <w:sz w:val="24"/>
          <w:szCs w:val="24"/>
        </w:rPr>
        <w:t>the two men</w:t>
      </w:r>
      <w:r w:rsidR="00067571">
        <w:rPr>
          <w:rFonts w:ascii="Times New Roman" w:eastAsia="Times New Roman" w:hAnsi="Times New Roman" w:cs="Times New Roman"/>
          <w:sz w:val="24"/>
          <w:szCs w:val="24"/>
        </w:rPr>
        <w:t xml:space="preserve"> – </w:t>
      </w:r>
      <w:r w:rsidRPr="009004F1">
        <w:rPr>
          <w:rFonts w:ascii="Times New Roman" w:eastAsia="Times New Roman" w:hAnsi="Times New Roman" w:cs="Times New Roman"/>
          <w:sz w:val="24"/>
          <w:szCs w:val="24"/>
        </w:rPr>
        <w:t xml:space="preserve">God has as clear a plan for </w:t>
      </w:r>
      <w:r w:rsidR="00671D74">
        <w:rPr>
          <w:rFonts w:ascii="Times New Roman" w:eastAsia="Times New Roman" w:hAnsi="Times New Roman" w:cs="Times New Roman"/>
          <w:sz w:val="24"/>
          <w:szCs w:val="24"/>
        </w:rPr>
        <w:t>Fairfax in</w:t>
      </w:r>
      <w:r w:rsidRPr="009004F1">
        <w:rPr>
          <w:rFonts w:ascii="Times New Roman" w:eastAsia="Times New Roman" w:hAnsi="Times New Roman" w:cs="Times New Roman"/>
          <w:sz w:val="24"/>
          <w:szCs w:val="24"/>
        </w:rPr>
        <w:t xml:space="preserve"> his retirement as he does for </w:t>
      </w:r>
      <w:r w:rsidR="00067571">
        <w:rPr>
          <w:rFonts w:ascii="Times New Roman" w:eastAsia="Times New Roman" w:hAnsi="Times New Roman" w:cs="Times New Roman"/>
          <w:sz w:val="24"/>
          <w:szCs w:val="24"/>
        </w:rPr>
        <w:t>his successor</w:t>
      </w:r>
      <w:r w:rsidR="00640B97">
        <w:rPr>
          <w:rFonts w:ascii="Times New Roman" w:eastAsia="Times New Roman" w:hAnsi="Times New Roman" w:cs="Times New Roman"/>
          <w:sz w:val="24"/>
          <w:szCs w:val="24"/>
        </w:rPr>
        <w:t>,</w:t>
      </w:r>
      <w:r w:rsidR="00067571">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Cromwell</w:t>
      </w:r>
      <w:r w:rsidR="00640B97">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 xml:space="preserve"> in his new role. Yet even here the </w:t>
      </w:r>
      <w:r w:rsidR="00067571">
        <w:rPr>
          <w:rFonts w:ascii="Times New Roman" w:eastAsia="Times New Roman" w:hAnsi="Times New Roman" w:cs="Times New Roman"/>
          <w:sz w:val="24"/>
          <w:szCs w:val="24"/>
        </w:rPr>
        <w:t>conceit o</w:t>
      </w:r>
      <w:r w:rsidRPr="009004F1">
        <w:rPr>
          <w:rFonts w:ascii="Times New Roman" w:eastAsia="Times New Roman" w:hAnsi="Times New Roman" w:cs="Times New Roman"/>
          <w:sz w:val="24"/>
          <w:szCs w:val="24"/>
        </w:rPr>
        <w:t xml:space="preserve">f privileging the new man over the old </w:t>
      </w:r>
      <w:r w:rsidR="00067571">
        <w:rPr>
          <w:rFonts w:ascii="Times New Roman" w:eastAsia="Times New Roman" w:hAnsi="Times New Roman" w:cs="Times New Roman"/>
          <w:sz w:val="24"/>
          <w:szCs w:val="24"/>
        </w:rPr>
        <w:lastRenderedPageBreak/>
        <w:t xml:space="preserve">is </w:t>
      </w:r>
      <w:r w:rsidR="006A1CDB">
        <w:rPr>
          <w:rFonts w:ascii="Times New Roman" w:eastAsia="Times New Roman" w:hAnsi="Times New Roman" w:cs="Times New Roman"/>
          <w:sz w:val="24"/>
          <w:szCs w:val="24"/>
        </w:rPr>
        <w:t>preserved</w:t>
      </w:r>
      <w:r w:rsidRPr="009004F1">
        <w:rPr>
          <w:rFonts w:ascii="Times New Roman" w:eastAsia="Times New Roman" w:hAnsi="Times New Roman" w:cs="Times New Roman"/>
          <w:sz w:val="24"/>
          <w:szCs w:val="24"/>
        </w:rPr>
        <w:t xml:space="preserve">: the sermon makes it clear that Cromwell is portrayed in the senior role of Abraham, the Hebrew patriarch, </w:t>
      </w:r>
      <w:r w:rsidR="006A1CDB">
        <w:rPr>
          <w:rFonts w:ascii="Times New Roman" w:eastAsia="Times New Roman" w:hAnsi="Times New Roman" w:cs="Times New Roman"/>
          <w:sz w:val="24"/>
          <w:szCs w:val="24"/>
        </w:rPr>
        <w:t>w</w:t>
      </w:r>
      <w:r w:rsidR="00215A30">
        <w:rPr>
          <w:rFonts w:ascii="Times New Roman" w:eastAsia="Times New Roman" w:hAnsi="Times New Roman" w:cs="Times New Roman"/>
          <w:sz w:val="24"/>
          <w:szCs w:val="24"/>
        </w:rPr>
        <w:t xml:space="preserve">ith </w:t>
      </w:r>
      <w:r w:rsidRPr="009004F1">
        <w:rPr>
          <w:rFonts w:ascii="Times New Roman" w:eastAsia="Times New Roman" w:hAnsi="Times New Roman" w:cs="Times New Roman"/>
          <w:sz w:val="24"/>
          <w:szCs w:val="24"/>
        </w:rPr>
        <w:t xml:space="preserve">Fairfax </w:t>
      </w:r>
      <w:r w:rsidR="005D0638">
        <w:rPr>
          <w:rFonts w:ascii="Times New Roman" w:eastAsia="Times New Roman" w:hAnsi="Times New Roman" w:cs="Times New Roman"/>
          <w:sz w:val="24"/>
          <w:szCs w:val="24"/>
        </w:rPr>
        <w:t xml:space="preserve">figured in </w:t>
      </w:r>
      <w:r w:rsidR="00A35B47">
        <w:rPr>
          <w:rFonts w:ascii="Times New Roman" w:eastAsia="Times New Roman" w:hAnsi="Times New Roman" w:cs="Times New Roman"/>
          <w:sz w:val="24"/>
          <w:szCs w:val="24"/>
        </w:rPr>
        <w:t>t</w:t>
      </w:r>
      <w:r w:rsidRPr="009004F1">
        <w:rPr>
          <w:rFonts w:ascii="Times New Roman" w:eastAsia="Times New Roman" w:hAnsi="Times New Roman" w:cs="Times New Roman"/>
          <w:sz w:val="24"/>
          <w:szCs w:val="24"/>
        </w:rPr>
        <w:t xml:space="preserve">he more minor role of his nephew Lot. </w:t>
      </w:r>
      <w:r w:rsidR="006E361A">
        <w:rPr>
          <w:rFonts w:ascii="Times New Roman" w:eastAsia="Times New Roman" w:hAnsi="Times New Roman" w:cs="Times New Roman"/>
          <w:sz w:val="24"/>
          <w:szCs w:val="24"/>
        </w:rPr>
        <w:t>I</w:t>
      </w:r>
      <w:r w:rsidRPr="009004F1">
        <w:rPr>
          <w:rFonts w:ascii="Times New Roman" w:eastAsia="Times New Roman" w:hAnsi="Times New Roman" w:cs="Times New Roman"/>
          <w:sz w:val="24"/>
          <w:szCs w:val="24"/>
        </w:rPr>
        <w:t xml:space="preserve">t is not merely a matter of semantics to suggest that, while Walker for the most part recounts that Abraham and Lot suffered a parity of dislocation, separated </w:t>
      </w:r>
      <w:r w:rsidRPr="009004F1">
        <w:rPr>
          <w:rFonts w:ascii="Times New Roman" w:eastAsia="Times New Roman" w:hAnsi="Times New Roman" w:cs="Times New Roman"/>
          <w:i/>
          <w:sz w:val="24"/>
          <w:szCs w:val="24"/>
        </w:rPr>
        <w:t>from each other</w:t>
      </w:r>
      <w:r w:rsidRPr="009004F1">
        <w:rPr>
          <w:rFonts w:ascii="Times New Roman" w:eastAsia="Times New Roman" w:hAnsi="Times New Roman" w:cs="Times New Roman"/>
          <w:sz w:val="24"/>
          <w:szCs w:val="24"/>
        </w:rPr>
        <w:t xml:space="preserve">, he nevertheless </w:t>
      </w:r>
      <w:r w:rsidR="00C60D32">
        <w:rPr>
          <w:rFonts w:ascii="Times New Roman" w:eastAsia="Times New Roman" w:hAnsi="Times New Roman" w:cs="Times New Roman"/>
          <w:sz w:val="24"/>
          <w:szCs w:val="24"/>
        </w:rPr>
        <w:t xml:space="preserve">provides </w:t>
      </w:r>
      <w:r w:rsidRPr="009004F1">
        <w:rPr>
          <w:rFonts w:ascii="Times New Roman" w:eastAsia="Times New Roman" w:hAnsi="Times New Roman" w:cs="Times New Roman"/>
          <w:sz w:val="24"/>
          <w:szCs w:val="24"/>
        </w:rPr>
        <w:t xml:space="preserve">a potentially significant </w:t>
      </w:r>
      <w:r w:rsidR="00C60D32">
        <w:rPr>
          <w:rFonts w:ascii="Times New Roman" w:eastAsia="Times New Roman" w:hAnsi="Times New Roman" w:cs="Times New Roman"/>
          <w:sz w:val="24"/>
          <w:szCs w:val="24"/>
        </w:rPr>
        <w:t xml:space="preserve">twist </w:t>
      </w:r>
      <w:r w:rsidRPr="009004F1">
        <w:rPr>
          <w:rFonts w:ascii="Times New Roman" w:eastAsia="Times New Roman" w:hAnsi="Times New Roman" w:cs="Times New Roman"/>
          <w:sz w:val="24"/>
          <w:szCs w:val="24"/>
        </w:rPr>
        <w:t>when a</w:t>
      </w:r>
      <w:r w:rsidR="00C60D32">
        <w:rPr>
          <w:rFonts w:ascii="Times New Roman" w:eastAsia="Times New Roman" w:hAnsi="Times New Roman" w:cs="Times New Roman"/>
          <w:sz w:val="24"/>
          <w:szCs w:val="24"/>
        </w:rPr>
        <w:t xml:space="preserve">dding </w:t>
      </w:r>
      <w:r w:rsidRPr="009004F1">
        <w:rPr>
          <w:rFonts w:ascii="Times New Roman" w:eastAsia="Times New Roman" w:hAnsi="Times New Roman" w:cs="Times New Roman"/>
          <w:sz w:val="24"/>
          <w:szCs w:val="24"/>
        </w:rPr>
        <w:t>that ‘Lot was separated from Abraham’. The implication is that it is Lot</w:t>
      </w:r>
      <w:r w:rsidR="00C60D32">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Fairfax who</w:t>
      </w:r>
      <w:r w:rsidR="00C60D32">
        <w:rPr>
          <w:rFonts w:ascii="Times New Roman" w:eastAsia="Times New Roman" w:hAnsi="Times New Roman" w:cs="Times New Roman"/>
          <w:sz w:val="24"/>
          <w:szCs w:val="24"/>
        </w:rPr>
        <w:t xml:space="preserve"> </w:t>
      </w:r>
      <w:r w:rsidRPr="009004F1">
        <w:rPr>
          <w:rFonts w:ascii="Times New Roman" w:eastAsia="Times New Roman" w:hAnsi="Times New Roman" w:cs="Times New Roman"/>
          <w:sz w:val="24"/>
          <w:szCs w:val="24"/>
        </w:rPr>
        <w:t>has departed from the mainstream</w:t>
      </w:r>
      <w:r w:rsidR="00C60D32">
        <w:rPr>
          <w:rFonts w:ascii="Times New Roman" w:eastAsia="Times New Roman" w:hAnsi="Times New Roman" w:cs="Times New Roman"/>
          <w:sz w:val="24"/>
          <w:szCs w:val="24"/>
        </w:rPr>
        <w:t xml:space="preserve"> and </w:t>
      </w:r>
      <w:r w:rsidRPr="009004F1">
        <w:rPr>
          <w:rFonts w:ascii="Times New Roman" w:eastAsia="Times New Roman" w:hAnsi="Times New Roman" w:cs="Times New Roman"/>
          <w:sz w:val="24"/>
          <w:szCs w:val="24"/>
        </w:rPr>
        <w:t>chosen to follow his own path, not Abraham</w:t>
      </w:r>
      <w:r w:rsidR="00C60D32">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Cromwell.</w:t>
      </w:r>
      <w:r w:rsidR="00B10550">
        <w:rPr>
          <w:rFonts w:ascii="Times New Roman" w:eastAsia="Times New Roman" w:hAnsi="Times New Roman" w:cs="Times New Roman"/>
          <w:sz w:val="24"/>
          <w:szCs w:val="24"/>
        </w:rPr>
        <w:tab/>
      </w:r>
      <w:r w:rsidR="00B10550">
        <w:rPr>
          <w:rFonts w:ascii="Times New Roman" w:eastAsia="Times New Roman" w:hAnsi="Times New Roman" w:cs="Times New Roman"/>
          <w:sz w:val="24"/>
          <w:szCs w:val="24"/>
        </w:rPr>
        <w:tab/>
      </w:r>
      <w:r w:rsidR="00B10550">
        <w:rPr>
          <w:rFonts w:ascii="Times New Roman" w:eastAsia="Times New Roman" w:hAnsi="Times New Roman" w:cs="Times New Roman"/>
          <w:sz w:val="24"/>
          <w:szCs w:val="24"/>
        </w:rPr>
        <w:tab/>
      </w:r>
      <w:r w:rsidRPr="009004F1">
        <w:rPr>
          <w:rFonts w:ascii="Times New Roman" w:eastAsia="Times New Roman" w:hAnsi="Times New Roman" w:cs="Times New Roman"/>
          <w:sz w:val="24"/>
          <w:szCs w:val="24"/>
        </w:rPr>
        <w:t>Like Walker, in ‘A Second Defence’ (1654) Milton</w:t>
      </w:r>
      <w:r w:rsidR="004E2326">
        <w:rPr>
          <w:rFonts w:ascii="Times New Roman" w:eastAsia="Times New Roman" w:hAnsi="Times New Roman" w:cs="Times New Roman"/>
          <w:sz w:val="24"/>
          <w:szCs w:val="24"/>
        </w:rPr>
        <w:t xml:space="preserve"> uses his </w:t>
      </w:r>
      <w:r w:rsidRPr="009004F1">
        <w:rPr>
          <w:rFonts w:ascii="Times New Roman" w:eastAsia="Times New Roman" w:hAnsi="Times New Roman" w:cs="Times New Roman"/>
          <w:sz w:val="24"/>
          <w:szCs w:val="24"/>
        </w:rPr>
        <w:t>official role as government propagandist</w:t>
      </w:r>
      <w:r w:rsidR="004E2326">
        <w:rPr>
          <w:rFonts w:ascii="Times New Roman" w:eastAsia="Times New Roman" w:hAnsi="Times New Roman" w:cs="Times New Roman"/>
          <w:sz w:val="24"/>
          <w:szCs w:val="24"/>
        </w:rPr>
        <w:t xml:space="preserve"> to </w:t>
      </w:r>
      <w:r w:rsidRPr="009004F1">
        <w:rPr>
          <w:rFonts w:ascii="Times New Roman" w:eastAsia="Times New Roman" w:hAnsi="Times New Roman" w:cs="Times New Roman"/>
          <w:sz w:val="24"/>
          <w:szCs w:val="24"/>
        </w:rPr>
        <w:t xml:space="preserve">make all the right </w:t>
      </w:r>
      <w:r w:rsidR="004E2326">
        <w:rPr>
          <w:rFonts w:ascii="Times New Roman" w:eastAsia="Times New Roman" w:hAnsi="Times New Roman" w:cs="Times New Roman"/>
          <w:sz w:val="24"/>
          <w:szCs w:val="24"/>
        </w:rPr>
        <w:t xml:space="preserve">diplomatic </w:t>
      </w:r>
      <w:r w:rsidRPr="009004F1">
        <w:rPr>
          <w:rFonts w:ascii="Times New Roman" w:eastAsia="Times New Roman" w:hAnsi="Times New Roman" w:cs="Times New Roman"/>
          <w:sz w:val="24"/>
          <w:szCs w:val="24"/>
        </w:rPr>
        <w:t>noises about Fairfax’s re</w:t>
      </w:r>
      <w:r w:rsidR="004E2326">
        <w:rPr>
          <w:rFonts w:ascii="Times New Roman" w:eastAsia="Times New Roman" w:hAnsi="Times New Roman" w:cs="Times New Roman"/>
          <w:sz w:val="24"/>
          <w:szCs w:val="24"/>
        </w:rPr>
        <w:t>tirement,</w:t>
      </w:r>
      <w:r w:rsidRPr="009004F1">
        <w:rPr>
          <w:rFonts w:ascii="Times New Roman" w:eastAsia="Times New Roman" w:hAnsi="Times New Roman" w:cs="Times New Roman"/>
          <w:sz w:val="24"/>
          <w:szCs w:val="24"/>
        </w:rPr>
        <w:t xml:space="preserve"> at least initially. Comparing his withdrawal with that ever</w:t>
      </w:r>
      <w:r w:rsidR="00D43CB9">
        <w:rPr>
          <w:rFonts w:ascii="Times New Roman" w:eastAsia="Times New Roman" w:hAnsi="Times New Roman" w:cs="Times New Roman"/>
          <w:sz w:val="24"/>
          <w:szCs w:val="24"/>
        </w:rPr>
        <w:t>green</w:t>
      </w:r>
      <w:r w:rsidRPr="009004F1">
        <w:rPr>
          <w:rFonts w:ascii="Times New Roman" w:eastAsia="Times New Roman" w:hAnsi="Times New Roman" w:cs="Times New Roman"/>
          <w:sz w:val="24"/>
          <w:szCs w:val="24"/>
        </w:rPr>
        <w:t xml:space="preserve"> Renaissance exemplar of disinterested stoicism, Scipio Africanus, Milton </w:t>
      </w:r>
      <w:r w:rsidR="002930E1">
        <w:rPr>
          <w:rFonts w:ascii="Times New Roman" w:eastAsia="Times New Roman" w:hAnsi="Times New Roman" w:cs="Times New Roman"/>
          <w:sz w:val="24"/>
          <w:szCs w:val="24"/>
        </w:rPr>
        <w:t xml:space="preserve">declares </w:t>
      </w:r>
      <w:r w:rsidRPr="009004F1">
        <w:rPr>
          <w:rFonts w:ascii="Times New Roman" w:eastAsia="Times New Roman" w:hAnsi="Times New Roman" w:cs="Times New Roman"/>
          <w:sz w:val="24"/>
          <w:szCs w:val="24"/>
        </w:rPr>
        <w:t xml:space="preserve">that his subject has exhibited ‘the greatest modesty, the most exemplary sanctity of life, [and] the highest courage’ to conquer not merely the enemy, but ambition and glory. </w:t>
      </w:r>
      <w:r w:rsidR="004E2326">
        <w:rPr>
          <w:rFonts w:ascii="Times New Roman" w:eastAsia="Times New Roman" w:hAnsi="Times New Roman" w:cs="Times New Roman"/>
          <w:sz w:val="24"/>
          <w:szCs w:val="24"/>
        </w:rPr>
        <w:t xml:space="preserve">The former Commander-in-Chief </w:t>
      </w:r>
      <w:r w:rsidRPr="009004F1">
        <w:rPr>
          <w:rFonts w:ascii="Times New Roman" w:eastAsia="Times New Roman" w:hAnsi="Times New Roman" w:cs="Times New Roman"/>
          <w:sz w:val="24"/>
          <w:szCs w:val="24"/>
        </w:rPr>
        <w:t>is deservedly ‘enjoying, in the most delightful and glorious of retirements, [his] virtues and illustrious deeds, which is the end of all labours’</w:t>
      </w:r>
      <w:r w:rsidRPr="009004F1">
        <w:rPr>
          <w:rFonts w:ascii="Times New Roman" w:eastAsia="Times New Roman" w:hAnsi="Times New Roman" w:cs="Times New Roman"/>
          <w:sz w:val="20"/>
          <w:szCs w:val="20"/>
          <w:vertAlign w:val="superscript"/>
        </w:rPr>
        <w:t xml:space="preserve"> </w:t>
      </w:r>
      <w:r w:rsidRPr="009004F1">
        <w:rPr>
          <w:rFonts w:ascii="Times New Roman" w:eastAsia="Times New Roman" w:hAnsi="Times New Roman" w:cs="Times New Roman"/>
          <w:sz w:val="20"/>
          <w:szCs w:val="20"/>
          <w:vertAlign w:val="superscript"/>
        </w:rPr>
        <w:footnoteReference w:id="19"/>
      </w:r>
      <w:r w:rsidRPr="009004F1">
        <w:rPr>
          <w:rFonts w:ascii="Times New Roman" w:eastAsia="Times New Roman" w:hAnsi="Times New Roman" w:cs="Times New Roman"/>
          <w:sz w:val="20"/>
          <w:szCs w:val="20"/>
        </w:rPr>
        <w:t xml:space="preserve">  </w:t>
      </w:r>
      <w:r w:rsidRPr="009004F1">
        <w:rPr>
          <w:rFonts w:ascii="Times New Roman" w:eastAsia="Times New Roman" w:hAnsi="Times New Roman" w:cs="Times New Roman"/>
          <w:sz w:val="24"/>
          <w:szCs w:val="24"/>
        </w:rPr>
        <w:t>The Lord General’s re</w:t>
      </w:r>
      <w:r w:rsidR="00D43CB9">
        <w:rPr>
          <w:rFonts w:ascii="Times New Roman" w:eastAsia="Times New Roman" w:hAnsi="Times New Roman" w:cs="Times New Roman"/>
          <w:sz w:val="24"/>
          <w:szCs w:val="24"/>
        </w:rPr>
        <w:t xml:space="preserve">treat, then, is </w:t>
      </w:r>
      <w:r w:rsidRPr="009004F1">
        <w:rPr>
          <w:rFonts w:ascii="Times New Roman" w:eastAsia="Times New Roman" w:hAnsi="Times New Roman" w:cs="Times New Roman"/>
          <w:sz w:val="24"/>
          <w:szCs w:val="24"/>
        </w:rPr>
        <w:t xml:space="preserve">a </w:t>
      </w:r>
      <w:r w:rsidR="00420612">
        <w:rPr>
          <w:rFonts w:ascii="Times New Roman" w:eastAsia="Times New Roman" w:hAnsi="Times New Roman" w:cs="Times New Roman"/>
          <w:sz w:val="24"/>
          <w:szCs w:val="24"/>
        </w:rPr>
        <w:t xml:space="preserve">noble withdrawal </w:t>
      </w:r>
      <w:r w:rsidR="00D43CB9">
        <w:rPr>
          <w:rFonts w:ascii="Times New Roman" w:eastAsia="Times New Roman" w:hAnsi="Times New Roman" w:cs="Times New Roman"/>
          <w:sz w:val="24"/>
          <w:szCs w:val="24"/>
        </w:rPr>
        <w:t>which</w:t>
      </w:r>
      <w:r w:rsidR="00B121E7">
        <w:rPr>
          <w:rFonts w:ascii="Times New Roman" w:eastAsia="Times New Roman" w:hAnsi="Times New Roman" w:cs="Times New Roman"/>
          <w:sz w:val="24"/>
          <w:szCs w:val="24"/>
        </w:rPr>
        <w:t xml:space="preserve"> – </w:t>
      </w:r>
      <w:r w:rsidRPr="009004F1">
        <w:rPr>
          <w:rFonts w:ascii="Times New Roman" w:eastAsia="Times New Roman" w:hAnsi="Times New Roman" w:cs="Times New Roman"/>
          <w:sz w:val="24"/>
          <w:szCs w:val="24"/>
        </w:rPr>
        <w:t>outwardly</w:t>
      </w:r>
      <w:r w:rsidR="00B121E7">
        <w:rPr>
          <w:rFonts w:ascii="Times New Roman" w:eastAsia="Times New Roman" w:hAnsi="Times New Roman" w:cs="Times New Roman"/>
          <w:sz w:val="24"/>
          <w:szCs w:val="24"/>
        </w:rPr>
        <w:t xml:space="preserve"> – </w:t>
      </w:r>
      <w:r w:rsidR="00D43CB9">
        <w:rPr>
          <w:rFonts w:ascii="Times New Roman" w:eastAsia="Times New Roman" w:hAnsi="Times New Roman" w:cs="Times New Roman"/>
          <w:sz w:val="24"/>
          <w:szCs w:val="24"/>
        </w:rPr>
        <w:t xml:space="preserve">has the full sanction of the government </w:t>
      </w:r>
      <w:r w:rsidRPr="009004F1">
        <w:rPr>
          <w:rFonts w:ascii="Times New Roman" w:eastAsia="Times New Roman" w:hAnsi="Times New Roman" w:cs="Times New Roman"/>
          <w:sz w:val="24"/>
          <w:szCs w:val="24"/>
        </w:rPr>
        <w:t xml:space="preserve">he steadfastly served. </w:t>
      </w:r>
      <w:r w:rsidR="00420612" w:rsidRPr="009004F1">
        <w:rPr>
          <w:rFonts w:ascii="Times New Roman" w:eastAsia="Times New Roman" w:hAnsi="Times New Roman" w:cs="Times New Roman"/>
          <w:sz w:val="24"/>
          <w:szCs w:val="24"/>
        </w:rPr>
        <w:t>Yet</w:t>
      </w:r>
      <w:r w:rsidR="00420612">
        <w:rPr>
          <w:rFonts w:ascii="Times New Roman" w:eastAsia="Times New Roman" w:hAnsi="Times New Roman" w:cs="Times New Roman"/>
          <w:sz w:val="24"/>
          <w:szCs w:val="24"/>
        </w:rPr>
        <w:t>,</w:t>
      </w:r>
      <w:r w:rsidR="00420612" w:rsidRPr="009004F1">
        <w:rPr>
          <w:rFonts w:ascii="Times New Roman" w:eastAsia="Times New Roman" w:hAnsi="Times New Roman" w:cs="Times New Roman"/>
          <w:sz w:val="24"/>
          <w:szCs w:val="24"/>
        </w:rPr>
        <w:t xml:space="preserve"> despite th</w:t>
      </w:r>
      <w:r w:rsidR="00420612">
        <w:rPr>
          <w:rFonts w:ascii="Times New Roman" w:eastAsia="Times New Roman" w:hAnsi="Times New Roman" w:cs="Times New Roman"/>
          <w:sz w:val="24"/>
          <w:szCs w:val="24"/>
        </w:rPr>
        <w:t xml:space="preserve">is apparent vindication </w:t>
      </w:r>
      <w:r w:rsidR="00420612" w:rsidRPr="009004F1">
        <w:rPr>
          <w:rFonts w:ascii="Times New Roman" w:eastAsia="Times New Roman" w:hAnsi="Times New Roman" w:cs="Times New Roman"/>
          <w:sz w:val="24"/>
          <w:szCs w:val="24"/>
        </w:rPr>
        <w:t xml:space="preserve">of Fairfax’s </w:t>
      </w:r>
      <w:r w:rsidR="00420612">
        <w:rPr>
          <w:rFonts w:ascii="Times New Roman" w:eastAsia="Times New Roman" w:hAnsi="Times New Roman" w:cs="Times New Roman"/>
          <w:sz w:val="24"/>
          <w:szCs w:val="24"/>
        </w:rPr>
        <w:t>position</w:t>
      </w:r>
      <w:r w:rsidR="00420612" w:rsidRPr="009004F1">
        <w:rPr>
          <w:rFonts w:ascii="Times New Roman" w:eastAsia="Times New Roman" w:hAnsi="Times New Roman" w:cs="Times New Roman"/>
          <w:sz w:val="24"/>
          <w:szCs w:val="24"/>
        </w:rPr>
        <w:t xml:space="preserve">, the next passage appears to betray Milton’s struggle to come to terms with what has happened. In now transforming </w:t>
      </w:r>
      <w:r w:rsidR="005C0DA1">
        <w:rPr>
          <w:rFonts w:ascii="Times New Roman" w:eastAsia="Times New Roman" w:hAnsi="Times New Roman" w:cs="Times New Roman"/>
          <w:sz w:val="24"/>
          <w:szCs w:val="24"/>
        </w:rPr>
        <w:t xml:space="preserve">his narrative </w:t>
      </w:r>
      <w:r w:rsidR="00420612" w:rsidRPr="009004F1">
        <w:rPr>
          <w:rFonts w:ascii="Times New Roman" w:eastAsia="Times New Roman" w:hAnsi="Times New Roman" w:cs="Times New Roman"/>
          <w:sz w:val="24"/>
          <w:szCs w:val="24"/>
        </w:rPr>
        <w:t>into praise of Cromwell, he barely manages to toe the official party line over the reasons for the resignation, while implicitly admitting of another, more problematic explanation:</w:t>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Pr="00190773" w:rsidRDefault="005E74D1" w:rsidP="00763634">
      <w:pPr>
        <w:spacing w:after="0" w:line="480" w:lineRule="auto"/>
        <w:jc w:val="both"/>
        <w:rPr>
          <w:rFonts w:ascii="Times New Roman" w:eastAsia="Times New Roman" w:hAnsi="Times New Roman" w:cs="Times New Roman"/>
        </w:rPr>
      </w:pPr>
      <w:r w:rsidRPr="00190773">
        <w:rPr>
          <w:rFonts w:ascii="Times New Roman" w:eastAsia="Times New Roman" w:hAnsi="Times New Roman" w:cs="Times New Roman"/>
        </w:rPr>
        <w:tab/>
        <w:t xml:space="preserve">But whether you have withdrawn on account of your health, which I am most inclined to </w:t>
      </w:r>
      <w:r w:rsidRPr="00190773">
        <w:rPr>
          <w:rFonts w:ascii="Times New Roman" w:eastAsia="Times New Roman" w:hAnsi="Times New Roman" w:cs="Times New Roman"/>
        </w:rPr>
        <w:tab/>
        <w:t xml:space="preserve">think, or whether from any other motive, of this I am fully persuaded, that nothing could have </w:t>
      </w:r>
      <w:r w:rsidRPr="00190773">
        <w:rPr>
          <w:rFonts w:ascii="Times New Roman" w:eastAsia="Times New Roman" w:hAnsi="Times New Roman" w:cs="Times New Roman"/>
        </w:rPr>
        <w:lastRenderedPageBreak/>
        <w:tab/>
        <w:t xml:space="preserve">torn you from the service of the commonwealth, if you had not seen what a protector of </w:t>
      </w:r>
      <w:r w:rsidRPr="00190773">
        <w:rPr>
          <w:rFonts w:ascii="Times New Roman" w:eastAsia="Times New Roman" w:hAnsi="Times New Roman" w:cs="Times New Roman"/>
        </w:rPr>
        <w:tab/>
        <w:t xml:space="preserve">liberty, what a firm and faithful pillar, what a rampart of England’s prosperity you have left to </w:t>
      </w:r>
      <w:r w:rsidRPr="00190773">
        <w:rPr>
          <w:rFonts w:ascii="Times New Roman" w:eastAsia="Times New Roman" w:hAnsi="Times New Roman" w:cs="Times New Roman"/>
        </w:rPr>
        <w:tab/>
        <w:t xml:space="preserve">your successor. </w:t>
      </w:r>
    </w:p>
    <w:p w:rsidR="005E74D1" w:rsidRPr="009004F1" w:rsidRDefault="005E74D1" w:rsidP="00763634">
      <w:pPr>
        <w:spacing w:after="0" w:line="480" w:lineRule="auto"/>
        <w:jc w:val="both"/>
        <w:rPr>
          <w:rFonts w:ascii="Times New Roman" w:eastAsia="Times New Roman" w:hAnsi="Times New Roman" w:cs="Times New Roman"/>
          <w:sz w:val="20"/>
          <w:szCs w:val="20"/>
        </w:rPr>
      </w:pPr>
    </w:p>
    <w:p w:rsidR="00D30C34" w:rsidRDefault="00EB0902"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w:t>
      </w:r>
      <w:r w:rsidRPr="00EB0902">
        <w:rPr>
          <w:rFonts w:ascii="Times New Roman" w:eastAsia="Times New Roman" w:hAnsi="Times New Roman" w:cs="Times New Roman"/>
          <w:sz w:val="24"/>
          <w:szCs w:val="24"/>
        </w:rPr>
        <w:t xml:space="preserve">openly </w:t>
      </w:r>
      <w:r w:rsidR="005E74D1" w:rsidRPr="009004F1">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ing</w:t>
      </w:r>
      <w:r w:rsidR="005E74D1" w:rsidRPr="009004F1">
        <w:rPr>
          <w:rFonts w:ascii="Times New Roman" w:eastAsia="Times New Roman" w:hAnsi="Times New Roman" w:cs="Times New Roman"/>
          <w:sz w:val="24"/>
          <w:szCs w:val="24"/>
        </w:rPr>
        <w:t xml:space="preserve"> the integrity of </w:t>
      </w:r>
      <w:r w:rsidR="00E40735">
        <w:rPr>
          <w:rFonts w:ascii="Times New Roman" w:eastAsia="Times New Roman" w:hAnsi="Times New Roman" w:cs="Times New Roman"/>
          <w:sz w:val="24"/>
          <w:szCs w:val="24"/>
        </w:rPr>
        <w:t xml:space="preserve">a much-vaunted </w:t>
      </w:r>
      <w:r w:rsidR="005E74D1" w:rsidRPr="009004F1">
        <w:rPr>
          <w:rFonts w:ascii="Times New Roman" w:eastAsia="Times New Roman" w:hAnsi="Times New Roman" w:cs="Times New Roman"/>
          <w:sz w:val="24"/>
          <w:szCs w:val="24"/>
        </w:rPr>
        <w:t xml:space="preserve">public figure, </w:t>
      </w:r>
      <w:r>
        <w:rPr>
          <w:rFonts w:ascii="Times New Roman" w:eastAsia="Times New Roman" w:hAnsi="Times New Roman" w:cs="Times New Roman"/>
          <w:sz w:val="24"/>
          <w:szCs w:val="24"/>
        </w:rPr>
        <w:t>the author in</w:t>
      </w:r>
      <w:r w:rsidR="001071D1">
        <w:rPr>
          <w:rFonts w:ascii="Times New Roman" w:eastAsia="Times New Roman" w:hAnsi="Times New Roman" w:cs="Times New Roman"/>
          <w:sz w:val="24"/>
          <w:szCs w:val="24"/>
        </w:rPr>
        <w:t xml:space="preserve">timates </w:t>
      </w:r>
      <w:r w:rsidR="00925581">
        <w:rPr>
          <w:rFonts w:ascii="Times New Roman" w:eastAsia="Times New Roman" w:hAnsi="Times New Roman" w:cs="Times New Roman"/>
          <w:sz w:val="24"/>
          <w:szCs w:val="24"/>
        </w:rPr>
        <w:t xml:space="preserve">that </w:t>
      </w:r>
      <w:r w:rsidR="005E74D1" w:rsidRPr="009004F1">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may </w:t>
      </w:r>
      <w:r w:rsidR="005E74D1" w:rsidRPr="009004F1">
        <w:rPr>
          <w:rFonts w:ascii="Times New Roman" w:eastAsia="Times New Roman" w:hAnsi="Times New Roman" w:cs="Times New Roman"/>
          <w:sz w:val="24"/>
          <w:szCs w:val="24"/>
        </w:rPr>
        <w:t>be less palatable motive</w:t>
      </w:r>
      <w:r>
        <w:rPr>
          <w:rFonts w:ascii="Times New Roman" w:eastAsia="Times New Roman" w:hAnsi="Times New Roman" w:cs="Times New Roman"/>
          <w:sz w:val="24"/>
          <w:szCs w:val="24"/>
        </w:rPr>
        <w:t>s</w:t>
      </w:r>
      <w:r w:rsidR="005E74D1" w:rsidRPr="009004F1">
        <w:rPr>
          <w:rFonts w:ascii="Times New Roman" w:eastAsia="Times New Roman" w:hAnsi="Times New Roman" w:cs="Times New Roman"/>
          <w:sz w:val="24"/>
          <w:szCs w:val="24"/>
        </w:rPr>
        <w:t xml:space="preserve"> behind his withdrawal</w:t>
      </w:r>
      <w:r>
        <w:rPr>
          <w:rFonts w:ascii="Times New Roman" w:eastAsia="Times New Roman" w:hAnsi="Times New Roman" w:cs="Times New Roman"/>
          <w:sz w:val="24"/>
          <w:szCs w:val="24"/>
        </w:rPr>
        <w:t xml:space="preserve"> than poor health</w:t>
      </w:r>
      <w:r w:rsidR="005E74D1" w:rsidRPr="009004F1">
        <w:rPr>
          <w:rFonts w:ascii="Times New Roman" w:eastAsia="Times New Roman" w:hAnsi="Times New Roman" w:cs="Times New Roman"/>
          <w:sz w:val="24"/>
          <w:szCs w:val="24"/>
        </w:rPr>
        <w:t xml:space="preserve">. </w:t>
      </w:r>
      <w:r w:rsidR="0047026B">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uxtaposing this with an </w:t>
      </w:r>
      <w:r w:rsidR="005E74D1" w:rsidRPr="009004F1">
        <w:rPr>
          <w:rFonts w:ascii="Times New Roman" w:eastAsia="Times New Roman" w:hAnsi="Times New Roman" w:cs="Times New Roman"/>
          <w:sz w:val="24"/>
          <w:szCs w:val="24"/>
        </w:rPr>
        <w:t xml:space="preserve">extensive </w:t>
      </w:r>
      <w:r>
        <w:rPr>
          <w:rFonts w:ascii="Times New Roman" w:eastAsia="Times New Roman" w:hAnsi="Times New Roman" w:cs="Times New Roman"/>
          <w:sz w:val="24"/>
          <w:szCs w:val="24"/>
        </w:rPr>
        <w:t xml:space="preserve">application of martial epithets to </w:t>
      </w:r>
      <w:r w:rsidR="005E74D1" w:rsidRPr="009004F1">
        <w:rPr>
          <w:rFonts w:ascii="Times New Roman" w:eastAsia="Times New Roman" w:hAnsi="Times New Roman" w:cs="Times New Roman"/>
          <w:sz w:val="24"/>
          <w:szCs w:val="24"/>
        </w:rPr>
        <w:t xml:space="preserve">Cromwell </w:t>
      </w:r>
      <w:r w:rsidR="00B017D9">
        <w:rPr>
          <w:rFonts w:ascii="Times New Roman" w:eastAsia="Times New Roman" w:hAnsi="Times New Roman" w:cs="Times New Roman"/>
          <w:sz w:val="24"/>
          <w:szCs w:val="24"/>
        </w:rPr>
        <w:t xml:space="preserve">finesses </w:t>
      </w:r>
      <w:r w:rsidR="00F65D87">
        <w:rPr>
          <w:rFonts w:ascii="Times New Roman" w:eastAsia="Times New Roman" w:hAnsi="Times New Roman" w:cs="Times New Roman"/>
          <w:sz w:val="24"/>
          <w:szCs w:val="24"/>
        </w:rPr>
        <w:t xml:space="preserve">an </w:t>
      </w:r>
      <w:r w:rsidR="005E74D1" w:rsidRPr="009004F1">
        <w:rPr>
          <w:rFonts w:ascii="Times New Roman" w:eastAsia="Times New Roman" w:hAnsi="Times New Roman" w:cs="Times New Roman"/>
          <w:sz w:val="24"/>
          <w:szCs w:val="24"/>
        </w:rPr>
        <w:t>otium/negotium dichotomy between the two men</w:t>
      </w:r>
      <w:r w:rsidR="00D30C34">
        <w:rPr>
          <w:rFonts w:ascii="Times New Roman" w:eastAsia="Times New Roman" w:hAnsi="Times New Roman" w:cs="Times New Roman"/>
          <w:sz w:val="24"/>
          <w:szCs w:val="24"/>
        </w:rPr>
        <w:t xml:space="preserve"> which</w:t>
      </w:r>
      <w:r w:rsidR="0016164A">
        <w:rPr>
          <w:rFonts w:ascii="Times New Roman" w:eastAsia="Times New Roman" w:hAnsi="Times New Roman" w:cs="Times New Roman"/>
          <w:sz w:val="24"/>
          <w:szCs w:val="24"/>
        </w:rPr>
        <w:t xml:space="preserve"> – again – hardly </w:t>
      </w:r>
      <w:r w:rsidR="000263D1">
        <w:rPr>
          <w:rFonts w:ascii="Times New Roman" w:eastAsia="Times New Roman" w:hAnsi="Times New Roman" w:cs="Times New Roman"/>
          <w:sz w:val="24"/>
          <w:szCs w:val="24"/>
        </w:rPr>
        <w:t>s</w:t>
      </w:r>
      <w:r w:rsidR="00D30C34">
        <w:rPr>
          <w:rFonts w:ascii="Times New Roman" w:eastAsia="Times New Roman" w:hAnsi="Times New Roman" w:cs="Times New Roman"/>
          <w:sz w:val="24"/>
          <w:szCs w:val="24"/>
        </w:rPr>
        <w:t xml:space="preserve">eems </w:t>
      </w:r>
      <w:r>
        <w:rPr>
          <w:rFonts w:ascii="Times New Roman" w:eastAsia="Times New Roman" w:hAnsi="Times New Roman" w:cs="Times New Roman"/>
          <w:sz w:val="24"/>
          <w:szCs w:val="24"/>
        </w:rPr>
        <w:t xml:space="preserve">designed to flatter the </w:t>
      </w:r>
      <w:r w:rsidR="005E74D1" w:rsidRPr="009004F1">
        <w:rPr>
          <w:rFonts w:ascii="Times New Roman" w:eastAsia="Times New Roman" w:hAnsi="Times New Roman" w:cs="Times New Roman"/>
          <w:sz w:val="24"/>
          <w:szCs w:val="24"/>
        </w:rPr>
        <w:t xml:space="preserve">outgoing </w:t>
      </w:r>
      <w:r w:rsidR="00D30C34">
        <w:rPr>
          <w:rFonts w:ascii="Times New Roman" w:eastAsia="Times New Roman" w:hAnsi="Times New Roman" w:cs="Times New Roman"/>
          <w:sz w:val="24"/>
          <w:szCs w:val="24"/>
        </w:rPr>
        <w:t>Commander</w:t>
      </w:r>
      <w:r w:rsidR="005E74D1" w:rsidRPr="009004F1">
        <w:rPr>
          <w:rFonts w:ascii="Times New Roman" w:eastAsia="Times New Roman" w:hAnsi="Times New Roman" w:cs="Times New Roman"/>
          <w:sz w:val="24"/>
          <w:szCs w:val="24"/>
        </w:rPr>
        <w:t>.</w:t>
      </w:r>
    </w:p>
    <w:p w:rsidR="005E74D1" w:rsidRDefault="005E74D1" w:rsidP="00763634">
      <w:pPr>
        <w:spacing w:after="0" w:line="480" w:lineRule="auto"/>
        <w:jc w:val="both"/>
        <w:rPr>
          <w:rFonts w:ascii="Times New Roman" w:eastAsia="Times New Roman" w:hAnsi="Times New Roman" w:cs="Times New Roman"/>
          <w:sz w:val="24"/>
          <w:szCs w:val="24"/>
        </w:rPr>
      </w:pPr>
      <w:r w:rsidRPr="009004F1">
        <w:rPr>
          <w:rFonts w:ascii="Times New Roman" w:eastAsia="Times New Roman" w:hAnsi="Times New Roman" w:cs="Times New Roman"/>
          <w:sz w:val="24"/>
          <w:szCs w:val="24"/>
        </w:rPr>
        <w:tab/>
        <w:t xml:space="preserve">If </w:t>
      </w:r>
      <w:r w:rsidR="00BE18D1">
        <w:rPr>
          <w:rFonts w:ascii="Times New Roman" w:eastAsia="Times New Roman" w:hAnsi="Times New Roman" w:cs="Times New Roman"/>
          <w:sz w:val="24"/>
          <w:szCs w:val="24"/>
        </w:rPr>
        <w:t xml:space="preserve">he is indeed </w:t>
      </w:r>
      <w:r w:rsidRPr="009004F1">
        <w:rPr>
          <w:rFonts w:ascii="Times New Roman" w:eastAsia="Times New Roman" w:hAnsi="Times New Roman" w:cs="Times New Roman"/>
          <w:sz w:val="24"/>
          <w:szCs w:val="24"/>
        </w:rPr>
        <w:t>oblique</w:t>
      </w:r>
      <w:r w:rsidR="00AA7608">
        <w:rPr>
          <w:rFonts w:ascii="Times New Roman" w:eastAsia="Times New Roman" w:hAnsi="Times New Roman" w:cs="Times New Roman"/>
          <w:sz w:val="24"/>
          <w:szCs w:val="24"/>
        </w:rPr>
        <w:t xml:space="preserve">ly questioning </w:t>
      </w:r>
      <w:r w:rsidRPr="009004F1">
        <w:rPr>
          <w:rFonts w:ascii="Times New Roman" w:eastAsia="Times New Roman" w:hAnsi="Times New Roman" w:cs="Times New Roman"/>
          <w:sz w:val="24"/>
          <w:szCs w:val="24"/>
        </w:rPr>
        <w:t xml:space="preserve">Fairfax it is tempting to view </w:t>
      </w:r>
      <w:r w:rsidR="003C5911">
        <w:rPr>
          <w:rFonts w:ascii="Times New Roman" w:eastAsia="Times New Roman" w:hAnsi="Times New Roman" w:cs="Times New Roman"/>
          <w:sz w:val="24"/>
          <w:szCs w:val="24"/>
        </w:rPr>
        <w:t>this</w:t>
      </w:r>
      <w:r w:rsidRPr="009004F1">
        <w:rPr>
          <w:rFonts w:ascii="Times New Roman" w:eastAsia="Times New Roman" w:hAnsi="Times New Roman" w:cs="Times New Roman"/>
          <w:sz w:val="24"/>
          <w:szCs w:val="24"/>
        </w:rPr>
        <w:t xml:space="preserve"> as</w:t>
      </w:r>
      <w:r w:rsidR="00AA7608">
        <w:rPr>
          <w:rFonts w:ascii="Times New Roman" w:eastAsia="Times New Roman" w:hAnsi="Times New Roman" w:cs="Times New Roman"/>
          <w:sz w:val="24"/>
          <w:szCs w:val="24"/>
        </w:rPr>
        <w:t xml:space="preserve"> – in part – a</w:t>
      </w:r>
      <w:r w:rsidRPr="009004F1">
        <w:rPr>
          <w:rFonts w:ascii="Times New Roman" w:eastAsia="Times New Roman" w:hAnsi="Times New Roman" w:cs="Times New Roman"/>
          <w:sz w:val="24"/>
          <w:szCs w:val="24"/>
        </w:rPr>
        <w:t>n expedient attempt by Milton to bolster the still</w:t>
      </w:r>
      <w:r w:rsidR="00BE18D1">
        <w:rPr>
          <w:rFonts w:ascii="Times New Roman" w:eastAsia="Times New Roman" w:hAnsi="Times New Roman" w:cs="Times New Roman"/>
          <w:sz w:val="24"/>
          <w:szCs w:val="24"/>
        </w:rPr>
        <w:t>-</w:t>
      </w:r>
      <w:r w:rsidRPr="009004F1">
        <w:rPr>
          <w:rFonts w:ascii="Times New Roman" w:eastAsia="Times New Roman" w:hAnsi="Times New Roman" w:cs="Times New Roman"/>
          <w:sz w:val="24"/>
          <w:szCs w:val="24"/>
        </w:rPr>
        <w:t>nascent image of Cromwell</w:t>
      </w:r>
      <w:r w:rsidR="003C688C">
        <w:rPr>
          <w:rFonts w:ascii="Times New Roman" w:eastAsia="Times New Roman" w:hAnsi="Times New Roman" w:cs="Times New Roman"/>
          <w:sz w:val="24"/>
          <w:szCs w:val="24"/>
        </w:rPr>
        <w:t xml:space="preserve"> as Lord Protector, a position he had assumed in December 1653.</w:t>
      </w:r>
      <w:r w:rsidRPr="009004F1">
        <w:rPr>
          <w:rFonts w:ascii="Times New Roman" w:eastAsia="Times New Roman" w:hAnsi="Times New Roman" w:cs="Times New Roman"/>
          <w:sz w:val="24"/>
          <w:szCs w:val="24"/>
        </w:rPr>
        <w:t xml:space="preserve"> </w:t>
      </w:r>
      <w:r w:rsidR="00AA7608">
        <w:rPr>
          <w:rFonts w:ascii="Times New Roman" w:eastAsia="Times New Roman" w:hAnsi="Times New Roman" w:cs="Times New Roman"/>
          <w:sz w:val="24"/>
          <w:szCs w:val="24"/>
        </w:rPr>
        <w:t xml:space="preserve">Yet, </w:t>
      </w:r>
      <w:r w:rsidR="00C531E9">
        <w:rPr>
          <w:rFonts w:ascii="Times New Roman" w:eastAsia="Times New Roman" w:hAnsi="Times New Roman" w:cs="Times New Roman"/>
          <w:sz w:val="24"/>
          <w:szCs w:val="24"/>
        </w:rPr>
        <w:t xml:space="preserve">related </w:t>
      </w:r>
      <w:r w:rsidR="00833C89">
        <w:rPr>
          <w:rFonts w:ascii="Times New Roman" w:eastAsia="Times New Roman" w:hAnsi="Times New Roman" w:cs="Times New Roman"/>
          <w:sz w:val="24"/>
          <w:szCs w:val="24"/>
        </w:rPr>
        <w:t xml:space="preserve">tremors of </w:t>
      </w:r>
      <w:r w:rsidR="000B62D8">
        <w:rPr>
          <w:rFonts w:ascii="Times New Roman" w:eastAsia="Times New Roman" w:hAnsi="Times New Roman" w:cs="Times New Roman"/>
          <w:sz w:val="24"/>
          <w:szCs w:val="24"/>
        </w:rPr>
        <w:t xml:space="preserve">anxiety </w:t>
      </w:r>
      <w:r w:rsidR="00875B9D">
        <w:rPr>
          <w:rFonts w:ascii="Times New Roman" w:eastAsia="Times New Roman" w:hAnsi="Times New Roman" w:cs="Times New Roman"/>
          <w:sz w:val="24"/>
          <w:szCs w:val="24"/>
        </w:rPr>
        <w:t xml:space="preserve">may be </w:t>
      </w:r>
      <w:r w:rsidR="00833C89">
        <w:rPr>
          <w:rFonts w:ascii="Times New Roman" w:eastAsia="Times New Roman" w:hAnsi="Times New Roman" w:cs="Times New Roman"/>
          <w:sz w:val="24"/>
          <w:szCs w:val="24"/>
        </w:rPr>
        <w:t xml:space="preserve">heard </w:t>
      </w:r>
      <w:r w:rsidR="00AA7608">
        <w:rPr>
          <w:rFonts w:ascii="Times New Roman" w:eastAsia="Times New Roman" w:hAnsi="Times New Roman" w:cs="Times New Roman"/>
          <w:sz w:val="24"/>
          <w:szCs w:val="24"/>
        </w:rPr>
        <w:t xml:space="preserve">even </w:t>
      </w:r>
      <w:r w:rsidR="00833C89">
        <w:rPr>
          <w:rFonts w:ascii="Times New Roman" w:eastAsia="Times New Roman" w:hAnsi="Times New Roman" w:cs="Times New Roman"/>
          <w:sz w:val="24"/>
          <w:szCs w:val="24"/>
        </w:rPr>
        <w:t xml:space="preserve">in </w:t>
      </w:r>
      <w:r w:rsidR="00AA7608">
        <w:rPr>
          <w:rFonts w:ascii="Times New Roman" w:eastAsia="Times New Roman" w:hAnsi="Times New Roman" w:cs="Times New Roman"/>
          <w:sz w:val="24"/>
          <w:szCs w:val="24"/>
        </w:rPr>
        <w:t xml:space="preserve">his paean of praise for Fairfax </w:t>
      </w:r>
      <w:r w:rsidRPr="009004F1">
        <w:rPr>
          <w:rFonts w:ascii="Times New Roman" w:eastAsia="Times New Roman" w:hAnsi="Times New Roman" w:cs="Times New Roman"/>
          <w:sz w:val="24"/>
          <w:szCs w:val="24"/>
        </w:rPr>
        <w:t xml:space="preserve">in </w:t>
      </w:r>
      <w:r w:rsidR="00AA7608">
        <w:rPr>
          <w:rFonts w:ascii="Times New Roman" w:eastAsia="Times New Roman" w:hAnsi="Times New Roman" w:cs="Times New Roman"/>
          <w:sz w:val="24"/>
          <w:szCs w:val="24"/>
        </w:rPr>
        <w:t>1648</w:t>
      </w:r>
      <w:r w:rsidR="00833C89">
        <w:rPr>
          <w:rFonts w:ascii="Times New Roman" w:eastAsia="Times New Roman" w:hAnsi="Times New Roman" w:cs="Times New Roman"/>
          <w:sz w:val="24"/>
          <w:szCs w:val="24"/>
        </w:rPr>
        <w:t xml:space="preserve">, which is </w:t>
      </w:r>
      <w:r w:rsidRPr="009004F1">
        <w:rPr>
          <w:rFonts w:ascii="Times New Roman" w:eastAsia="Times New Roman" w:hAnsi="Times New Roman" w:cs="Times New Roman"/>
          <w:sz w:val="24"/>
          <w:szCs w:val="24"/>
        </w:rPr>
        <w:t>counter-balanced by a warning from the poet that Fairfax’s task is not yet complete:</w:t>
      </w:r>
    </w:p>
    <w:p w:rsidR="00C531E9" w:rsidRPr="009004F1" w:rsidRDefault="00C531E9" w:rsidP="00763634">
      <w:pPr>
        <w:spacing w:after="0" w:line="480" w:lineRule="auto"/>
        <w:jc w:val="both"/>
        <w:rPr>
          <w:rFonts w:ascii="Times New Roman" w:eastAsia="Times New Roman" w:hAnsi="Times New Roman" w:cs="Times New Roman"/>
          <w:sz w:val="24"/>
          <w:szCs w:val="24"/>
        </w:rPr>
      </w:pP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O yet a nobler task awaits thy hand,</w:t>
      </w: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(For what can war but endless war still breed?)</w:t>
      </w: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Till truth and right from violence freed,</w:t>
      </w: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And public faith cleared from the shameful brand</w:t>
      </w: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Of public fraud. In vain doth Valour bleed,</w:t>
      </w:r>
    </w:p>
    <w:p w:rsidR="005E74D1" w:rsidRPr="00BE18D1" w:rsidRDefault="005E74D1" w:rsidP="00763634">
      <w:pPr>
        <w:spacing w:after="0" w:line="480" w:lineRule="auto"/>
        <w:ind w:left="1440" w:firstLine="720"/>
        <w:jc w:val="both"/>
        <w:rPr>
          <w:rFonts w:ascii="Times New Roman" w:eastAsia="Times New Roman" w:hAnsi="Times New Roman" w:cs="Times New Roman"/>
        </w:rPr>
      </w:pPr>
      <w:r w:rsidRPr="00BE18D1">
        <w:rPr>
          <w:rFonts w:ascii="Times New Roman" w:eastAsia="Times New Roman" w:hAnsi="Times New Roman" w:cs="Times New Roman"/>
        </w:rPr>
        <w:t>While Avarice and Rapine share the land.</w:t>
      </w:r>
      <w:r w:rsidR="00EE677A">
        <w:rPr>
          <w:rStyle w:val="FootnoteReference"/>
          <w:rFonts w:ascii="Times New Roman" w:eastAsia="Times New Roman" w:hAnsi="Times New Roman" w:cs="Times New Roman"/>
        </w:rPr>
        <w:footnoteReference w:id="20"/>
      </w:r>
    </w:p>
    <w:p w:rsidR="005E74D1" w:rsidRPr="009004F1" w:rsidRDefault="005E74D1" w:rsidP="00763634">
      <w:pPr>
        <w:spacing w:after="0" w:line="480" w:lineRule="auto"/>
        <w:jc w:val="both"/>
        <w:rPr>
          <w:rFonts w:ascii="Times New Roman" w:eastAsia="Times New Roman" w:hAnsi="Times New Roman" w:cs="Times New Roman"/>
          <w:sz w:val="24"/>
          <w:szCs w:val="24"/>
        </w:rPr>
      </w:pPr>
    </w:p>
    <w:p w:rsidR="005E74D1" w:rsidRPr="009004F1" w:rsidRDefault="003C5911"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Fairfax may, following his successful </w:t>
      </w:r>
      <w:r w:rsidR="005E74D1" w:rsidRPr="009004F1">
        <w:rPr>
          <w:rFonts w:ascii="Times New Roman" w:eastAsia="Times New Roman" w:hAnsi="Times New Roman" w:cs="Times New Roman"/>
          <w:sz w:val="24"/>
          <w:szCs w:val="24"/>
        </w:rPr>
        <w:t xml:space="preserve">siege of Colchester, be on </w:t>
      </w:r>
      <w:r>
        <w:rPr>
          <w:rFonts w:ascii="Times New Roman" w:eastAsia="Times New Roman" w:hAnsi="Times New Roman" w:cs="Times New Roman"/>
          <w:sz w:val="24"/>
          <w:szCs w:val="24"/>
        </w:rPr>
        <w:t xml:space="preserve">course to triumph in </w:t>
      </w:r>
      <w:r w:rsidR="005E74D1" w:rsidRPr="009004F1">
        <w:rPr>
          <w:rFonts w:ascii="Times New Roman" w:eastAsia="Times New Roman" w:hAnsi="Times New Roman" w:cs="Times New Roman"/>
          <w:sz w:val="24"/>
          <w:szCs w:val="24"/>
        </w:rPr>
        <w:t xml:space="preserve">the second </w:t>
      </w:r>
      <w:r>
        <w:rPr>
          <w:rFonts w:ascii="Times New Roman" w:eastAsia="Times New Roman" w:hAnsi="Times New Roman" w:cs="Times New Roman"/>
          <w:sz w:val="24"/>
          <w:szCs w:val="24"/>
        </w:rPr>
        <w:t>c</w:t>
      </w:r>
      <w:r w:rsidR="005E74D1" w:rsidRPr="009004F1">
        <w:rPr>
          <w:rFonts w:ascii="Times New Roman" w:eastAsia="Times New Roman" w:hAnsi="Times New Roman" w:cs="Times New Roman"/>
          <w:sz w:val="24"/>
          <w:szCs w:val="24"/>
        </w:rPr>
        <w:t xml:space="preserve">ivil </w:t>
      </w:r>
      <w:r>
        <w:rPr>
          <w:rFonts w:ascii="Times New Roman" w:eastAsia="Times New Roman" w:hAnsi="Times New Roman" w:cs="Times New Roman"/>
          <w:sz w:val="24"/>
          <w:szCs w:val="24"/>
        </w:rPr>
        <w:t>w</w:t>
      </w:r>
      <w:r w:rsidR="005E74D1" w:rsidRPr="009004F1">
        <w:rPr>
          <w:rFonts w:ascii="Times New Roman" w:eastAsia="Times New Roman" w:hAnsi="Times New Roman" w:cs="Times New Roman"/>
          <w:sz w:val="24"/>
          <w:szCs w:val="24"/>
        </w:rPr>
        <w:t xml:space="preserve">ar, but ultimately, however glorious it is, victory on the battlefield will be insufficient. </w:t>
      </w:r>
      <w:r w:rsidR="00AE12BA">
        <w:rPr>
          <w:rFonts w:ascii="Times New Roman" w:eastAsia="Times New Roman" w:hAnsi="Times New Roman" w:cs="Times New Roman"/>
          <w:sz w:val="24"/>
          <w:szCs w:val="24"/>
        </w:rPr>
        <w:t>The in</w:t>
      </w:r>
      <w:r w:rsidR="00A14538">
        <w:rPr>
          <w:rFonts w:ascii="Times New Roman" w:eastAsia="Times New Roman" w:hAnsi="Times New Roman" w:cs="Times New Roman"/>
          <w:sz w:val="24"/>
          <w:szCs w:val="24"/>
        </w:rPr>
        <w:t xml:space="preserve">domitable </w:t>
      </w:r>
      <w:r w:rsidR="00AE12BA">
        <w:rPr>
          <w:rFonts w:ascii="Times New Roman" w:eastAsia="Times New Roman" w:hAnsi="Times New Roman" w:cs="Times New Roman"/>
          <w:sz w:val="24"/>
          <w:szCs w:val="24"/>
        </w:rPr>
        <w:t xml:space="preserve">commander </w:t>
      </w:r>
      <w:r w:rsidR="005E74D1" w:rsidRPr="009004F1">
        <w:rPr>
          <w:rFonts w:ascii="Times New Roman" w:eastAsia="Times New Roman" w:hAnsi="Times New Roman" w:cs="Times New Roman"/>
          <w:sz w:val="24"/>
          <w:szCs w:val="24"/>
        </w:rPr>
        <w:t xml:space="preserve">is </w:t>
      </w:r>
      <w:r w:rsidR="00AE12BA">
        <w:rPr>
          <w:rFonts w:ascii="Times New Roman" w:eastAsia="Times New Roman" w:hAnsi="Times New Roman" w:cs="Times New Roman"/>
          <w:sz w:val="24"/>
          <w:szCs w:val="24"/>
        </w:rPr>
        <w:t xml:space="preserve">here </w:t>
      </w:r>
      <w:r w:rsidR="005E74D1" w:rsidRPr="009004F1">
        <w:rPr>
          <w:rFonts w:ascii="Times New Roman" w:eastAsia="Times New Roman" w:hAnsi="Times New Roman" w:cs="Times New Roman"/>
          <w:sz w:val="24"/>
          <w:szCs w:val="24"/>
        </w:rPr>
        <w:t xml:space="preserve">charged </w:t>
      </w:r>
      <w:r w:rsidR="00AE12BA">
        <w:rPr>
          <w:rFonts w:ascii="Times New Roman" w:eastAsia="Times New Roman" w:hAnsi="Times New Roman" w:cs="Times New Roman"/>
          <w:sz w:val="24"/>
          <w:szCs w:val="24"/>
        </w:rPr>
        <w:t xml:space="preserve">by Milton </w:t>
      </w:r>
      <w:r w:rsidR="005E74D1" w:rsidRPr="009004F1">
        <w:rPr>
          <w:rFonts w:ascii="Times New Roman" w:eastAsia="Times New Roman" w:hAnsi="Times New Roman" w:cs="Times New Roman"/>
          <w:sz w:val="24"/>
          <w:szCs w:val="24"/>
        </w:rPr>
        <w:t xml:space="preserve">with the additional </w:t>
      </w:r>
      <w:r w:rsidR="005E74D1" w:rsidRPr="009004F1">
        <w:rPr>
          <w:rFonts w:ascii="Times New Roman" w:eastAsia="Times New Roman" w:hAnsi="Times New Roman" w:cs="Times New Roman"/>
          <w:sz w:val="24"/>
          <w:szCs w:val="24"/>
        </w:rPr>
        <w:lastRenderedPageBreak/>
        <w:t xml:space="preserve">responsibility of winning the peace, to bring the healing and settlement which the country desperately needs. </w:t>
      </w:r>
      <w:r w:rsidR="00AE12BA">
        <w:rPr>
          <w:rFonts w:ascii="Times New Roman" w:eastAsia="Times New Roman" w:hAnsi="Times New Roman" w:cs="Times New Roman"/>
          <w:sz w:val="24"/>
          <w:szCs w:val="24"/>
        </w:rPr>
        <w:t xml:space="preserve">Seen in this light, </w:t>
      </w:r>
      <w:r w:rsidR="005E74D1" w:rsidRPr="009004F1">
        <w:rPr>
          <w:rFonts w:ascii="Times New Roman" w:eastAsia="Times New Roman" w:hAnsi="Times New Roman" w:cs="Times New Roman"/>
          <w:sz w:val="24"/>
          <w:szCs w:val="24"/>
        </w:rPr>
        <w:t>‘A Second Defence’</w:t>
      </w:r>
      <w:r w:rsidR="00AE12BA">
        <w:rPr>
          <w:rFonts w:ascii="Times New Roman" w:eastAsia="Times New Roman" w:hAnsi="Times New Roman" w:cs="Times New Roman"/>
          <w:sz w:val="24"/>
          <w:szCs w:val="24"/>
        </w:rPr>
        <w:t xml:space="preserve"> implies that </w:t>
      </w:r>
      <w:r w:rsidR="005E74D1" w:rsidRPr="009004F1">
        <w:rPr>
          <w:rFonts w:ascii="Times New Roman" w:eastAsia="Times New Roman" w:hAnsi="Times New Roman" w:cs="Times New Roman"/>
          <w:sz w:val="24"/>
          <w:szCs w:val="24"/>
        </w:rPr>
        <w:t xml:space="preserve">Fairfax may once have had the chance to effect national recovery in this way, but </w:t>
      </w:r>
      <w:r w:rsidR="00AE12BA">
        <w:rPr>
          <w:rFonts w:ascii="Times New Roman" w:eastAsia="Times New Roman" w:hAnsi="Times New Roman" w:cs="Times New Roman"/>
          <w:sz w:val="24"/>
          <w:szCs w:val="24"/>
        </w:rPr>
        <w:t xml:space="preserve">instead </w:t>
      </w:r>
      <w:r w:rsidR="005E74D1" w:rsidRPr="009004F1">
        <w:rPr>
          <w:rFonts w:ascii="Times New Roman" w:eastAsia="Times New Roman" w:hAnsi="Times New Roman" w:cs="Times New Roman"/>
          <w:sz w:val="24"/>
          <w:szCs w:val="24"/>
        </w:rPr>
        <w:t xml:space="preserve">decided to retire; now it is a manifestly more political animal, Cromwell, who </w:t>
      </w:r>
      <w:r w:rsidR="007D2F71">
        <w:rPr>
          <w:rFonts w:ascii="Times New Roman" w:eastAsia="Times New Roman" w:hAnsi="Times New Roman" w:cs="Times New Roman"/>
          <w:sz w:val="24"/>
          <w:szCs w:val="24"/>
        </w:rPr>
        <w:t xml:space="preserve">has begun </w:t>
      </w:r>
      <w:r w:rsidR="005E74D1" w:rsidRPr="009004F1">
        <w:rPr>
          <w:rFonts w:ascii="Times New Roman" w:eastAsia="Times New Roman" w:hAnsi="Times New Roman" w:cs="Times New Roman"/>
          <w:sz w:val="24"/>
          <w:szCs w:val="24"/>
        </w:rPr>
        <w:t>completing the ‘nobler task’</w:t>
      </w:r>
      <w:r w:rsidR="007D2F71">
        <w:rPr>
          <w:rFonts w:ascii="Times New Roman" w:eastAsia="Times New Roman" w:hAnsi="Times New Roman" w:cs="Times New Roman"/>
          <w:sz w:val="24"/>
          <w:szCs w:val="24"/>
        </w:rPr>
        <w:t xml:space="preserve"> and </w:t>
      </w:r>
      <w:r w:rsidR="005E74D1" w:rsidRPr="009004F1">
        <w:rPr>
          <w:rFonts w:ascii="Times New Roman" w:eastAsia="Times New Roman" w:hAnsi="Times New Roman" w:cs="Times New Roman"/>
          <w:sz w:val="24"/>
          <w:szCs w:val="24"/>
        </w:rPr>
        <w:t>set about restoring ‘England’s prosperity’.</w:t>
      </w:r>
      <w:r w:rsidR="00EE781E">
        <w:rPr>
          <w:rStyle w:val="FootnoteReference"/>
          <w:rFonts w:ascii="Times New Roman" w:eastAsia="Times New Roman" w:hAnsi="Times New Roman" w:cs="Times New Roman"/>
          <w:sz w:val="24"/>
          <w:szCs w:val="24"/>
        </w:rPr>
        <w:footnoteReference w:id="21"/>
      </w:r>
      <w:r w:rsidR="005E74D1" w:rsidRPr="009004F1">
        <w:rPr>
          <w:rFonts w:ascii="Times New Roman" w:eastAsia="Times New Roman" w:hAnsi="Times New Roman" w:cs="Times New Roman"/>
          <w:sz w:val="24"/>
          <w:szCs w:val="24"/>
        </w:rPr>
        <w:t xml:space="preserve">  </w:t>
      </w:r>
    </w:p>
    <w:p w:rsidR="005E74D1" w:rsidRDefault="005E74D1" w:rsidP="00763634">
      <w:pPr>
        <w:spacing w:after="0" w:line="480" w:lineRule="auto"/>
        <w:jc w:val="both"/>
        <w:rPr>
          <w:rFonts w:ascii="Times New Roman" w:eastAsia="Times New Roman" w:hAnsi="Times New Roman" w:cs="Times New Roman"/>
          <w:sz w:val="24"/>
          <w:szCs w:val="24"/>
          <w:lang w:eastAsia="en-GB"/>
        </w:rPr>
      </w:pPr>
      <w:r w:rsidRPr="009B03DE">
        <w:rPr>
          <w:rFonts w:ascii="Times New Roman" w:eastAsia="Times New Roman" w:hAnsi="Times New Roman" w:cs="Times New Roman"/>
          <w:sz w:val="24"/>
          <w:szCs w:val="24"/>
          <w:lang w:eastAsia="en-GB"/>
        </w:rPr>
        <w:t xml:space="preserve">         </w:t>
      </w:r>
      <w:r w:rsidR="00FA79CA">
        <w:rPr>
          <w:rFonts w:ascii="Times New Roman" w:eastAsia="Times New Roman" w:hAnsi="Times New Roman" w:cs="Times New Roman"/>
          <w:sz w:val="24"/>
          <w:szCs w:val="24"/>
          <w:lang w:eastAsia="en-GB"/>
        </w:rPr>
        <w:t>The most celebrated</w:t>
      </w:r>
      <w:r w:rsidR="00D60518">
        <w:rPr>
          <w:rFonts w:ascii="Times New Roman" w:eastAsia="Times New Roman" w:hAnsi="Times New Roman" w:cs="Times New Roman"/>
          <w:sz w:val="24"/>
          <w:szCs w:val="24"/>
          <w:lang w:eastAsia="en-GB"/>
        </w:rPr>
        <w:t>, b</w:t>
      </w:r>
      <w:r w:rsidR="00D472E5">
        <w:rPr>
          <w:rFonts w:ascii="Times New Roman" w:eastAsia="Times New Roman" w:hAnsi="Times New Roman" w:cs="Times New Roman"/>
          <w:sz w:val="24"/>
          <w:szCs w:val="24"/>
          <w:lang w:eastAsia="en-GB"/>
        </w:rPr>
        <w:t>ecause f</w:t>
      </w:r>
      <w:r w:rsidR="00FA79CA">
        <w:rPr>
          <w:rFonts w:ascii="Times New Roman" w:eastAsia="Times New Roman" w:hAnsi="Times New Roman" w:cs="Times New Roman"/>
          <w:sz w:val="24"/>
          <w:szCs w:val="24"/>
          <w:lang w:eastAsia="en-GB"/>
        </w:rPr>
        <w:t>inely calibrated</w:t>
      </w:r>
      <w:r w:rsidR="00D60518">
        <w:rPr>
          <w:rFonts w:ascii="Times New Roman" w:eastAsia="Times New Roman" w:hAnsi="Times New Roman" w:cs="Times New Roman"/>
          <w:sz w:val="24"/>
          <w:szCs w:val="24"/>
          <w:lang w:eastAsia="en-GB"/>
        </w:rPr>
        <w:t xml:space="preserve">, </w:t>
      </w:r>
      <w:r w:rsidR="00FA79CA">
        <w:rPr>
          <w:rFonts w:ascii="Times New Roman" w:eastAsia="Times New Roman" w:hAnsi="Times New Roman" w:cs="Times New Roman"/>
          <w:sz w:val="24"/>
          <w:szCs w:val="24"/>
          <w:lang w:eastAsia="en-GB"/>
        </w:rPr>
        <w:t xml:space="preserve">articulation of the </w:t>
      </w:r>
      <w:r w:rsidR="004F1CDE">
        <w:rPr>
          <w:rFonts w:ascii="Times New Roman" w:eastAsia="Times New Roman" w:hAnsi="Times New Roman" w:cs="Times New Roman"/>
          <w:sz w:val="24"/>
          <w:szCs w:val="24"/>
          <w:lang w:eastAsia="en-GB"/>
        </w:rPr>
        <w:t xml:space="preserve">country’s </w:t>
      </w:r>
      <w:r w:rsidR="00FA79CA">
        <w:rPr>
          <w:rFonts w:ascii="Times New Roman" w:eastAsia="Times New Roman" w:hAnsi="Times New Roman" w:cs="Times New Roman"/>
          <w:sz w:val="24"/>
          <w:szCs w:val="24"/>
          <w:lang w:eastAsia="en-GB"/>
        </w:rPr>
        <w:t>ambigu</w:t>
      </w:r>
      <w:r w:rsidR="008553CA">
        <w:rPr>
          <w:rFonts w:ascii="Times New Roman" w:eastAsia="Times New Roman" w:hAnsi="Times New Roman" w:cs="Times New Roman"/>
          <w:sz w:val="24"/>
          <w:szCs w:val="24"/>
          <w:lang w:eastAsia="en-GB"/>
        </w:rPr>
        <w:t xml:space="preserve">ous response </w:t>
      </w:r>
      <w:r w:rsidR="00FA79CA">
        <w:rPr>
          <w:rFonts w:ascii="Times New Roman" w:eastAsia="Times New Roman" w:hAnsi="Times New Roman" w:cs="Times New Roman"/>
          <w:sz w:val="24"/>
          <w:szCs w:val="24"/>
          <w:lang w:eastAsia="en-GB"/>
        </w:rPr>
        <w:t>to Fairfax’</w:t>
      </w:r>
      <w:r w:rsidR="008553CA">
        <w:rPr>
          <w:rFonts w:ascii="Times New Roman" w:eastAsia="Times New Roman" w:hAnsi="Times New Roman" w:cs="Times New Roman"/>
          <w:sz w:val="24"/>
          <w:szCs w:val="24"/>
          <w:lang w:eastAsia="en-GB"/>
        </w:rPr>
        <w:t xml:space="preserve">s retirement is to be found in Andrew Marvell’s poem </w:t>
      </w:r>
      <w:r w:rsidRPr="009B03DE">
        <w:rPr>
          <w:rFonts w:ascii="Times New Roman" w:eastAsia="Times New Roman" w:hAnsi="Times New Roman" w:cs="Times New Roman"/>
          <w:sz w:val="24"/>
          <w:szCs w:val="24"/>
          <w:lang w:eastAsia="en-GB"/>
        </w:rPr>
        <w:t xml:space="preserve">‘Upon Appleton House. To my Lord Fairfax’, </w:t>
      </w:r>
      <w:r w:rsidR="009F4B28">
        <w:rPr>
          <w:rFonts w:ascii="Times New Roman" w:eastAsia="Times New Roman" w:hAnsi="Times New Roman" w:cs="Times New Roman"/>
          <w:sz w:val="24"/>
          <w:szCs w:val="24"/>
          <w:lang w:eastAsia="en-GB"/>
        </w:rPr>
        <w:t>composed</w:t>
      </w:r>
      <w:r w:rsidR="009F4B28" w:rsidRPr="009B03DE">
        <w:rPr>
          <w:rFonts w:ascii="Times New Roman" w:eastAsia="Times New Roman" w:hAnsi="Times New Roman" w:cs="Times New Roman"/>
          <w:sz w:val="24"/>
          <w:szCs w:val="24"/>
          <w:lang w:eastAsia="en-GB"/>
        </w:rPr>
        <w:t xml:space="preserve"> </w:t>
      </w:r>
      <w:r w:rsidRPr="009B03DE">
        <w:rPr>
          <w:rFonts w:ascii="Times New Roman" w:eastAsia="Times New Roman" w:hAnsi="Times New Roman" w:cs="Times New Roman"/>
          <w:sz w:val="24"/>
          <w:szCs w:val="24"/>
          <w:lang w:eastAsia="en-GB"/>
        </w:rPr>
        <w:t xml:space="preserve">probably in the summer of 1651. </w:t>
      </w:r>
      <w:r w:rsidR="00E57742">
        <w:rPr>
          <w:rFonts w:ascii="Times New Roman" w:eastAsia="Times New Roman" w:hAnsi="Times New Roman" w:cs="Times New Roman"/>
          <w:sz w:val="24"/>
          <w:szCs w:val="24"/>
          <w:lang w:eastAsia="en-GB"/>
        </w:rPr>
        <w:t>T</w:t>
      </w:r>
      <w:r w:rsidRPr="009B03DE">
        <w:rPr>
          <w:rFonts w:ascii="Times New Roman" w:eastAsia="Times New Roman" w:hAnsi="Times New Roman" w:cs="Times New Roman"/>
          <w:sz w:val="24"/>
          <w:szCs w:val="24"/>
          <w:lang w:eastAsia="en-GB"/>
        </w:rPr>
        <w:t xml:space="preserve">utor </w:t>
      </w:r>
      <w:r w:rsidR="00F67CA0">
        <w:rPr>
          <w:rFonts w:ascii="Times New Roman" w:eastAsia="Times New Roman" w:hAnsi="Times New Roman" w:cs="Times New Roman"/>
          <w:sz w:val="24"/>
          <w:szCs w:val="24"/>
          <w:lang w:eastAsia="en-GB"/>
        </w:rPr>
        <w:t>at the time t</w:t>
      </w:r>
      <w:r w:rsidRPr="009B03DE">
        <w:rPr>
          <w:rFonts w:ascii="Times New Roman" w:eastAsia="Times New Roman" w:hAnsi="Times New Roman" w:cs="Times New Roman"/>
          <w:sz w:val="24"/>
          <w:szCs w:val="24"/>
          <w:lang w:eastAsia="en-GB"/>
        </w:rPr>
        <w:t>o Fairfax’s daughter Mary</w:t>
      </w:r>
      <w:r w:rsidR="00E57742">
        <w:rPr>
          <w:rFonts w:ascii="Times New Roman" w:eastAsia="Times New Roman" w:hAnsi="Times New Roman" w:cs="Times New Roman"/>
          <w:sz w:val="24"/>
          <w:szCs w:val="24"/>
          <w:lang w:eastAsia="en-GB"/>
        </w:rPr>
        <w:t xml:space="preserve">, </w:t>
      </w:r>
      <w:r w:rsidRPr="009B03DE">
        <w:rPr>
          <w:rFonts w:ascii="Times New Roman" w:eastAsia="Times New Roman" w:hAnsi="Times New Roman" w:cs="Times New Roman"/>
          <w:sz w:val="24"/>
          <w:szCs w:val="24"/>
          <w:lang w:eastAsia="en-GB"/>
        </w:rPr>
        <w:t>Marvell</w:t>
      </w:r>
      <w:r w:rsidR="00E57742">
        <w:rPr>
          <w:rFonts w:ascii="Times New Roman" w:eastAsia="Times New Roman" w:hAnsi="Times New Roman" w:cs="Times New Roman"/>
          <w:sz w:val="24"/>
          <w:szCs w:val="24"/>
          <w:lang w:eastAsia="en-GB"/>
        </w:rPr>
        <w:t xml:space="preserve"> perforce </w:t>
      </w:r>
      <w:r w:rsidR="009F4B28">
        <w:rPr>
          <w:rFonts w:ascii="Times New Roman" w:eastAsia="Times New Roman" w:hAnsi="Times New Roman" w:cs="Times New Roman"/>
          <w:sz w:val="24"/>
          <w:szCs w:val="24"/>
          <w:lang w:eastAsia="en-GB"/>
        </w:rPr>
        <w:t xml:space="preserve">can </w:t>
      </w:r>
      <w:r w:rsidRPr="009B03DE">
        <w:rPr>
          <w:rFonts w:ascii="Times New Roman" w:eastAsia="Times New Roman" w:hAnsi="Times New Roman" w:cs="Times New Roman"/>
          <w:sz w:val="24"/>
          <w:szCs w:val="24"/>
          <w:lang w:eastAsia="en-GB"/>
        </w:rPr>
        <w:t xml:space="preserve">offer </w:t>
      </w:r>
      <w:r w:rsidR="00263646">
        <w:rPr>
          <w:rFonts w:ascii="Times New Roman" w:eastAsia="Times New Roman" w:hAnsi="Times New Roman" w:cs="Times New Roman"/>
          <w:sz w:val="24"/>
          <w:szCs w:val="24"/>
          <w:lang w:eastAsia="en-GB"/>
        </w:rPr>
        <w:t xml:space="preserve">only the most </w:t>
      </w:r>
      <w:r w:rsidR="00373C57">
        <w:rPr>
          <w:rFonts w:ascii="Times New Roman" w:eastAsia="Times New Roman" w:hAnsi="Times New Roman" w:cs="Times New Roman"/>
          <w:sz w:val="24"/>
          <w:szCs w:val="24"/>
          <w:lang w:eastAsia="en-GB"/>
        </w:rPr>
        <w:t>heavily veiled c</w:t>
      </w:r>
      <w:r w:rsidR="00E57742">
        <w:rPr>
          <w:rFonts w:ascii="Times New Roman" w:eastAsia="Times New Roman" w:hAnsi="Times New Roman" w:cs="Times New Roman"/>
          <w:sz w:val="24"/>
          <w:szCs w:val="24"/>
          <w:lang w:eastAsia="en-GB"/>
        </w:rPr>
        <w:t xml:space="preserve">riticisms </w:t>
      </w:r>
      <w:r w:rsidR="00B376D7">
        <w:rPr>
          <w:rFonts w:ascii="Times New Roman" w:eastAsia="Times New Roman" w:hAnsi="Times New Roman" w:cs="Times New Roman"/>
          <w:sz w:val="24"/>
          <w:szCs w:val="24"/>
          <w:lang w:eastAsia="en-GB"/>
        </w:rPr>
        <w:t>of his master</w:t>
      </w:r>
      <w:r w:rsidR="002169B3">
        <w:rPr>
          <w:rFonts w:ascii="Times New Roman" w:eastAsia="Times New Roman" w:hAnsi="Times New Roman" w:cs="Times New Roman"/>
          <w:sz w:val="24"/>
          <w:szCs w:val="24"/>
          <w:lang w:eastAsia="en-GB"/>
        </w:rPr>
        <w:t xml:space="preserve">. </w:t>
      </w:r>
      <w:r w:rsidR="00E57742">
        <w:rPr>
          <w:rFonts w:ascii="Times New Roman" w:eastAsia="Times New Roman" w:hAnsi="Times New Roman" w:cs="Times New Roman"/>
          <w:sz w:val="24"/>
          <w:szCs w:val="24"/>
          <w:lang w:eastAsia="en-GB"/>
        </w:rPr>
        <w:t xml:space="preserve">In stanza 44, </w:t>
      </w:r>
      <w:r w:rsidRPr="009B03DE">
        <w:rPr>
          <w:rFonts w:ascii="Times New Roman" w:eastAsia="Times New Roman" w:hAnsi="Times New Roman" w:cs="Times New Roman"/>
          <w:sz w:val="24"/>
          <w:szCs w:val="24"/>
          <w:lang w:eastAsia="en-GB"/>
        </w:rPr>
        <w:t xml:space="preserve">after </w:t>
      </w:r>
      <w:r w:rsidR="00E57742">
        <w:rPr>
          <w:rFonts w:ascii="Times New Roman" w:eastAsia="Times New Roman" w:hAnsi="Times New Roman" w:cs="Times New Roman"/>
          <w:sz w:val="24"/>
          <w:szCs w:val="24"/>
          <w:lang w:eastAsia="en-GB"/>
        </w:rPr>
        <w:t xml:space="preserve">lavishing </w:t>
      </w:r>
      <w:r w:rsidR="00BA78B2">
        <w:rPr>
          <w:rFonts w:ascii="Times New Roman" w:eastAsia="Times New Roman" w:hAnsi="Times New Roman" w:cs="Times New Roman"/>
          <w:sz w:val="24"/>
          <w:szCs w:val="24"/>
          <w:lang w:eastAsia="en-GB"/>
        </w:rPr>
        <w:t>unequivocal p</w:t>
      </w:r>
      <w:r w:rsidRPr="009B03DE">
        <w:rPr>
          <w:rFonts w:ascii="Times New Roman" w:eastAsia="Times New Roman" w:hAnsi="Times New Roman" w:cs="Times New Roman"/>
          <w:sz w:val="24"/>
          <w:szCs w:val="24"/>
          <w:lang w:eastAsia="en-GB"/>
        </w:rPr>
        <w:t xml:space="preserve">raise </w:t>
      </w:r>
      <w:r w:rsidR="00BA78B2">
        <w:rPr>
          <w:rFonts w:ascii="Times New Roman" w:eastAsia="Times New Roman" w:hAnsi="Times New Roman" w:cs="Times New Roman"/>
          <w:sz w:val="24"/>
          <w:szCs w:val="24"/>
          <w:lang w:eastAsia="en-GB"/>
        </w:rPr>
        <w:t xml:space="preserve">on </w:t>
      </w:r>
      <w:r w:rsidRPr="009B03DE">
        <w:rPr>
          <w:rFonts w:ascii="Times New Roman" w:eastAsia="Times New Roman" w:hAnsi="Times New Roman" w:cs="Times New Roman"/>
          <w:sz w:val="24"/>
          <w:szCs w:val="24"/>
          <w:lang w:eastAsia="en-GB"/>
        </w:rPr>
        <w:t xml:space="preserve">the house and gardens Fairfax has retired to, </w:t>
      </w:r>
      <w:r w:rsidR="00E57742">
        <w:rPr>
          <w:rFonts w:ascii="Times New Roman" w:eastAsia="Times New Roman" w:hAnsi="Times New Roman" w:cs="Times New Roman"/>
          <w:sz w:val="24"/>
          <w:szCs w:val="24"/>
          <w:lang w:eastAsia="en-GB"/>
        </w:rPr>
        <w:t xml:space="preserve">he </w:t>
      </w:r>
      <w:r w:rsidRPr="009B03DE">
        <w:rPr>
          <w:rFonts w:ascii="Times New Roman" w:eastAsia="Times New Roman" w:hAnsi="Times New Roman" w:cs="Times New Roman"/>
          <w:sz w:val="24"/>
          <w:szCs w:val="24"/>
          <w:lang w:eastAsia="en-GB"/>
        </w:rPr>
        <w:t>signal</w:t>
      </w:r>
      <w:r w:rsidR="00BA78B2">
        <w:rPr>
          <w:rFonts w:ascii="Times New Roman" w:eastAsia="Times New Roman" w:hAnsi="Times New Roman" w:cs="Times New Roman"/>
          <w:sz w:val="24"/>
          <w:szCs w:val="24"/>
          <w:lang w:eastAsia="en-GB"/>
        </w:rPr>
        <w:t>s</w:t>
      </w:r>
      <w:r w:rsidRPr="009B03DE">
        <w:rPr>
          <w:rFonts w:ascii="Times New Roman" w:eastAsia="Times New Roman" w:hAnsi="Times New Roman" w:cs="Times New Roman"/>
          <w:sz w:val="24"/>
          <w:szCs w:val="24"/>
          <w:lang w:eastAsia="en-GB"/>
        </w:rPr>
        <w:t xml:space="preserve"> a subtly wistful pang of disappointment</w:t>
      </w:r>
      <w:r w:rsidR="00B376D7">
        <w:rPr>
          <w:rFonts w:ascii="Times New Roman" w:eastAsia="Times New Roman" w:hAnsi="Times New Roman" w:cs="Times New Roman"/>
          <w:sz w:val="24"/>
          <w:szCs w:val="24"/>
          <w:lang w:eastAsia="en-GB"/>
        </w:rPr>
        <w:t xml:space="preserve"> and r</w:t>
      </w:r>
      <w:r w:rsidRPr="009B03DE">
        <w:rPr>
          <w:rFonts w:ascii="Times New Roman" w:eastAsia="Times New Roman" w:hAnsi="Times New Roman" w:cs="Times New Roman"/>
          <w:sz w:val="24"/>
          <w:szCs w:val="24"/>
          <w:lang w:eastAsia="en-GB"/>
        </w:rPr>
        <w:t xml:space="preserve">egret </w:t>
      </w:r>
      <w:r w:rsidR="00B376D7">
        <w:rPr>
          <w:rFonts w:ascii="Times New Roman" w:eastAsia="Times New Roman" w:hAnsi="Times New Roman" w:cs="Times New Roman"/>
          <w:sz w:val="24"/>
          <w:szCs w:val="24"/>
          <w:lang w:eastAsia="en-GB"/>
        </w:rPr>
        <w:t xml:space="preserve">at Fairfax’s </w:t>
      </w:r>
      <w:r w:rsidRPr="009B03DE">
        <w:rPr>
          <w:rFonts w:ascii="Times New Roman" w:eastAsia="Times New Roman" w:hAnsi="Times New Roman" w:cs="Times New Roman"/>
          <w:sz w:val="24"/>
          <w:szCs w:val="24"/>
          <w:lang w:eastAsia="en-GB"/>
        </w:rPr>
        <w:t>decision to withdraw from public life:</w:t>
      </w:r>
    </w:p>
    <w:p w:rsidR="005E74D1" w:rsidRPr="00F6583C" w:rsidRDefault="005E74D1" w:rsidP="00763634">
      <w:pPr>
        <w:tabs>
          <w:tab w:val="left" w:pos="567"/>
          <w:tab w:val="left" w:pos="709"/>
        </w:tabs>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And yet their walks one on the Sod</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 xml:space="preserve">Who, had it pleased him and </w:t>
      </w:r>
      <w:r w:rsidRPr="00F6583C">
        <w:rPr>
          <w:rFonts w:ascii="Times New Roman" w:eastAsia="Times New Roman" w:hAnsi="Times New Roman" w:cs="Times New Roman"/>
          <w:i/>
          <w:lang w:eastAsia="en-GB"/>
        </w:rPr>
        <w:t>God</w:t>
      </w:r>
      <w:r w:rsidRPr="00F6583C">
        <w:rPr>
          <w:rFonts w:ascii="Times New Roman" w:eastAsia="Times New Roman" w:hAnsi="Times New Roman" w:cs="Times New Roman"/>
          <w:lang w:eastAsia="en-GB"/>
        </w:rPr>
        <w:t xml:space="preserve">, </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Might once have made our Gardens spring</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Fresh as his own and flourishing.</w:t>
      </w:r>
    </w:p>
    <w:p w:rsidR="005E74D1" w:rsidRPr="00F6583C" w:rsidRDefault="005E74D1" w:rsidP="00763634">
      <w:pPr>
        <w:spacing w:after="0" w:line="480" w:lineRule="auto"/>
        <w:ind w:left="2520"/>
        <w:jc w:val="both"/>
        <w:rPr>
          <w:rFonts w:ascii="Times New Roman" w:eastAsia="Times New Roman" w:hAnsi="Times New Roman" w:cs="Times New Roman"/>
          <w:i/>
          <w:lang w:eastAsia="en-GB"/>
        </w:rPr>
      </w:pPr>
      <w:r w:rsidRPr="00F6583C">
        <w:rPr>
          <w:rFonts w:ascii="Times New Roman" w:eastAsia="Times New Roman" w:hAnsi="Times New Roman" w:cs="Times New Roman"/>
          <w:lang w:eastAsia="en-GB"/>
        </w:rPr>
        <w:t xml:space="preserve">But he preferr’d to the </w:t>
      </w:r>
      <w:r w:rsidRPr="00F6583C">
        <w:rPr>
          <w:rFonts w:ascii="Times New Roman" w:eastAsia="Times New Roman" w:hAnsi="Times New Roman" w:cs="Times New Roman"/>
          <w:i/>
          <w:lang w:eastAsia="en-GB"/>
        </w:rPr>
        <w:t>Cinque Ports</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lastRenderedPageBreak/>
        <w:t>These five imaginary Forts:</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And, in those half-dry Trenches, spann’d</w:t>
      </w:r>
    </w:p>
    <w:p w:rsidR="005E74D1" w:rsidRPr="00F6583C" w:rsidRDefault="005E74D1" w:rsidP="00763634">
      <w:pPr>
        <w:spacing w:after="0" w:line="480" w:lineRule="auto"/>
        <w:ind w:left="2520"/>
        <w:jc w:val="both"/>
        <w:rPr>
          <w:rFonts w:ascii="Times New Roman" w:eastAsia="Times New Roman" w:hAnsi="Times New Roman" w:cs="Times New Roman"/>
          <w:lang w:eastAsia="en-GB"/>
        </w:rPr>
      </w:pPr>
      <w:r w:rsidRPr="00F6583C">
        <w:rPr>
          <w:rFonts w:ascii="Times New Roman" w:eastAsia="Times New Roman" w:hAnsi="Times New Roman" w:cs="Times New Roman"/>
          <w:lang w:eastAsia="en-GB"/>
        </w:rPr>
        <w:t>Pow’r which the Ocean might command.</w:t>
      </w:r>
      <w:r w:rsidRPr="00F6583C">
        <w:rPr>
          <w:rFonts w:ascii="Times New Roman" w:eastAsia="Times New Roman" w:hAnsi="Times New Roman" w:cs="Times New Roman"/>
          <w:vertAlign w:val="superscript"/>
          <w:lang w:eastAsia="en-GB"/>
        </w:rPr>
        <w:footnoteReference w:id="22"/>
      </w:r>
    </w:p>
    <w:p w:rsidR="005E74D1" w:rsidRPr="009B03DE" w:rsidRDefault="005E74D1" w:rsidP="00763634">
      <w:pPr>
        <w:spacing w:after="0" w:line="480" w:lineRule="auto"/>
        <w:jc w:val="both"/>
        <w:rPr>
          <w:rFonts w:ascii="Times New Roman" w:eastAsia="Times New Roman" w:hAnsi="Times New Roman" w:cs="Times New Roman"/>
          <w:sz w:val="24"/>
          <w:szCs w:val="24"/>
          <w:lang w:eastAsia="en-GB"/>
        </w:rPr>
      </w:pPr>
    </w:p>
    <w:p w:rsidR="00F74023" w:rsidRDefault="005E74D1" w:rsidP="00763634">
      <w:pPr>
        <w:tabs>
          <w:tab w:val="left" w:pos="567"/>
        </w:tabs>
        <w:spacing w:after="0" w:line="480" w:lineRule="auto"/>
        <w:jc w:val="both"/>
        <w:rPr>
          <w:rFonts w:ascii="Times New Roman" w:eastAsia="Times New Roman" w:hAnsi="Times New Roman" w:cs="Times New Roman"/>
          <w:sz w:val="24"/>
          <w:szCs w:val="24"/>
          <w:lang w:eastAsia="en-GB"/>
        </w:rPr>
      </w:pPr>
      <w:r w:rsidRPr="009B03DE">
        <w:rPr>
          <w:rFonts w:ascii="Times New Roman" w:eastAsia="Times New Roman" w:hAnsi="Times New Roman" w:cs="Times New Roman"/>
          <w:sz w:val="24"/>
          <w:szCs w:val="24"/>
          <w:lang w:eastAsia="en-GB"/>
        </w:rPr>
        <w:t xml:space="preserve">         With ‘Might once have made our Gardens spring/Fresh as his own and flourishing’, the tension built up by the first two lines of the stanza finds, in the context of a country house poem, an appositely rural denouement. But more than that, brilliantly secreted within the deceptively delightful, flowery imagery, are some thorny and appropriately weighty issues for Fairfax to ponder. By retiring to Appleton House he has apparently squandered an opportunity of a lifetime</w:t>
      </w:r>
      <w:r w:rsidR="00DB6F95">
        <w:rPr>
          <w:rFonts w:ascii="Times New Roman" w:eastAsia="Times New Roman" w:hAnsi="Times New Roman" w:cs="Times New Roman"/>
          <w:sz w:val="24"/>
          <w:szCs w:val="24"/>
          <w:lang w:eastAsia="en-GB"/>
        </w:rPr>
        <w:t xml:space="preserve"> – witness </w:t>
      </w:r>
      <w:r w:rsidRPr="009B03DE">
        <w:rPr>
          <w:rFonts w:ascii="Times New Roman" w:eastAsia="Times New Roman" w:hAnsi="Times New Roman" w:cs="Times New Roman"/>
          <w:sz w:val="24"/>
          <w:szCs w:val="24"/>
          <w:lang w:eastAsia="en-GB"/>
        </w:rPr>
        <w:t>the aching finality of ‘Might once’</w:t>
      </w:r>
      <w:r w:rsidR="00DB6F95">
        <w:rPr>
          <w:rFonts w:ascii="Times New Roman" w:eastAsia="Times New Roman" w:hAnsi="Times New Roman" w:cs="Times New Roman"/>
          <w:sz w:val="24"/>
          <w:szCs w:val="24"/>
          <w:lang w:eastAsia="en-GB"/>
        </w:rPr>
        <w:t xml:space="preserve"> – t</w:t>
      </w:r>
      <w:r w:rsidRPr="009B03DE">
        <w:rPr>
          <w:rFonts w:ascii="Times New Roman" w:eastAsia="Times New Roman" w:hAnsi="Times New Roman" w:cs="Times New Roman"/>
          <w:sz w:val="24"/>
          <w:szCs w:val="24"/>
          <w:lang w:eastAsia="en-GB"/>
        </w:rPr>
        <w:t xml:space="preserve">o bring peace and prosperity to the nation following years of civil conflict. </w:t>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8A5E1A">
        <w:rPr>
          <w:rFonts w:ascii="Times New Roman" w:eastAsia="Times New Roman" w:hAnsi="Times New Roman" w:cs="Times New Roman"/>
          <w:sz w:val="24"/>
          <w:szCs w:val="24"/>
          <w:lang w:eastAsia="en-GB"/>
        </w:rPr>
        <w:tab/>
      </w:r>
      <w:r w:rsidR="00770C81">
        <w:rPr>
          <w:rFonts w:ascii="Times New Roman" w:eastAsia="Times New Roman" w:hAnsi="Times New Roman" w:cs="Times New Roman"/>
          <w:sz w:val="24"/>
          <w:szCs w:val="24"/>
          <w:lang w:eastAsia="en-GB"/>
        </w:rPr>
        <w:t xml:space="preserve">In sum, then, the untimeliness </w:t>
      </w:r>
      <w:r w:rsidR="0027402C">
        <w:rPr>
          <w:rFonts w:ascii="Times New Roman" w:eastAsia="Times New Roman" w:hAnsi="Times New Roman" w:cs="Times New Roman"/>
          <w:sz w:val="24"/>
          <w:szCs w:val="24"/>
          <w:lang w:eastAsia="en-GB"/>
        </w:rPr>
        <w:t xml:space="preserve">of </w:t>
      </w:r>
      <w:r w:rsidR="00770C81">
        <w:rPr>
          <w:rFonts w:ascii="Times New Roman" w:eastAsia="Times New Roman" w:hAnsi="Times New Roman" w:cs="Times New Roman"/>
          <w:sz w:val="24"/>
          <w:szCs w:val="24"/>
          <w:lang w:eastAsia="en-GB"/>
        </w:rPr>
        <w:t>and controversial circumstances behi</w:t>
      </w:r>
      <w:r w:rsidR="0071438C">
        <w:rPr>
          <w:rFonts w:ascii="Times New Roman" w:eastAsia="Times New Roman" w:hAnsi="Times New Roman" w:cs="Times New Roman"/>
          <w:sz w:val="24"/>
          <w:szCs w:val="24"/>
          <w:lang w:eastAsia="en-GB"/>
        </w:rPr>
        <w:t xml:space="preserve">nd Fairfax’s retirement and the alleged </w:t>
      </w:r>
      <w:r w:rsidR="00770C81">
        <w:rPr>
          <w:rFonts w:ascii="Times New Roman" w:eastAsia="Times New Roman" w:hAnsi="Times New Roman" w:cs="Times New Roman"/>
          <w:sz w:val="24"/>
          <w:szCs w:val="24"/>
          <w:lang w:eastAsia="en-GB"/>
        </w:rPr>
        <w:t xml:space="preserve">incompleteness of his godly mission, </w:t>
      </w:r>
      <w:r w:rsidR="00097425">
        <w:rPr>
          <w:rFonts w:ascii="Times New Roman" w:eastAsia="Times New Roman" w:hAnsi="Times New Roman" w:cs="Times New Roman"/>
          <w:sz w:val="24"/>
          <w:szCs w:val="24"/>
          <w:lang w:eastAsia="en-GB"/>
        </w:rPr>
        <w:t xml:space="preserve">married to the political expediency surrounding Cromwell’s promotion, </w:t>
      </w:r>
      <w:r w:rsidR="00770C81">
        <w:rPr>
          <w:rFonts w:ascii="Times New Roman" w:eastAsia="Times New Roman" w:hAnsi="Times New Roman" w:cs="Times New Roman"/>
          <w:sz w:val="24"/>
          <w:szCs w:val="24"/>
          <w:lang w:eastAsia="en-GB"/>
        </w:rPr>
        <w:t xml:space="preserve">have – from the </w:t>
      </w:r>
      <w:r w:rsidR="00E45390">
        <w:rPr>
          <w:rFonts w:ascii="Times New Roman" w:eastAsia="Times New Roman" w:hAnsi="Times New Roman" w:cs="Times New Roman"/>
          <w:sz w:val="24"/>
          <w:szCs w:val="24"/>
          <w:lang w:eastAsia="en-GB"/>
        </w:rPr>
        <w:t>outset</w:t>
      </w:r>
      <w:r w:rsidR="00770C81">
        <w:rPr>
          <w:rFonts w:ascii="Times New Roman" w:eastAsia="Times New Roman" w:hAnsi="Times New Roman" w:cs="Times New Roman"/>
          <w:sz w:val="24"/>
          <w:szCs w:val="24"/>
          <w:lang w:eastAsia="en-GB"/>
        </w:rPr>
        <w:t xml:space="preserve"> – helped militate against his taking </w:t>
      </w:r>
      <w:r w:rsidR="00097425">
        <w:rPr>
          <w:rFonts w:ascii="Times New Roman" w:eastAsia="Times New Roman" w:hAnsi="Times New Roman" w:cs="Times New Roman"/>
          <w:sz w:val="24"/>
          <w:szCs w:val="24"/>
          <w:lang w:eastAsia="en-GB"/>
        </w:rPr>
        <w:t xml:space="preserve">a more prominent </w:t>
      </w:r>
      <w:r w:rsidR="00770C81">
        <w:rPr>
          <w:rFonts w:ascii="Times New Roman" w:eastAsia="Times New Roman" w:hAnsi="Times New Roman" w:cs="Times New Roman"/>
          <w:sz w:val="24"/>
          <w:szCs w:val="24"/>
          <w:lang w:eastAsia="en-GB"/>
        </w:rPr>
        <w:t xml:space="preserve">place in the pantheon of </w:t>
      </w:r>
      <w:r w:rsidR="00E03509">
        <w:rPr>
          <w:rFonts w:ascii="Times New Roman" w:eastAsia="Times New Roman" w:hAnsi="Times New Roman" w:cs="Times New Roman"/>
          <w:sz w:val="24"/>
          <w:szCs w:val="24"/>
          <w:lang w:eastAsia="en-GB"/>
        </w:rPr>
        <w:t xml:space="preserve">English Revolution </w:t>
      </w:r>
      <w:r w:rsidR="00497A3D">
        <w:rPr>
          <w:rFonts w:ascii="Times New Roman" w:eastAsia="Times New Roman" w:hAnsi="Times New Roman" w:cs="Times New Roman"/>
          <w:sz w:val="24"/>
          <w:szCs w:val="24"/>
          <w:lang w:eastAsia="en-GB"/>
        </w:rPr>
        <w:t xml:space="preserve">luminaries. </w:t>
      </w:r>
      <w:r w:rsidR="00953969">
        <w:rPr>
          <w:rFonts w:ascii="Times New Roman" w:eastAsia="Times New Roman" w:hAnsi="Times New Roman" w:cs="Times New Roman"/>
          <w:sz w:val="24"/>
          <w:szCs w:val="24"/>
          <w:lang w:eastAsia="en-GB"/>
        </w:rPr>
        <w:t xml:space="preserve">And intertwined with this is his </w:t>
      </w:r>
      <w:r w:rsidR="00F74023">
        <w:rPr>
          <w:rFonts w:ascii="Times New Roman" w:eastAsia="Times New Roman" w:hAnsi="Times New Roman" w:cs="Times New Roman"/>
          <w:sz w:val="24"/>
          <w:szCs w:val="24"/>
          <w:lang w:eastAsia="en-GB"/>
        </w:rPr>
        <w:t xml:space="preserve">widely attested modesty. </w:t>
      </w:r>
      <w:r w:rsidR="004B4A81">
        <w:rPr>
          <w:rFonts w:ascii="Times New Roman" w:eastAsia="Times New Roman" w:hAnsi="Times New Roman" w:cs="Times New Roman"/>
          <w:sz w:val="24"/>
          <w:szCs w:val="24"/>
          <w:lang w:eastAsia="en-GB"/>
        </w:rPr>
        <w:t xml:space="preserve">Despite </w:t>
      </w:r>
      <w:r w:rsidR="00F74023">
        <w:rPr>
          <w:rFonts w:ascii="Times New Roman" w:eastAsia="Times New Roman" w:hAnsi="Times New Roman" w:cs="Times New Roman"/>
          <w:sz w:val="24"/>
          <w:szCs w:val="24"/>
          <w:lang w:eastAsia="en-GB"/>
        </w:rPr>
        <w:t xml:space="preserve">the </w:t>
      </w:r>
      <w:r w:rsidR="005C28AC">
        <w:rPr>
          <w:rFonts w:ascii="Times New Roman" w:eastAsia="Times New Roman" w:hAnsi="Times New Roman" w:cs="Times New Roman"/>
          <w:sz w:val="24"/>
          <w:szCs w:val="24"/>
          <w:lang w:eastAsia="en-GB"/>
        </w:rPr>
        <w:t xml:space="preserve">complicating </w:t>
      </w:r>
      <w:r w:rsidR="004B4A81">
        <w:rPr>
          <w:rFonts w:ascii="Times New Roman" w:eastAsia="Times New Roman" w:hAnsi="Times New Roman" w:cs="Times New Roman"/>
          <w:sz w:val="24"/>
          <w:szCs w:val="24"/>
          <w:lang w:eastAsia="en-GB"/>
        </w:rPr>
        <w:t xml:space="preserve">presence </w:t>
      </w:r>
      <w:r w:rsidR="00F74023">
        <w:rPr>
          <w:rFonts w:ascii="Times New Roman" w:eastAsia="Times New Roman" w:hAnsi="Times New Roman" w:cs="Times New Roman"/>
          <w:sz w:val="24"/>
          <w:szCs w:val="24"/>
          <w:lang w:eastAsia="en-GB"/>
        </w:rPr>
        <w:t>of familial</w:t>
      </w:r>
      <w:r w:rsidR="004B4A81">
        <w:rPr>
          <w:rFonts w:ascii="Times New Roman" w:eastAsia="Times New Roman" w:hAnsi="Times New Roman" w:cs="Times New Roman"/>
          <w:sz w:val="24"/>
          <w:szCs w:val="24"/>
          <w:lang w:eastAsia="en-GB"/>
        </w:rPr>
        <w:t xml:space="preserve"> – though equally, without political – </w:t>
      </w:r>
      <w:r w:rsidR="00F74023">
        <w:rPr>
          <w:rFonts w:ascii="Times New Roman" w:eastAsia="Times New Roman" w:hAnsi="Times New Roman" w:cs="Times New Roman"/>
          <w:sz w:val="24"/>
          <w:szCs w:val="24"/>
          <w:lang w:eastAsia="en-GB"/>
        </w:rPr>
        <w:t>bias, his son-in-law George Villers, 2</w:t>
      </w:r>
      <w:r w:rsidR="00F74023" w:rsidRPr="00F74023">
        <w:rPr>
          <w:rFonts w:ascii="Times New Roman" w:eastAsia="Times New Roman" w:hAnsi="Times New Roman" w:cs="Times New Roman"/>
          <w:sz w:val="24"/>
          <w:szCs w:val="24"/>
          <w:vertAlign w:val="superscript"/>
          <w:lang w:eastAsia="en-GB"/>
        </w:rPr>
        <w:t>nd</w:t>
      </w:r>
      <w:r w:rsidR="00F74023">
        <w:rPr>
          <w:rFonts w:ascii="Times New Roman" w:eastAsia="Times New Roman" w:hAnsi="Times New Roman" w:cs="Times New Roman"/>
          <w:sz w:val="24"/>
          <w:szCs w:val="24"/>
          <w:lang w:eastAsia="en-GB"/>
        </w:rPr>
        <w:t xml:space="preserve"> Duke of Buckingham, stands proxy for many contemporaries in noting, in the lapidary words which adorn Fairfax’s simple tomb in Bilbrough Church</w:t>
      </w:r>
      <w:r w:rsidR="00D74F8F">
        <w:rPr>
          <w:rFonts w:ascii="Times New Roman" w:eastAsia="Times New Roman" w:hAnsi="Times New Roman" w:cs="Times New Roman"/>
          <w:sz w:val="24"/>
          <w:szCs w:val="24"/>
          <w:lang w:eastAsia="en-GB"/>
        </w:rPr>
        <w:t>, six miles southwest of York</w:t>
      </w:r>
      <w:r w:rsidR="00F74023">
        <w:rPr>
          <w:rFonts w:ascii="Times New Roman" w:eastAsia="Times New Roman" w:hAnsi="Times New Roman" w:cs="Times New Roman"/>
          <w:sz w:val="24"/>
          <w:szCs w:val="24"/>
          <w:lang w:eastAsia="en-GB"/>
        </w:rPr>
        <w:t>:</w:t>
      </w:r>
    </w:p>
    <w:p w:rsidR="00F74023" w:rsidRDefault="00F74023" w:rsidP="00763634">
      <w:pPr>
        <w:tabs>
          <w:tab w:val="left" w:pos="567"/>
        </w:tabs>
        <w:spacing w:after="0" w:line="480" w:lineRule="auto"/>
        <w:jc w:val="both"/>
        <w:rPr>
          <w:rFonts w:ascii="Times New Roman" w:eastAsia="Times New Roman" w:hAnsi="Times New Roman" w:cs="Times New Roman"/>
          <w:sz w:val="24"/>
          <w:szCs w:val="24"/>
          <w:lang w:eastAsia="en-GB"/>
        </w:rPr>
      </w:pPr>
    </w:p>
    <w:tbl>
      <w:tblPr>
        <w:tblW w:w="0" w:type="auto"/>
        <w:jc w:val="center"/>
        <w:tblCellSpacing w:w="0" w:type="dxa"/>
        <w:tblCellMar>
          <w:left w:w="0" w:type="dxa"/>
          <w:right w:w="0" w:type="dxa"/>
        </w:tblCellMar>
        <w:tblLook w:val="04A0" w:firstRow="1" w:lastRow="0" w:firstColumn="1" w:lastColumn="0" w:noHBand="0" w:noVBand="1"/>
      </w:tblPr>
      <w:tblGrid>
        <w:gridCol w:w="3697"/>
        <w:gridCol w:w="6"/>
      </w:tblGrid>
      <w:tr w:rsidR="00F74023" w:rsidRPr="00F74023">
        <w:trPr>
          <w:tblCellSpacing w:w="0" w:type="dxa"/>
          <w:jc w:val="center"/>
        </w:trPr>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r w:rsidRPr="00F74023">
              <w:rPr>
                <w:rFonts w:ascii="Times New Roman" w:eastAsia="Times New Roman" w:hAnsi="Times New Roman" w:cs="Times New Roman"/>
                <w:color w:val="000020"/>
                <w:lang w:eastAsia="en-GB"/>
              </w:rPr>
              <w:t>He might have been a king,</w:t>
            </w:r>
          </w:p>
        </w:tc>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bookmarkStart w:id="1" w:name="26"/>
            <w:bookmarkEnd w:id="1"/>
          </w:p>
        </w:tc>
      </w:tr>
      <w:tr w:rsidR="00F74023" w:rsidRPr="00F74023">
        <w:trPr>
          <w:tblCellSpacing w:w="0" w:type="dxa"/>
          <w:jc w:val="center"/>
        </w:trPr>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r w:rsidRPr="00F74023">
              <w:rPr>
                <w:rFonts w:ascii="Times New Roman" w:eastAsia="Times New Roman" w:hAnsi="Times New Roman" w:cs="Times New Roman"/>
                <w:color w:val="000020"/>
                <w:lang w:eastAsia="en-GB"/>
              </w:rPr>
              <w:t>But that he understood</w:t>
            </w:r>
          </w:p>
        </w:tc>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bookmarkStart w:id="2" w:name="27"/>
            <w:bookmarkEnd w:id="2"/>
          </w:p>
        </w:tc>
      </w:tr>
      <w:tr w:rsidR="00F74023" w:rsidRPr="00F74023">
        <w:trPr>
          <w:tblCellSpacing w:w="0" w:type="dxa"/>
          <w:jc w:val="center"/>
        </w:trPr>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r w:rsidRPr="00F74023">
              <w:rPr>
                <w:rFonts w:ascii="Times New Roman" w:eastAsia="Times New Roman" w:hAnsi="Times New Roman" w:cs="Times New Roman"/>
                <w:color w:val="000020"/>
                <w:lang w:eastAsia="en-GB"/>
              </w:rPr>
              <w:t>How much it is a meaner thing</w:t>
            </w:r>
          </w:p>
        </w:tc>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bookmarkStart w:id="3" w:name="28"/>
            <w:bookmarkEnd w:id="3"/>
          </w:p>
        </w:tc>
      </w:tr>
      <w:tr w:rsidR="00F74023" w:rsidRPr="00F74023">
        <w:trPr>
          <w:tblCellSpacing w:w="0" w:type="dxa"/>
          <w:jc w:val="center"/>
        </w:trPr>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color w:val="000020"/>
                <w:lang w:eastAsia="en-GB"/>
              </w:rPr>
            </w:pPr>
            <w:r w:rsidRPr="00F74023">
              <w:rPr>
                <w:rFonts w:ascii="Times New Roman" w:eastAsia="Times New Roman" w:hAnsi="Times New Roman" w:cs="Times New Roman"/>
                <w:color w:val="000020"/>
                <w:lang w:eastAsia="en-GB"/>
              </w:rPr>
              <w:t>To be unjustly great than honorably good.</w:t>
            </w:r>
          </w:p>
        </w:tc>
        <w:tc>
          <w:tcPr>
            <w:tcW w:w="0" w:type="auto"/>
            <w:vAlign w:val="center"/>
            <w:hideMark/>
          </w:tcPr>
          <w:p w:rsidR="00F74023" w:rsidRPr="00F74023" w:rsidRDefault="00F74023" w:rsidP="00763634">
            <w:pPr>
              <w:spacing w:after="0" w:line="480" w:lineRule="auto"/>
              <w:rPr>
                <w:rFonts w:ascii="Times New Roman" w:eastAsia="Times New Roman" w:hAnsi="Times New Roman" w:cs="Times New Roman"/>
                <w:lang w:eastAsia="en-GB"/>
              </w:rPr>
            </w:pPr>
          </w:p>
        </w:tc>
      </w:tr>
    </w:tbl>
    <w:p w:rsidR="00F74023" w:rsidRPr="00F74023" w:rsidRDefault="00F74023" w:rsidP="00763634">
      <w:pPr>
        <w:tabs>
          <w:tab w:val="left" w:pos="567"/>
        </w:tabs>
        <w:spacing w:after="0" w:line="480" w:lineRule="auto"/>
        <w:jc w:val="both"/>
        <w:rPr>
          <w:rFonts w:ascii="Times New Roman" w:eastAsia="Times New Roman" w:hAnsi="Times New Roman" w:cs="Times New Roman"/>
          <w:lang w:eastAsia="en-GB"/>
        </w:rPr>
      </w:pPr>
    </w:p>
    <w:p w:rsidR="00772707" w:rsidRDefault="001133BF" w:rsidP="0076363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But if his apparently innate modesty precluded him from attaining high political office, it did not prevent </w:t>
      </w:r>
      <w:r w:rsidR="009D3AE9">
        <w:rPr>
          <w:rFonts w:ascii="Times New Roman" w:eastAsia="Times New Roman" w:hAnsi="Times New Roman" w:cs="Times New Roman"/>
          <w:sz w:val="24"/>
          <w:szCs w:val="24"/>
          <w:lang w:eastAsia="en-GB"/>
        </w:rPr>
        <w:t xml:space="preserve">Fairfax </w:t>
      </w:r>
      <w:r>
        <w:rPr>
          <w:rFonts w:ascii="Times New Roman" w:eastAsia="Times New Roman" w:hAnsi="Times New Roman" w:cs="Times New Roman"/>
          <w:sz w:val="24"/>
          <w:szCs w:val="24"/>
          <w:lang w:eastAsia="en-GB"/>
        </w:rPr>
        <w:t xml:space="preserve">in his retirement from assiduously fashioning a self-image </w:t>
      </w:r>
      <w:r w:rsidR="001D67A2">
        <w:rPr>
          <w:rFonts w:ascii="Times New Roman" w:eastAsia="Times New Roman" w:hAnsi="Times New Roman" w:cs="Times New Roman"/>
          <w:sz w:val="24"/>
          <w:szCs w:val="24"/>
          <w:lang w:eastAsia="en-GB"/>
        </w:rPr>
        <w:t xml:space="preserve">– </w:t>
      </w:r>
      <w:r w:rsidR="007C78C9">
        <w:rPr>
          <w:rFonts w:ascii="Times New Roman" w:eastAsia="Times New Roman" w:hAnsi="Times New Roman" w:cs="Times New Roman"/>
          <w:sz w:val="24"/>
          <w:szCs w:val="24"/>
          <w:lang w:eastAsia="en-GB"/>
        </w:rPr>
        <w:t xml:space="preserve">most conspicuously </w:t>
      </w:r>
      <w:r w:rsidR="001D67A2">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hrough the written word. Even more so than his overall contribution to the English Revolution, his copious writings have been done scant justice </w:t>
      </w:r>
      <w:r w:rsidR="008520A2">
        <w:rPr>
          <w:rFonts w:ascii="Times New Roman" w:eastAsia="Times New Roman" w:hAnsi="Times New Roman" w:cs="Times New Roman"/>
          <w:sz w:val="24"/>
          <w:szCs w:val="24"/>
          <w:lang w:eastAsia="en-GB"/>
        </w:rPr>
        <w:t xml:space="preserve">by </w:t>
      </w:r>
      <w:r w:rsidR="00486A66">
        <w:rPr>
          <w:rFonts w:ascii="Times New Roman" w:eastAsia="Times New Roman" w:hAnsi="Times New Roman" w:cs="Times New Roman"/>
          <w:sz w:val="24"/>
          <w:szCs w:val="24"/>
          <w:lang w:eastAsia="en-GB"/>
        </w:rPr>
        <w:t>seventeenth-century</w:t>
      </w:r>
      <w:r>
        <w:rPr>
          <w:rFonts w:ascii="Times New Roman" w:eastAsia="Times New Roman" w:hAnsi="Times New Roman" w:cs="Times New Roman"/>
          <w:sz w:val="24"/>
          <w:szCs w:val="24"/>
          <w:lang w:eastAsia="en-GB"/>
        </w:rPr>
        <w:t xml:space="preserve"> historiography. Part 2 of this volume seeks to fill some of this lacuna, to train belated attention on some of the divergent forms of literature which Fairfax composed and was drawn to. </w:t>
      </w:r>
      <w:r w:rsidR="00972C63">
        <w:rPr>
          <w:rFonts w:ascii="Times New Roman" w:eastAsia="Times New Roman" w:hAnsi="Times New Roman" w:cs="Times New Roman"/>
          <w:sz w:val="24"/>
          <w:szCs w:val="24"/>
          <w:lang w:eastAsia="en-GB"/>
        </w:rPr>
        <w:t xml:space="preserve">Indeed, </w:t>
      </w:r>
      <w:r w:rsidR="00FD7DCD">
        <w:rPr>
          <w:rFonts w:ascii="Times New Roman" w:eastAsia="Times New Roman" w:hAnsi="Times New Roman" w:cs="Times New Roman"/>
          <w:sz w:val="24"/>
          <w:szCs w:val="24"/>
          <w:lang w:eastAsia="en-GB"/>
        </w:rPr>
        <w:t xml:space="preserve">such is </w:t>
      </w:r>
      <w:r w:rsidR="00972C63">
        <w:rPr>
          <w:rFonts w:ascii="Times New Roman" w:eastAsia="Times New Roman" w:hAnsi="Times New Roman" w:cs="Times New Roman"/>
          <w:sz w:val="24"/>
          <w:szCs w:val="24"/>
          <w:lang w:eastAsia="en-GB"/>
        </w:rPr>
        <w:t xml:space="preserve">Fairfax’s prolificacy with the pen </w:t>
      </w:r>
      <w:r w:rsidR="00DC43F6">
        <w:rPr>
          <w:rFonts w:ascii="Times New Roman" w:eastAsia="Times New Roman" w:hAnsi="Times New Roman" w:cs="Times New Roman"/>
          <w:sz w:val="24"/>
          <w:szCs w:val="24"/>
          <w:lang w:eastAsia="en-GB"/>
        </w:rPr>
        <w:t xml:space="preserve">after 1650 </w:t>
      </w:r>
      <w:r w:rsidR="00FD7DCD">
        <w:rPr>
          <w:rFonts w:ascii="Times New Roman" w:eastAsia="Times New Roman" w:hAnsi="Times New Roman" w:cs="Times New Roman"/>
          <w:sz w:val="24"/>
          <w:szCs w:val="24"/>
          <w:lang w:eastAsia="en-GB"/>
        </w:rPr>
        <w:t>that</w:t>
      </w:r>
      <w:r w:rsidR="008520A2">
        <w:rPr>
          <w:rFonts w:ascii="Times New Roman" w:eastAsia="Times New Roman" w:hAnsi="Times New Roman" w:cs="Times New Roman"/>
          <w:sz w:val="24"/>
          <w:szCs w:val="24"/>
          <w:lang w:eastAsia="en-GB"/>
        </w:rPr>
        <w:t xml:space="preserve">, along with his involvement on Man, </w:t>
      </w:r>
      <w:r w:rsidR="00FD7DCD">
        <w:rPr>
          <w:rFonts w:ascii="Times New Roman" w:eastAsia="Times New Roman" w:hAnsi="Times New Roman" w:cs="Times New Roman"/>
          <w:sz w:val="24"/>
          <w:szCs w:val="24"/>
          <w:lang w:eastAsia="en-GB"/>
        </w:rPr>
        <w:t xml:space="preserve">it </w:t>
      </w:r>
      <w:r w:rsidR="00972C63">
        <w:rPr>
          <w:rFonts w:ascii="Times New Roman" w:eastAsia="Times New Roman" w:hAnsi="Times New Roman" w:cs="Times New Roman"/>
          <w:sz w:val="24"/>
          <w:szCs w:val="24"/>
          <w:lang w:eastAsia="en-GB"/>
        </w:rPr>
        <w:t>begins</w:t>
      </w:r>
      <w:r w:rsidR="00FD7DCD">
        <w:rPr>
          <w:rFonts w:ascii="Times New Roman" w:eastAsia="Times New Roman" w:hAnsi="Times New Roman" w:cs="Times New Roman"/>
          <w:sz w:val="24"/>
          <w:szCs w:val="24"/>
          <w:lang w:eastAsia="en-GB"/>
        </w:rPr>
        <w:t xml:space="preserve"> </w:t>
      </w:r>
      <w:r w:rsidR="00972C63">
        <w:rPr>
          <w:rFonts w:ascii="Times New Roman" w:eastAsia="Times New Roman" w:hAnsi="Times New Roman" w:cs="Times New Roman"/>
          <w:sz w:val="24"/>
          <w:szCs w:val="24"/>
          <w:lang w:eastAsia="en-GB"/>
        </w:rPr>
        <w:t>to shake t</w:t>
      </w:r>
      <w:r w:rsidR="00FD7DCD">
        <w:rPr>
          <w:rFonts w:ascii="Times New Roman" w:eastAsia="Times New Roman" w:hAnsi="Times New Roman" w:cs="Times New Roman"/>
          <w:sz w:val="24"/>
          <w:szCs w:val="24"/>
          <w:lang w:eastAsia="en-GB"/>
        </w:rPr>
        <w:t xml:space="preserve">he very foundations on which, as argued above, the dimensions of his reputation have long rested – that he </w:t>
      </w:r>
      <w:r w:rsidR="00DC43F6" w:rsidRPr="00DC43F6">
        <w:rPr>
          <w:rFonts w:ascii="Times New Roman" w:eastAsia="Times New Roman" w:hAnsi="Times New Roman" w:cs="Times New Roman"/>
          <w:i/>
          <w:sz w:val="24"/>
          <w:szCs w:val="24"/>
          <w:lang w:eastAsia="en-GB"/>
        </w:rPr>
        <w:t xml:space="preserve">did </w:t>
      </w:r>
      <w:r w:rsidR="00DC43F6">
        <w:rPr>
          <w:rFonts w:ascii="Times New Roman" w:eastAsia="Times New Roman" w:hAnsi="Times New Roman" w:cs="Times New Roman"/>
          <w:sz w:val="24"/>
          <w:szCs w:val="24"/>
          <w:lang w:eastAsia="en-GB"/>
        </w:rPr>
        <w:t xml:space="preserve">in fact </w:t>
      </w:r>
      <w:r w:rsidR="00FD7DCD">
        <w:rPr>
          <w:rFonts w:ascii="Times New Roman" w:eastAsia="Times New Roman" w:hAnsi="Times New Roman" w:cs="Times New Roman"/>
          <w:sz w:val="24"/>
          <w:szCs w:val="24"/>
          <w:lang w:eastAsia="en-GB"/>
        </w:rPr>
        <w:t>retire.</w:t>
      </w:r>
      <w:r w:rsidR="00F74023">
        <w:rPr>
          <w:rFonts w:ascii="Times New Roman" w:eastAsia="Times New Roman" w:hAnsi="Times New Roman" w:cs="Times New Roman"/>
          <w:sz w:val="24"/>
          <w:szCs w:val="24"/>
          <w:lang w:eastAsia="en-GB"/>
        </w:rPr>
        <w:t xml:space="preserve">    </w:t>
      </w:r>
      <w:r w:rsidR="00770C81">
        <w:rPr>
          <w:rFonts w:ascii="Times New Roman" w:eastAsia="Times New Roman" w:hAnsi="Times New Roman" w:cs="Times New Roman"/>
          <w:sz w:val="24"/>
          <w:szCs w:val="24"/>
          <w:lang w:eastAsia="en-GB"/>
        </w:rPr>
        <w:t xml:space="preserve"> </w:t>
      </w:r>
    </w:p>
    <w:p w:rsidR="00772707" w:rsidRDefault="00772707" w:rsidP="00763634">
      <w:pPr>
        <w:spacing w:after="0" w:line="480" w:lineRule="auto"/>
        <w:jc w:val="both"/>
        <w:rPr>
          <w:rFonts w:ascii="Times New Roman" w:eastAsia="Times New Roman" w:hAnsi="Times New Roman" w:cs="Times New Roman"/>
          <w:sz w:val="24"/>
          <w:szCs w:val="24"/>
        </w:rPr>
      </w:pPr>
    </w:p>
    <w:p w:rsidR="00355586" w:rsidRDefault="00C64FFB" w:rsidP="0076363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p w:rsidR="00333C7A" w:rsidRPr="00802844" w:rsidRDefault="00D768C6"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first published collection of essays on Thomas Fairfax, this volume seeks to </w:t>
      </w:r>
      <w:r w:rsidR="00C4172C">
        <w:rPr>
          <w:rFonts w:ascii="Times New Roman" w:eastAsia="Times New Roman" w:hAnsi="Times New Roman" w:cs="Times New Roman"/>
          <w:sz w:val="24"/>
          <w:szCs w:val="24"/>
        </w:rPr>
        <w:t xml:space="preserve">increase our knowledge and </w:t>
      </w:r>
      <w:r>
        <w:rPr>
          <w:rFonts w:ascii="Times New Roman" w:eastAsia="Times New Roman" w:hAnsi="Times New Roman" w:cs="Times New Roman"/>
          <w:sz w:val="24"/>
          <w:szCs w:val="24"/>
        </w:rPr>
        <w:t xml:space="preserve">deepen our understanding of </w:t>
      </w:r>
      <w:r w:rsidR="007A28F6">
        <w:rPr>
          <w:rFonts w:ascii="Times New Roman" w:eastAsia="Times New Roman" w:hAnsi="Times New Roman" w:cs="Times New Roman"/>
          <w:sz w:val="24"/>
          <w:szCs w:val="24"/>
        </w:rPr>
        <w:t>‘Black Tom’</w:t>
      </w:r>
      <w:r w:rsidR="005C37B6">
        <w:rPr>
          <w:rFonts w:ascii="Times New Roman" w:eastAsia="Times New Roman" w:hAnsi="Times New Roman" w:cs="Times New Roman"/>
          <w:sz w:val="24"/>
          <w:szCs w:val="24"/>
        </w:rPr>
        <w:t>, bringing to</w:t>
      </w:r>
      <w:r w:rsidR="00C4172C">
        <w:rPr>
          <w:rFonts w:ascii="Times New Roman" w:eastAsia="Times New Roman" w:hAnsi="Times New Roman" w:cs="Times New Roman"/>
          <w:sz w:val="24"/>
          <w:szCs w:val="24"/>
        </w:rPr>
        <w:t xml:space="preserve">gether a range of </w:t>
      </w:r>
      <w:r w:rsidR="009E31B8">
        <w:rPr>
          <w:rFonts w:ascii="Times New Roman" w:eastAsia="Times New Roman" w:hAnsi="Times New Roman" w:cs="Times New Roman"/>
          <w:sz w:val="24"/>
          <w:szCs w:val="24"/>
        </w:rPr>
        <w:t xml:space="preserve">established and emerging </w:t>
      </w:r>
      <w:r w:rsidR="00C4172C">
        <w:rPr>
          <w:rFonts w:ascii="Times New Roman" w:eastAsia="Times New Roman" w:hAnsi="Times New Roman" w:cs="Times New Roman"/>
          <w:sz w:val="24"/>
          <w:szCs w:val="24"/>
        </w:rPr>
        <w:t xml:space="preserve">scholars </w:t>
      </w:r>
      <w:r w:rsidR="007A28F6">
        <w:rPr>
          <w:rFonts w:ascii="Times New Roman" w:eastAsia="Times New Roman" w:hAnsi="Times New Roman" w:cs="Times New Roman"/>
          <w:sz w:val="24"/>
          <w:szCs w:val="24"/>
        </w:rPr>
        <w:t xml:space="preserve">to examine his </w:t>
      </w:r>
      <w:r w:rsidR="007D202D">
        <w:rPr>
          <w:rFonts w:ascii="Times New Roman" w:eastAsia="Times New Roman" w:hAnsi="Times New Roman" w:cs="Times New Roman"/>
          <w:sz w:val="24"/>
          <w:szCs w:val="24"/>
        </w:rPr>
        <w:t xml:space="preserve">military, </w:t>
      </w:r>
      <w:r>
        <w:rPr>
          <w:rFonts w:ascii="Times New Roman" w:eastAsia="Times New Roman" w:hAnsi="Times New Roman" w:cs="Times New Roman"/>
          <w:sz w:val="24"/>
          <w:szCs w:val="24"/>
        </w:rPr>
        <w:t xml:space="preserve">political, </w:t>
      </w:r>
      <w:r w:rsidR="00B3275E">
        <w:rPr>
          <w:rFonts w:ascii="Times New Roman" w:eastAsia="Times New Roman" w:hAnsi="Times New Roman" w:cs="Times New Roman"/>
          <w:sz w:val="24"/>
          <w:szCs w:val="24"/>
        </w:rPr>
        <w:t>religious, familial</w:t>
      </w:r>
      <w:r>
        <w:rPr>
          <w:rFonts w:ascii="Times New Roman" w:eastAsia="Times New Roman" w:hAnsi="Times New Roman" w:cs="Times New Roman"/>
          <w:sz w:val="24"/>
          <w:szCs w:val="24"/>
        </w:rPr>
        <w:t xml:space="preserve"> and literary </w:t>
      </w:r>
      <w:r w:rsidR="007D202D">
        <w:rPr>
          <w:rFonts w:ascii="Times New Roman" w:eastAsia="Times New Roman" w:hAnsi="Times New Roman" w:cs="Times New Roman"/>
          <w:sz w:val="24"/>
          <w:szCs w:val="24"/>
        </w:rPr>
        <w:t>preoccupations and accomp</w:t>
      </w:r>
      <w:r w:rsidR="006D41F8">
        <w:rPr>
          <w:rFonts w:ascii="Times New Roman" w:eastAsia="Times New Roman" w:hAnsi="Times New Roman" w:cs="Times New Roman"/>
          <w:sz w:val="24"/>
          <w:szCs w:val="24"/>
        </w:rPr>
        <w:t>l</w:t>
      </w:r>
      <w:r w:rsidR="007D202D">
        <w:rPr>
          <w:rFonts w:ascii="Times New Roman" w:eastAsia="Times New Roman" w:hAnsi="Times New Roman" w:cs="Times New Roman"/>
          <w:sz w:val="24"/>
          <w:szCs w:val="24"/>
        </w:rPr>
        <w:t>ishments</w:t>
      </w:r>
      <w:r>
        <w:rPr>
          <w:rFonts w:ascii="Times New Roman" w:eastAsia="Times New Roman" w:hAnsi="Times New Roman" w:cs="Times New Roman"/>
          <w:sz w:val="24"/>
          <w:szCs w:val="24"/>
        </w:rPr>
        <w:t>. Th</w:t>
      </w:r>
      <w:r w:rsidR="00333C7A">
        <w:rPr>
          <w:rFonts w:ascii="Times New Roman" w:eastAsia="Times New Roman" w:hAnsi="Times New Roman" w:cs="Times New Roman"/>
          <w:sz w:val="24"/>
          <w:szCs w:val="24"/>
        </w:rPr>
        <w:t xml:space="preserve">e opening chapter, by </w:t>
      </w:r>
      <w:r w:rsidR="00333C7A" w:rsidRPr="00802844">
        <w:rPr>
          <w:rFonts w:ascii="Times New Roman" w:eastAsia="Times New Roman" w:hAnsi="Times New Roman" w:cs="Times New Roman"/>
          <w:sz w:val="24"/>
          <w:szCs w:val="24"/>
        </w:rPr>
        <w:t xml:space="preserve">John Callow, </w:t>
      </w:r>
      <w:r w:rsidR="00043952">
        <w:rPr>
          <w:rFonts w:ascii="Times New Roman" w:eastAsia="Times New Roman" w:hAnsi="Times New Roman" w:cs="Times New Roman"/>
          <w:sz w:val="24"/>
          <w:szCs w:val="24"/>
        </w:rPr>
        <w:t xml:space="preserve">casts fresh </w:t>
      </w:r>
      <w:r w:rsidR="00333C7A">
        <w:rPr>
          <w:rFonts w:ascii="Times New Roman" w:eastAsia="Times New Roman" w:hAnsi="Times New Roman" w:cs="Times New Roman"/>
          <w:sz w:val="24"/>
          <w:szCs w:val="24"/>
        </w:rPr>
        <w:t>light on Fairfax as ‘Lord of Man’, a position he held from 165</w:t>
      </w:r>
      <w:r w:rsidR="0087220E">
        <w:rPr>
          <w:rFonts w:ascii="Times New Roman" w:eastAsia="Times New Roman" w:hAnsi="Times New Roman" w:cs="Times New Roman"/>
          <w:sz w:val="24"/>
          <w:szCs w:val="24"/>
        </w:rPr>
        <w:t>1</w:t>
      </w:r>
      <w:r w:rsidR="00333C7A">
        <w:rPr>
          <w:rFonts w:ascii="Times New Roman" w:eastAsia="Times New Roman" w:hAnsi="Times New Roman" w:cs="Times New Roman"/>
          <w:sz w:val="24"/>
          <w:szCs w:val="24"/>
        </w:rPr>
        <w:t xml:space="preserve"> to 1660. R</w:t>
      </w:r>
      <w:r w:rsidR="00333C7A" w:rsidRPr="00802844">
        <w:rPr>
          <w:rFonts w:ascii="Times New Roman" w:eastAsia="Times New Roman" w:hAnsi="Times New Roman" w:cs="Times New Roman"/>
          <w:sz w:val="24"/>
          <w:szCs w:val="24"/>
        </w:rPr>
        <w:t xml:space="preserve">ecent scholarly attention has enlarged our vision to embrace the British and Irish, as opposed to the solely English, dimension to the civil wars. Within the maelstrom of those conflicts, and conflicting searches for identity, the Isle of Man – with its separate legal and constitutional structure, own Gaelic language and popular culture – occupied a </w:t>
      </w:r>
      <w:r w:rsidR="00333C7A">
        <w:rPr>
          <w:rFonts w:ascii="Times New Roman" w:eastAsia="Times New Roman" w:hAnsi="Times New Roman" w:cs="Times New Roman"/>
          <w:sz w:val="24"/>
          <w:szCs w:val="24"/>
        </w:rPr>
        <w:t>unique position. Far more than ‘</w:t>
      </w:r>
      <w:r w:rsidR="00333C7A" w:rsidRPr="00802844">
        <w:rPr>
          <w:rFonts w:ascii="Times New Roman" w:eastAsia="Times New Roman" w:hAnsi="Times New Roman" w:cs="Times New Roman"/>
          <w:sz w:val="24"/>
          <w:szCs w:val="24"/>
        </w:rPr>
        <w:t>a little Molehill moated about</w:t>
      </w:r>
      <w:r w:rsidR="00333C7A">
        <w:rPr>
          <w:rFonts w:ascii="Times New Roman" w:eastAsia="Times New Roman" w:hAnsi="Times New Roman" w:cs="Times New Roman"/>
          <w:sz w:val="24"/>
          <w:szCs w:val="24"/>
        </w:rPr>
        <w:t>’</w:t>
      </w:r>
      <w:r w:rsidR="00333C7A" w:rsidRPr="00802844">
        <w:rPr>
          <w:rFonts w:ascii="Times New Roman" w:eastAsia="Times New Roman" w:hAnsi="Times New Roman" w:cs="Times New Roman"/>
          <w:sz w:val="24"/>
          <w:szCs w:val="24"/>
        </w:rPr>
        <w:t xml:space="preserve"> by a great sea, as William Blundell styled it in 1656,</w:t>
      </w:r>
      <w:r w:rsidR="00DC4216">
        <w:rPr>
          <w:rStyle w:val="FootnoteReference"/>
          <w:rFonts w:ascii="Times New Roman" w:eastAsia="Times New Roman" w:hAnsi="Times New Roman" w:cs="Times New Roman"/>
          <w:sz w:val="24"/>
          <w:szCs w:val="24"/>
        </w:rPr>
        <w:footnoteReference w:id="23"/>
      </w:r>
      <w:r w:rsidR="00333C7A" w:rsidRPr="00802844">
        <w:rPr>
          <w:rFonts w:ascii="Times New Roman" w:eastAsia="Times New Roman" w:hAnsi="Times New Roman" w:cs="Times New Roman"/>
          <w:sz w:val="24"/>
          <w:szCs w:val="24"/>
        </w:rPr>
        <w:t xml:space="preserve"> the island’s sense of autonomy had been strengthened by its role as a </w:t>
      </w:r>
      <w:r w:rsidR="00333C7A">
        <w:rPr>
          <w:rFonts w:ascii="Times New Roman" w:eastAsia="Times New Roman" w:hAnsi="Times New Roman" w:cs="Times New Roman"/>
          <w:sz w:val="24"/>
          <w:szCs w:val="24"/>
        </w:rPr>
        <w:t>r</w:t>
      </w:r>
      <w:r w:rsidR="00333C7A" w:rsidRPr="00802844">
        <w:rPr>
          <w:rFonts w:ascii="Times New Roman" w:eastAsia="Times New Roman" w:hAnsi="Times New Roman" w:cs="Times New Roman"/>
          <w:sz w:val="24"/>
          <w:szCs w:val="24"/>
        </w:rPr>
        <w:t xml:space="preserve">oyalist stronghold, under the Earl of Derby, between 1643 and 1651. The island’s seizure by Commonwealth </w:t>
      </w:r>
      <w:r w:rsidR="00333C7A" w:rsidRPr="00802844">
        <w:rPr>
          <w:rFonts w:ascii="Times New Roman" w:eastAsia="Times New Roman" w:hAnsi="Times New Roman" w:cs="Times New Roman"/>
          <w:sz w:val="24"/>
          <w:szCs w:val="24"/>
        </w:rPr>
        <w:lastRenderedPageBreak/>
        <w:t xml:space="preserve">forces, in November 1651, was facilitated to a large extent by the final defeat of the Earl of Derby, during the Worcester campaign – which saw the surrender </w:t>
      </w:r>
      <w:r w:rsidR="00333C7A" w:rsidRPr="00802844">
        <w:rPr>
          <w:rFonts w:ascii="Times New Roman" w:eastAsia="Times New Roman" w:hAnsi="Times New Roman" w:cs="Times New Roman"/>
          <w:i/>
          <w:iCs/>
          <w:sz w:val="24"/>
          <w:szCs w:val="24"/>
        </w:rPr>
        <w:t xml:space="preserve">en masse </w:t>
      </w:r>
      <w:r w:rsidR="00333C7A" w:rsidRPr="00802844">
        <w:rPr>
          <w:rFonts w:ascii="Times New Roman" w:eastAsia="Times New Roman" w:hAnsi="Times New Roman" w:cs="Times New Roman"/>
          <w:sz w:val="24"/>
          <w:szCs w:val="24"/>
        </w:rPr>
        <w:t>of his Manx infantry at the Battle of Wigan Lane – and by the rising of the native Manx on the Isle itself. So effective was the rebellion that its acknowledged leader, William Christian – Illiam Dhone, ‘brown haired William’ in Gaelic – was able to secure favourable terms from the invasion force and to safeguard his employment at the heart of island’s administration, under Lord Fairfax, for the majority of the decade. The undertaking to revoke Derby’s attacks on traditional land tenure and to respect Manx ‘liberties’ committed the Commonwealth, on the one hand, to an essentially pragmatic and conservative policy towards the island; but also, on the other, provided a formidable popular base for Fairfax’s subsequent rule. </w:t>
      </w:r>
    </w:p>
    <w:p w:rsidR="00333C7A" w:rsidRPr="00802844" w:rsidRDefault="00333C7A" w:rsidP="00763634">
      <w:pPr>
        <w:spacing w:after="0" w:line="480" w:lineRule="auto"/>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ab/>
      </w:r>
      <w:r w:rsidR="00F56258">
        <w:rPr>
          <w:rFonts w:ascii="Times New Roman" w:eastAsia="Times New Roman" w:hAnsi="Times New Roman" w:cs="Times New Roman"/>
          <w:sz w:val="24"/>
          <w:szCs w:val="24"/>
        </w:rPr>
        <w:t>The total collapse of the r</w:t>
      </w:r>
      <w:r w:rsidRPr="00802844">
        <w:rPr>
          <w:rFonts w:ascii="Times New Roman" w:eastAsia="Times New Roman" w:hAnsi="Times New Roman" w:cs="Times New Roman"/>
          <w:sz w:val="24"/>
          <w:szCs w:val="24"/>
        </w:rPr>
        <w:t xml:space="preserve">oyalist party on the island and the articles of surrender, primarily dictated by the indigenous elites, precluded direct rule from Whitehall while permitting Fairfax – as the new ‘Lord of Man’ – to assume the prerogatives and sweeping powers previously wielded by the Earls of Derby; and to parachute his own team of administrators into positions newly vacated by English </w:t>
      </w:r>
      <w:r w:rsidR="00B536D2">
        <w:rPr>
          <w:rFonts w:ascii="Times New Roman" w:eastAsia="Times New Roman" w:hAnsi="Times New Roman" w:cs="Times New Roman"/>
          <w:sz w:val="24"/>
          <w:szCs w:val="24"/>
        </w:rPr>
        <w:t>r</w:t>
      </w:r>
      <w:r w:rsidRPr="00802844">
        <w:rPr>
          <w:rFonts w:ascii="Times New Roman" w:eastAsia="Times New Roman" w:hAnsi="Times New Roman" w:cs="Times New Roman"/>
          <w:sz w:val="24"/>
          <w:szCs w:val="24"/>
        </w:rPr>
        <w:t>oyalists. </w:t>
      </w:r>
      <w:r w:rsidR="0019506B">
        <w:rPr>
          <w:rFonts w:ascii="Times New Roman" w:eastAsia="Times New Roman" w:hAnsi="Times New Roman" w:cs="Times New Roman"/>
          <w:sz w:val="24"/>
          <w:szCs w:val="24"/>
        </w:rPr>
        <w:t>As Callow shows,</w:t>
      </w:r>
      <w:r w:rsidRPr="00802844">
        <w:rPr>
          <w:rFonts w:ascii="Times New Roman" w:eastAsia="Times New Roman" w:hAnsi="Times New Roman" w:cs="Times New Roman"/>
          <w:sz w:val="24"/>
          <w:szCs w:val="24"/>
        </w:rPr>
        <w:t xml:space="preserve"> the most prominent of Fairfax’s appointees was his kinsman, James Chaloner (1603–1660) who was charged by Sir Thomas with auditing the governmental structures and discovering what was actually meant by the ‘existing’, customary ‘lands and liberties’ of the islanders. His resulting brief, written in 1652–3, and published with a dedication to Lord Fairfax in 1656, as </w:t>
      </w:r>
      <w:r w:rsidRPr="00802844">
        <w:rPr>
          <w:rFonts w:ascii="Times New Roman" w:eastAsia="Times New Roman" w:hAnsi="Times New Roman" w:cs="Times New Roman"/>
          <w:i/>
          <w:iCs/>
          <w:sz w:val="24"/>
          <w:szCs w:val="24"/>
        </w:rPr>
        <w:t>A Short Treatise on the Isle of Man</w:t>
      </w:r>
      <w:r w:rsidRPr="0019506B">
        <w:rPr>
          <w:rFonts w:ascii="Times New Roman" w:eastAsia="Times New Roman" w:hAnsi="Times New Roman" w:cs="Times New Roman"/>
          <w:iCs/>
          <w:sz w:val="24"/>
          <w:szCs w:val="24"/>
        </w:rPr>
        <w:t>,</w:t>
      </w:r>
      <w:r w:rsidRPr="00802844">
        <w:rPr>
          <w:rFonts w:ascii="Times New Roman" w:eastAsia="Times New Roman" w:hAnsi="Times New Roman" w:cs="Times New Roman"/>
          <w:i/>
          <w:iCs/>
          <w:sz w:val="24"/>
          <w:szCs w:val="24"/>
        </w:rPr>
        <w:t xml:space="preserve"> </w:t>
      </w:r>
      <w:r w:rsidRPr="00802844">
        <w:rPr>
          <w:rFonts w:ascii="Times New Roman" w:eastAsia="Times New Roman" w:hAnsi="Times New Roman" w:cs="Times New Roman"/>
          <w:sz w:val="24"/>
          <w:szCs w:val="24"/>
        </w:rPr>
        <w:t>provides the seminal account of Manx culture and governance during the mid</w:t>
      </w:r>
      <w:r w:rsidR="0019506B">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seventeenth century. </w:t>
      </w:r>
    </w:p>
    <w:p w:rsidR="005E14F3" w:rsidRPr="00802844" w:rsidRDefault="00333C7A" w:rsidP="00763634">
      <w:pPr>
        <w:spacing w:after="0" w:line="480" w:lineRule="auto"/>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ab/>
        <w:t xml:space="preserve">In the end, the alliances of the 1650s, we learn, fractured due to Chaloner’s attempt to extend his own powers by removing the native Christians from office; and collapsed due to entirely external factors, namely the split in the army between supporters of the rival generals Monck and Lambert. It was Lambert’s partisans who seized Chaloner </w:t>
      </w:r>
      <w:r w:rsidR="0019506B">
        <w:rPr>
          <w:rFonts w:ascii="Times New Roman" w:eastAsia="Times New Roman" w:hAnsi="Times New Roman" w:cs="Times New Roman"/>
          <w:sz w:val="24"/>
          <w:szCs w:val="24"/>
        </w:rPr>
        <w:t xml:space="preserve">prisoner, in </w:t>
      </w:r>
      <w:r w:rsidR="0019506B">
        <w:rPr>
          <w:rFonts w:ascii="Times New Roman" w:eastAsia="Times New Roman" w:hAnsi="Times New Roman" w:cs="Times New Roman"/>
          <w:sz w:val="24"/>
          <w:szCs w:val="24"/>
        </w:rPr>
        <w:lastRenderedPageBreak/>
        <w:t>November/</w:t>
      </w:r>
      <w:r w:rsidRPr="00802844">
        <w:rPr>
          <w:rFonts w:ascii="Times New Roman" w:eastAsia="Times New Roman" w:hAnsi="Times New Roman" w:cs="Times New Roman"/>
          <w:sz w:val="24"/>
          <w:szCs w:val="24"/>
        </w:rPr>
        <w:t xml:space="preserve">December 1659, and effectively dissolved Fairfax’s rule. Though Chaloner would subsequently be released, by order of the English </w:t>
      </w:r>
      <w:r w:rsidR="0019506B">
        <w:rPr>
          <w:rFonts w:ascii="Times New Roman" w:eastAsia="Times New Roman" w:hAnsi="Times New Roman" w:cs="Times New Roman"/>
          <w:sz w:val="24"/>
          <w:szCs w:val="24"/>
        </w:rPr>
        <w:t>p</w:t>
      </w:r>
      <w:r w:rsidRPr="00802844">
        <w:rPr>
          <w:rFonts w:ascii="Times New Roman" w:eastAsia="Times New Roman" w:hAnsi="Times New Roman" w:cs="Times New Roman"/>
          <w:sz w:val="24"/>
          <w:szCs w:val="24"/>
        </w:rPr>
        <w:t xml:space="preserve">arliament, Fairfax’s equivocal position regarding the island and his own lordship permitted the restoration of the house of Derby to parallel that of the king. Indeed, the unwillingness or inability of Fairfax to protect his own partisans on the </w:t>
      </w:r>
      <w:r w:rsidR="0019506B">
        <w:rPr>
          <w:rFonts w:ascii="Times New Roman" w:eastAsia="Times New Roman" w:hAnsi="Times New Roman" w:cs="Times New Roman"/>
          <w:sz w:val="24"/>
          <w:szCs w:val="24"/>
        </w:rPr>
        <w:t>I</w:t>
      </w:r>
      <w:r w:rsidRPr="00802844">
        <w:rPr>
          <w:rFonts w:ascii="Times New Roman" w:eastAsia="Times New Roman" w:hAnsi="Times New Roman" w:cs="Times New Roman"/>
          <w:sz w:val="24"/>
          <w:szCs w:val="24"/>
        </w:rPr>
        <w:t>sle saw Chaloner caught</w:t>
      </w:r>
      <w:r w:rsidR="0019506B">
        <w:rPr>
          <w:rFonts w:ascii="Times New Roman" w:eastAsia="Times New Roman" w:hAnsi="Times New Roman" w:cs="Times New Roman"/>
          <w:sz w:val="24"/>
          <w:szCs w:val="24"/>
        </w:rPr>
        <w:t xml:space="preserve"> </w:t>
      </w:r>
      <w:r w:rsidRPr="00802844">
        <w:rPr>
          <w:rFonts w:ascii="Times New Roman" w:eastAsia="Times New Roman" w:hAnsi="Times New Roman" w:cs="Times New Roman"/>
          <w:sz w:val="24"/>
          <w:szCs w:val="24"/>
        </w:rPr>
        <w:t>up in the brutal settling of scores undertaken by the new Earl of Derby, Charles Stanley, between 1660 and 166</w:t>
      </w:r>
      <w:r w:rsidR="008A1E1C">
        <w:rPr>
          <w:rFonts w:ascii="Times New Roman" w:eastAsia="Times New Roman" w:hAnsi="Times New Roman" w:cs="Times New Roman"/>
          <w:sz w:val="24"/>
          <w:szCs w:val="24"/>
        </w:rPr>
        <w:t>3</w:t>
      </w:r>
      <w:r w:rsidRPr="00802844">
        <w:rPr>
          <w:rFonts w:ascii="Times New Roman" w:eastAsia="Times New Roman" w:hAnsi="Times New Roman" w:cs="Times New Roman"/>
          <w:sz w:val="24"/>
          <w:szCs w:val="24"/>
        </w:rPr>
        <w:t>.</w:t>
      </w:r>
      <w:r w:rsidR="008A1E1C">
        <w:rPr>
          <w:rStyle w:val="FootnoteReference"/>
          <w:rFonts w:ascii="Times New Roman" w:eastAsia="Times New Roman" w:hAnsi="Times New Roman" w:cs="Times New Roman"/>
          <w:sz w:val="24"/>
          <w:szCs w:val="24"/>
        </w:rPr>
        <w:footnoteReference w:id="24"/>
      </w:r>
      <w:r w:rsidRPr="00802844">
        <w:rPr>
          <w:rFonts w:ascii="Times New Roman" w:eastAsia="Times New Roman" w:hAnsi="Times New Roman" w:cs="Times New Roman"/>
          <w:sz w:val="24"/>
          <w:szCs w:val="24"/>
        </w:rPr>
        <w:t xml:space="preserve"> This said, Fairfax’s eight-year rule as absentee landlord had consolidated the notion of Manx ‘separateness’ from the other British Isles, helped to codify its distinctive Norse–Gaelic legal machinery on Man and prevented the dissolution of the legislature, the House of Keys. Moreover, </w:t>
      </w:r>
      <w:r w:rsidR="0019506B">
        <w:rPr>
          <w:rFonts w:ascii="Times New Roman" w:eastAsia="Times New Roman" w:hAnsi="Times New Roman" w:cs="Times New Roman"/>
          <w:sz w:val="24"/>
          <w:szCs w:val="24"/>
        </w:rPr>
        <w:t xml:space="preserve">this chapter argues, </w:t>
      </w:r>
      <w:r w:rsidRPr="00802844">
        <w:rPr>
          <w:rFonts w:ascii="Times New Roman" w:eastAsia="Times New Roman" w:hAnsi="Times New Roman" w:cs="Times New Roman"/>
          <w:sz w:val="24"/>
          <w:szCs w:val="24"/>
        </w:rPr>
        <w:t xml:space="preserve">Chaloner’s </w:t>
      </w:r>
      <w:r w:rsidRPr="00802844">
        <w:rPr>
          <w:rFonts w:ascii="Times New Roman" w:eastAsia="Times New Roman" w:hAnsi="Times New Roman" w:cs="Times New Roman"/>
          <w:i/>
          <w:iCs/>
          <w:sz w:val="24"/>
          <w:szCs w:val="24"/>
        </w:rPr>
        <w:t xml:space="preserve">Treatise </w:t>
      </w:r>
      <w:r w:rsidRPr="00802844">
        <w:rPr>
          <w:rFonts w:ascii="Times New Roman" w:eastAsia="Times New Roman" w:hAnsi="Times New Roman" w:cs="Times New Roman"/>
          <w:sz w:val="24"/>
          <w:szCs w:val="24"/>
        </w:rPr>
        <w:t>brought an awareness of a distinctive Manx culture to an English public that knew little, or nothing, of this important strategic outpost in the middle of the Irish Sea</w:t>
      </w:r>
      <w:r w:rsidR="0048419A">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and</w:t>
      </w:r>
      <w:r w:rsidR="0019506B">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together with his keen antiquarian interest in the island’s pre-history</w:t>
      </w:r>
      <w:r w:rsidR="0019506B">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contributed to the forg</w:t>
      </w:r>
      <w:r w:rsidR="005E14F3" w:rsidRPr="00802844">
        <w:rPr>
          <w:rFonts w:ascii="Times New Roman" w:eastAsia="Times New Roman" w:hAnsi="Times New Roman" w:cs="Times New Roman"/>
          <w:sz w:val="24"/>
          <w:szCs w:val="24"/>
        </w:rPr>
        <w:t>ing of a sense of nation that continues to this day. </w:t>
      </w:r>
    </w:p>
    <w:p w:rsidR="005E14F3" w:rsidRPr="00802844" w:rsidRDefault="005E14F3" w:rsidP="00763634">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Chapter </w:t>
      </w:r>
      <w:r w:rsidR="00AC5DF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is the first of four chapters with </w:t>
      </w:r>
      <w:r w:rsidR="00BA20D5">
        <w:rPr>
          <w:rFonts w:ascii="Times New Roman" w:eastAsia="Times New Roman" w:hAnsi="Times New Roman" w:cs="Times New Roman"/>
          <w:bCs/>
          <w:sz w:val="24"/>
          <w:szCs w:val="24"/>
        </w:rPr>
        <w:t xml:space="preserve">a military focus. In this chapter, </w:t>
      </w:r>
      <w:r w:rsidRPr="00802844">
        <w:rPr>
          <w:rFonts w:ascii="Times New Roman" w:eastAsia="Times New Roman" w:hAnsi="Times New Roman" w:cs="Times New Roman"/>
          <w:sz w:val="24"/>
          <w:szCs w:val="24"/>
        </w:rPr>
        <w:t>Robert Barcroft</w:t>
      </w:r>
      <w:r w:rsidR="00BA20D5">
        <w:rPr>
          <w:rFonts w:ascii="Times New Roman" w:eastAsia="Times New Roman" w:hAnsi="Times New Roman" w:cs="Times New Roman"/>
          <w:sz w:val="24"/>
          <w:szCs w:val="24"/>
        </w:rPr>
        <w:t xml:space="preserve"> </w:t>
      </w:r>
      <w:r w:rsidRPr="00802844">
        <w:rPr>
          <w:rFonts w:ascii="Times New Roman" w:eastAsia="Times New Roman" w:hAnsi="Times New Roman" w:cs="Times New Roman"/>
          <w:sz w:val="24"/>
          <w:szCs w:val="24"/>
        </w:rPr>
        <w:t>argue</w:t>
      </w:r>
      <w:r w:rsidR="00BA20D5">
        <w:rPr>
          <w:rFonts w:ascii="Times New Roman" w:eastAsia="Times New Roman" w:hAnsi="Times New Roman" w:cs="Times New Roman"/>
          <w:sz w:val="24"/>
          <w:szCs w:val="24"/>
        </w:rPr>
        <w:t>s that</w:t>
      </w:r>
      <w:r w:rsidRPr="00802844">
        <w:rPr>
          <w:rFonts w:ascii="Times New Roman" w:eastAsia="Times New Roman" w:hAnsi="Times New Roman" w:cs="Times New Roman"/>
          <w:sz w:val="24"/>
          <w:szCs w:val="24"/>
        </w:rPr>
        <w:t xml:space="preserve"> military histories of the English </w:t>
      </w:r>
      <w:r w:rsidR="00707AF1">
        <w:rPr>
          <w:rFonts w:ascii="Times New Roman" w:eastAsia="Times New Roman" w:hAnsi="Times New Roman" w:cs="Times New Roman"/>
          <w:sz w:val="24"/>
          <w:szCs w:val="24"/>
        </w:rPr>
        <w:t>c</w:t>
      </w:r>
      <w:r w:rsidRPr="00802844">
        <w:rPr>
          <w:rFonts w:ascii="Times New Roman" w:eastAsia="Times New Roman" w:hAnsi="Times New Roman" w:cs="Times New Roman"/>
          <w:sz w:val="24"/>
          <w:szCs w:val="24"/>
        </w:rPr>
        <w:t xml:space="preserve">ivil </w:t>
      </w:r>
      <w:r w:rsidR="00707AF1">
        <w:rPr>
          <w:rFonts w:ascii="Times New Roman" w:eastAsia="Times New Roman" w:hAnsi="Times New Roman" w:cs="Times New Roman"/>
          <w:sz w:val="24"/>
          <w:szCs w:val="24"/>
        </w:rPr>
        <w:t>w</w:t>
      </w:r>
      <w:r w:rsidRPr="00802844">
        <w:rPr>
          <w:rFonts w:ascii="Times New Roman" w:eastAsia="Times New Roman" w:hAnsi="Times New Roman" w:cs="Times New Roman"/>
          <w:sz w:val="24"/>
          <w:szCs w:val="24"/>
        </w:rPr>
        <w:t>ars have tended to concentrate on the set-piece battles to the exclusion of garrison and siege warfare, and th</w:t>
      </w:r>
      <w:r w:rsidR="00BC3709">
        <w:rPr>
          <w:rFonts w:ascii="Times New Roman" w:eastAsia="Times New Roman" w:hAnsi="Times New Roman" w:cs="Times New Roman"/>
          <w:sz w:val="24"/>
          <w:szCs w:val="24"/>
        </w:rPr>
        <w:t>at th</w:t>
      </w:r>
      <w:r w:rsidRPr="00802844">
        <w:rPr>
          <w:rFonts w:ascii="Times New Roman" w:eastAsia="Times New Roman" w:hAnsi="Times New Roman" w:cs="Times New Roman"/>
          <w:sz w:val="24"/>
          <w:szCs w:val="24"/>
        </w:rPr>
        <w:t xml:space="preserve">e same can be said when historians have turned their attentions to Sir Thomas Fairfax’s role as a general. Where and when exactly Fairfax was on the battlefields of Marston Moor and Naseby has been endlessly debated in subsequent accounts and biographies, but this ignores the fact that Fairfax took part in just as many sieges as he did relatively large field actions; sieges that arguably were just as important to the course and outcome of the wars as the battles. This </w:t>
      </w:r>
      <w:r w:rsidR="00B912AF">
        <w:rPr>
          <w:rFonts w:ascii="Times New Roman" w:eastAsia="Times New Roman" w:hAnsi="Times New Roman" w:cs="Times New Roman"/>
          <w:sz w:val="24"/>
          <w:szCs w:val="24"/>
        </w:rPr>
        <w:t xml:space="preserve">chapter seeks </w:t>
      </w:r>
      <w:r w:rsidRPr="00802844">
        <w:rPr>
          <w:rFonts w:ascii="Times New Roman" w:eastAsia="Times New Roman" w:hAnsi="Times New Roman" w:cs="Times New Roman"/>
          <w:sz w:val="24"/>
          <w:szCs w:val="24"/>
        </w:rPr>
        <w:t>to redress this imbalance, through an examination of how Fairfax conducted s</w:t>
      </w:r>
      <w:r w:rsidR="001D1FDA">
        <w:rPr>
          <w:rFonts w:ascii="Times New Roman" w:eastAsia="Times New Roman" w:hAnsi="Times New Roman" w:cs="Times New Roman"/>
          <w:sz w:val="24"/>
          <w:szCs w:val="24"/>
        </w:rPr>
        <w:t>iege warfare in the years 1642–</w:t>
      </w:r>
      <w:r w:rsidRPr="00802844">
        <w:rPr>
          <w:rFonts w:ascii="Times New Roman" w:eastAsia="Times New Roman" w:hAnsi="Times New Roman" w:cs="Times New Roman"/>
          <w:sz w:val="24"/>
          <w:szCs w:val="24"/>
        </w:rPr>
        <w:t xml:space="preserve">8, and </w:t>
      </w:r>
      <w:r w:rsidR="001D1FDA">
        <w:rPr>
          <w:rFonts w:ascii="Times New Roman" w:eastAsia="Times New Roman" w:hAnsi="Times New Roman" w:cs="Times New Roman"/>
          <w:sz w:val="24"/>
          <w:szCs w:val="24"/>
        </w:rPr>
        <w:t xml:space="preserve">helps account for </w:t>
      </w:r>
      <w:r w:rsidRPr="00802844">
        <w:rPr>
          <w:rFonts w:ascii="Times New Roman" w:eastAsia="Times New Roman" w:hAnsi="Times New Roman" w:cs="Times New Roman"/>
          <w:sz w:val="24"/>
          <w:szCs w:val="24"/>
        </w:rPr>
        <w:t xml:space="preserve">why he was generally successful at such undertakings. </w:t>
      </w:r>
      <w:r w:rsidR="001D1FDA">
        <w:rPr>
          <w:rFonts w:ascii="Times New Roman" w:eastAsia="Times New Roman" w:hAnsi="Times New Roman" w:cs="Times New Roman"/>
          <w:sz w:val="24"/>
          <w:szCs w:val="24"/>
        </w:rPr>
        <w:t xml:space="preserve">Such </w:t>
      </w:r>
      <w:r w:rsidRPr="00802844">
        <w:rPr>
          <w:rFonts w:ascii="Times New Roman" w:eastAsia="Times New Roman" w:hAnsi="Times New Roman" w:cs="Times New Roman"/>
          <w:sz w:val="24"/>
          <w:szCs w:val="24"/>
        </w:rPr>
        <w:t>success is especially remarkable</w:t>
      </w:r>
      <w:r w:rsidR="00233D68">
        <w:rPr>
          <w:rFonts w:ascii="Times New Roman" w:eastAsia="Times New Roman" w:hAnsi="Times New Roman" w:cs="Times New Roman"/>
          <w:sz w:val="24"/>
          <w:szCs w:val="24"/>
        </w:rPr>
        <w:t xml:space="preserve">, Barcroft shows, </w:t>
      </w:r>
      <w:r w:rsidRPr="00802844">
        <w:rPr>
          <w:rFonts w:ascii="Times New Roman" w:eastAsia="Times New Roman" w:hAnsi="Times New Roman" w:cs="Times New Roman"/>
          <w:sz w:val="24"/>
          <w:szCs w:val="24"/>
        </w:rPr>
        <w:t xml:space="preserve">given the erratic </w:t>
      </w:r>
      <w:r w:rsidRPr="00802844">
        <w:rPr>
          <w:rFonts w:ascii="Times New Roman" w:eastAsia="Times New Roman" w:hAnsi="Times New Roman" w:cs="Times New Roman"/>
          <w:sz w:val="24"/>
          <w:szCs w:val="24"/>
        </w:rPr>
        <w:lastRenderedPageBreak/>
        <w:t>nature of sieges in civil-war England</w:t>
      </w:r>
      <w:r w:rsidR="00233D68">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as commanders sought </w:t>
      </w:r>
      <w:r w:rsidR="00233D68" w:rsidRPr="00802844">
        <w:rPr>
          <w:rFonts w:ascii="Times New Roman" w:eastAsia="Times New Roman" w:hAnsi="Times New Roman" w:cs="Times New Roman"/>
          <w:sz w:val="24"/>
          <w:szCs w:val="24"/>
        </w:rPr>
        <w:t xml:space="preserve">quickly </w:t>
      </w:r>
      <w:r w:rsidRPr="00802844">
        <w:rPr>
          <w:rFonts w:ascii="Times New Roman" w:eastAsia="Times New Roman" w:hAnsi="Times New Roman" w:cs="Times New Roman"/>
          <w:sz w:val="24"/>
          <w:szCs w:val="24"/>
        </w:rPr>
        <w:t>to implement developments in siege technology that had taken centuries</w:t>
      </w:r>
      <w:r w:rsidR="00233D68">
        <w:rPr>
          <w:rFonts w:ascii="Times New Roman" w:eastAsia="Times New Roman" w:hAnsi="Times New Roman" w:cs="Times New Roman"/>
          <w:sz w:val="24"/>
          <w:szCs w:val="24"/>
        </w:rPr>
        <w:t xml:space="preserve"> to evolve on the continent. In this context, Fa</w:t>
      </w:r>
      <w:r w:rsidRPr="00802844">
        <w:rPr>
          <w:rFonts w:ascii="Times New Roman" w:eastAsia="Times New Roman" w:hAnsi="Times New Roman" w:cs="Times New Roman"/>
          <w:sz w:val="24"/>
          <w:szCs w:val="24"/>
        </w:rPr>
        <w:t>irfax’s strong personal preference for seeking military solutions through decisive battles and stormings, rather than through a prolonged period of investment of a particular fortified strongpoint</w:t>
      </w:r>
      <w:r w:rsidR="00233D68">
        <w:rPr>
          <w:rFonts w:ascii="Times New Roman" w:eastAsia="Times New Roman" w:hAnsi="Times New Roman" w:cs="Times New Roman"/>
          <w:sz w:val="24"/>
          <w:szCs w:val="24"/>
        </w:rPr>
        <w:t>, is explicated.</w:t>
      </w:r>
      <w:r w:rsidRPr="00802844">
        <w:rPr>
          <w:rFonts w:ascii="Times New Roman" w:eastAsia="Times New Roman" w:hAnsi="Times New Roman" w:cs="Times New Roman"/>
          <w:sz w:val="24"/>
          <w:szCs w:val="24"/>
        </w:rPr>
        <w:t xml:space="preserve"> Although there was a lack of innovation in the New Model Army at the time of its creation, through Fairfax’s leadership and his restructuring of the army allowing for more efficient artillery and stricter discipline, the siege-making capacity of his forces became increasingly proficient. With these changes brought about by Fairfax, the </w:t>
      </w:r>
      <w:r w:rsidR="00940E51">
        <w:rPr>
          <w:rFonts w:ascii="Times New Roman" w:eastAsia="Times New Roman" w:hAnsi="Times New Roman" w:cs="Times New Roman"/>
          <w:sz w:val="24"/>
          <w:szCs w:val="24"/>
        </w:rPr>
        <w:t>p</w:t>
      </w:r>
      <w:r w:rsidRPr="00802844">
        <w:rPr>
          <w:rFonts w:ascii="Times New Roman" w:eastAsia="Times New Roman" w:hAnsi="Times New Roman" w:cs="Times New Roman"/>
          <w:sz w:val="24"/>
          <w:szCs w:val="24"/>
        </w:rPr>
        <w:t>arliamentarian army went from essentially blundering its way through sieges</w:t>
      </w:r>
      <w:r w:rsidR="00940E51">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as was seen with the unnecessary casualties at York in 1644, to the construction of the most sophisticated set of siege works ever completed in England only four years later at Colchester, completely circ</w:t>
      </w:r>
      <w:r w:rsidR="0090260A">
        <w:rPr>
          <w:rFonts w:ascii="Times New Roman" w:eastAsia="Times New Roman" w:hAnsi="Times New Roman" w:cs="Times New Roman"/>
          <w:sz w:val="24"/>
          <w:szCs w:val="24"/>
        </w:rPr>
        <w:t>umvallating the town and</w:t>
      </w:r>
      <w:r w:rsidRPr="00802844">
        <w:rPr>
          <w:rFonts w:ascii="Times New Roman" w:eastAsia="Times New Roman" w:hAnsi="Times New Roman" w:cs="Times New Roman"/>
          <w:sz w:val="24"/>
          <w:szCs w:val="24"/>
        </w:rPr>
        <w:t xml:space="preserve"> starving it into submission. </w:t>
      </w:r>
      <w:r w:rsidRPr="00802844">
        <w:rPr>
          <w:rFonts w:ascii="Times New Roman" w:eastAsia="Times New Roman" w:hAnsi="Times New Roman" w:cs="Times New Roman"/>
          <w:b/>
          <w:sz w:val="24"/>
          <w:szCs w:val="24"/>
        </w:rPr>
        <w:t xml:space="preserve"> </w:t>
      </w:r>
    </w:p>
    <w:p w:rsidR="005E14F3" w:rsidRPr="0076627F" w:rsidRDefault="005E14F3" w:rsidP="00763634">
      <w:pPr>
        <w:spacing w:after="0" w:line="480" w:lineRule="auto"/>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ab/>
      </w:r>
      <w:r w:rsidR="00940E51">
        <w:rPr>
          <w:rFonts w:ascii="Times New Roman" w:eastAsia="Times New Roman" w:hAnsi="Times New Roman" w:cs="Times New Roman"/>
          <w:sz w:val="24"/>
          <w:szCs w:val="24"/>
        </w:rPr>
        <w:t xml:space="preserve">In Chapter </w:t>
      </w:r>
      <w:r w:rsidR="00AC5DF7">
        <w:rPr>
          <w:rFonts w:ascii="Times New Roman" w:eastAsia="Times New Roman" w:hAnsi="Times New Roman" w:cs="Times New Roman"/>
          <w:sz w:val="24"/>
          <w:szCs w:val="24"/>
        </w:rPr>
        <w:t>3</w:t>
      </w:r>
      <w:r w:rsidR="00940E51">
        <w:rPr>
          <w:rFonts w:ascii="Times New Roman" w:eastAsia="Times New Roman" w:hAnsi="Times New Roman" w:cs="Times New Roman"/>
          <w:sz w:val="24"/>
          <w:szCs w:val="24"/>
        </w:rPr>
        <w:t xml:space="preserve">, </w:t>
      </w:r>
      <w:r w:rsidRPr="00802844">
        <w:rPr>
          <w:rFonts w:ascii="Times New Roman" w:eastAsia="Times New Roman" w:hAnsi="Times New Roman" w:cs="Times New Roman"/>
          <w:sz w:val="24"/>
          <w:szCs w:val="24"/>
        </w:rPr>
        <w:t xml:space="preserve">Mandy de Belin </w:t>
      </w:r>
      <w:r w:rsidR="00AC5DF7">
        <w:rPr>
          <w:rFonts w:ascii="Times New Roman" w:eastAsia="Times New Roman" w:hAnsi="Times New Roman" w:cs="Times New Roman"/>
          <w:sz w:val="24"/>
          <w:szCs w:val="24"/>
        </w:rPr>
        <w:t xml:space="preserve">explains </w:t>
      </w:r>
      <w:r w:rsidRPr="00802844">
        <w:rPr>
          <w:rFonts w:ascii="Times New Roman" w:eastAsia="Times New Roman" w:hAnsi="Times New Roman" w:cs="Times New Roman"/>
          <w:sz w:val="24"/>
          <w:szCs w:val="24"/>
        </w:rPr>
        <w:t>that recent accounts of the battle</w:t>
      </w:r>
      <w:r w:rsidR="00E97850">
        <w:rPr>
          <w:rFonts w:ascii="Times New Roman" w:eastAsia="Times New Roman" w:hAnsi="Times New Roman" w:cs="Times New Roman"/>
          <w:sz w:val="24"/>
          <w:szCs w:val="24"/>
        </w:rPr>
        <w:t xml:space="preserve"> of Naseby</w:t>
      </w:r>
      <w:r w:rsidRPr="00802844">
        <w:rPr>
          <w:rFonts w:ascii="Times New Roman" w:eastAsia="Times New Roman" w:hAnsi="Times New Roman" w:cs="Times New Roman"/>
          <w:sz w:val="24"/>
          <w:szCs w:val="24"/>
        </w:rPr>
        <w:t xml:space="preserve"> have put the landscape at the centre of their interpretations. The topology and contemporary use of the land have rightly </w:t>
      </w:r>
      <w:r w:rsidR="005D61E9" w:rsidRPr="00802844">
        <w:rPr>
          <w:rFonts w:ascii="Times New Roman" w:eastAsia="Times New Roman" w:hAnsi="Times New Roman" w:cs="Times New Roman"/>
          <w:sz w:val="24"/>
          <w:szCs w:val="24"/>
        </w:rPr>
        <w:t xml:space="preserve">been </w:t>
      </w:r>
      <w:r w:rsidRPr="00802844">
        <w:rPr>
          <w:rFonts w:ascii="Times New Roman" w:eastAsia="Times New Roman" w:hAnsi="Times New Roman" w:cs="Times New Roman"/>
          <w:sz w:val="24"/>
          <w:szCs w:val="24"/>
        </w:rPr>
        <w:t xml:space="preserve">given prominence in considering how the two armies deployed, how they engaged, and how the defeated </w:t>
      </w:r>
      <w:r w:rsidR="005D61E9">
        <w:rPr>
          <w:rFonts w:ascii="Times New Roman" w:eastAsia="Times New Roman" w:hAnsi="Times New Roman" w:cs="Times New Roman"/>
          <w:sz w:val="24"/>
          <w:szCs w:val="24"/>
        </w:rPr>
        <w:t>r</w:t>
      </w:r>
      <w:r w:rsidRPr="00802844">
        <w:rPr>
          <w:rFonts w:ascii="Times New Roman" w:eastAsia="Times New Roman" w:hAnsi="Times New Roman" w:cs="Times New Roman"/>
          <w:sz w:val="24"/>
          <w:szCs w:val="24"/>
        </w:rPr>
        <w:t xml:space="preserve">oyalists retreated. The theatre in which the battle was played out was shaped by the landscape history of Naseby, and the surrounding parishes. Understanding the forces driving the development of this area, and its condition in 1645, </w:t>
      </w:r>
      <w:r w:rsidR="005D61E9">
        <w:rPr>
          <w:rFonts w:ascii="Times New Roman" w:eastAsia="Times New Roman" w:hAnsi="Times New Roman" w:cs="Times New Roman"/>
          <w:sz w:val="24"/>
          <w:szCs w:val="24"/>
        </w:rPr>
        <w:t>de Belin asserts, a</w:t>
      </w:r>
      <w:r w:rsidRPr="00802844">
        <w:rPr>
          <w:rFonts w:ascii="Times New Roman" w:eastAsia="Times New Roman" w:hAnsi="Times New Roman" w:cs="Times New Roman"/>
          <w:sz w:val="24"/>
          <w:szCs w:val="24"/>
        </w:rPr>
        <w:t xml:space="preserve">re vital to an appreciation of the battle, and of Fairfax’s achievement in winning this most significant of victories. </w:t>
      </w:r>
      <w:r w:rsidR="009A1B07">
        <w:rPr>
          <w:rFonts w:ascii="Times New Roman" w:eastAsia="Times New Roman" w:hAnsi="Times New Roman" w:cs="Times New Roman"/>
          <w:sz w:val="24"/>
          <w:szCs w:val="24"/>
        </w:rPr>
        <w:t xml:space="preserve">Perhaps </w:t>
      </w:r>
      <w:r w:rsidRPr="00802844">
        <w:rPr>
          <w:rFonts w:ascii="Times New Roman" w:eastAsia="Times New Roman" w:hAnsi="Times New Roman" w:cs="Times New Roman"/>
          <w:sz w:val="24"/>
          <w:szCs w:val="24"/>
        </w:rPr>
        <w:t xml:space="preserve">not so obvious is the importance of the afterlife of the area. To enable a viewer of the battlefield to strip away its current furniture of hedgerows, coverts and copses, it is necessary to understand the development of the landscape over the intervening centuries. This </w:t>
      </w:r>
      <w:r w:rsidR="009A1B07">
        <w:rPr>
          <w:rFonts w:ascii="Times New Roman" w:eastAsia="Times New Roman" w:hAnsi="Times New Roman" w:cs="Times New Roman"/>
          <w:sz w:val="24"/>
          <w:szCs w:val="24"/>
        </w:rPr>
        <w:t xml:space="preserve">chapter </w:t>
      </w:r>
      <w:r w:rsidRPr="00802844">
        <w:rPr>
          <w:rFonts w:ascii="Times New Roman" w:eastAsia="Times New Roman" w:hAnsi="Times New Roman" w:cs="Times New Roman"/>
          <w:sz w:val="24"/>
          <w:szCs w:val="24"/>
        </w:rPr>
        <w:t>g</w:t>
      </w:r>
      <w:r w:rsidR="009A1B07">
        <w:rPr>
          <w:rFonts w:ascii="Times New Roman" w:eastAsia="Times New Roman" w:hAnsi="Times New Roman" w:cs="Times New Roman"/>
          <w:sz w:val="24"/>
          <w:szCs w:val="24"/>
        </w:rPr>
        <w:t>i</w:t>
      </w:r>
      <w:r w:rsidRPr="00802844">
        <w:rPr>
          <w:rFonts w:ascii="Times New Roman" w:eastAsia="Times New Roman" w:hAnsi="Times New Roman" w:cs="Times New Roman"/>
          <w:sz w:val="24"/>
          <w:szCs w:val="24"/>
        </w:rPr>
        <w:t>ve</w:t>
      </w:r>
      <w:r w:rsidR="009A1B07">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xml:space="preserve"> an account of the landscape context, both leading up to the battle and its subsequent trajectory. Naseby is situated in ‘High Northamptonshire’: a region of cold, intractable clay soils. At the beginning of the </w:t>
      </w:r>
      <w:r w:rsidRPr="00802844">
        <w:rPr>
          <w:rFonts w:ascii="Times New Roman" w:eastAsia="Times New Roman" w:hAnsi="Times New Roman" w:cs="Times New Roman"/>
          <w:sz w:val="24"/>
          <w:szCs w:val="24"/>
        </w:rPr>
        <w:lastRenderedPageBreak/>
        <w:t>eighteenth century, a full two-thirds of the village</w:t>
      </w:r>
      <w:r w:rsidR="008D0359">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xml:space="preserve"> open fields were put down to grass. This reflected a development common to this area over the p</w:t>
      </w:r>
      <w:r w:rsidRPr="0076627F">
        <w:rPr>
          <w:rFonts w:ascii="Times New Roman" w:eastAsia="Times New Roman" w:hAnsi="Times New Roman" w:cs="Times New Roman"/>
          <w:sz w:val="24"/>
          <w:szCs w:val="24"/>
        </w:rPr>
        <w:t>receding two centuries: a conversion of medieval open fields to pasture and an associated desertion of villages and replacement of human inhabitants with sheep. The process gathered pace with the coming of parliamentary enclosure, and cattle rearing came to dominate. In the twentieth century the tide turned again, as agricultural imperatives changed and mechanisation made clay soils more amenable to improvement. Arable farming expanded once more. These</w:t>
      </w:r>
      <w:r w:rsidR="00C72A7E">
        <w:rPr>
          <w:rFonts w:ascii="Times New Roman" w:eastAsia="Times New Roman" w:hAnsi="Times New Roman" w:cs="Times New Roman"/>
          <w:sz w:val="24"/>
          <w:szCs w:val="24"/>
        </w:rPr>
        <w:t xml:space="preserve">, de Belin shows, </w:t>
      </w:r>
      <w:r w:rsidRPr="0076627F">
        <w:rPr>
          <w:rFonts w:ascii="Times New Roman" w:eastAsia="Times New Roman" w:hAnsi="Times New Roman" w:cs="Times New Roman"/>
          <w:sz w:val="24"/>
          <w:szCs w:val="24"/>
        </w:rPr>
        <w:t>are the developments that shaped the landscape of Naseby, and of the surrounding parishes, both before the battle and in the intervening centuries. </w:t>
      </w:r>
    </w:p>
    <w:p w:rsidR="005E14F3" w:rsidRPr="00802844" w:rsidRDefault="005E14F3" w:rsidP="00763634">
      <w:pPr>
        <w:spacing w:after="0" w:line="480" w:lineRule="auto"/>
        <w:ind w:firstLine="720"/>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 xml:space="preserve">In the </w:t>
      </w:r>
      <w:r w:rsidR="004C239D">
        <w:rPr>
          <w:rFonts w:ascii="Times New Roman" w:eastAsia="Times New Roman" w:hAnsi="Times New Roman" w:cs="Times New Roman"/>
          <w:sz w:val="24"/>
          <w:szCs w:val="24"/>
        </w:rPr>
        <w:t xml:space="preserve">next chapter, </w:t>
      </w:r>
      <w:r w:rsidRPr="00802844">
        <w:rPr>
          <w:rFonts w:ascii="Times New Roman" w:eastAsia="Times New Roman" w:hAnsi="Times New Roman" w:cs="Times New Roman"/>
          <w:sz w:val="24"/>
          <w:szCs w:val="24"/>
        </w:rPr>
        <w:t xml:space="preserve">Ian Atherton </w:t>
      </w:r>
      <w:r w:rsidR="004C239D">
        <w:rPr>
          <w:rFonts w:ascii="Times New Roman" w:eastAsia="Times New Roman" w:hAnsi="Times New Roman" w:cs="Times New Roman"/>
          <w:sz w:val="24"/>
          <w:szCs w:val="24"/>
        </w:rPr>
        <w:t xml:space="preserve">makes the case that, though </w:t>
      </w:r>
      <w:r w:rsidRPr="00802844">
        <w:rPr>
          <w:rFonts w:ascii="Times New Roman" w:eastAsia="Times New Roman" w:hAnsi="Times New Roman" w:cs="Times New Roman"/>
          <w:sz w:val="24"/>
          <w:szCs w:val="24"/>
        </w:rPr>
        <w:t>the ways in which the personal reputation of Fairfax ha</w:t>
      </w:r>
      <w:r w:rsidR="00643A88">
        <w:rPr>
          <w:rFonts w:ascii="Times New Roman" w:eastAsia="Times New Roman" w:hAnsi="Times New Roman" w:cs="Times New Roman"/>
          <w:sz w:val="24"/>
          <w:szCs w:val="24"/>
        </w:rPr>
        <w:t>ve</w:t>
      </w:r>
      <w:r w:rsidRPr="00802844">
        <w:rPr>
          <w:rFonts w:ascii="Times New Roman" w:eastAsia="Times New Roman" w:hAnsi="Times New Roman" w:cs="Times New Roman"/>
          <w:sz w:val="24"/>
          <w:szCs w:val="24"/>
        </w:rPr>
        <w:t xml:space="preserve"> been recalled, and the man himself praised or vilified, have been analysed by </w:t>
      </w:r>
      <w:r w:rsidR="00643A88">
        <w:rPr>
          <w:rFonts w:ascii="Times New Roman" w:eastAsia="Times New Roman" w:hAnsi="Times New Roman" w:cs="Times New Roman"/>
          <w:sz w:val="24"/>
          <w:szCs w:val="24"/>
        </w:rPr>
        <w:t xml:space="preserve">Andrew </w:t>
      </w:r>
      <w:r w:rsidRPr="00802844">
        <w:rPr>
          <w:rFonts w:ascii="Times New Roman" w:eastAsia="Times New Roman" w:hAnsi="Times New Roman" w:cs="Times New Roman"/>
          <w:sz w:val="24"/>
          <w:szCs w:val="24"/>
        </w:rPr>
        <w:t xml:space="preserve">Hopper, the processes by which the scenes of his triumphs (or defeats) have been remembered, or forgotten, have received much less attention. The monuments which currently grace Marston Moor and Naseby (and a host of other civil-war sites) are nineteenth-century or later, and commemorate Cromwell rather than Fairfax. One of the few historians to have considered how Marston Moor and other civil-war battle sites have been remembered, Maija Jansson, simply contended that in the seventeenth century the ‘time was not right for the idea of memorializing’ battlefields. By contrast, </w:t>
      </w:r>
      <w:r w:rsidR="00F679B8">
        <w:rPr>
          <w:rFonts w:ascii="Times New Roman" w:eastAsia="Times New Roman" w:hAnsi="Times New Roman" w:cs="Times New Roman"/>
          <w:sz w:val="24"/>
          <w:szCs w:val="24"/>
        </w:rPr>
        <w:t xml:space="preserve">this chapter </w:t>
      </w:r>
      <w:r w:rsidRPr="00802844">
        <w:rPr>
          <w:rFonts w:ascii="Times New Roman" w:eastAsia="Times New Roman" w:hAnsi="Times New Roman" w:cs="Times New Roman"/>
          <w:sz w:val="24"/>
          <w:szCs w:val="24"/>
        </w:rPr>
        <w:t>situate</w:t>
      </w:r>
      <w:r w:rsidR="00F679B8">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xml:space="preserve"> Fairfax’s battles and sieges within long-term trends of commemoration of battlefields from the late Middle Ages to the modern era. It has recently been suggested that the Reformation ended medieval traditions of battlefield memorialization</w:t>
      </w:r>
      <w:r w:rsidR="00F679B8">
        <w:rPr>
          <w:rFonts w:ascii="Times New Roman" w:eastAsia="Times New Roman" w:hAnsi="Times New Roman" w:cs="Times New Roman"/>
          <w:sz w:val="24"/>
          <w:szCs w:val="24"/>
        </w:rPr>
        <w:t>,</w:t>
      </w:r>
      <w:r w:rsidRPr="00802844">
        <w:rPr>
          <w:rFonts w:ascii="Times New Roman" w:eastAsia="Times New Roman" w:hAnsi="Times New Roman" w:cs="Times New Roman"/>
          <w:sz w:val="24"/>
          <w:szCs w:val="24"/>
        </w:rPr>
        <w:t xml:space="preserve"> which rested in the creation of battlefield chantries and the preservation of the memory of the fallen. In their place, Protestants shifted the focus from the dead to the survivors, from dead souls to wounded bodies, and from the soil of battlefields to ink and print as the sites of commemoration. Then, in the eighteenth century, battlefields were ‘rediscovered’ by antiquaries and once more </w:t>
      </w:r>
      <w:r w:rsidRPr="00802844">
        <w:rPr>
          <w:rFonts w:ascii="Times New Roman" w:eastAsia="Times New Roman" w:hAnsi="Times New Roman" w:cs="Times New Roman"/>
          <w:sz w:val="24"/>
          <w:szCs w:val="24"/>
        </w:rPr>
        <w:lastRenderedPageBreak/>
        <w:t xml:space="preserve">celebrated, though in </w:t>
      </w:r>
      <w:r w:rsidR="00F679B8">
        <w:rPr>
          <w:rFonts w:ascii="Times New Roman" w:eastAsia="Times New Roman" w:hAnsi="Times New Roman" w:cs="Times New Roman"/>
          <w:sz w:val="24"/>
          <w:szCs w:val="24"/>
        </w:rPr>
        <w:t>p</w:t>
      </w:r>
      <w:r w:rsidRPr="00802844">
        <w:rPr>
          <w:rFonts w:ascii="Times New Roman" w:eastAsia="Times New Roman" w:hAnsi="Times New Roman" w:cs="Times New Roman"/>
          <w:sz w:val="24"/>
          <w:szCs w:val="24"/>
        </w:rPr>
        <w:t xml:space="preserve">rovidential terms that concentrated on survivors of conflict rather than the fallen. Focussing on the dead was a fashion that only re-emerged in the nineteenth century. These trends </w:t>
      </w:r>
      <w:r w:rsidR="004073FE">
        <w:rPr>
          <w:rFonts w:ascii="Times New Roman" w:eastAsia="Times New Roman" w:hAnsi="Times New Roman" w:cs="Times New Roman"/>
          <w:sz w:val="24"/>
          <w:szCs w:val="24"/>
        </w:rPr>
        <w:t xml:space="preserve">are </w:t>
      </w:r>
      <w:r w:rsidRPr="00802844">
        <w:rPr>
          <w:rFonts w:ascii="Times New Roman" w:eastAsia="Times New Roman" w:hAnsi="Times New Roman" w:cs="Times New Roman"/>
          <w:sz w:val="24"/>
          <w:szCs w:val="24"/>
        </w:rPr>
        <w:t xml:space="preserve">investigated by Atherton through </w:t>
      </w:r>
      <w:r w:rsidR="004073FE">
        <w:rPr>
          <w:rFonts w:ascii="Times New Roman" w:eastAsia="Times New Roman" w:hAnsi="Times New Roman" w:cs="Times New Roman"/>
          <w:sz w:val="24"/>
          <w:szCs w:val="24"/>
        </w:rPr>
        <w:t xml:space="preserve">employing </w:t>
      </w:r>
      <w:r w:rsidRPr="00802844">
        <w:rPr>
          <w:rFonts w:ascii="Times New Roman" w:eastAsia="Times New Roman" w:hAnsi="Times New Roman" w:cs="Times New Roman"/>
          <w:sz w:val="24"/>
          <w:szCs w:val="24"/>
        </w:rPr>
        <w:t xml:space="preserve">case studies of a number of battles and sieges connected to Fairfax, including Nantwich, Marston Moor, Naseby, and the relief of Taunton, to consider the life histories of Fairfax’s battles. </w:t>
      </w:r>
      <w:r w:rsidRPr="00802844">
        <w:rPr>
          <w:rFonts w:ascii="Times New Roman" w:eastAsia="Times New Roman" w:hAnsi="Times New Roman" w:cs="Times New Roman"/>
          <w:sz w:val="24"/>
          <w:szCs w:val="24"/>
        </w:rPr>
        <w:tab/>
      </w:r>
    </w:p>
    <w:p w:rsidR="005E14F3" w:rsidRPr="00200200" w:rsidRDefault="002D686E" w:rsidP="00763634">
      <w:pPr>
        <w:spacing w:after="0" w:line="480" w:lineRule="auto"/>
        <w:ind w:firstLine="720"/>
        <w:jc w:val="both"/>
        <w:rPr>
          <w:rFonts w:ascii="Times New Roman" w:eastAsia="Times New Roman" w:hAnsi="Times New Roman" w:cs="Times New Roman"/>
          <w:sz w:val="24"/>
          <w:szCs w:val="24"/>
        </w:rPr>
      </w:pPr>
      <w:r w:rsidRPr="00802844">
        <w:rPr>
          <w:rFonts w:ascii="Times New Roman" w:eastAsia="Times New Roman" w:hAnsi="Times New Roman" w:cs="Times New Roman"/>
          <w:bCs/>
          <w:sz w:val="24"/>
          <w:szCs w:val="24"/>
        </w:rPr>
        <w:t xml:space="preserve">In the final </w:t>
      </w:r>
      <w:r>
        <w:rPr>
          <w:rFonts w:ascii="Times New Roman" w:eastAsia="Times New Roman" w:hAnsi="Times New Roman" w:cs="Times New Roman"/>
          <w:bCs/>
          <w:sz w:val="24"/>
          <w:szCs w:val="24"/>
        </w:rPr>
        <w:t xml:space="preserve">chapter of Part 1, </w:t>
      </w:r>
      <w:r w:rsidRPr="00802844">
        <w:rPr>
          <w:rFonts w:ascii="Times New Roman" w:eastAsia="Times New Roman" w:hAnsi="Times New Roman" w:cs="Times New Roman"/>
          <w:bCs/>
          <w:sz w:val="24"/>
          <w:szCs w:val="24"/>
        </w:rPr>
        <w:t>Andrew Hopper t</w:t>
      </w:r>
      <w:r w:rsidR="002722ED">
        <w:rPr>
          <w:rFonts w:ascii="Times New Roman" w:eastAsia="Times New Roman" w:hAnsi="Times New Roman" w:cs="Times New Roman"/>
          <w:bCs/>
          <w:sz w:val="24"/>
          <w:szCs w:val="24"/>
        </w:rPr>
        <w:t xml:space="preserve">akes readers on </w:t>
      </w:r>
      <w:r w:rsidRPr="00802844">
        <w:rPr>
          <w:rFonts w:ascii="Times New Roman" w:eastAsia="Times New Roman" w:hAnsi="Times New Roman" w:cs="Times New Roman"/>
          <w:bCs/>
          <w:sz w:val="24"/>
          <w:szCs w:val="24"/>
        </w:rPr>
        <w:t xml:space="preserve">an </w:t>
      </w:r>
      <w:r w:rsidR="00DC5E76">
        <w:rPr>
          <w:rFonts w:ascii="Times New Roman" w:eastAsia="Times New Roman" w:hAnsi="Times New Roman" w:cs="Times New Roman"/>
          <w:bCs/>
          <w:sz w:val="24"/>
          <w:szCs w:val="24"/>
        </w:rPr>
        <w:t xml:space="preserve">informative and </w:t>
      </w:r>
      <w:r w:rsidRPr="00802844">
        <w:rPr>
          <w:rFonts w:ascii="Times New Roman" w:eastAsia="Times New Roman" w:hAnsi="Times New Roman" w:cs="Times New Roman"/>
          <w:bCs/>
          <w:sz w:val="24"/>
          <w:szCs w:val="24"/>
        </w:rPr>
        <w:t xml:space="preserve">entertaining </w:t>
      </w:r>
      <w:r w:rsidR="00DC5E76">
        <w:rPr>
          <w:rFonts w:ascii="Times New Roman" w:eastAsia="Times New Roman" w:hAnsi="Times New Roman" w:cs="Times New Roman"/>
          <w:bCs/>
          <w:sz w:val="24"/>
          <w:szCs w:val="24"/>
        </w:rPr>
        <w:t>journey t</w:t>
      </w:r>
      <w:r w:rsidRPr="00802844">
        <w:rPr>
          <w:rFonts w:ascii="Times New Roman" w:eastAsia="Times New Roman" w:hAnsi="Times New Roman" w:cs="Times New Roman"/>
          <w:bCs/>
          <w:sz w:val="24"/>
          <w:szCs w:val="24"/>
        </w:rPr>
        <w:t>hrough Fairfax’s posthumous popular reputation</w:t>
      </w:r>
      <w:r w:rsidR="00DC5E76">
        <w:rPr>
          <w:rFonts w:ascii="Times New Roman" w:eastAsia="Times New Roman" w:hAnsi="Times New Roman" w:cs="Times New Roman"/>
          <w:bCs/>
          <w:sz w:val="24"/>
          <w:szCs w:val="24"/>
        </w:rPr>
        <w:t>, addressing re</w:t>
      </w:r>
      <w:r w:rsidRPr="00802844">
        <w:rPr>
          <w:rFonts w:ascii="Times New Roman" w:eastAsia="Times New Roman" w:hAnsi="Times New Roman" w:cs="Times New Roman"/>
          <w:bCs/>
          <w:sz w:val="24"/>
          <w:szCs w:val="24"/>
        </w:rPr>
        <w:t xml:space="preserve">presentations of Fairfax in literature, novels and film </w:t>
      </w:r>
      <w:r w:rsidR="00494BDE">
        <w:rPr>
          <w:rFonts w:ascii="Times New Roman" w:eastAsia="Times New Roman" w:hAnsi="Times New Roman" w:cs="Times New Roman"/>
          <w:bCs/>
          <w:sz w:val="24"/>
          <w:szCs w:val="24"/>
        </w:rPr>
        <w:t xml:space="preserve">(including examination of salient film clips from </w:t>
      </w:r>
      <w:r w:rsidR="00494BDE" w:rsidRPr="00802844">
        <w:rPr>
          <w:rFonts w:ascii="Times New Roman" w:eastAsia="Times New Roman" w:hAnsi="Times New Roman" w:cs="Times New Roman"/>
          <w:bCs/>
          <w:sz w:val="24"/>
          <w:szCs w:val="24"/>
        </w:rPr>
        <w:t>‘Winstanley’ and ‘To Kill a King’</w:t>
      </w:r>
      <w:r w:rsidR="00494BDE">
        <w:rPr>
          <w:rFonts w:ascii="Times New Roman" w:eastAsia="Times New Roman" w:hAnsi="Times New Roman" w:cs="Times New Roman"/>
          <w:bCs/>
          <w:sz w:val="24"/>
          <w:szCs w:val="24"/>
        </w:rPr>
        <w:t xml:space="preserve">) </w:t>
      </w:r>
      <w:r w:rsidRPr="00802844">
        <w:rPr>
          <w:rFonts w:ascii="Times New Roman" w:eastAsia="Times New Roman" w:hAnsi="Times New Roman" w:cs="Times New Roman"/>
          <w:bCs/>
          <w:sz w:val="24"/>
          <w:szCs w:val="24"/>
        </w:rPr>
        <w:t xml:space="preserve">from the Victorian period to the present. </w:t>
      </w:r>
      <w:r w:rsidR="00494BDE">
        <w:rPr>
          <w:rFonts w:ascii="Times New Roman" w:eastAsia="Times New Roman" w:hAnsi="Times New Roman" w:cs="Times New Roman"/>
          <w:bCs/>
          <w:sz w:val="24"/>
          <w:szCs w:val="24"/>
        </w:rPr>
        <w:t xml:space="preserve">This chapter affords insight into </w:t>
      </w:r>
      <w:r w:rsidRPr="00802844">
        <w:rPr>
          <w:rFonts w:ascii="Times New Roman" w:eastAsia="Times New Roman" w:hAnsi="Times New Roman" w:cs="Times New Roman"/>
          <w:bCs/>
          <w:sz w:val="24"/>
          <w:szCs w:val="24"/>
        </w:rPr>
        <w:t>the motivations of Fairfax’s earlier biographers, and into the sometimes fanciful legends that grew up around Fairfax, particularly in the Yorkshire area. H</w:t>
      </w:r>
      <w:r w:rsidR="00200200">
        <w:rPr>
          <w:rFonts w:ascii="Times New Roman" w:eastAsia="Times New Roman" w:hAnsi="Times New Roman" w:cs="Times New Roman"/>
          <w:bCs/>
          <w:sz w:val="24"/>
          <w:szCs w:val="24"/>
        </w:rPr>
        <w:t xml:space="preserve">opper argues that </w:t>
      </w:r>
      <w:r w:rsidRPr="00802844">
        <w:rPr>
          <w:rFonts w:ascii="Times New Roman" w:eastAsia="Times New Roman" w:hAnsi="Times New Roman" w:cs="Times New Roman"/>
          <w:bCs/>
          <w:sz w:val="24"/>
          <w:szCs w:val="24"/>
        </w:rPr>
        <w:t>the most thought-provoking and deeply histori</w:t>
      </w:r>
      <w:r w:rsidR="00200200">
        <w:rPr>
          <w:rFonts w:ascii="Times New Roman" w:eastAsia="Times New Roman" w:hAnsi="Times New Roman" w:cs="Times New Roman"/>
          <w:bCs/>
          <w:sz w:val="24"/>
          <w:szCs w:val="24"/>
        </w:rPr>
        <w:t xml:space="preserve">cized portrayals of Fairfax </w:t>
      </w:r>
      <w:r w:rsidRPr="00802844">
        <w:rPr>
          <w:rFonts w:ascii="Times New Roman" w:eastAsia="Times New Roman" w:hAnsi="Times New Roman" w:cs="Times New Roman"/>
          <w:bCs/>
          <w:sz w:val="24"/>
          <w:szCs w:val="24"/>
        </w:rPr>
        <w:t xml:space="preserve">emerged from the British Left in the 1960s and 1970s in the shape of David Caute’s novel, </w:t>
      </w:r>
      <w:r w:rsidRPr="00802844">
        <w:rPr>
          <w:rFonts w:ascii="Times New Roman" w:eastAsia="Times New Roman" w:hAnsi="Times New Roman" w:cs="Times New Roman"/>
          <w:bCs/>
          <w:i/>
          <w:sz w:val="24"/>
          <w:szCs w:val="24"/>
        </w:rPr>
        <w:t>Comrade Jacob</w:t>
      </w:r>
      <w:r w:rsidRPr="00802844">
        <w:rPr>
          <w:rFonts w:ascii="Times New Roman" w:eastAsia="Times New Roman" w:hAnsi="Times New Roman" w:cs="Times New Roman"/>
          <w:bCs/>
          <w:sz w:val="24"/>
          <w:szCs w:val="24"/>
        </w:rPr>
        <w:t xml:space="preserve">, and Kevin Brownlow and Andrew Mollo’s feature film, </w:t>
      </w:r>
      <w:r w:rsidR="00200200">
        <w:rPr>
          <w:rFonts w:ascii="Times New Roman" w:eastAsia="Times New Roman" w:hAnsi="Times New Roman" w:cs="Times New Roman"/>
          <w:bCs/>
          <w:sz w:val="24"/>
          <w:szCs w:val="24"/>
        </w:rPr>
        <w:t>‘</w:t>
      </w:r>
      <w:r w:rsidRPr="00200200">
        <w:rPr>
          <w:rFonts w:ascii="Times New Roman" w:eastAsia="Times New Roman" w:hAnsi="Times New Roman" w:cs="Times New Roman"/>
          <w:bCs/>
          <w:sz w:val="24"/>
          <w:szCs w:val="24"/>
        </w:rPr>
        <w:t>Winstanley</w:t>
      </w:r>
      <w:r w:rsidR="00200200">
        <w:rPr>
          <w:rFonts w:ascii="Times New Roman" w:eastAsia="Times New Roman" w:hAnsi="Times New Roman" w:cs="Times New Roman"/>
          <w:bCs/>
          <w:sz w:val="24"/>
          <w:szCs w:val="24"/>
        </w:rPr>
        <w:t>’.</w:t>
      </w:r>
    </w:p>
    <w:p w:rsidR="00FC19F9" w:rsidRPr="00802844" w:rsidRDefault="008D673E" w:rsidP="007636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19F9">
        <w:rPr>
          <w:rFonts w:ascii="Times New Roman" w:eastAsia="Times New Roman" w:hAnsi="Times New Roman" w:cs="Times New Roman"/>
          <w:sz w:val="24"/>
          <w:szCs w:val="24"/>
        </w:rPr>
        <w:t>Part 2 opens with a chapter by Jacqueline Eales which examines Fairfax as a husband and family man</w:t>
      </w:r>
      <w:r w:rsidR="00DB0802">
        <w:rPr>
          <w:rFonts w:ascii="Times New Roman" w:eastAsia="Times New Roman" w:hAnsi="Times New Roman" w:cs="Times New Roman"/>
          <w:sz w:val="24"/>
          <w:szCs w:val="24"/>
        </w:rPr>
        <w:t xml:space="preserve">, in particular by throwing new light on </w:t>
      </w:r>
      <w:r w:rsidR="00FC19F9" w:rsidRPr="00802844">
        <w:rPr>
          <w:rFonts w:ascii="Times New Roman" w:eastAsia="Times New Roman" w:hAnsi="Times New Roman" w:cs="Times New Roman"/>
          <w:sz w:val="24"/>
          <w:szCs w:val="24"/>
        </w:rPr>
        <w:t xml:space="preserve">Thomas’s </w:t>
      </w:r>
      <w:r w:rsidR="00324860">
        <w:rPr>
          <w:rFonts w:ascii="Times New Roman" w:eastAsia="Times New Roman" w:hAnsi="Times New Roman" w:cs="Times New Roman"/>
          <w:sz w:val="24"/>
          <w:szCs w:val="24"/>
        </w:rPr>
        <w:t xml:space="preserve">formidable </w:t>
      </w:r>
      <w:r w:rsidR="00FC19F9" w:rsidRPr="00802844">
        <w:rPr>
          <w:rFonts w:ascii="Times New Roman" w:eastAsia="Times New Roman" w:hAnsi="Times New Roman" w:cs="Times New Roman"/>
          <w:sz w:val="24"/>
          <w:szCs w:val="24"/>
        </w:rPr>
        <w:t xml:space="preserve">wife, Anne Vere. On 20 June 1637 Fairfax married the nineteen-year-old Anne. The marriage drew him into the ambit of the ‘fighting Veres’, famed for their military efforts in defence of the international Protestant cause. Anne’s father was the renowned general Sir Horace Vere, who had fought in the Dutch wars against Spain.  He was appointed governor of the garrison town of Brill in 1610 and of Utrecht in 1618. Between 1620 and 1622 he commanded the English volunteer force in the Palatinate and later commanded an English brigade in the Prince of Orange’s army. Vere’s status as a national hero had earned him burial in Westminster Abbey in 1635. Marriage to Anne Vere also brought Thomas into contact with the puritan women of the Vere family. Anne’s mother was Mary Vere, who along with her husband was a staunch </w:t>
      </w:r>
      <w:r w:rsidR="00FC19F9" w:rsidRPr="00802844">
        <w:rPr>
          <w:rFonts w:ascii="Times New Roman" w:eastAsia="Times New Roman" w:hAnsi="Times New Roman" w:cs="Times New Roman"/>
          <w:sz w:val="24"/>
          <w:szCs w:val="24"/>
        </w:rPr>
        <w:lastRenderedPageBreak/>
        <w:t>patron of puritan ministers both in the Netherlands and in England. Mary Vere died at the age of 90 in 1671 having been honoured amongst puritans as ‘an ancient mother in our Israel’. Anne’s cousin was the redoubtable Brilliana Harley, who helped to orchestrate the parliamentarian response to the outbreak of the civil war in Herefordshire.</w:t>
      </w:r>
      <w:r w:rsidR="0020516E">
        <w:rPr>
          <w:rStyle w:val="FootnoteReference"/>
          <w:rFonts w:ascii="Times New Roman" w:eastAsia="Times New Roman" w:hAnsi="Times New Roman" w:cs="Times New Roman"/>
          <w:sz w:val="24"/>
          <w:szCs w:val="24"/>
        </w:rPr>
        <w:footnoteReference w:id="25"/>
      </w:r>
      <w:r w:rsidR="00FC19F9" w:rsidRPr="00802844">
        <w:rPr>
          <w:rFonts w:ascii="Times New Roman" w:eastAsia="Times New Roman" w:hAnsi="Times New Roman" w:cs="Times New Roman"/>
          <w:sz w:val="24"/>
          <w:szCs w:val="24"/>
        </w:rPr>
        <w:t>  </w:t>
      </w:r>
    </w:p>
    <w:p w:rsidR="00DC4DEA" w:rsidRPr="00802844" w:rsidRDefault="00FC19F9" w:rsidP="00763634">
      <w:pPr>
        <w:spacing w:after="0" w:line="480" w:lineRule="auto"/>
        <w:ind w:firstLine="720"/>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 xml:space="preserve">As Eales </w:t>
      </w:r>
      <w:r w:rsidR="00D04C92">
        <w:rPr>
          <w:rFonts w:ascii="Times New Roman" w:eastAsia="Times New Roman" w:hAnsi="Times New Roman" w:cs="Times New Roman"/>
          <w:sz w:val="24"/>
          <w:szCs w:val="24"/>
        </w:rPr>
        <w:t>demonstrates</w:t>
      </w:r>
      <w:r w:rsidRPr="00802844">
        <w:rPr>
          <w:rFonts w:ascii="Times New Roman" w:eastAsia="Times New Roman" w:hAnsi="Times New Roman" w:cs="Times New Roman"/>
          <w:sz w:val="24"/>
          <w:szCs w:val="24"/>
        </w:rPr>
        <w:t>, Anne Fairfax herself was criticised by both royalists and parliamentarians for having too much influence over her husband. Clarendon records the famous story that when the absent Thomas’s name was called out in Westminster Hall, as one of the commissioners at the trial of Charles I, it was Anne who answered for him from the gallery by shouting out that ‘he had more wit than to be there’. Lucy Hutchinson believed that Anne favoured the Presbyterian cause and pois</w:t>
      </w:r>
      <w:r w:rsidR="00BC5C4E">
        <w:rPr>
          <w:rFonts w:ascii="Times New Roman" w:eastAsia="Times New Roman" w:hAnsi="Times New Roman" w:cs="Times New Roman"/>
          <w:sz w:val="24"/>
          <w:szCs w:val="24"/>
        </w:rPr>
        <w:t>oned Thomas’s mind against his I</w:t>
      </w:r>
      <w:r w:rsidRPr="00802844">
        <w:rPr>
          <w:rFonts w:ascii="Times New Roman" w:eastAsia="Times New Roman" w:hAnsi="Times New Roman" w:cs="Times New Roman"/>
          <w:sz w:val="24"/>
          <w:szCs w:val="24"/>
        </w:rPr>
        <w:t>ndependent chaplains. Th</w:t>
      </w:r>
      <w:r w:rsidR="00892A10">
        <w:rPr>
          <w:rFonts w:ascii="Times New Roman" w:eastAsia="Times New Roman" w:hAnsi="Times New Roman" w:cs="Times New Roman"/>
          <w:sz w:val="24"/>
          <w:szCs w:val="24"/>
        </w:rPr>
        <w:t xml:space="preserve">is chapter </w:t>
      </w:r>
      <w:r w:rsidRPr="00802844">
        <w:rPr>
          <w:rFonts w:ascii="Times New Roman" w:eastAsia="Times New Roman" w:hAnsi="Times New Roman" w:cs="Times New Roman"/>
          <w:sz w:val="24"/>
          <w:szCs w:val="24"/>
        </w:rPr>
        <w:t>carefully consider</w:t>
      </w:r>
      <w:r w:rsidR="00892A10">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xml:space="preserve"> the degree of influence Anne wielded over Thomas’s religious and political views, and whether the ‘Vere Connection’ enhanced or tarnished Thomas Fairfax’s reputation as a godly</w:t>
      </w:r>
      <w:r w:rsidR="00892A10">
        <w:rPr>
          <w:rFonts w:ascii="Times New Roman" w:eastAsia="Times New Roman" w:hAnsi="Times New Roman" w:cs="Times New Roman"/>
          <w:sz w:val="24"/>
          <w:szCs w:val="24"/>
        </w:rPr>
        <w:t xml:space="preserve"> </w:t>
      </w:r>
      <w:r w:rsidRPr="00802844">
        <w:rPr>
          <w:rFonts w:ascii="Times New Roman" w:eastAsia="Times New Roman" w:hAnsi="Times New Roman" w:cs="Times New Roman"/>
          <w:sz w:val="24"/>
          <w:szCs w:val="24"/>
        </w:rPr>
        <w:t>parliamentarian leader. </w:t>
      </w:r>
      <w:r w:rsidR="00892A10">
        <w:rPr>
          <w:rFonts w:ascii="Times New Roman" w:eastAsia="Times New Roman" w:hAnsi="Times New Roman" w:cs="Times New Roman"/>
          <w:sz w:val="24"/>
          <w:szCs w:val="24"/>
        </w:rPr>
        <w:tab/>
      </w:r>
      <w:r w:rsidR="00892A10">
        <w:rPr>
          <w:rFonts w:ascii="Times New Roman" w:eastAsia="Times New Roman" w:hAnsi="Times New Roman" w:cs="Times New Roman"/>
          <w:sz w:val="24"/>
          <w:szCs w:val="24"/>
        </w:rPr>
        <w:tab/>
      </w:r>
      <w:r w:rsidR="00892A10">
        <w:rPr>
          <w:rFonts w:ascii="Times New Roman" w:eastAsia="Times New Roman" w:hAnsi="Times New Roman" w:cs="Times New Roman"/>
          <w:sz w:val="24"/>
          <w:szCs w:val="24"/>
        </w:rPr>
        <w:tab/>
      </w:r>
      <w:r w:rsidR="00892A10">
        <w:rPr>
          <w:rFonts w:ascii="Times New Roman" w:eastAsia="Times New Roman" w:hAnsi="Times New Roman" w:cs="Times New Roman"/>
          <w:sz w:val="24"/>
          <w:szCs w:val="24"/>
        </w:rPr>
        <w:tab/>
      </w:r>
      <w:r w:rsidR="003B7ADE">
        <w:rPr>
          <w:rFonts w:ascii="Times New Roman" w:eastAsia="Times New Roman" w:hAnsi="Times New Roman" w:cs="Times New Roman"/>
          <w:sz w:val="24"/>
          <w:szCs w:val="24"/>
        </w:rPr>
        <w:t xml:space="preserve">The next chapter, by </w:t>
      </w:r>
      <w:r w:rsidR="008D673E">
        <w:rPr>
          <w:rFonts w:ascii="Times New Roman" w:eastAsia="Times New Roman" w:hAnsi="Times New Roman" w:cs="Times New Roman"/>
          <w:sz w:val="24"/>
          <w:szCs w:val="24"/>
        </w:rPr>
        <w:t>Philip Major</w:t>
      </w:r>
      <w:r w:rsidR="003B7ADE">
        <w:rPr>
          <w:rFonts w:ascii="Times New Roman" w:eastAsia="Times New Roman" w:hAnsi="Times New Roman" w:cs="Times New Roman"/>
          <w:sz w:val="24"/>
          <w:szCs w:val="24"/>
        </w:rPr>
        <w:t xml:space="preserve">, </w:t>
      </w:r>
      <w:r w:rsidR="008D673E">
        <w:rPr>
          <w:rFonts w:ascii="Times New Roman" w:eastAsia="Times New Roman" w:hAnsi="Times New Roman" w:cs="Times New Roman"/>
          <w:sz w:val="24"/>
          <w:szCs w:val="24"/>
        </w:rPr>
        <w:t>considers a</w:t>
      </w:r>
      <w:r w:rsidR="00DC4DEA" w:rsidRPr="00802844">
        <w:rPr>
          <w:rFonts w:ascii="Times New Roman" w:eastAsia="Times New Roman" w:hAnsi="Times New Roman" w:cs="Times New Roman"/>
          <w:sz w:val="24"/>
          <w:szCs w:val="24"/>
        </w:rPr>
        <w:t xml:space="preserve"> range of writing produced by Fairfax upon his (ostensible) retirement from public life in 1650, and suggest</w:t>
      </w:r>
      <w:r w:rsidR="0032545A">
        <w:rPr>
          <w:rFonts w:ascii="Times New Roman" w:eastAsia="Times New Roman" w:hAnsi="Times New Roman" w:cs="Times New Roman"/>
          <w:sz w:val="24"/>
          <w:szCs w:val="24"/>
        </w:rPr>
        <w:t>s</w:t>
      </w:r>
      <w:r w:rsidR="00DC4DEA" w:rsidRPr="00802844">
        <w:rPr>
          <w:rFonts w:ascii="Times New Roman" w:eastAsia="Times New Roman" w:hAnsi="Times New Roman" w:cs="Times New Roman"/>
          <w:sz w:val="24"/>
          <w:szCs w:val="24"/>
        </w:rPr>
        <w:t xml:space="preserve"> that it often betrays a sense of dislocation as well as fashionable literary taste. Fairfax </w:t>
      </w:r>
      <w:r w:rsidR="006F178D">
        <w:rPr>
          <w:rFonts w:ascii="Times New Roman" w:eastAsia="Times New Roman" w:hAnsi="Times New Roman" w:cs="Times New Roman"/>
          <w:sz w:val="24"/>
          <w:szCs w:val="24"/>
        </w:rPr>
        <w:t xml:space="preserve">need </w:t>
      </w:r>
      <w:r w:rsidR="0032545A">
        <w:rPr>
          <w:rFonts w:ascii="Times New Roman" w:eastAsia="Times New Roman" w:hAnsi="Times New Roman" w:cs="Times New Roman"/>
          <w:sz w:val="24"/>
          <w:szCs w:val="24"/>
        </w:rPr>
        <w:t>not, Major c</w:t>
      </w:r>
      <w:r w:rsidR="009B0937">
        <w:rPr>
          <w:rFonts w:ascii="Times New Roman" w:eastAsia="Times New Roman" w:hAnsi="Times New Roman" w:cs="Times New Roman"/>
          <w:sz w:val="24"/>
          <w:szCs w:val="24"/>
        </w:rPr>
        <w:t xml:space="preserve">oncedes, </w:t>
      </w:r>
      <w:r w:rsidR="0032545A">
        <w:rPr>
          <w:rFonts w:ascii="Times New Roman" w:eastAsia="Times New Roman" w:hAnsi="Times New Roman" w:cs="Times New Roman"/>
          <w:sz w:val="24"/>
          <w:szCs w:val="24"/>
        </w:rPr>
        <w:t>be reclaimed as a ‘</w:t>
      </w:r>
      <w:r w:rsidR="00DC4DEA" w:rsidRPr="00802844">
        <w:rPr>
          <w:rFonts w:ascii="Times New Roman" w:eastAsia="Times New Roman" w:hAnsi="Times New Roman" w:cs="Times New Roman"/>
          <w:sz w:val="24"/>
          <w:szCs w:val="24"/>
        </w:rPr>
        <w:t>lost’ 17th-century poet</w:t>
      </w:r>
      <w:r w:rsidR="009F7D5E">
        <w:rPr>
          <w:rFonts w:ascii="Times New Roman" w:eastAsia="Times New Roman" w:hAnsi="Times New Roman" w:cs="Times New Roman"/>
          <w:sz w:val="24"/>
          <w:szCs w:val="24"/>
        </w:rPr>
        <w:t xml:space="preserve">; </w:t>
      </w:r>
      <w:r w:rsidR="00DC4DEA" w:rsidRPr="00802844">
        <w:rPr>
          <w:rFonts w:ascii="Times New Roman" w:eastAsia="Times New Roman" w:hAnsi="Times New Roman" w:cs="Times New Roman"/>
          <w:sz w:val="24"/>
          <w:szCs w:val="24"/>
        </w:rPr>
        <w:t>nevertheless his writing</w:t>
      </w:r>
      <w:r w:rsidR="0032545A">
        <w:rPr>
          <w:rFonts w:ascii="Times New Roman" w:eastAsia="Times New Roman" w:hAnsi="Times New Roman" w:cs="Times New Roman"/>
          <w:sz w:val="24"/>
          <w:szCs w:val="24"/>
        </w:rPr>
        <w:t xml:space="preserve"> </w:t>
      </w:r>
      <w:r w:rsidR="00DC4DEA" w:rsidRPr="00802844">
        <w:rPr>
          <w:rFonts w:ascii="Times New Roman" w:eastAsia="Times New Roman" w:hAnsi="Times New Roman" w:cs="Times New Roman"/>
          <w:sz w:val="24"/>
          <w:szCs w:val="24"/>
        </w:rPr>
        <w:t xml:space="preserve">commands our respect and is worthy of </w:t>
      </w:r>
      <w:r w:rsidR="001419DA">
        <w:rPr>
          <w:rFonts w:ascii="Times New Roman" w:eastAsia="Times New Roman" w:hAnsi="Times New Roman" w:cs="Times New Roman"/>
          <w:sz w:val="24"/>
          <w:szCs w:val="24"/>
        </w:rPr>
        <w:t xml:space="preserve">much </w:t>
      </w:r>
      <w:r w:rsidR="00DC4DEA" w:rsidRPr="00802844">
        <w:rPr>
          <w:rFonts w:ascii="Times New Roman" w:eastAsia="Times New Roman" w:hAnsi="Times New Roman" w:cs="Times New Roman"/>
          <w:sz w:val="24"/>
          <w:szCs w:val="24"/>
        </w:rPr>
        <w:t>closer scrutiny. Particular pieces discussed included ‘Upon the New-built House at Appleton’, ‘The Solitude’, and ‘The Thoughts of Eternity’. In all of these, Fairfax’s celebrated modesty and sense of honour find literary voice in the beliefs he earnestly espouse</w:t>
      </w:r>
      <w:r w:rsidR="00C91766">
        <w:rPr>
          <w:rFonts w:ascii="Times New Roman" w:eastAsia="Times New Roman" w:hAnsi="Times New Roman" w:cs="Times New Roman"/>
          <w:sz w:val="24"/>
          <w:szCs w:val="24"/>
        </w:rPr>
        <w:t>s</w:t>
      </w:r>
      <w:r w:rsidR="00DC4DEA" w:rsidRPr="00802844">
        <w:rPr>
          <w:rFonts w:ascii="Times New Roman" w:eastAsia="Times New Roman" w:hAnsi="Times New Roman" w:cs="Times New Roman"/>
          <w:sz w:val="24"/>
          <w:szCs w:val="24"/>
        </w:rPr>
        <w:t xml:space="preserve"> as a member of the godly elect. </w:t>
      </w:r>
      <w:r w:rsidR="00DC4DEA" w:rsidRPr="00802844">
        <w:rPr>
          <w:rFonts w:ascii="Times New Roman" w:eastAsia="Times New Roman" w:hAnsi="Times New Roman" w:cs="Times New Roman"/>
          <w:sz w:val="24"/>
          <w:szCs w:val="24"/>
        </w:rPr>
        <w:tab/>
      </w:r>
    </w:p>
    <w:p w:rsidR="00901969" w:rsidRDefault="00DC4DEA" w:rsidP="00763634">
      <w:pPr>
        <w:spacing w:after="0" w:line="480" w:lineRule="auto"/>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lastRenderedPageBreak/>
        <w:tab/>
      </w:r>
      <w:r w:rsidR="00C27588">
        <w:rPr>
          <w:rFonts w:ascii="Times New Roman" w:eastAsia="Times New Roman" w:hAnsi="Times New Roman" w:cs="Times New Roman"/>
          <w:sz w:val="24"/>
          <w:szCs w:val="24"/>
        </w:rPr>
        <w:t>In Chapter 8, K</w:t>
      </w:r>
      <w:r w:rsidR="00C27588" w:rsidRPr="00802844">
        <w:rPr>
          <w:rFonts w:ascii="Times New Roman" w:eastAsia="Times New Roman" w:hAnsi="Times New Roman" w:cs="Times New Roman"/>
          <w:bCs/>
          <w:sz w:val="24"/>
          <w:szCs w:val="24"/>
        </w:rPr>
        <w:t>eith McDonald</w:t>
      </w:r>
      <w:r w:rsidR="00C27588">
        <w:rPr>
          <w:rFonts w:ascii="Times New Roman" w:eastAsia="Times New Roman" w:hAnsi="Times New Roman" w:cs="Times New Roman"/>
          <w:bCs/>
          <w:sz w:val="24"/>
          <w:szCs w:val="24"/>
        </w:rPr>
        <w:t xml:space="preserve"> argues that </w:t>
      </w:r>
      <w:r w:rsidR="00C27588" w:rsidRPr="00802844">
        <w:rPr>
          <w:rFonts w:ascii="Times New Roman" w:eastAsia="Times New Roman" w:hAnsi="Times New Roman" w:cs="Times New Roman"/>
          <w:sz w:val="24"/>
          <w:szCs w:val="24"/>
        </w:rPr>
        <w:t>Andrew Marvell</w:t>
      </w:r>
      <w:r w:rsidR="00C27588">
        <w:rPr>
          <w:rFonts w:ascii="Times New Roman" w:eastAsia="Times New Roman" w:hAnsi="Times New Roman" w:cs="Times New Roman"/>
          <w:sz w:val="24"/>
          <w:szCs w:val="24"/>
        </w:rPr>
        <w:t xml:space="preserve"> </w:t>
      </w:r>
      <w:r w:rsidR="00C27588" w:rsidRPr="00802844">
        <w:rPr>
          <w:rFonts w:ascii="Times New Roman" w:eastAsia="Times New Roman" w:hAnsi="Times New Roman" w:cs="Times New Roman"/>
          <w:sz w:val="24"/>
          <w:szCs w:val="24"/>
        </w:rPr>
        <w:t>has – surprisingly – featured little in biographies of Oliver Cromwell and Thomas Fairfax</w:t>
      </w:r>
      <w:r w:rsidR="00C27588">
        <w:rPr>
          <w:rFonts w:ascii="Times New Roman" w:eastAsia="Times New Roman" w:hAnsi="Times New Roman" w:cs="Times New Roman"/>
          <w:sz w:val="24"/>
          <w:szCs w:val="24"/>
        </w:rPr>
        <w:t>,</w:t>
      </w:r>
      <w:r w:rsidR="00C27588" w:rsidRPr="00802844">
        <w:rPr>
          <w:rFonts w:ascii="Times New Roman" w:eastAsia="Times New Roman" w:hAnsi="Times New Roman" w:cs="Times New Roman"/>
          <w:sz w:val="24"/>
          <w:szCs w:val="24"/>
        </w:rPr>
        <w:t xml:space="preserve"> despite his exclusive position as an important witness to both men at pivotal points in their lives. In the summer of 1650, Fairfax was probably the highest-profile of the ‘architects’ said to be running in fear in Marvell’s ‘Horatian Ode’. Both the Ode, presumably written near the time of Fairfax’s resignation, and the general himself, enact the seventeenth-century definition of ‘crisis’, a situation poised between death and recovery. While Barbara Donagan’s study of casuistry and private conscience in the English </w:t>
      </w:r>
      <w:r w:rsidR="00956AA0">
        <w:rPr>
          <w:rFonts w:ascii="Times New Roman" w:eastAsia="Times New Roman" w:hAnsi="Times New Roman" w:cs="Times New Roman"/>
          <w:sz w:val="24"/>
          <w:szCs w:val="24"/>
        </w:rPr>
        <w:t>c</w:t>
      </w:r>
      <w:r w:rsidR="00C27588" w:rsidRPr="00802844">
        <w:rPr>
          <w:rFonts w:ascii="Times New Roman" w:eastAsia="Times New Roman" w:hAnsi="Times New Roman" w:cs="Times New Roman"/>
          <w:sz w:val="24"/>
          <w:szCs w:val="24"/>
        </w:rPr>
        <w:t xml:space="preserve">ivil </w:t>
      </w:r>
      <w:r w:rsidR="00956AA0">
        <w:rPr>
          <w:rFonts w:ascii="Times New Roman" w:eastAsia="Times New Roman" w:hAnsi="Times New Roman" w:cs="Times New Roman"/>
          <w:sz w:val="24"/>
          <w:szCs w:val="24"/>
        </w:rPr>
        <w:t>w</w:t>
      </w:r>
      <w:r w:rsidR="00C27588" w:rsidRPr="00802844">
        <w:rPr>
          <w:rFonts w:ascii="Times New Roman" w:eastAsia="Times New Roman" w:hAnsi="Times New Roman" w:cs="Times New Roman"/>
          <w:sz w:val="24"/>
          <w:szCs w:val="24"/>
        </w:rPr>
        <w:t xml:space="preserve">ar has considered how English men and women legitimated taking action in support of their allegiance, Fairfax’s crisis of conscience, </w:t>
      </w:r>
      <w:r w:rsidR="00F86A65">
        <w:rPr>
          <w:rFonts w:ascii="Times New Roman" w:eastAsia="Times New Roman" w:hAnsi="Times New Roman" w:cs="Times New Roman"/>
          <w:sz w:val="24"/>
          <w:szCs w:val="24"/>
        </w:rPr>
        <w:t>McDonald avers</w:t>
      </w:r>
      <w:r w:rsidR="00C27588" w:rsidRPr="00802844">
        <w:rPr>
          <w:rFonts w:ascii="Times New Roman" w:eastAsia="Times New Roman" w:hAnsi="Times New Roman" w:cs="Times New Roman"/>
          <w:sz w:val="24"/>
          <w:szCs w:val="24"/>
        </w:rPr>
        <w:t xml:space="preserve">, was deepened by his inability to legitimise his own </w:t>
      </w:r>
      <w:r w:rsidR="00C27588" w:rsidRPr="00802844">
        <w:rPr>
          <w:rFonts w:ascii="Times New Roman" w:eastAsia="Times New Roman" w:hAnsi="Times New Roman" w:cs="Times New Roman"/>
          <w:i/>
          <w:iCs/>
          <w:sz w:val="24"/>
          <w:szCs w:val="24"/>
        </w:rPr>
        <w:t>inaction</w:t>
      </w:r>
      <w:r w:rsidR="00C27588" w:rsidRPr="00802844">
        <w:rPr>
          <w:rFonts w:ascii="Times New Roman" w:eastAsia="Times New Roman" w:hAnsi="Times New Roman" w:cs="Times New Roman"/>
          <w:sz w:val="24"/>
          <w:szCs w:val="24"/>
        </w:rPr>
        <w:t>.</w:t>
      </w:r>
      <w:r w:rsidR="00165DD5">
        <w:rPr>
          <w:rStyle w:val="FootnoteReference"/>
          <w:rFonts w:ascii="Times New Roman" w:eastAsia="Times New Roman" w:hAnsi="Times New Roman" w:cs="Times New Roman"/>
          <w:sz w:val="24"/>
          <w:szCs w:val="24"/>
        </w:rPr>
        <w:footnoteReference w:id="26"/>
      </w:r>
      <w:r w:rsidR="00C27588" w:rsidRPr="00802844">
        <w:rPr>
          <w:rFonts w:ascii="Times New Roman" w:eastAsia="Times New Roman" w:hAnsi="Times New Roman" w:cs="Times New Roman"/>
          <w:sz w:val="24"/>
          <w:szCs w:val="24"/>
        </w:rPr>
        <w:t xml:space="preserve"> The cynical Ode questions whether retirement could still be a virtue. Yet, just a few months later, Marvell had joined Fairfax at Nun Appleton as a tutor to his daughter. This </w:t>
      </w:r>
      <w:r w:rsidR="00E14DDF">
        <w:rPr>
          <w:rFonts w:ascii="Times New Roman" w:eastAsia="Times New Roman" w:hAnsi="Times New Roman" w:cs="Times New Roman"/>
          <w:sz w:val="24"/>
          <w:szCs w:val="24"/>
        </w:rPr>
        <w:t xml:space="preserve">chapter </w:t>
      </w:r>
      <w:r w:rsidR="00C27588" w:rsidRPr="00802844">
        <w:rPr>
          <w:rFonts w:ascii="Times New Roman" w:eastAsia="Times New Roman" w:hAnsi="Times New Roman" w:cs="Times New Roman"/>
          <w:sz w:val="24"/>
          <w:szCs w:val="24"/>
        </w:rPr>
        <w:t>claim</w:t>
      </w:r>
      <w:r w:rsidR="00E14DDF">
        <w:rPr>
          <w:rFonts w:ascii="Times New Roman" w:eastAsia="Times New Roman" w:hAnsi="Times New Roman" w:cs="Times New Roman"/>
          <w:sz w:val="24"/>
          <w:szCs w:val="24"/>
        </w:rPr>
        <w:t>s</w:t>
      </w:r>
      <w:r w:rsidR="00C27588" w:rsidRPr="00802844">
        <w:rPr>
          <w:rFonts w:ascii="Times New Roman" w:eastAsia="Times New Roman" w:hAnsi="Times New Roman" w:cs="Times New Roman"/>
          <w:sz w:val="24"/>
          <w:szCs w:val="24"/>
        </w:rPr>
        <w:t xml:space="preserve"> that Fairfax’s private family life present</w:t>
      </w:r>
      <w:r w:rsidR="008A6F36">
        <w:rPr>
          <w:rFonts w:ascii="Times New Roman" w:eastAsia="Times New Roman" w:hAnsi="Times New Roman" w:cs="Times New Roman"/>
          <w:sz w:val="24"/>
          <w:szCs w:val="24"/>
        </w:rPr>
        <w:t>ed</w:t>
      </w:r>
      <w:r w:rsidR="00C27588" w:rsidRPr="00802844">
        <w:rPr>
          <w:rFonts w:ascii="Times New Roman" w:eastAsia="Times New Roman" w:hAnsi="Times New Roman" w:cs="Times New Roman"/>
          <w:sz w:val="24"/>
          <w:szCs w:val="24"/>
        </w:rPr>
        <w:t xml:space="preserve"> the first opportunity for Marvell to reassess and revaluate a troubled attitude towards privacy and withdrawal. Marvell’s vision of the private Fairfax develops not only through family and the turmoil of private conscience – vital though these are to the picture of privacy in the early 1650s – but also through alternative constructions of the individual and the self, inspired by the philosophy of Montaigne and informed by the social and intellectual development of private boundaries. Key to Marvell’s portrayal of the private general is the construction and reflection of the self through private property and its (often vitrified) representations across all three poems addressed to Fairfax.  </w:t>
      </w:r>
    </w:p>
    <w:p w:rsidR="00DC4DEA" w:rsidRPr="00802844" w:rsidRDefault="0089214F" w:rsidP="0076363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penultimate chapter of the volume, </w:t>
      </w:r>
      <w:r w:rsidR="00DC4DEA" w:rsidRPr="00802844">
        <w:rPr>
          <w:rFonts w:ascii="Times New Roman" w:eastAsia="Times New Roman" w:hAnsi="Times New Roman" w:cs="Times New Roman"/>
          <w:bCs/>
          <w:sz w:val="24"/>
          <w:szCs w:val="24"/>
        </w:rPr>
        <w:t>Rory Tanner</w:t>
      </w:r>
      <w:r w:rsidR="00DC4DEA" w:rsidRPr="00802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contends </w:t>
      </w:r>
      <w:r w:rsidR="00DC4DEA" w:rsidRPr="00802844">
        <w:rPr>
          <w:rFonts w:ascii="Times New Roman" w:eastAsia="Times New Roman" w:hAnsi="Times New Roman" w:cs="Times New Roman"/>
          <w:sz w:val="24"/>
          <w:szCs w:val="24"/>
        </w:rPr>
        <w:t xml:space="preserve">that the poetry of Thomas Fairfax has largely followed the destiny set by its author, being ‘designed’, as he claims, ‘for private use and then to oblivion’. Left to like obscurity – if not quite to ‘oblivion’ </w:t>
      </w:r>
      <w:r w:rsidR="00DC4DEA" w:rsidRPr="00802844">
        <w:rPr>
          <w:rFonts w:ascii="Times New Roman" w:eastAsia="Times New Roman" w:hAnsi="Times New Roman" w:cs="Times New Roman"/>
          <w:sz w:val="24"/>
          <w:szCs w:val="24"/>
        </w:rPr>
        <w:lastRenderedPageBreak/>
        <w:t xml:space="preserve">– is the association between the poet Fairfax and Marvell, at least if </w:t>
      </w:r>
      <w:r w:rsidR="00322988">
        <w:rPr>
          <w:rFonts w:ascii="Times New Roman" w:eastAsia="Times New Roman" w:hAnsi="Times New Roman" w:cs="Times New Roman"/>
          <w:sz w:val="24"/>
          <w:szCs w:val="24"/>
        </w:rPr>
        <w:t xml:space="preserve">the latter’s </w:t>
      </w:r>
      <w:r w:rsidR="00DC4DEA" w:rsidRPr="00802844">
        <w:rPr>
          <w:rFonts w:ascii="Times New Roman" w:eastAsia="Times New Roman" w:hAnsi="Times New Roman" w:cs="Times New Roman"/>
          <w:sz w:val="24"/>
          <w:szCs w:val="24"/>
        </w:rPr>
        <w:t xml:space="preserve">‘bafflingly private’ verses (as John Wallace describes) ‘Upon Appleton House’ offer any indication. Centred on Fairfax’s translation of the Psalms, this </w:t>
      </w:r>
      <w:r w:rsidR="00322988">
        <w:rPr>
          <w:rFonts w:ascii="Times New Roman" w:eastAsia="Times New Roman" w:hAnsi="Times New Roman" w:cs="Times New Roman"/>
          <w:sz w:val="24"/>
          <w:szCs w:val="24"/>
        </w:rPr>
        <w:t xml:space="preserve">chapter </w:t>
      </w:r>
      <w:r w:rsidR="00DC4DEA" w:rsidRPr="00802844">
        <w:rPr>
          <w:rFonts w:ascii="Times New Roman" w:eastAsia="Times New Roman" w:hAnsi="Times New Roman" w:cs="Times New Roman"/>
          <w:sz w:val="24"/>
          <w:szCs w:val="24"/>
        </w:rPr>
        <w:t>identifie</w:t>
      </w:r>
      <w:r w:rsidR="00322988">
        <w:rPr>
          <w:rFonts w:ascii="Times New Roman" w:eastAsia="Times New Roman" w:hAnsi="Times New Roman" w:cs="Times New Roman"/>
          <w:sz w:val="24"/>
          <w:szCs w:val="24"/>
        </w:rPr>
        <w:t>s</w:t>
      </w:r>
      <w:r w:rsidR="00DC4DEA" w:rsidRPr="00802844">
        <w:rPr>
          <w:rFonts w:ascii="Times New Roman" w:eastAsia="Times New Roman" w:hAnsi="Times New Roman" w:cs="Times New Roman"/>
          <w:sz w:val="24"/>
          <w:szCs w:val="24"/>
        </w:rPr>
        <w:t xml:space="preserve"> characteristics in the work that grant greater access to the intimacies of Nun Appleton in the 1650s. </w:t>
      </w:r>
    </w:p>
    <w:p w:rsidR="00DC4DEA" w:rsidRPr="00802844" w:rsidRDefault="00DC4DEA" w:rsidP="00763634">
      <w:pPr>
        <w:spacing w:after="0" w:line="480" w:lineRule="auto"/>
        <w:jc w:val="both"/>
        <w:rPr>
          <w:rFonts w:ascii="Times New Roman" w:eastAsia="Times New Roman" w:hAnsi="Times New Roman" w:cs="Times New Roman"/>
          <w:sz w:val="24"/>
          <w:szCs w:val="24"/>
        </w:rPr>
      </w:pPr>
      <w:r w:rsidRPr="00802844">
        <w:rPr>
          <w:rFonts w:ascii="Times New Roman" w:eastAsia="Times New Roman" w:hAnsi="Times New Roman" w:cs="Times New Roman"/>
          <w:sz w:val="24"/>
          <w:szCs w:val="24"/>
        </w:rPr>
        <w:tab/>
        <w:t xml:space="preserve">Collation of several early modern Psalters reveals the distinct patterns of variation in Fairfax’s own practices of translation and composition. Here, </w:t>
      </w:r>
      <w:r w:rsidR="00D70EDD">
        <w:rPr>
          <w:rFonts w:ascii="Times New Roman" w:eastAsia="Times New Roman" w:hAnsi="Times New Roman" w:cs="Times New Roman"/>
          <w:sz w:val="24"/>
          <w:szCs w:val="24"/>
        </w:rPr>
        <w:t xml:space="preserve">Tanner </w:t>
      </w:r>
      <w:r w:rsidRPr="00802844">
        <w:rPr>
          <w:rFonts w:ascii="Times New Roman" w:eastAsia="Times New Roman" w:hAnsi="Times New Roman" w:cs="Times New Roman"/>
          <w:sz w:val="24"/>
          <w:szCs w:val="24"/>
        </w:rPr>
        <w:t>suggest</w:t>
      </w:r>
      <w:r w:rsidR="00D70EDD">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xml:space="preserve">, Fairfax’s rendering of biblical verse reflects many of his preoccupations during retirement, from the pleasant pursuits of natural philosophy to the uneasy realities of Cromwellian politics that loomed beyond the rural retreat at Nun Appleton. Such anxiety finds full expression in Fairfax’s Psalter, as the retired general’s assessment of public political life is performed and in some ways also permitted by his expansive translation project. Consideration also of the poetry written by Marvell during his employment in the Fairfax household connects the respective devotion of Appleton’s two poets, whether that owed </w:t>
      </w:r>
      <w:r w:rsidR="00D70EDD">
        <w:rPr>
          <w:rFonts w:ascii="Times New Roman" w:eastAsia="Times New Roman" w:hAnsi="Times New Roman" w:cs="Times New Roman"/>
          <w:sz w:val="24"/>
          <w:szCs w:val="24"/>
        </w:rPr>
        <w:t xml:space="preserve">more </w:t>
      </w:r>
      <w:r w:rsidRPr="00802844">
        <w:rPr>
          <w:rFonts w:ascii="Times New Roman" w:eastAsia="Times New Roman" w:hAnsi="Times New Roman" w:cs="Times New Roman"/>
          <w:sz w:val="24"/>
          <w:szCs w:val="24"/>
        </w:rPr>
        <w:t xml:space="preserve">to patronage and to religious belief, or to contemplation and composition. In these terms, the writings of Marvell and Fairfax frame between them both a shared privacy and a shared lyric imagination. Those associations, </w:t>
      </w:r>
      <w:r w:rsidR="00880FFD">
        <w:rPr>
          <w:rFonts w:ascii="Times New Roman" w:eastAsia="Times New Roman" w:hAnsi="Times New Roman" w:cs="Times New Roman"/>
          <w:sz w:val="24"/>
          <w:szCs w:val="24"/>
        </w:rPr>
        <w:t>the author a</w:t>
      </w:r>
      <w:r w:rsidRPr="00802844">
        <w:rPr>
          <w:rFonts w:ascii="Times New Roman" w:eastAsia="Times New Roman" w:hAnsi="Times New Roman" w:cs="Times New Roman"/>
          <w:sz w:val="24"/>
          <w:szCs w:val="24"/>
        </w:rPr>
        <w:t>rgue</w:t>
      </w:r>
      <w:r w:rsidR="00880FFD">
        <w:rPr>
          <w:rFonts w:ascii="Times New Roman" w:eastAsia="Times New Roman" w:hAnsi="Times New Roman" w:cs="Times New Roman"/>
          <w:sz w:val="24"/>
          <w:szCs w:val="24"/>
        </w:rPr>
        <w:t>s</w:t>
      </w:r>
      <w:r w:rsidRPr="00802844">
        <w:rPr>
          <w:rFonts w:ascii="Times New Roman" w:eastAsia="Times New Roman" w:hAnsi="Times New Roman" w:cs="Times New Roman"/>
          <w:sz w:val="24"/>
          <w:szCs w:val="24"/>
        </w:rPr>
        <w:t>, significantly support broader literary-critical interest in Fairfax’s poetry, and, more generally, in early-modern metrical psalmody. </w:t>
      </w:r>
    </w:p>
    <w:p w:rsidR="008A6F36" w:rsidRDefault="00DC4DEA" w:rsidP="00763634">
      <w:pPr>
        <w:spacing w:after="0" w:line="480" w:lineRule="auto"/>
        <w:jc w:val="both"/>
        <w:rPr>
          <w:rFonts w:ascii="Times New Roman" w:eastAsia="Times New Roman" w:hAnsi="Times New Roman" w:cs="Times New Roman"/>
          <w:bCs/>
          <w:sz w:val="24"/>
          <w:szCs w:val="24"/>
        </w:rPr>
      </w:pPr>
      <w:r w:rsidRPr="00802844">
        <w:rPr>
          <w:rFonts w:ascii="Times New Roman" w:eastAsia="Times New Roman" w:hAnsi="Times New Roman" w:cs="Times New Roman"/>
          <w:sz w:val="24"/>
          <w:szCs w:val="24"/>
        </w:rPr>
        <w:tab/>
      </w:r>
      <w:r w:rsidR="000F575E">
        <w:rPr>
          <w:rFonts w:ascii="Times New Roman" w:eastAsia="Times New Roman" w:hAnsi="Times New Roman" w:cs="Times New Roman"/>
          <w:sz w:val="24"/>
          <w:szCs w:val="24"/>
        </w:rPr>
        <w:t xml:space="preserve">Part 2, and the volume as a whole, is brought to a conclusion </w:t>
      </w:r>
      <w:r w:rsidR="00316500">
        <w:rPr>
          <w:rFonts w:ascii="Times New Roman" w:eastAsia="Times New Roman" w:hAnsi="Times New Roman" w:cs="Times New Roman"/>
          <w:sz w:val="24"/>
          <w:szCs w:val="24"/>
        </w:rPr>
        <w:t xml:space="preserve">with a chapter by </w:t>
      </w:r>
      <w:r w:rsidRPr="00802844">
        <w:rPr>
          <w:rFonts w:ascii="Times New Roman" w:eastAsia="Times New Roman" w:hAnsi="Times New Roman" w:cs="Times New Roman"/>
          <w:bCs/>
          <w:sz w:val="24"/>
          <w:szCs w:val="24"/>
        </w:rPr>
        <w:t xml:space="preserve">Richard Nash, </w:t>
      </w:r>
      <w:r w:rsidR="00316500">
        <w:rPr>
          <w:rFonts w:ascii="Times New Roman" w:eastAsia="Times New Roman" w:hAnsi="Times New Roman" w:cs="Times New Roman"/>
          <w:bCs/>
          <w:sz w:val="24"/>
          <w:szCs w:val="24"/>
        </w:rPr>
        <w:t>w</w:t>
      </w:r>
      <w:r w:rsidRPr="00802844">
        <w:rPr>
          <w:rFonts w:ascii="Times New Roman" w:eastAsia="Times New Roman" w:hAnsi="Times New Roman" w:cs="Times New Roman"/>
          <w:bCs/>
          <w:sz w:val="24"/>
          <w:szCs w:val="24"/>
        </w:rPr>
        <w:t>hich in great detail trace</w:t>
      </w:r>
      <w:r w:rsidR="00316500">
        <w:rPr>
          <w:rFonts w:ascii="Times New Roman" w:eastAsia="Times New Roman" w:hAnsi="Times New Roman" w:cs="Times New Roman"/>
          <w:bCs/>
          <w:sz w:val="24"/>
          <w:szCs w:val="24"/>
        </w:rPr>
        <w:t>s</w:t>
      </w:r>
      <w:r w:rsidRPr="00802844">
        <w:rPr>
          <w:rFonts w:ascii="Times New Roman" w:eastAsia="Times New Roman" w:hAnsi="Times New Roman" w:cs="Times New Roman"/>
          <w:bCs/>
          <w:sz w:val="24"/>
          <w:szCs w:val="24"/>
        </w:rPr>
        <w:t xml:space="preserve"> the lineages of famous racehorses from the </w:t>
      </w:r>
      <w:r w:rsidR="008A6F36">
        <w:rPr>
          <w:rFonts w:ascii="Times New Roman" w:eastAsia="Times New Roman" w:hAnsi="Times New Roman" w:cs="Times New Roman"/>
          <w:bCs/>
          <w:sz w:val="24"/>
          <w:szCs w:val="24"/>
        </w:rPr>
        <w:t>seventeen</w:t>
      </w:r>
      <w:r w:rsidRPr="00802844">
        <w:rPr>
          <w:rFonts w:ascii="Times New Roman" w:eastAsia="Times New Roman" w:hAnsi="Times New Roman" w:cs="Times New Roman"/>
          <w:bCs/>
          <w:sz w:val="24"/>
          <w:szCs w:val="24"/>
        </w:rPr>
        <w:t xml:space="preserve">th century onwards, interleaved with close scrutiny of Fairfax’s little-known treatise on horse breeding, the original of which is held at York Minster Library. Nash </w:t>
      </w:r>
      <w:r w:rsidR="00316500">
        <w:rPr>
          <w:rFonts w:ascii="Times New Roman" w:eastAsia="Times New Roman" w:hAnsi="Times New Roman" w:cs="Times New Roman"/>
          <w:bCs/>
          <w:sz w:val="24"/>
          <w:szCs w:val="24"/>
        </w:rPr>
        <w:t xml:space="preserve">shows how, </w:t>
      </w:r>
      <w:r w:rsidR="00316500" w:rsidRPr="00802844">
        <w:rPr>
          <w:rFonts w:ascii="Times New Roman" w:eastAsia="Times New Roman" w:hAnsi="Times New Roman" w:cs="Times New Roman"/>
          <w:bCs/>
          <w:sz w:val="24"/>
          <w:szCs w:val="24"/>
        </w:rPr>
        <w:t>through a Restoration racehorse named ‘Spanker’</w:t>
      </w:r>
      <w:r w:rsidR="00316500">
        <w:rPr>
          <w:rFonts w:ascii="Times New Roman" w:eastAsia="Times New Roman" w:hAnsi="Times New Roman" w:cs="Times New Roman"/>
          <w:bCs/>
          <w:sz w:val="24"/>
          <w:szCs w:val="24"/>
        </w:rPr>
        <w:t xml:space="preserve">, </w:t>
      </w:r>
      <w:r w:rsidRPr="00802844">
        <w:rPr>
          <w:rFonts w:ascii="Times New Roman" w:eastAsia="Times New Roman" w:hAnsi="Times New Roman" w:cs="Times New Roman"/>
          <w:bCs/>
          <w:sz w:val="24"/>
          <w:szCs w:val="24"/>
        </w:rPr>
        <w:t>the lineage of today’s racing thoroughbreds c</w:t>
      </w:r>
      <w:r w:rsidR="00316500">
        <w:rPr>
          <w:rFonts w:ascii="Times New Roman" w:eastAsia="Times New Roman" w:hAnsi="Times New Roman" w:cs="Times New Roman"/>
          <w:bCs/>
          <w:sz w:val="24"/>
          <w:szCs w:val="24"/>
        </w:rPr>
        <w:t xml:space="preserve">an </w:t>
      </w:r>
      <w:r w:rsidRPr="00802844">
        <w:rPr>
          <w:rFonts w:ascii="Times New Roman" w:eastAsia="Times New Roman" w:hAnsi="Times New Roman" w:cs="Times New Roman"/>
          <w:bCs/>
          <w:sz w:val="24"/>
          <w:szCs w:val="24"/>
        </w:rPr>
        <w:t>be traced back to Fairfax’s stud at Nun Appleton.</w:t>
      </w:r>
    </w:p>
    <w:p w:rsidR="008A6F36" w:rsidRPr="008A6F36" w:rsidRDefault="008A6F36" w:rsidP="00763634">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 </w:t>
      </w:r>
      <w:r w:rsidRPr="002F0B1C">
        <w:rPr>
          <w:rFonts w:ascii="Times New Roman" w:eastAsia="Times New Roman" w:hAnsi="Times New Roman" w:cs="Times New Roman"/>
          <w:sz w:val="24"/>
          <w:szCs w:val="24"/>
        </w:rPr>
        <w:t>original essays in thi</w:t>
      </w:r>
      <w:r>
        <w:rPr>
          <w:rFonts w:ascii="Times New Roman" w:eastAsia="Times New Roman" w:hAnsi="Times New Roman" w:cs="Times New Roman"/>
          <w:sz w:val="24"/>
          <w:szCs w:val="24"/>
        </w:rPr>
        <w:t xml:space="preserve">s interdisciplinary volume </w:t>
      </w:r>
      <w:r w:rsidRPr="002F0B1C">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more of the </w:t>
      </w:r>
      <w:r w:rsidRPr="002F0B1C">
        <w:rPr>
          <w:rFonts w:ascii="Times New Roman" w:eastAsia="Times New Roman" w:hAnsi="Times New Roman" w:cs="Times New Roman"/>
          <w:sz w:val="24"/>
          <w:szCs w:val="24"/>
        </w:rPr>
        <w:t>sust</w:t>
      </w:r>
      <w:r>
        <w:rPr>
          <w:rFonts w:ascii="Times New Roman" w:eastAsia="Times New Roman" w:hAnsi="Times New Roman" w:cs="Times New Roman"/>
          <w:sz w:val="24"/>
          <w:szCs w:val="24"/>
        </w:rPr>
        <w:t xml:space="preserve">ained modern critical attention that Fairfax’s </w:t>
      </w:r>
      <w:r w:rsidRPr="002F0B1C">
        <w:rPr>
          <w:rFonts w:ascii="Times New Roman" w:eastAsia="Times New Roman" w:hAnsi="Times New Roman" w:cs="Times New Roman"/>
          <w:sz w:val="24"/>
          <w:szCs w:val="24"/>
        </w:rPr>
        <w:t xml:space="preserve">life and work merit. </w:t>
      </w:r>
      <w:r>
        <w:rPr>
          <w:rFonts w:ascii="Times New Roman" w:eastAsia="Times New Roman" w:hAnsi="Times New Roman" w:cs="Times New Roman"/>
          <w:bCs/>
          <w:sz w:val="24"/>
          <w:szCs w:val="24"/>
        </w:rPr>
        <w:t xml:space="preserve">They reflect </w:t>
      </w:r>
      <w:r>
        <w:rPr>
          <w:rFonts w:ascii="Times New Roman" w:eastAsia="Times New Roman" w:hAnsi="Times New Roman" w:cs="Times New Roman"/>
          <w:sz w:val="24"/>
          <w:szCs w:val="24"/>
        </w:rPr>
        <w:t xml:space="preserve">key aspects of his </w:t>
      </w:r>
      <w:r>
        <w:rPr>
          <w:rFonts w:ascii="Times New Roman" w:eastAsia="Times New Roman" w:hAnsi="Times New Roman" w:cs="Times New Roman"/>
          <w:sz w:val="24"/>
          <w:szCs w:val="24"/>
        </w:rPr>
        <w:lastRenderedPageBreak/>
        <w:t xml:space="preserve">life and career which are, nevertheless, as interconnecting as they are discrete. Their </w:t>
      </w:r>
      <w:r w:rsidRPr="002F0B1C">
        <w:rPr>
          <w:rFonts w:ascii="Times New Roman" w:eastAsia="Times New Roman" w:hAnsi="Times New Roman" w:cs="Arial"/>
          <w:sz w:val="24"/>
          <w:szCs w:val="24"/>
        </w:rPr>
        <w:t>fresh account</w:t>
      </w:r>
      <w:r>
        <w:rPr>
          <w:rFonts w:ascii="Times New Roman" w:eastAsia="Times New Roman" w:hAnsi="Times New Roman" w:cs="Arial"/>
          <w:sz w:val="24"/>
          <w:szCs w:val="24"/>
        </w:rPr>
        <w:t>s</w:t>
      </w:r>
      <w:r w:rsidRPr="002F0B1C">
        <w:rPr>
          <w:rFonts w:ascii="Times New Roman" w:eastAsia="Times New Roman" w:hAnsi="Times New Roman" w:cs="Arial"/>
          <w:sz w:val="24"/>
          <w:szCs w:val="24"/>
        </w:rPr>
        <w:t xml:space="preserve"> of </w:t>
      </w:r>
      <w:r>
        <w:rPr>
          <w:rFonts w:ascii="Times New Roman" w:eastAsia="Times New Roman" w:hAnsi="Times New Roman" w:cs="Arial"/>
          <w:sz w:val="24"/>
          <w:szCs w:val="24"/>
        </w:rPr>
        <w:t xml:space="preserve">Fairfax’s reputation and </w:t>
      </w:r>
      <w:r w:rsidRPr="002F0B1C">
        <w:rPr>
          <w:rFonts w:ascii="Times New Roman" w:eastAsia="Times New Roman" w:hAnsi="Times New Roman" w:cs="Arial"/>
          <w:sz w:val="24"/>
          <w:szCs w:val="24"/>
        </w:rPr>
        <w:t xml:space="preserve">legacy question assumptions about neatly demarcated seventeenth-century chronological, geographic and </w:t>
      </w:r>
      <w:r>
        <w:rPr>
          <w:rFonts w:ascii="Times New Roman" w:eastAsia="Times New Roman" w:hAnsi="Times New Roman" w:cs="Arial"/>
          <w:sz w:val="24"/>
          <w:szCs w:val="24"/>
        </w:rPr>
        <w:t xml:space="preserve">cultural </w:t>
      </w:r>
      <w:r w:rsidRPr="002F0B1C">
        <w:rPr>
          <w:rFonts w:ascii="Times New Roman" w:eastAsia="Times New Roman" w:hAnsi="Times New Roman" w:cs="Arial"/>
          <w:sz w:val="24"/>
          <w:szCs w:val="24"/>
        </w:rPr>
        <w:t xml:space="preserve">boundaries. </w:t>
      </w:r>
      <w:r>
        <w:rPr>
          <w:rFonts w:ascii="Times New Roman" w:eastAsia="Times New Roman" w:hAnsi="Times New Roman" w:cs="Arial"/>
          <w:sz w:val="24"/>
          <w:szCs w:val="24"/>
        </w:rPr>
        <w:t>Emerging from them</w:t>
      </w:r>
      <w:r w:rsidRPr="002F0B1C">
        <w:rPr>
          <w:rFonts w:ascii="Times New Roman" w:eastAsia="Times New Roman" w:hAnsi="Times New Roman" w:cs="Arial"/>
          <w:sz w:val="24"/>
          <w:szCs w:val="24"/>
        </w:rPr>
        <w:t xml:space="preserve"> is a man who </w:t>
      </w:r>
      <w:r w:rsidR="002A6100">
        <w:rPr>
          <w:rFonts w:ascii="Times New Roman" w:eastAsia="Times New Roman" w:hAnsi="Times New Roman" w:cs="Arial"/>
          <w:sz w:val="24"/>
          <w:szCs w:val="24"/>
        </w:rPr>
        <w:t xml:space="preserve">confounds </w:t>
      </w:r>
      <w:r w:rsidR="004116CD">
        <w:rPr>
          <w:rFonts w:ascii="Times New Roman" w:eastAsia="Times New Roman" w:hAnsi="Times New Roman" w:cs="Arial"/>
          <w:sz w:val="24"/>
          <w:szCs w:val="24"/>
        </w:rPr>
        <w:t>a</w:t>
      </w:r>
      <w:r w:rsidRPr="002F0B1C">
        <w:rPr>
          <w:rFonts w:ascii="Times New Roman" w:eastAsia="Times New Roman" w:hAnsi="Times New Roman" w:cs="Arial"/>
          <w:sz w:val="24"/>
          <w:szCs w:val="24"/>
        </w:rPr>
        <w:t xml:space="preserve">s </w:t>
      </w:r>
      <w:r w:rsidR="00F271DB">
        <w:rPr>
          <w:rFonts w:ascii="Times New Roman" w:eastAsia="Times New Roman" w:hAnsi="Times New Roman" w:cs="Arial"/>
          <w:sz w:val="24"/>
          <w:szCs w:val="24"/>
        </w:rPr>
        <w:t xml:space="preserve">often </w:t>
      </w:r>
      <w:r>
        <w:rPr>
          <w:rFonts w:ascii="Times New Roman" w:eastAsia="Times New Roman" w:hAnsi="Times New Roman" w:cs="Arial"/>
          <w:sz w:val="24"/>
          <w:szCs w:val="24"/>
        </w:rPr>
        <w:t xml:space="preserve">as he </w:t>
      </w:r>
      <w:r w:rsidRPr="002F0B1C">
        <w:rPr>
          <w:rFonts w:ascii="Times New Roman" w:eastAsia="Times New Roman" w:hAnsi="Times New Roman" w:cs="Arial"/>
          <w:sz w:val="24"/>
          <w:szCs w:val="24"/>
        </w:rPr>
        <w:t xml:space="preserve">reinforces </w:t>
      </w:r>
      <w:r>
        <w:rPr>
          <w:rFonts w:ascii="Times New Roman" w:eastAsia="Times New Roman" w:hAnsi="Times New Roman" w:cs="Arial"/>
          <w:sz w:val="24"/>
          <w:szCs w:val="24"/>
        </w:rPr>
        <w:t xml:space="preserve">assumed </w:t>
      </w:r>
      <w:r w:rsidRPr="002F0B1C">
        <w:rPr>
          <w:rFonts w:ascii="Times New Roman" w:eastAsia="Times New Roman" w:hAnsi="Times New Roman" w:cs="Arial"/>
          <w:sz w:val="24"/>
          <w:szCs w:val="24"/>
        </w:rPr>
        <w:t>characteris</w:t>
      </w:r>
      <w:r>
        <w:rPr>
          <w:rFonts w:ascii="Times New Roman" w:eastAsia="Times New Roman" w:hAnsi="Times New Roman" w:cs="Arial"/>
          <w:sz w:val="24"/>
          <w:szCs w:val="24"/>
        </w:rPr>
        <w:t xml:space="preserve">tics </w:t>
      </w:r>
      <w:r w:rsidRPr="002F0B1C">
        <w:rPr>
          <w:rFonts w:ascii="Times New Roman" w:eastAsia="Times New Roman" w:hAnsi="Times New Roman" w:cs="Arial"/>
          <w:sz w:val="24"/>
          <w:szCs w:val="24"/>
        </w:rPr>
        <w:t xml:space="preserve">of </w:t>
      </w:r>
      <w:r>
        <w:rPr>
          <w:rFonts w:ascii="Times New Roman" w:eastAsia="Times New Roman" w:hAnsi="Times New Roman" w:cs="Arial"/>
          <w:sz w:val="24"/>
          <w:szCs w:val="24"/>
        </w:rPr>
        <w:t>martial invincibility, political disengagem</w:t>
      </w:r>
      <w:r w:rsidR="005C1BDD">
        <w:rPr>
          <w:rFonts w:ascii="Times New Roman" w:eastAsia="Times New Roman" w:hAnsi="Times New Roman" w:cs="Arial"/>
          <w:sz w:val="24"/>
          <w:szCs w:val="24"/>
        </w:rPr>
        <w:t xml:space="preserve">ent and literary dilettantism. Deriving </w:t>
      </w:r>
      <w:r>
        <w:rPr>
          <w:rFonts w:ascii="Times New Roman" w:eastAsia="Times New Roman" w:hAnsi="Times New Roman" w:cs="Arial"/>
          <w:sz w:val="24"/>
          <w:szCs w:val="24"/>
        </w:rPr>
        <w:t>from a conference marking the 400</w:t>
      </w:r>
      <w:r w:rsidRPr="008A6F36">
        <w:rPr>
          <w:rFonts w:ascii="Times New Roman" w:eastAsia="Times New Roman" w:hAnsi="Times New Roman" w:cs="Arial"/>
          <w:sz w:val="24"/>
          <w:szCs w:val="24"/>
          <w:vertAlign w:val="superscript"/>
        </w:rPr>
        <w:t>th</w:t>
      </w:r>
      <w:r>
        <w:rPr>
          <w:rFonts w:ascii="Times New Roman" w:eastAsia="Times New Roman" w:hAnsi="Times New Roman" w:cs="Arial"/>
          <w:sz w:val="24"/>
          <w:szCs w:val="24"/>
        </w:rPr>
        <w:t xml:space="preserve"> anniversary of his birth,</w:t>
      </w:r>
      <w:r w:rsidR="00F53CFD">
        <w:rPr>
          <w:rStyle w:val="FootnoteReference"/>
          <w:rFonts w:ascii="Times New Roman" w:eastAsia="Times New Roman" w:hAnsi="Times New Roman" w:cs="Arial"/>
          <w:sz w:val="24"/>
          <w:szCs w:val="24"/>
        </w:rPr>
        <w:footnoteReference w:id="27"/>
      </w:r>
      <w:r>
        <w:rPr>
          <w:rFonts w:ascii="Times New Roman" w:eastAsia="Times New Roman" w:hAnsi="Times New Roman" w:cs="Arial"/>
          <w:sz w:val="24"/>
          <w:szCs w:val="24"/>
        </w:rPr>
        <w:t xml:space="preserve"> i</w:t>
      </w:r>
      <w:r>
        <w:rPr>
          <w:rFonts w:ascii="Times New Roman" w:eastAsia="Times New Roman" w:hAnsi="Times New Roman" w:cs="Times New Roman"/>
          <w:bCs/>
          <w:sz w:val="24"/>
          <w:szCs w:val="24"/>
        </w:rPr>
        <w:t>t is hoped that this collection of essays will highlight new directions of scholarly enquiry into Fairfax’s multiple roles as soldier, statesman, governor, husband, horseman and scholar.</w:t>
      </w:r>
    </w:p>
    <w:p w:rsidR="008A6F36" w:rsidRPr="00DC4DEA" w:rsidRDefault="008A6F36" w:rsidP="00763634">
      <w:pPr>
        <w:spacing w:after="0" w:line="480" w:lineRule="auto"/>
        <w:jc w:val="both"/>
        <w:rPr>
          <w:rFonts w:ascii="Times New Roman" w:hAnsi="Times New Roman" w:cs="Times New Roman"/>
          <w:sz w:val="24"/>
          <w:szCs w:val="24"/>
        </w:rPr>
      </w:pPr>
    </w:p>
    <w:sectPr w:rsidR="008A6F36" w:rsidRPr="00DC4DEA" w:rsidSect="003C25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9C" w:rsidRDefault="00AE149C" w:rsidP="00AC6B1F">
      <w:pPr>
        <w:spacing w:after="0" w:line="240" w:lineRule="auto"/>
      </w:pPr>
      <w:r>
        <w:separator/>
      </w:r>
    </w:p>
  </w:endnote>
  <w:endnote w:type="continuationSeparator" w:id="0">
    <w:p w:rsidR="00AE149C" w:rsidRDefault="00AE149C" w:rsidP="00AC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9C" w:rsidRDefault="00AE149C" w:rsidP="00AC6B1F">
      <w:pPr>
        <w:spacing w:after="0" w:line="240" w:lineRule="auto"/>
      </w:pPr>
      <w:r>
        <w:separator/>
      </w:r>
    </w:p>
  </w:footnote>
  <w:footnote w:type="continuationSeparator" w:id="0">
    <w:p w:rsidR="00AE149C" w:rsidRDefault="00AE149C" w:rsidP="00AC6B1F">
      <w:pPr>
        <w:spacing w:after="0" w:line="240" w:lineRule="auto"/>
      </w:pPr>
      <w:r>
        <w:continuationSeparator/>
      </w:r>
    </w:p>
  </w:footnote>
  <w:footnote w:id="1">
    <w:p w:rsidR="008A7F0F" w:rsidRDefault="008A7F0F" w:rsidP="008A7F0F">
      <w:pPr>
        <w:pStyle w:val="FootnoteText"/>
        <w:spacing w:line="360" w:lineRule="auto"/>
        <w:jc w:val="both"/>
      </w:pPr>
      <w:r>
        <w:rPr>
          <w:rStyle w:val="FootnoteReference"/>
        </w:rPr>
        <w:footnoteRef/>
      </w:r>
      <w:r>
        <w:t xml:space="preserve"> The name was coined by Edward Claver, in his poem, </w:t>
      </w:r>
      <w:hyperlink r:id="rId1" w:tgtFrame="EEBO" w:tooltip="EEBO record.  EEBO links will open in a popup window.  Literature Online will remain open in the original window" w:history="1">
        <w:r w:rsidRPr="00595F3B">
          <w:rPr>
            <w:rStyle w:val="Hyperlink"/>
            <w:i/>
            <w:color w:val="auto"/>
            <w:u w:val="none"/>
          </w:rPr>
          <w:t>Englands fortresse: exemplified in the most renowned and victorious, his Excellency, the Lord Fairfax, Commander in Chiefe of the Parl. Army. / Humbly presented unto his Excellency by E.C. lover of peace</w:t>
        </w:r>
        <w:r w:rsidR="00595F3B">
          <w:rPr>
            <w:rStyle w:val="Hyperlink"/>
            <w:i/>
            <w:color w:val="auto"/>
            <w:u w:val="none"/>
          </w:rPr>
          <w:t xml:space="preserve"> </w:t>
        </w:r>
      </w:hyperlink>
      <w:r w:rsidR="00595F3B">
        <w:t>(</w:t>
      </w:r>
      <w:r>
        <w:t>London: s.n., 1649)</w:t>
      </w:r>
      <w:r w:rsidR="00595F3B">
        <w:t>.</w:t>
      </w:r>
    </w:p>
  </w:footnote>
  <w:footnote w:id="2">
    <w:p w:rsidR="00462B69" w:rsidRDefault="00462B69" w:rsidP="00763634">
      <w:pPr>
        <w:pStyle w:val="FootnoteText"/>
        <w:spacing w:line="360" w:lineRule="auto"/>
        <w:jc w:val="both"/>
      </w:pPr>
      <w:r>
        <w:rPr>
          <w:rStyle w:val="FootnoteReference"/>
        </w:rPr>
        <w:footnoteRef/>
      </w:r>
      <w:r>
        <w:t xml:space="preserve"> Andrew Hopper, </w:t>
      </w:r>
      <w:r w:rsidRPr="00C75768">
        <w:rPr>
          <w:i/>
        </w:rPr>
        <w:t>‘Black Tom’: Sir Thomas Fairfax and the English Revolution</w:t>
      </w:r>
      <w:r>
        <w:t xml:space="preserve"> (Manchester: Manchester University Press, 2007).</w:t>
      </w:r>
    </w:p>
  </w:footnote>
  <w:footnote w:id="3">
    <w:p w:rsidR="008A6F36" w:rsidRDefault="008A6F36" w:rsidP="00763634">
      <w:pPr>
        <w:pStyle w:val="FootnoteText"/>
        <w:spacing w:line="360" w:lineRule="auto"/>
        <w:jc w:val="both"/>
      </w:pPr>
      <w:r>
        <w:rPr>
          <w:rStyle w:val="FootnoteReference"/>
        </w:rPr>
        <w:footnoteRef/>
      </w:r>
      <w:r>
        <w:t xml:space="preserve"> Clements Markham, </w:t>
      </w:r>
      <w:r w:rsidRPr="00552C31">
        <w:rPr>
          <w:i/>
        </w:rPr>
        <w:t>The Life of the Great Lord Fairfax</w:t>
      </w:r>
      <w:r>
        <w:t xml:space="preserve"> (London: Macmillan, 1870); M. Gibb, </w:t>
      </w:r>
      <w:r w:rsidRPr="00552C31">
        <w:rPr>
          <w:i/>
        </w:rPr>
        <w:t xml:space="preserve">The Lord General: A Life of Thomas Fairfax </w:t>
      </w:r>
      <w:r w:rsidRPr="00F31D3B">
        <w:t>(London:</w:t>
      </w:r>
      <w:r>
        <w:t xml:space="preserve"> Drummond, 1938); John Wilson, </w:t>
      </w:r>
      <w:r w:rsidRPr="00552C31">
        <w:rPr>
          <w:i/>
        </w:rPr>
        <w:t>Fairfax</w:t>
      </w:r>
      <w:r>
        <w:t xml:space="preserve"> (London: Murray, 1985). </w:t>
      </w:r>
    </w:p>
  </w:footnote>
  <w:footnote w:id="4">
    <w:p w:rsidR="008A6F36" w:rsidRDefault="008A6F36" w:rsidP="00763634">
      <w:pPr>
        <w:pStyle w:val="FootnoteText"/>
        <w:spacing w:line="360" w:lineRule="auto"/>
        <w:jc w:val="both"/>
      </w:pPr>
      <w:r>
        <w:rPr>
          <w:rStyle w:val="FootnoteReference"/>
        </w:rPr>
        <w:footnoteRef/>
      </w:r>
      <w:r>
        <w:t xml:space="preserve"> </w:t>
      </w:r>
      <w:r w:rsidR="002304BF">
        <w:t>Rev. D</w:t>
      </w:r>
      <w:r w:rsidR="00707BE7">
        <w:t>.</w:t>
      </w:r>
      <w:r w:rsidR="002304BF">
        <w:t xml:space="preserve"> </w:t>
      </w:r>
      <w:r>
        <w:t xml:space="preserve">Parsons, </w:t>
      </w:r>
      <w:r w:rsidRPr="00AA1CF2">
        <w:rPr>
          <w:i/>
        </w:rPr>
        <w:t>The Diary of Henry Slingsby</w:t>
      </w:r>
      <w:r>
        <w:rPr>
          <w:i/>
        </w:rPr>
        <w:t xml:space="preserve"> </w:t>
      </w:r>
      <w:r>
        <w:t>(London, 1836), p. 340.</w:t>
      </w:r>
    </w:p>
  </w:footnote>
  <w:footnote w:id="5">
    <w:p w:rsidR="00B6601E" w:rsidRDefault="00B6601E" w:rsidP="00763634">
      <w:pPr>
        <w:pStyle w:val="FootnoteText"/>
        <w:spacing w:line="360" w:lineRule="auto"/>
      </w:pPr>
      <w:r>
        <w:rPr>
          <w:rStyle w:val="FootnoteReference"/>
        </w:rPr>
        <w:footnoteRef/>
      </w:r>
      <w:r>
        <w:t xml:space="preserve"> For the view that the issue over Scotland was the pretext for a resignation long in gestation, see Hopper, pp. 112–114. </w:t>
      </w:r>
    </w:p>
  </w:footnote>
  <w:footnote w:id="6">
    <w:p w:rsidR="008A6F36" w:rsidRDefault="008A6F36" w:rsidP="00763634">
      <w:pPr>
        <w:pStyle w:val="FootnoteText"/>
        <w:spacing w:line="360" w:lineRule="auto"/>
        <w:jc w:val="both"/>
      </w:pPr>
      <w:r>
        <w:rPr>
          <w:rStyle w:val="FootnoteReference"/>
        </w:rPr>
        <w:footnoteRef/>
      </w:r>
      <w:r>
        <w:t xml:space="preserve"> </w:t>
      </w:r>
      <w:r w:rsidRPr="003B77F1">
        <w:rPr>
          <w:i/>
        </w:rPr>
        <w:t>Short Memorials of Thomas</w:t>
      </w:r>
      <w:r>
        <w:rPr>
          <w:i/>
        </w:rPr>
        <w:t>,</w:t>
      </w:r>
      <w:r w:rsidRPr="003B77F1">
        <w:rPr>
          <w:i/>
        </w:rPr>
        <w:t xml:space="preserve"> Lord Fairfax</w:t>
      </w:r>
      <w:r>
        <w:rPr>
          <w:i/>
        </w:rPr>
        <w:t xml:space="preserve"> </w:t>
      </w:r>
      <w:r>
        <w:t>(London, 1699)</w:t>
      </w:r>
      <w:r w:rsidR="00471E44">
        <w:t>, p. 127</w:t>
      </w:r>
      <w:r>
        <w:t>.</w:t>
      </w:r>
    </w:p>
  </w:footnote>
  <w:footnote w:id="7">
    <w:p w:rsidR="008A6F36" w:rsidRPr="00785B85" w:rsidRDefault="008A6F36" w:rsidP="00763634">
      <w:pPr>
        <w:pStyle w:val="FootnoteText"/>
        <w:spacing w:line="360" w:lineRule="auto"/>
        <w:jc w:val="both"/>
      </w:pPr>
      <w:r>
        <w:rPr>
          <w:rStyle w:val="FootnoteReference"/>
        </w:rPr>
        <w:footnoteRef/>
      </w:r>
      <w:r>
        <w:t xml:space="preserve"> Cited in Blair Worden, </w:t>
      </w:r>
      <w:r>
        <w:rPr>
          <w:i/>
        </w:rPr>
        <w:t xml:space="preserve">The Rump Parliament </w:t>
      </w:r>
      <w:r>
        <w:t>(Cambridge: Cambridge University Press, 1974), p. 224.</w:t>
      </w:r>
    </w:p>
  </w:footnote>
  <w:footnote w:id="8">
    <w:p w:rsidR="008A6F36" w:rsidRDefault="008A6F36" w:rsidP="00763634">
      <w:pPr>
        <w:pStyle w:val="FootnoteText"/>
        <w:spacing w:line="360" w:lineRule="auto"/>
        <w:jc w:val="both"/>
      </w:pPr>
      <w:r>
        <w:rPr>
          <w:rStyle w:val="FootnoteReference"/>
        </w:rPr>
        <w:footnoteRef/>
      </w:r>
      <w:r>
        <w:t xml:space="preserve"> Edward Bliss Reed, </w:t>
      </w:r>
      <w:r w:rsidRPr="00CE72E8">
        <w:rPr>
          <w:i/>
        </w:rPr>
        <w:t>The Poems of Thomas Third Lord Fairfax</w:t>
      </w:r>
      <w:r>
        <w:rPr>
          <w:i/>
        </w:rPr>
        <w:t xml:space="preserve"> </w:t>
      </w:r>
      <w:r>
        <w:t xml:space="preserve">(New Haven: Yale University Press, 1909), </w:t>
      </w:r>
      <w:r w:rsidR="001F6B4A">
        <w:t>p</w:t>
      </w:r>
      <w:r>
        <w:t>p. 281–2.</w:t>
      </w:r>
    </w:p>
  </w:footnote>
  <w:footnote w:id="9">
    <w:p w:rsidR="008A6F36" w:rsidRDefault="008A6F36" w:rsidP="00763634">
      <w:pPr>
        <w:pStyle w:val="FootnoteText"/>
        <w:spacing w:line="360" w:lineRule="auto"/>
        <w:jc w:val="both"/>
      </w:pPr>
      <w:r>
        <w:rPr>
          <w:rStyle w:val="FootnoteReference"/>
        </w:rPr>
        <w:footnoteRef/>
      </w:r>
      <w:r>
        <w:t xml:space="preserve"> Markham, p.</w:t>
      </w:r>
      <w:r w:rsidR="001F6B4A">
        <w:t xml:space="preserve"> </w:t>
      </w:r>
      <w:r>
        <w:t>360.</w:t>
      </w:r>
    </w:p>
  </w:footnote>
  <w:footnote w:id="10">
    <w:p w:rsidR="00D7361E" w:rsidRDefault="00D7361E" w:rsidP="00763634">
      <w:pPr>
        <w:pStyle w:val="FootnoteText"/>
        <w:spacing w:line="360" w:lineRule="auto"/>
        <w:jc w:val="both"/>
      </w:pPr>
      <w:r>
        <w:rPr>
          <w:rStyle w:val="FootnoteReference"/>
        </w:rPr>
        <w:footnoteRef/>
      </w:r>
      <w:r>
        <w:t xml:space="preserve"> S.R. Gardiner, </w:t>
      </w:r>
      <w:r w:rsidRPr="002E0E52">
        <w:rPr>
          <w:i/>
        </w:rPr>
        <w:t>History of the</w:t>
      </w:r>
      <w:r>
        <w:t xml:space="preserve"> </w:t>
      </w:r>
      <w:r w:rsidRPr="00A144F3">
        <w:rPr>
          <w:i/>
        </w:rPr>
        <w:t>Commonwealth and Protectorate</w:t>
      </w:r>
      <w:r>
        <w:t>, 4 vols (London: Longmans, 1903), i, pp. 261–2.</w:t>
      </w:r>
    </w:p>
  </w:footnote>
  <w:footnote w:id="11">
    <w:p w:rsidR="008A6F36" w:rsidRDefault="008A6F36" w:rsidP="00763634">
      <w:pPr>
        <w:pStyle w:val="FootnoteText"/>
        <w:spacing w:line="360" w:lineRule="auto"/>
        <w:jc w:val="both"/>
      </w:pPr>
      <w:r>
        <w:rPr>
          <w:rStyle w:val="FootnoteReference"/>
        </w:rPr>
        <w:footnoteRef/>
      </w:r>
      <w:r>
        <w:t xml:space="preserve"> Neil Keeble, </w:t>
      </w:r>
      <w:r w:rsidRPr="00EA144D">
        <w:rPr>
          <w:i/>
        </w:rPr>
        <w:t>Memoirs of the Life of Colonel Hutchinson</w:t>
      </w:r>
      <w:r>
        <w:rPr>
          <w:i/>
        </w:rPr>
        <w:t xml:space="preserve"> </w:t>
      </w:r>
      <w:r>
        <w:t>(London: Everyman, 1995), p. 240.</w:t>
      </w:r>
    </w:p>
  </w:footnote>
  <w:footnote w:id="12">
    <w:p w:rsidR="008A6F36" w:rsidRDefault="008A6F36" w:rsidP="00763634">
      <w:pPr>
        <w:pStyle w:val="FootnoteText"/>
        <w:spacing w:line="360" w:lineRule="auto"/>
        <w:jc w:val="both"/>
      </w:pPr>
      <w:r>
        <w:rPr>
          <w:rStyle w:val="FootnoteReference"/>
        </w:rPr>
        <w:footnoteRef/>
      </w:r>
      <w:r>
        <w:t xml:space="preserve"> C.H. Firth, </w:t>
      </w:r>
      <w:r w:rsidRPr="002B5B0E">
        <w:rPr>
          <w:i/>
        </w:rPr>
        <w:t>The Memoirs of Edmund Ludlow</w:t>
      </w:r>
      <w:r>
        <w:t>, 2 vols (Oxford: Clarendon Press, 1894), i, p. 242.</w:t>
      </w:r>
    </w:p>
  </w:footnote>
  <w:footnote w:id="13">
    <w:p w:rsidR="006E1059" w:rsidRDefault="006E1059" w:rsidP="00763634">
      <w:pPr>
        <w:pStyle w:val="FootnoteText"/>
        <w:spacing w:line="360" w:lineRule="auto"/>
        <w:jc w:val="both"/>
      </w:pPr>
      <w:r>
        <w:rPr>
          <w:rStyle w:val="FootnoteReference"/>
        </w:rPr>
        <w:footnoteRef/>
      </w:r>
      <w:r>
        <w:t xml:space="preserve"> Cited in Hopper</w:t>
      </w:r>
      <w:r w:rsidR="001B5D09">
        <w:t xml:space="preserve">, </w:t>
      </w:r>
      <w:r>
        <w:t>p. 115.</w:t>
      </w:r>
    </w:p>
  </w:footnote>
  <w:footnote w:id="14">
    <w:p w:rsidR="008A6F36" w:rsidRDefault="008A6F36" w:rsidP="00763634">
      <w:pPr>
        <w:pStyle w:val="Heading2"/>
        <w:spacing w:line="360" w:lineRule="auto"/>
        <w:jc w:val="both"/>
      </w:pPr>
      <w:r w:rsidRPr="00A242AB">
        <w:rPr>
          <w:rStyle w:val="FootnoteReference"/>
          <w:rFonts w:ascii="Times New Roman" w:hAnsi="Times New Roman" w:cs="Times New Roman"/>
          <w:b w:val="0"/>
          <w:color w:val="auto"/>
          <w:sz w:val="20"/>
          <w:szCs w:val="20"/>
        </w:rPr>
        <w:footnoteRef/>
      </w:r>
      <w:r w:rsidRPr="00A242AB">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Bulstrode Whitelock, </w:t>
      </w:r>
      <w:hyperlink r:id="rId2" w:tooltip="Memorials of the English affairs from the beginning of the reign of Charles the First to the happy restoration of King Charles the Second; V.1 - Whitelock, B" w:history="1">
        <w:r w:rsidRPr="00A242AB">
          <w:rPr>
            <w:rFonts w:ascii="Times New Roman" w:eastAsia="Times New Roman" w:hAnsi="Times New Roman" w:cs="Times New Roman"/>
            <w:b w:val="0"/>
            <w:i/>
            <w:color w:val="auto"/>
            <w:sz w:val="20"/>
            <w:szCs w:val="20"/>
            <w:lang w:eastAsia="en-GB"/>
          </w:rPr>
          <w:t>Memorials of the English affairs from the beginning of the reign of Charles the First to the happy restoration of King Charles the Second</w:t>
        </w:r>
        <w:r>
          <w:rPr>
            <w:rFonts w:ascii="Times New Roman" w:eastAsia="Times New Roman" w:hAnsi="Times New Roman" w:cs="Times New Roman"/>
            <w:b w:val="0"/>
            <w:color w:val="auto"/>
            <w:sz w:val="20"/>
            <w:szCs w:val="20"/>
            <w:lang w:eastAsia="en-GB"/>
          </w:rPr>
          <w:t xml:space="preserve">, 4 vols (Oxford: Oxford University Press, 1853), </w:t>
        </w:r>
      </w:hyperlink>
      <w:r>
        <w:rPr>
          <w:rFonts w:ascii="Times New Roman" w:eastAsia="Times New Roman" w:hAnsi="Times New Roman" w:cs="Times New Roman"/>
          <w:b w:val="0"/>
          <w:color w:val="auto"/>
          <w:sz w:val="20"/>
          <w:szCs w:val="20"/>
          <w:lang w:eastAsia="en-GB"/>
        </w:rPr>
        <w:t>p. 460.</w:t>
      </w:r>
    </w:p>
  </w:footnote>
  <w:footnote w:id="15">
    <w:p w:rsidR="008A6F36" w:rsidRDefault="008A6F36" w:rsidP="00763634">
      <w:pPr>
        <w:pStyle w:val="FootnoteText"/>
        <w:spacing w:line="360" w:lineRule="auto"/>
        <w:jc w:val="both"/>
      </w:pPr>
      <w:r>
        <w:rPr>
          <w:rStyle w:val="FootnoteReference"/>
        </w:rPr>
        <w:footnoteRef/>
      </w:r>
      <w:r>
        <w:t xml:space="preserve"> Firth, p. 243.</w:t>
      </w:r>
    </w:p>
  </w:footnote>
  <w:footnote w:id="16">
    <w:p w:rsidR="008A6F36" w:rsidRDefault="008A6F36" w:rsidP="00763634">
      <w:pPr>
        <w:pStyle w:val="FootnoteText"/>
        <w:spacing w:line="360" w:lineRule="auto"/>
        <w:jc w:val="both"/>
      </w:pPr>
      <w:r>
        <w:rPr>
          <w:rStyle w:val="FootnoteReference"/>
        </w:rPr>
        <w:footnoteRef/>
      </w:r>
      <w:r>
        <w:t xml:space="preserve"> Cited in Markham</w:t>
      </w:r>
      <w:r w:rsidR="001F6B4A">
        <w:t xml:space="preserve">, </w:t>
      </w:r>
      <w:r>
        <w:t>p. 360.</w:t>
      </w:r>
    </w:p>
  </w:footnote>
  <w:footnote w:id="17">
    <w:p w:rsidR="00EC4425" w:rsidRDefault="00EC4425" w:rsidP="00763634">
      <w:pPr>
        <w:pStyle w:val="FootnoteText"/>
        <w:spacing w:line="360" w:lineRule="auto"/>
        <w:jc w:val="both"/>
      </w:pPr>
      <w:r>
        <w:rPr>
          <w:rStyle w:val="FootnoteReference"/>
        </w:rPr>
        <w:footnoteRef/>
      </w:r>
      <w:r>
        <w:t xml:space="preserve"> </w:t>
      </w:r>
      <w:r w:rsidRPr="00EC4425">
        <w:rPr>
          <w:i/>
        </w:rPr>
        <w:t>ODNB</w:t>
      </w:r>
      <w:r>
        <w:t>.</w:t>
      </w:r>
    </w:p>
  </w:footnote>
  <w:footnote w:id="18">
    <w:p w:rsidR="008A6F36" w:rsidRDefault="008A6F36" w:rsidP="00763634">
      <w:pPr>
        <w:pStyle w:val="FootnoteText"/>
        <w:spacing w:line="360" w:lineRule="auto"/>
        <w:jc w:val="both"/>
      </w:pPr>
      <w:r>
        <w:rPr>
          <w:rStyle w:val="FootnoteReference"/>
        </w:rPr>
        <w:footnoteRef/>
      </w:r>
      <w:r>
        <w:t xml:space="preserve"> Henry Walker, </w:t>
      </w:r>
      <w:r w:rsidRPr="006773FB">
        <w:rPr>
          <w:i/>
        </w:rPr>
        <w:t>A Sermon Preached in the Chappell at Somerset House in the Strand</w:t>
      </w:r>
      <w:r>
        <w:rPr>
          <w:i/>
        </w:rPr>
        <w:t xml:space="preserve"> </w:t>
      </w:r>
      <w:r w:rsidR="001F6B4A">
        <w:rPr>
          <w:i/>
        </w:rPr>
        <w:t xml:space="preserve">… </w:t>
      </w:r>
      <w:r>
        <w:t>(London, 1650).</w:t>
      </w:r>
    </w:p>
  </w:footnote>
  <w:footnote w:id="19">
    <w:p w:rsidR="008A6F36" w:rsidRDefault="008A6F36" w:rsidP="00763634">
      <w:pPr>
        <w:pStyle w:val="FootnoteText"/>
        <w:spacing w:line="360" w:lineRule="auto"/>
        <w:jc w:val="both"/>
      </w:pPr>
      <w:r>
        <w:rPr>
          <w:rStyle w:val="FootnoteReference"/>
        </w:rPr>
        <w:footnoteRef/>
      </w:r>
      <w:r>
        <w:t xml:space="preserve"> </w:t>
      </w:r>
      <w:r w:rsidRPr="001F6FE0">
        <w:rPr>
          <w:i/>
        </w:rPr>
        <w:t>The Works of John Milton</w:t>
      </w:r>
      <w:r>
        <w:t>, ed. Frank Patterson et al (Columbia: Columbia University Press, 1933), p. 217–18.</w:t>
      </w:r>
    </w:p>
  </w:footnote>
  <w:footnote w:id="20">
    <w:p w:rsidR="00EE677A" w:rsidRDefault="00EE677A" w:rsidP="00763634">
      <w:pPr>
        <w:pStyle w:val="FootnoteText"/>
        <w:spacing w:line="360" w:lineRule="auto"/>
        <w:jc w:val="both"/>
      </w:pPr>
      <w:r>
        <w:rPr>
          <w:rStyle w:val="FootnoteReference"/>
        </w:rPr>
        <w:footnoteRef/>
      </w:r>
      <w:r>
        <w:t xml:space="preserve"> See footnote 4 for reference.</w:t>
      </w:r>
    </w:p>
  </w:footnote>
  <w:footnote w:id="21">
    <w:p w:rsidR="008A6F36" w:rsidRDefault="008A6F36" w:rsidP="00763634">
      <w:pPr>
        <w:pStyle w:val="FootnoteText"/>
        <w:spacing w:line="360" w:lineRule="auto"/>
        <w:jc w:val="both"/>
      </w:pPr>
      <w:r>
        <w:rPr>
          <w:rStyle w:val="FootnoteReference"/>
        </w:rPr>
        <w:footnoteRef/>
      </w:r>
      <w:r>
        <w:t xml:space="preserve"> Predictably, Fairfax’s royalist opponents also emphasised his perceived  inability to </w:t>
      </w:r>
      <w:r w:rsidRPr="00EE781E">
        <w:t>translate military success into political</w:t>
      </w:r>
      <w:r>
        <w:t xml:space="preserve">, though with more alacrity and less sympathy, witness his cousin Mildmay Fane’s satirical poem ‘To Sir Thomas Fairfax’: </w:t>
      </w:r>
    </w:p>
    <w:p w:rsidR="008A6F36" w:rsidRDefault="008A6F36" w:rsidP="00763634">
      <w:pPr>
        <w:spacing w:after="0" w:line="360" w:lineRule="auto"/>
        <w:ind w:left="1440" w:firstLine="720"/>
        <w:jc w:val="both"/>
        <w:rPr>
          <w:rFonts w:ascii="Times New Roman" w:eastAsia="Times New Roman" w:hAnsi="Times New Roman" w:cs="Times New Roman"/>
          <w:sz w:val="20"/>
          <w:szCs w:val="20"/>
        </w:rPr>
      </w:pPr>
    </w:p>
    <w:p w:rsidR="008A6F36" w:rsidRPr="00EE781E" w:rsidRDefault="008A6F36" w:rsidP="00763634">
      <w:pPr>
        <w:spacing w:after="0" w:line="360" w:lineRule="auto"/>
        <w:ind w:left="1440" w:firstLine="720"/>
        <w:jc w:val="both"/>
        <w:rPr>
          <w:rFonts w:ascii="Times New Roman" w:eastAsia="Times New Roman" w:hAnsi="Times New Roman" w:cs="Times New Roman"/>
          <w:sz w:val="20"/>
          <w:szCs w:val="20"/>
        </w:rPr>
      </w:pPr>
      <w:r w:rsidRPr="00EE781E">
        <w:rPr>
          <w:rFonts w:ascii="Times New Roman" w:eastAsia="Times New Roman" w:hAnsi="Times New Roman" w:cs="Times New Roman"/>
          <w:sz w:val="20"/>
          <w:szCs w:val="20"/>
        </w:rPr>
        <w:t>Though thy pretences may for fair stand</w:t>
      </w:r>
    </w:p>
    <w:p w:rsidR="008A6F36" w:rsidRPr="00EE781E" w:rsidRDefault="008A6F36" w:rsidP="00763634">
      <w:pPr>
        <w:spacing w:after="0" w:line="360" w:lineRule="auto"/>
        <w:ind w:left="1440" w:firstLine="720"/>
        <w:jc w:val="both"/>
        <w:rPr>
          <w:rFonts w:ascii="Times New Roman" w:eastAsia="Times New Roman" w:hAnsi="Times New Roman" w:cs="Times New Roman"/>
          <w:sz w:val="20"/>
          <w:szCs w:val="20"/>
        </w:rPr>
      </w:pPr>
      <w:r w:rsidRPr="00EE781E">
        <w:rPr>
          <w:rFonts w:ascii="Times New Roman" w:eastAsia="Times New Roman" w:hAnsi="Times New Roman" w:cs="Times New Roman"/>
          <w:sz w:val="20"/>
          <w:szCs w:val="20"/>
        </w:rPr>
        <w:t>Black Tom the rest in Latine’s fire brand</w:t>
      </w:r>
    </w:p>
    <w:p w:rsidR="008A6F36" w:rsidRPr="00EE781E" w:rsidRDefault="008A6F36" w:rsidP="00763634">
      <w:pPr>
        <w:spacing w:after="0" w:line="360" w:lineRule="auto"/>
        <w:ind w:left="1440" w:firstLine="720"/>
        <w:jc w:val="both"/>
        <w:rPr>
          <w:rFonts w:ascii="Times New Roman" w:eastAsia="Times New Roman" w:hAnsi="Times New Roman" w:cs="Times New Roman"/>
          <w:sz w:val="20"/>
          <w:szCs w:val="20"/>
        </w:rPr>
      </w:pPr>
      <w:r w:rsidRPr="00EE781E">
        <w:rPr>
          <w:rFonts w:ascii="Times New Roman" w:eastAsia="Times New Roman" w:hAnsi="Times New Roman" w:cs="Times New Roman"/>
          <w:sz w:val="20"/>
          <w:szCs w:val="20"/>
        </w:rPr>
        <w:t>And soe I feare thou art who prict with fame</w:t>
      </w:r>
    </w:p>
    <w:p w:rsidR="008A6F36" w:rsidRPr="00EE781E" w:rsidRDefault="008A6F36" w:rsidP="00763634">
      <w:pPr>
        <w:spacing w:after="0" w:line="360" w:lineRule="auto"/>
        <w:ind w:left="1440" w:firstLine="720"/>
        <w:jc w:val="both"/>
        <w:rPr>
          <w:rFonts w:ascii="Times New Roman" w:eastAsia="Times New Roman" w:hAnsi="Times New Roman" w:cs="Times New Roman"/>
          <w:sz w:val="20"/>
          <w:szCs w:val="20"/>
        </w:rPr>
      </w:pPr>
      <w:r w:rsidRPr="00EE781E">
        <w:rPr>
          <w:rFonts w:ascii="Times New Roman" w:eastAsia="Times New Roman" w:hAnsi="Times New Roman" w:cs="Times New Roman"/>
          <w:sz w:val="20"/>
          <w:szCs w:val="20"/>
        </w:rPr>
        <w:t>Embroylst thy native country in flame</w:t>
      </w:r>
    </w:p>
    <w:p w:rsidR="008A6F36" w:rsidRPr="00EE781E" w:rsidRDefault="008A6F36" w:rsidP="00763634">
      <w:pPr>
        <w:spacing w:after="0" w:line="360" w:lineRule="auto"/>
        <w:ind w:left="1440" w:firstLine="720"/>
        <w:jc w:val="both"/>
        <w:rPr>
          <w:rFonts w:ascii="Times New Roman" w:eastAsia="Times New Roman" w:hAnsi="Times New Roman" w:cs="Times New Roman"/>
          <w:sz w:val="20"/>
          <w:szCs w:val="20"/>
        </w:rPr>
      </w:pPr>
      <w:r w:rsidRPr="00EE781E">
        <w:rPr>
          <w:rFonts w:ascii="Times New Roman" w:eastAsia="Times New Roman" w:hAnsi="Times New Roman" w:cs="Times New Roman"/>
          <w:sz w:val="20"/>
          <w:szCs w:val="20"/>
        </w:rPr>
        <w:t>In virtues schoole those doe not more excel</w:t>
      </w:r>
    </w:p>
    <w:p w:rsidR="008A6F36" w:rsidRDefault="008A6F36" w:rsidP="00763634">
      <w:pPr>
        <w:spacing w:after="0" w:line="360" w:lineRule="auto"/>
        <w:ind w:left="1440" w:firstLine="720"/>
        <w:jc w:val="both"/>
      </w:pPr>
      <w:r w:rsidRPr="00EE781E">
        <w:rPr>
          <w:rFonts w:ascii="Times New Roman" w:eastAsia="Times New Roman" w:hAnsi="Times New Roman" w:cs="Times New Roman"/>
          <w:sz w:val="20"/>
          <w:szCs w:val="20"/>
        </w:rPr>
        <w:t>Who conquer; than who manedg Conquest well.</w:t>
      </w:r>
    </w:p>
    <w:p w:rsidR="008A6F36" w:rsidRDefault="008A6F36" w:rsidP="00763634">
      <w:pPr>
        <w:pStyle w:val="FootnoteText"/>
        <w:spacing w:line="360" w:lineRule="auto"/>
        <w:jc w:val="both"/>
      </w:pPr>
    </w:p>
    <w:p w:rsidR="008A6F36" w:rsidRDefault="008A6F36" w:rsidP="00763634">
      <w:pPr>
        <w:pStyle w:val="FootnoteText"/>
        <w:spacing w:line="360" w:lineRule="auto"/>
        <w:jc w:val="both"/>
      </w:pPr>
      <w:r w:rsidRPr="00350B86">
        <w:rPr>
          <w:i/>
        </w:rPr>
        <w:t>The Poetry of Mildmay Fane, Second Earl of Westmorland</w:t>
      </w:r>
      <w:r>
        <w:t>, ed. Tom Cain (Manchester: Manchester University Press, 2001), pp. 247–8.</w:t>
      </w:r>
    </w:p>
  </w:footnote>
  <w:footnote w:id="22">
    <w:p w:rsidR="008A6F36" w:rsidRDefault="008A6F36" w:rsidP="00763634">
      <w:pPr>
        <w:pStyle w:val="FootnoteText"/>
        <w:spacing w:line="360" w:lineRule="auto"/>
        <w:jc w:val="both"/>
      </w:pPr>
      <w:r>
        <w:rPr>
          <w:rStyle w:val="FootnoteReference"/>
        </w:rPr>
        <w:footnoteRef/>
      </w:r>
      <w:r>
        <w:t xml:space="preserve"> </w:t>
      </w:r>
      <w:r>
        <w:rPr>
          <w:i/>
        </w:rPr>
        <w:t>The Poems and Letters of Andrew Marvell</w:t>
      </w:r>
      <w:r>
        <w:t xml:space="preserve">, ed. H.M. Margoliouth, 2 vols (Oxford: Clarendon Press, 1971), i, p. 69.  </w:t>
      </w:r>
    </w:p>
  </w:footnote>
  <w:footnote w:id="23">
    <w:p w:rsidR="00DC4216" w:rsidRPr="00DC4216" w:rsidRDefault="00DC4216" w:rsidP="00763634">
      <w:pPr>
        <w:pStyle w:val="FootnoteText"/>
        <w:spacing w:line="360" w:lineRule="auto"/>
        <w:jc w:val="both"/>
      </w:pPr>
      <w:r w:rsidRPr="00DC4216">
        <w:rPr>
          <w:rStyle w:val="FootnoteReference"/>
        </w:rPr>
        <w:footnoteRef/>
      </w:r>
      <w:r w:rsidRPr="00DC4216">
        <w:t xml:space="preserve"> W. Blundell, </w:t>
      </w:r>
      <w:r w:rsidRPr="00DC4216">
        <w:rPr>
          <w:i/>
          <w:iCs/>
        </w:rPr>
        <w:t xml:space="preserve">An Exact Chronological and Historical Discovery of the Hitherto Unknown Isle of Man, </w:t>
      </w:r>
      <w:r w:rsidRPr="00DC4216">
        <w:t>ed. W. Harrison, (</w:t>
      </w:r>
      <w:r w:rsidR="009B1ADC">
        <w:t xml:space="preserve">Douglas: </w:t>
      </w:r>
      <w:r w:rsidRPr="00DC4216">
        <w:t>The Manx Society, 1876),</w:t>
      </w:r>
      <w:r w:rsidR="009B1ADC">
        <w:t xml:space="preserve"> xxv, </w:t>
      </w:r>
      <w:r w:rsidRPr="00DC4216">
        <w:t>p.</w:t>
      </w:r>
      <w:r w:rsidR="009B1ADC">
        <w:t xml:space="preserve"> </w:t>
      </w:r>
      <w:r w:rsidRPr="00DC4216">
        <w:t>xxiii.</w:t>
      </w:r>
    </w:p>
  </w:footnote>
  <w:footnote w:id="24">
    <w:p w:rsidR="008A6F36" w:rsidRDefault="008A6F36" w:rsidP="00763634">
      <w:pPr>
        <w:pStyle w:val="FootnoteText"/>
        <w:spacing w:line="360" w:lineRule="auto"/>
        <w:jc w:val="both"/>
      </w:pPr>
      <w:r>
        <w:rPr>
          <w:rStyle w:val="FootnoteReference"/>
        </w:rPr>
        <w:footnoteRef/>
      </w:r>
      <w:r>
        <w:t xml:space="preserve"> John Callow, ‘The limits of indemnity: the earl of Derby, sovereignty and retribution at the trial of William Christian, 1660-63’, </w:t>
      </w:r>
      <w:r w:rsidRPr="008A1E1C">
        <w:rPr>
          <w:i/>
        </w:rPr>
        <w:t>The Seventeenth Century</w:t>
      </w:r>
      <w:r>
        <w:t>, 15:2 (2000), pp. 199</w:t>
      </w:r>
      <w:r w:rsidR="000C798F">
        <w:t>–</w:t>
      </w:r>
      <w:r>
        <w:t>216.</w:t>
      </w:r>
    </w:p>
  </w:footnote>
  <w:footnote w:id="25">
    <w:p w:rsidR="008A6F36" w:rsidRDefault="008A6F36" w:rsidP="00763634">
      <w:pPr>
        <w:pStyle w:val="FootnoteText"/>
        <w:spacing w:line="360" w:lineRule="auto"/>
        <w:jc w:val="both"/>
      </w:pPr>
      <w:r>
        <w:rPr>
          <w:rStyle w:val="FootnoteReference"/>
        </w:rPr>
        <w:footnoteRef/>
      </w:r>
      <w:r>
        <w:t xml:space="preserve"> Jacqueline Eales, ‘“An ancient mother in our Israel”: Mary, Lady Vere’, in Joanna Harris and Elizabeth Scott-Baumann (eds), </w:t>
      </w:r>
      <w:r w:rsidRPr="0020516E">
        <w:rPr>
          <w:i/>
        </w:rPr>
        <w:t>The Intellectual Culture of Puritan Women</w:t>
      </w:r>
      <w:r>
        <w:rPr>
          <w:i/>
        </w:rPr>
        <w:t>, 1558-1680</w:t>
      </w:r>
      <w:r>
        <w:t xml:space="preserve"> (Basingstoke, 2011), pp. 84</w:t>
      </w:r>
      <w:r w:rsidR="00236C9F">
        <w:t>–9</w:t>
      </w:r>
      <w:r>
        <w:t xml:space="preserve">5; Jacqueline Eales, </w:t>
      </w:r>
      <w:r w:rsidRPr="0020516E">
        <w:rPr>
          <w:i/>
        </w:rPr>
        <w:t>Puritans and Roundheads: The Harleys of Brampton Bryan and the Outbreak of the English Civil War</w:t>
      </w:r>
      <w:r w:rsidRPr="0020516E">
        <w:t xml:space="preserve"> (Cambridge, 1990).</w:t>
      </w:r>
    </w:p>
  </w:footnote>
  <w:footnote w:id="26">
    <w:p w:rsidR="008A6F36" w:rsidRDefault="008A6F36" w:rsidP="00763634">
      <w:pPr>
        <w:pStyle w:val="FootnoteText"/>
        <w:spacing w:line="360" w:lineRule="auto"/>
        <w:jc w:val="both"/>
      </w:pPr>
      <w:r>
        <w:rPr>
          <w:rStyle w:val="FootnoteReference"/>
        </w:rPr>
        <w:footnoteRef/>
      </w:r>
      <w:r>
        <w:t xml:space="preserve"> Barbara Donagan, ‘Casuistry and allegiance in the English civil war’, in Derek Hirst and Richard Strier (eds), </w:t>
      </w:r>
      <w:r w:rsidRPr="00165DD5">
        <w:rPr>
          <w:i/>
        </w:rPr>
        <w:t>Writing and Political Engagement in Seventeenth-Century England</w:t>
      </w:r>
      <w:r>
        <w:t xml:space="preserve"> (Cambridge</w:t>
      </w:r>
      <w:r w:rsidR="00EF0586">
        <w:t>: Cambridge University Press</w:t>
      </w:r>
      <w:r>
        <w:t>, 1999), pp. 89</w:t>
      </w:r>
      <w:r w:rsidR="00B114D4">
        <w:t>–1</w:t>
      </w:r>
      <w:r>
        <w:t>11.</w:t>
      </w:r>
    </w:p>
  </w:footnote>
  <w:footnote w:id="27">
    <w:p w:rsidR="00F53CFD" w:rsidRDefault="00F53CFD" w:rsidP="00763634">
      <w:pPr>
        <w:pStyle w:val="FootnoteText"/>
        <w:spacing w:line="360" w:lineRule="auto"/>
        <w:jc w:val="both"/>
      </w:pPr>
      <w:r>
        <w:rPr>
          <w:rStyle w:val="FootnoteReference"/>
        </w:rPr>
        <w:footnoteRef/>
      </w:r>
      <w:r>
        <w:t xml:space="preserve"> The ‘Fairfax 400’ </w:t>
      </w:r>
      <w:r w:rsidR="00AF130A">
        <w:t xml:space="preserve">anniversary </w:t>
      </w:r>
      <w:r>
        <w:t xml:space="preserve">conference was held at the </w:t>
      </w:r>
      <w:r w:rsidR="00986FF8">
        <w:t xml:space="preserve">Centre for English Local History, </w:t>
      </w:r>
      <w:r>
        <w:t>University of Leicester</w:t>
      </w:r>
      <w:r w:rsidR="00986FF8">
        <w:t>,</w:t>
      </w:r>
      <w:r w:rsidR="007F5835">
        <w:t xml:space="preserve"> on the weekend of 30 July</w:t>
      </w:r>
      <w:r w:rsidR="00AC1884">
        <w:t xml:space="preserve"> – </w:t>
      </w:r>
      <w:r w:rsidR="007F5835">
        <w:t>1 July 2012.</w:t>
      </w:r>
      <w:r>
        <w:t xml:space="preserve"> The editors wish to thank the Society of Renaissance Studies for </w:t>
      </w:r>
      <w:r w:rsidR="007F51DC">
        <w:t xml:space="preserve">its </w:t>
      </w:r>
      <w:r>
        <w:t>gen</w:t>
      </w:r>
      <w:r w:rsidR="00DF3401">
        <w:t xml:space="preserve">erous sponsorship of this event, and the Aurelius Trust for its </w:t>
      </w:r>
      <w:r w:rsidR="00987595">
        <w:t xml:space="preserve">very </w:t>
      </w:r>
      <w:r w:rsidR="00DF3401">
        <w:t xml:space="preserve">kind financial support of this volume.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35146"/>
      <w:docPartObj>
        <w:docPartGallery w:val="Page Numbers (Top of Page)"/>
        <w:docPartUnique/>
      </w:docPartObj>
    </w:sdtPr>
    <w:sdtEndPr>
      <w:rPr>
        <w:noProof/>
      </w:rPr>
    </w:sdtEndPr>
    <w:sdtContent>
      <w:p w:rsidR="008A6F36" w:rsidRDefault="008771AB">
        <w:pPr>
          <w:pStyle w:val="Header"/>
          <w:jc w:val="right"/>
        </w:pPr>
        <w:r>
          <w:fldChar w:fldCharType="begin"/>
        </w:r>
        <w:r>
          <w:instrText xml:space="preserve"> PAGE   \* MERGEFORMAT </w:instrText>
        </w:r>
        <w:r>
          <w:fldChar w:fldCharType="separate"/>
        </w:r>
        <w:r w:rsidR="00907C89">
          <w:rPr>
            <w:noProof/>
          </w:rPr>
          <w:t>2</w:t>
        </w:r>
        <w:r>
          <w:rPr>
            <w:noProof/>
          </w:rPr>
          <w:fldChar w:fldCharType="end"/>
        </w:r>
      </w:p>
    </w:sdtContent>
  </w:sdt>
  <w:p w:rsidR="008A6F36" w:rsidRDefault="008A6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EA"/>
    <w:rsid w:val="00000856"/>
    <w:rsid w:val="000040DA"/>
    <w:rsid w:val="0000795B"/>
    <w:rsid w:val="00024CBF"/>
    <w:rsid w:val="000263D1"/>
    <w:rsid w:val="000309E1"/>
    <w:rsid w:val="00037A83"/>
    <w:rsid w:val="00042BAA"/>
    <w:rsid w:val="00043952"/>
    <w:rsid w:val="000442DA"/>
    <w:rsid w:val="000543D8"/>
    <w:rsid w:val="00060491"/>
    <w:rsid w:val="000616D8"/>
    <w:rsid w:val="00061C7D"/>
    <w:rsid w:val="000641D8"/>
    <w:rsid w:val="00064CD3"/>
    <w:rsid w:val="00067571"/>
    <w:rsid w:val="00067D12"/>
    <w:rsid w:val="0007309F"/>
    <w:rsid w:val="000754EC"/>
    <w:rsid w:val="000829F9"/>
    <w:rsid w:val="000836DD"/>
    <w:rsid w:val="00085537"/>
    <w:rsid w:val="000878AF"/>
    <w:rsid w:val="00087C91"/>
    <w:rsid w:val="00090254"/>
    <w:rsid w:val="000927AF"/>
    <w:rsid w:val="00093B44"/>
    <w:rsid w:val="00094FDA"/>
    <w:rsid w:val="00097425"/>
    <w:rsid w:val="000A0BD3"/>
    <w:rsid w:val="000A125F"/>
    <w:rsid w:val="000A2718"/>
    <w:rsid w:val="000A439F"/>
    <w:rsid w:val="000A767A"/>
    <w:rsid w:val="000B076F"/>
    <w:rsid w:val="000B257B"/>
    <w:rsid w:val="000B25B2"/>
    <w:rsid w:val="000B62D8"/>
    <w:rsid w:val="000B6C3A"/>
    <w:rsid w:val="000B7A49"/>
    <w:rsid w:val="000C1F4E"/>
    <w:rsid w:val="000C4EB0"/>
    <w:rsid w:val="000C681C"/>
    <w:rsid w:val="000C798F"/>
    <w:rsid w:val="000C7C7D"/>
    <w:rsid w:val="000D5C36"/>
    <w:rsid w:val="000E0161"/>
    <w:rsid w:val="000E2A19"/>
    <w:rsid w:val="000E2D03"/>
    <w:rsid w:val="000E399F"/>
    <w:rsid w:val="000E4DF5"/>
    <w:rsid w:val="000F16A8"/>
    <w:rsid w:val="000F575E"/>
    <w:rsid w:val="0010391B"/>
    <w:rsid w:val="001041A6"/>
    <w:rsid w:val="00105921"/>
    <w:rsid w:val="00105C5C"/>
    <w:rsid w:val="001071D1"/>
    <w:rsid w:val="0010751B"/>
    <w:rsid w:val="0011153E"/>
    <w:rsid w:val="001119F8"/>
    <w:rsid w:val="001133BF"/>
    <w:rsid w:val="00117AC6"/>
    <w:rsid w:val="00117CCB"/>
    <w:rsid w:val="00132722"/>
    <w:rsid w:val="00132FA4"/>
    <w:rsid w:val="001419DA"/>
    <w:rsid w:val="00146F48"/>
    <w:rsid w:val="00153281"/>
    <w:rsid w:val="001548CD"/>
    <w:rsid w:val="00155FAB"/>
    <w:rsid w:val="0016164A"/>
    <w:rsid w:val="001635F8"/>
    <w:rsid w:val="00165CD8"/>
    <w:rsid w:val="00165DD5"/>
    <w:rsid w:val="001661F9"/>
    <w:rsid w:val="00174DCF"/>
    <w:rsid w:val="001824EE"/>
    <w:rsid w:val="00183BFB"/>
    <w:rsid w:val="00184CD4"/>
    <w:rsid w:val="001859FB"/>
    <w:rsid w:val="00190773"/>
    <w:rsid w:val="001948E7"/>
    <w:rsid w:val="00194BDE"/>
    <w:rsid w:val="0019506B"/>
    <w:rsid w:val="001A2208"/>
    <w:rsid w:val="001A2C35"/>
    <w:rsid w:val="001A6B1D"/>
    <w:rsid w:val="001A75D7"/>
    <w:rsid w:val="001B153E"/>
    <w:rsid w:val="001B5700"/>
    <w:rsid w:val="001B5D09"/>
    <w:rsid w:val="001C1499"/>
    <w:rsid w:val="001C263A"/>
    <w:rsid w:val="001C2B15"/>
    <w:rsid w:val="001C4A2D"/>
    <w:rsid w:val="001D1FDA"/>
    <w:rsid w:val="001D67A2"/>
    <w:rsid w:val="001D69AF"/>
    <w:rsid w:val="001D70C5"/>
    <w:rsid w:val="001D7433"/>
    <w:rsid w:val="001E07FD"/>
    <w:rsid w:val="001E2253"/>
    <w:rsid w:val="001E3EEF"/>
    <w:rsid w:val="001E54E8"/>
    <w:rsid w:val="001F6B4A"/>
    <w:rsid w:val="001F6FE0"/>
    <w:rsid w:val="00200200"/>
    <w:rsid w:val="00200BC8"/>
    <w:rsid w:val="00201B7E"/>
    <w:rsid w:val="0020441D"/>
    <w:rsid w:val="0020516E"/>
    <w:rsid w:val="00213350"/>
    <w:rsid w:val="00213363"/>
    <w:rsid w:val="00215A30"/>
    <w:rsid w:val="002169B3"/>
    <w:rsid w:val="00220C0A"/>
    <w:rsid w:val="00221B18"/>
    <w:rsid w:val="002228E7"/>
    <w:rsid w:val="00223781"/>
    <w:rsid w:val="00224059"/>
    <w:rsid w:val="002304BF"/>
    <w:rsid w:val="00230E1E"/>
    <w:rsid w:val="002311A4"/>
    <w:rsid w:val="00232629"/>
    <w:rsid w:val="00233D68"/>
    <w:rsid w:val="0023515F"/>
    <w:rsid w:val="00236173"/>
    <w:rsid w:val="00236C9F"/>
    <w:rsid w:val="00244187"/>
    <w:rsid w:val="00246936"/>
    <w:rsid w:val="002479D5"/>
    <w:rsid w:val="002515A5"/>
    <w:rsid w:val="0025433E"/>
    <w:rsid w:val="00256245"/>
    <w:rsid w:val="002605B8"/>
    <w:rsid w:val="0026164F"/>
    <w:rsid w:val="00263646"/>
    <w:rsid w:val="00270591"/>
    <w:rsid w:val="00271120"/>
    <w:rsid w:val="002722ED"/>
    <w:rsid w:val="0027402C"/>
    <w:rsid w:val="00277771"/>
    <w:rsid w:val="00277B24"/>
    <w:rsid w:val="00277E0B"/>
    <w:rsid w:val="002807A4"/>
    <w:rsid w:val="002854B3"/>
    <w:rsid w:val="002918AD"/>
    <w:rsid w:val="002930E1"/>
    <w:rsid w:val="00293978"/>
    <w:rsid w:val="00293A12"/>
    <w:rsid w:val="00293BE6"/>
    <w:rsid w:val="00293F03"/>
    <w:rsid w:val="002960F8"/>
    <w:rsid w:val="0029617E"/>
    <w:rsid w:val="0029647C"/>
    <w:rsid w:val="00296484"/>
    <w:rsid w:val="002A0105"/>
    <w:rsid w:val="002A0171"/>
    <w:rsid w:val="002A2539"/>
    <w:rsid w:val="002A416A"/>
    <w:rsid w:val="002A49FA"/>
    <w:rsid w:val="002A4B0E"/>
    <w:rsid w:val="002A5D4D"/>
    <w:rsid w:val="002A60CD"/>
    <w:rsid w:val="002A6100"/>
    <w:rsid w:val="002A7030"/>
    <w:rsid w:val="002B643F"/>
    <w:rsid w:val="002B7762"/>
    <w:rsid w:val="002C0B3C"/>
    <w:rsid w:val="002C3AEC"/>
    <w:rsid w:val="002D087E"/>
    <w:rsid w:val="002D3238"/>
    <w:rsid w:val="002D686E"/>
    <w:rsid w:val="002E08C3"/>
    <w:rsid w:val="002E0E52"/>
    <w:rsid w:val="002E19B2"/>
    <w:rsid w:val="002E1CA6"/>
    <w:rsid w:val="002E31A4"/>
    <w:rsid w:val="002E6C4B"/>
    <w:rsid w:val="002E73AC"/>
    <w:rsid w:val="002F2B9E"/>
    <w:rsid w:val="002F675A"/>
    <w:rsid w:val="00300593"/>
    <w:rsid w:val="00304CA8"/>
    <w:rsid w:val="0030568A"/>
    <w:rsid w:val="0030771A"/>
    <w:rsid w:val="00313DB8"/>
    <w:rsid w:val="00316115"/>
    <w:rsid w:val="00316500"/>
    <w:rsid w:val="00322988"/>
    <w:rsid w:val="00323159"/>
    <w:rsid w:val="003234DB"/>
    <w:rsid w:val="00324860"/>
    <w:rsid w:val="0032545A"/>
    <w:rsid w:val="003261A3"/>
    <w:rsid w:val="00327340"/>
    <w:rsid w:val="003300DC"/>
    <w:rsid w:val="00333981"/>
    <w:rsid w:val="00333C7A"/>
    <w:rsid w:val="00335670"/>
    <w:rsid w:val="00335BBD"/>
    <w:rsid w:val="0034063C"/>
    <w:rsid w:val="00343598"/>
    <w:rsid w:val="00344623"/>
    <w:rsid w:val="003464B7"/>
    <w:rsid w:val="00347CB6"/>
    <w:rsid w:val="00347EE1"/>
    <w:rsid w:val="00352388"/>
    <w:rsid w:val="00353691"/>
    <w:rsid w:val="00355586"/>
    <w:rsid w:val="003657E8"/>
    <w:rsid w:val="00367DCD"/>
    <w:rsid w:val="00367FF2"/>
    <w:rsid w:val="003721DC"/>
    <w:rsid w:val="00373851"/>
    <w:rsid w:val="00373A8D"/>
    <w:rsid w:val="00373C57"/>
    <w:rsid w:val="00377406"/>
    <w:rsid w:val="00380B5A"/>
    <w:rsid w:val="003810AE"/>
    <w:rsid w:val="00384552"/>
    <w:rsid w:val="00385C08"/>
    <w:rsid w:val="00386A8C"/>
    <w:rsid w:val="00392E22"/>
    <w:rsid w:val="00394135"/>
    <w:rsid w:val="003942B0"/>
    <w:rsid w:val="003945CE"/>
    <w:rsid w:val="003A0E2C"/>
    <w:rsid w:val="003A59F6"/>
    <w:rsid w:val="003A78A6"/>
    <w:rsid w:val="003B3B1C"/>
    <w:rsid w:val="003B3D8D"/>
    <w:rsid w:val="003B51E3"/>
    <w:rsid w:val="003B7ADE"/>
    <w:rsid w:val="003C2281"/>
    <w:rsid w:val="003C25C7"/>
    <w:rsid w:val="003C5911"/>
    <w:rsid w:val="003C64BF"/>
    <w:rsid w:val="003C688C"/>
    <w:rsid w:val="003C696F"/>
    <w:rsid w:val="003C7E81"/>
    <w:rsid w:val="003D11BA"/>
    <w:rsid w:val="003D4595"/>
    <w:rsid w:val="003D5CF9"/>
    <w:rsid w:val="003E0F36"/>
    <w:rsid w:val="003E6058"/>
    <w:rsid w:val="003F720C"/>
    <w:rsid w:val="00404468"/>
    <w:rsid w:val="004073FE"/>
    <w:rsid w:val="004116CD"/>
    <w:rsid w:val="00420612"/>
    <w:rsid w:val="00420E76"/>
    <w:rsid w:val="0042655F"/>
    <w:rsid w:val="004401E5"/>
    <w:rsid w:val="00441D75"/>
    <w:rsid w:val="0044616E"/>
    <w:rsid w:val="00461C34"/>
    <w:rsid w:val="00462068"/>
    <w:rsid w:val="00462B69"/>
    <w:rsid w:val="0046616B"/>
    <w:rsid w:val="0047026B"/>
    <w:rsid w:val="004711F6"/>
    <w:rsid w:val="00471E44"/>
    <w:rsid w:val="00473807"/>
    <w:rsid w:val="004750B0"/>
    <w:rsid w:val="0048419A"/>
    <w:rsid w:val="00486A66"/>
    <w:rsid w:val="0048717F"/>
    <w:rsid w:val="00490563"/>
    <w:rsid w:val="00494BDE"/>
    <w:rsid w:val="00497A3D"/>
    <w:rsid w:val="004A687D"/>
    <w:rsid w:val="004A7EF6"/>
    <w:rsid w:val="004B0D3D"/>
    <w:rsid w:val="004B3D43"/>
    <w:rsid w:val="004B402F"/>
    <w:rsid w:val="004B4A81"/>
    <w:rsid w:val="004C239D"/>
    <w:rsid w:val="004C486F"/>
    <w:rsid w:val="004C74A9"/>
    <w:rsid w:val="004D2E19"/>
    <w:rsid w:val="004D3342"/>
    <w:rsid w:val="004E2326"/>
    <w:rsid w:val="004E293E"/>
    <w:rsid w:val="004E5A7F"/>
    <w:rsid w:val="004E6E04"/>
    <w:rsid w:val="004F0DDA"/>
    <w:rsid w:val="004F1CDE"/>
    <w:rsid w:val="004F2EC1"/>
    <w:rsid w:val="004F5D5A"/>
    <w:rsid w:val="004F674A"/>
    <w:rsid w:val="004F7DB9"/>
    <w:rsid w:val="005003BC"/>
    <w:rsid w:val="005010B5"/>
    <w:rsid w:val="00504D02"/>
    <w:rsid w:val="005222B1"/>
    <w:rsid w:val="0052332B"/>
    <w:rsid w:val="00523FDD"/>
    <w:rsid w:val="005244DB"/>
    <w:rsid w:val="005301E6"/>
    <w:rsid w:val="00530E95"/>
    <w:rsid w:val="005315AB"/>
    <w:rsid w:val="00531873"/>
    <w:rsid w:val="005320BD"/>
    <w:rsid w:val="00532CAA"/>
    <w:rsid w:val="0053310C"/>
    <w:rsid w:val="00535FCA"/>
    <w:rsid w:val="0053600C"/>
    <w:rsid w:val="00547E39"/>
    <w:rsid w:val="00552C31"/>
    <w:rsid w:val="00556AD5"/>
    <w:rsid w:val="00561290"/>
    <w:rsid w:val="00566565"/>
    <w:rsid w:val="0057472D"/>
    <w:rsid w:val="0057545B"/>
    <w:rsid w:val="00575D86"/>
    <w:rsid w:val="005772E7"/>
    <w:rsid w:val="00581EF1"/>
    <w:rsid w:val="00582E76"/>
    <w:rsid w:val="0058615B"/>
    <w:rsid w:val="005868B4"/>
    <w:rsid w:val="00587F8A"/>
    <w:rsid w:val="00592BD6"/>
    <w:rsid w:val="00593FF9"/>
    <w:rsid w:val="00595F3B"/>
    <w:rsid w:val="005A324C"/>
    <w:rsid w:val="005A3282"/>
    <w:rsid w:val="005A48C1"/>
    <w:rsid w:val="005A5D16"/>
    <w:rsid w:val="005A6DCE"/>
    <w:rsid w:val="005A787A"/>
    <w:rsid w:val="005B0EBF"/>
    <w:rsid w:val="005B262B"/>
    <w:rsid w:val="005B647A"/>
    <w:rsid w:val="005B77A1"/>
    <w:rsid w:val="005C0DA1"/>
    <w:rsid w:val="005C1BDD"/>
    <w:rsid w:val="005C28AC"/>
    <w:rsid w:val="005C2A7C"/>
    <w:rsid w:val="005C37B6"/>
    <w:rsid w:val="005C5870"/>
    <w:rsid w:val="005D0638"/>
    <w:rsid w:val="005D0ABA"/>
    <w:rsid w:val="005D0D22"/>
    <w:rsid w:val="005D61E9"/>
    <w:rsid w:val="005E14AF"/>
    <w:rsid w:val="005E14F3"/>
    <w:rsid w:val="005E22BC"/>
    <w:rsid w:val="005E74D1"/>
    <w:rsid w:val="005E7E18"/>
    <w:rsid w:val="005F0E8B"/>
    <w:rsid w:val="005F1B68"/>
    <w:rsid w:val="005F3E3B"/>
    <w:rsid w:val="005F6A6B"/>
    <w:rsid w:val="005F75AB"/>
    <w:rsid w:val="00601B39"/>
    <w:rsid w:val="00607188"/>
    <w:rsid w:val="00610987"/>
    <w:rsid w:val="0061182A"/>
    <w:rsid w:val="006122BB"/>
    <w:rsid w:val="0061497A"/>
    <w:rsid w:val="00626B12"/>
    <w:rsid w:val="00631F53"/>
    <w:rsid w:val="006342A4"/>
    <w:rsid w:val="006344B7"/>
    <w:rsid w:val="00637D21"/>
    <w:rsid w:val="00640A9A"/>
    <w:rsid w:val="00640B97"/>
    <w:rsid w:val="006425EC"/>
    <w:rsid w:val="006432D7"/>
    <w:rsid w:val="00643A88"/>
    <w:rsid w:val="00650324"/>
    <w:rsid w:val="00652082"/>
    <w:rsid w:val="00653179"/>
    <w:rsid w:val="006542AD"/>
    <w:rsid w:val="00654371"/>
    <w:rsid w:val="0065533A"/>
    <w:rsid w:val="006559E6"/>
    <w:rsid w:val="00660913"/>
    <w:rsid w:val="00661D62"/>
    <w:rsid w:val="00663287"/>
    <w:rsid w:val="00664A9B"/>
    <w:rsid w:val="00666255"/>
    <w:rsid w:val="00671D74"/>
    <w:rsid w:val="006726DD"/>
    <w:rsid w:val="0067730B"/>
    <w:rsid w:val="006831AA"/>
    <w:rsid w:val="00686E78"/>
    <w:rsid w:val="00687060"/>
    <w:rsid w:val="00687107"/>
    <w:rsid w:val="0069764A"/>
    <w:rsid w:val="006A08ED"/>
    <w:rsid w:val="006A1CDB"/>
    <w:rsid w:val="006A4F69"/>
    <w:rsid w:val="006A66D8"/>
    <w:rsid w:val="006A760F"/>
    <w:rsid w:val="006B6550"/>
    <w:rsid w:val="006B6B02"/>
    <w:rsid w:val="006B7EF4"/>
    <w:rsid w:val="006D41F8"/>
    <w:rsid w:val="006D5988"/>
    <w:rsid w:val="006E1059"/>
    <w:rsid w:val="006E361A"/>
    <w:rsid w:val="006E364A"/>
    <w:rsid w:val="006F0291"/>
    <w:rsid w:val="006F178D"/>
    <w:rsid w:val="006F3002"/>
    <w:rsid w:val="006F7E9A"/>
    <w:rsid w:val="00700FCA"/>
    <w:rsid w:val="00707AF1"/>
    <w:rsid w:val="00707BE7"/>
    <w:rsid w:val="00710EE0"/>
    <w:rsid w:val="0071438C"/>
    <w:rsid w:val="0073238C"/>
    <w:rsid w:val="00733FE8"/>
    <w:rsid w:val="00736EBC"/>
    <w:rsid w:val="0074014C"/>
    <w:rsid w:val="007439CB"/>
    <w:rsid w:val="0074577E"/>
    <w:rsid w:val="007542A4"/>
    <w:rsid w:val="00763634"/>
    <w:rsid w:val="00770C81"/>
    <w:rsid w:val="00770D70"/>
    <w:rsid w:val="007714FA"/>
    <w:rsid w:val="007716D0"/>
    <w:rsid w:val="00772707"/>
    <w:rsid w:val="00772C83"/>
    <w:rsid w:val="00773AC9"/>
    <w:rsid w:val="00775350"/>
    <w:rsid w:val="007773A0"/>
    <w:rsid w:val="007826B7"/>
    <w:rsid w:val="0078401B"/>
    <w:rsid w:val="007850B9"/>
    <w:rsid w:val="007854A1"/>
    <w:rsid w:val="00794046"/>
    <w:rsid w:val="00794BAF"/>
    <w:rsid w:val="00795F0F"/>
    <w:rsid w:val="00797002"/>
    <w:rsid w:val="007A2537"/>
    <w:rsid w:val="007A263A"/>
    <w:rsid w:val="007A28F6"/>
    <w:rsid w:val="007A7C59"/>
    <w:rsid w:val="007B0483"/>
    <w:rsid w:val="007B603F"/>
    <w:rsid w:val="007B75F9"/>
    <w:rsid w:val="007B7C5E"/>
    <w:rsid w:val="007C1AFB"/>
    <w:rsid w:val="007C1C6F"/>
    <w:rsid w:val="007C443C"/>
    <w:rsid w:val="007C45A0"/>
    <w:rsid w:val="007C78C9"/>
    <w:rsid w:val="007D183C"/>
    <w:rsid w:val="007D202D"/>
    <w:rsid w:val="007D2F71"/>
    <w:rsid w:val="007D450E"/>
    <w:rsid w:val="007D4782"/>
    <w:rsid w:val="007D4DF9"/>
    <w:rsid w:val="007D5451"/>
    <w:rsid w:val="007D562A"/>
    <w:rsid w:val="007D72B8"/>
    <w:rsid w:val="007D7E5C"/>
    <w:rsid w:val="007E020D"/>
    <w:rsid w:val="007E05E1"/>
    <w:rsid w:val="007F0D0C"/>
    <w:rsid w:val="007F256F"/>
    <w:rsid w:val="007F51DC"/>
    <w:rsid w:val="007F575C"/>
    <w:rsid w:val="007F5835"/>
    <w:rsid w:val="008024BC"/>
    <w:rsid w:val="00806044"/>
    <w:rsid w:val="00811CCF"/>
    <w:rsid w:val="0081718F"/>
    <w:rsid w:val="008250DF"/>
    <w:rsid w:val="00825B6C"/>
    <w:rsid w:val="008274DC"/>
    <w:rsid w:val="008279D5"/>
    <w:rsid w:val="00830FCD"/>
    <w:rsid w:val="0083210D"/>
    <w:rsid w:val="00832686"/>
    <w:rsid w:val="008331BB"/>
    <w:rsid w:val="00833C89"/>
    <w:rsid w:val="00835533"/>
    <w:rsid w:val="008368C9"/>
    <w:rsid w:val="00837B94"/>
    <w:rsid w:val="00847C62"/>
    <w:rsid w:val="008520A2"/>
    <w:rsid w:val="008553CA"/>
    <w:rsid w:val="00856EDF"/>
    <w:rsid w:val="00866450"/>
    <w:rsid w:val="00870B3E"/>
    <w:rsid w:val="0087220E"/>
    <w:rsid w:val="00872C0F"/>
    <w:rsid w:val="00875B9D"/>
    <w:rsid w:val="008771AB"/>
    <w:rsid w:val="00880FFD"/>
    <w:rsid w:val="0088337D"/>
    <w:rsid w:val="0088342F"/>
    <w:rsid w:val="00886B78"/>
    <w:rsid w:val="0089214F"/>
    <w:rsid w:val="00892A10"/>
    <w:rsid w:val="008937D3"/>
    <w:rsid w:val="00893EBA"/>
    <w:rsid w:val="008976B7"/>
    <w:rsid w:val="00897D42"/>
    <w:rsid w:val="008A1E1C"/>
    <w:rsid w:val="008A4C24"/>
    <w:rsid w:val="008A5E1A"/>
    <w:rsid w:val="008A654C"/>
    <w:rsid w:val="008A6742"/>
    <w:rsid w:val="008A6F36"/>
    <w:rsid w:val="008A7E63"/>
    <w:rsid w:val="008A7F0F"/>
    <w:rsid w:val="008C1DE8"/>
    <w:rsid w:val="008C3CD8"/>
    <w:rsid w:val="008D02F7"/>
    <w:rsid w:val="008D0359"/>
    <w:rsid w:val="008D05DD"/>
    <w:rsid w:val="008D3AF3"/>
    <w:rsid w:val="008D5CE6"/>
    <w:rsid w:val="008D673E"/>
    <w:rsid w:val="008E395D"/>
    <w:rsid w:val="008E5864"/>
    <w:rsid w:val="008F17D7"/>
    <w:rsid w:val="008F266D"/>
    <w:rsid w:val="008F407D"/>
    <w:rsid w:val="008F5B3E"/>
    <w:rsid w:val="009004F1"/>
    <w:rsid w:val="00901969"/>
    <w:rsid w:val="0090260A"/>
    <w:rsid w:val="009031D4"/>
    <w:rsid w:val="00903A0F"/>
    <w:rsid w:val="00905509"/>
    <w:rsid w:val="00906C6A"/>
    <w:rsid w:val="00907C89"/>
    <w:rsid w:val="009108F5"/>
    <w:rsid w:val="0091547C"/>
    <w:rsid w:val="009156D1"/>
    <w:rsid w:val="00915D78"/>
    <w:rsid w:val="00925581"/>
    <w:rsid w:val="009302C8"/>
    <w:rsid w:val="00933373"/>
    <w:rsid w:val="00940E51"/>
    <w:rsid w:val="009444F5"/>
    <w:rsid w:val="00950410"/>
    <w:rsid w:val="00951490"/>
    <w:rsid w:val="00953969"/>
    <w:rsid w:val="0095439F"/>
    <w:rsid w:val="00956A00"/>
    <w:rsid w:val="00956AA0"/>
    <w:rsid w:val="009575C8"/>
    <w:rsid w:val="009621AC"/>
    <w:rsid w:val="00963DD9"/>
    <w:rsid w:val="00972C63"/>
    <w:rsid w:val="00973B81"/>
    <w:rsid w:val="00975EDC"/>
    <w:rsid w:val="00976E2F"/>
    <w:rsid w:val="00977D00"/>
    <w:rsid w:val="00982601"/>
    <w:rsid w:val="00984154"/>
    <w:rsid w:val="0098443A"/>
    <w:rsid w:val="00986FF8"/>
    <w:rsid w:val="00987595"/>
    <w:rsid w:val="00990A49"/>
    <w:rsid w:val="009A07E4"/>
    <w:rsid w:val="009A0B80"/>
    <w:rsid w:val="009A1B07"/>
    <w:rsid w:val="009A3A84"/>
    <w:rsid w:val="009A7CC8"/>
    <w:rsid w:val="009B03DE"/>
    <w:rsid w:val="009B0937"/>
    <w:rsid w:val="009B1ADC"/>
    <w:rsid w:val="009B7880"/>
    <w:rsid w:val="009C4E38"/>
    <w:rsid w:val="009C6E94"/>
    <w:rsid w:val="009C734D"/>
    <w:rsid w:val="009D106B"/>
    <w:rsid w:val="009D3AE9"/>
    <w:rsid w:val="009D5697"/>
    <w:rsid w:val="009D66EC"/>
    <w:rsid w:val="009D7E51"/>
    <w:rsid w:val="009E22F3"/>
    <w:rsid w:val="009E31B8"/>
    <w:rsid w:val="009E4C1C"/>
    <w:rsid w:val="009E7082"/>
    <w:rsid w:val="009E779D"/>
    <w:rsid w:val="009F4B28"/>
    <w:rsid w:val="009F689A"/>
    <w:rsid w:val="009F7D5E"/>
    <w:rsid w:val="00A07865"/>
    <w:rsid w:val="00A1121F"/>
    <w:rsid w:val="00A11257"/>
    <w:rsid w:val="00A117BF"/>
    <w:rsid w:val="00A130B6"/>
    <w:rsid w:val="00A140DE"/>
    <w:rsid w:val="00A14538"/>
    <w:rsid w:val="00A15574"/>
    <w:rsid w:val="00A159E6"/>
    <w:rsid w:val="00A2246C"/>
    <w:rsid w:val="00A242AB"/>
    <w:rsid w:val="00A258E3"/>
    <w:rsid w:val="00A30855"/>
    <w:rsid w:val="00A348C5"/>
    <w:rsid w:val="00A35B47"/>
    <w:rsid w:val="00A422DE"/>
    <w:rsid w:val="00A42C30"/>
    <w:rsid w:val="00A440EF"/>
    <w:rsid w:val="00A45252"/>
    <w:rsid w:val="00A45D11"/>
    <w:rsid w:val="00A4698C"/>
    <w:rsid w:val="00A47F0C"/>
    <w:rsid w:val="00A509EE"/>
    <w:rsid w:val="00A511C0"/>
    <w:rsid w:val="00A52285"/>
    <w:rsid w:val="00A636DB"/>
    <w:rsid w:val="00A650F0"/>
    <w:rsid w:val="00A6519B"/>
    <w:rsid w:val="00A73E54"/>
    <w:rsid w:val="00A8178F"/>
    <w:rsid w:val="00A831F0"/>
    <w:rsid w:val="00A83A84"/>
    <w:rsid w:val="00A85B22"/>
    <w:rsid w:val="00A865B7"/>
    <w:rsid w:val="00A90357"/>
    <w:rsid w:val="00A936C6"/>
    <w:rsid w:val="00A937E2"/>
    <w:rsid w:val="00AA6A0A"/>
    <w:rsid w:val="00AA7608"/>
    <w:rsid w:val="00AC1884"/>
    <w:rsid w:val="00AC1A41"/>
    <w:rsid w:val="00AC5DF7"/>
    <w:rsid w:val="00AC6B1F"/>
    <w:rsid w:val="00AD013B"/>
    <w:rsid w:val="00AD1447"/>
    <w:rsid w:val="00AD6E68"/>
    <w:rsid w:val="00AD7578"/>
    <w:rsid w:val="00AE0747"/>
    <w:rsid w:val="00AE1098"/>
    <w:rsid w:val="00AE12BA"/>
    <w:rsid w:val="00AE149C"/>
    <w:rsid w:val="00AE23ED"/>
    <w:rsid w:val="00AE4631"/>
    <w:rsid w:val="00AE4895"/>
    <w:rsid w:val="00AE6372"/>
    <w:rsid w:val="00AF130A"/>
    <w:rsid w:val="00AF25A6"/>
    <w:rsid w:val="00AF2E97"/>
    <w:rsid w:val="00AF313B"/>
    <w:rsid w:val="00AF3376"/>
    <w:rsid w:val="00AF38A9"/>
    <w:rsid w:val="00AF4827"/>
    <w:rsid w:val="00AF6B04"/>
    <w:rsid w:val="00B017D9"/>
    <w:rsid w:val="00B045CE"/>
    <w:rsid w:val="00B07F31"/>
    <w:rsid w:val="00B10550"/>
    <w:rsid w:val="00B114D4"/>
    <w:rsid w:val="00B1178B"/>
    <w:rsid w:val="00B121E7"/>
    <w:rsid w:val="00B1541D"/>
    <w:rsid w:val="00B20C2D"/>
    <w:rsid w:val="00B210B6"/>
    <w:rsid w:val="00B225DE"/>
    <w:rsid w:val="00B229F5"/>
    <w:rsid w:val="00B242D6"/>
    <w:rsid w:val="00B25CA5"/>
    <w:rsid w:val="00B2607E"/>
    <w:rsid w:val="00B30F3E"/>
    <w:rsid w:val="00B313F6"/>
    <w:rsid w:val="00B3275E"/>
    <w:rsid w:val="00B33A76"/>
    <w:rsid w:val="00B34D25"/>
    <w:rsid w:val="00B376D7"/>
    <w:rsid w:val="00B41F6D"/>
    <w:rsid w:val="00B43244"/>
    <w:rsid w:val="00B47B99"/>
    <w:rsid w:val="00B524AA"/>
    <w:rsid w:val="00B536D2"/>
    <w:rsid w:val="00B543B0"/>
    <w:rsid w:val="00B562A8"/>
    <w:rsid w:val="00B56E7D"/>
    <w:rsid w:val="00B60025"/>
    <w:rsid w:val="00B61DCC"/>
    <w:rsid w:val="00B65B1F"/>
    <w:rsid w:val="00B6601E"/>
    <w:rsid w:val="00B7725B"/>
    <w:rsid w:val="00B80948"/>
    <w:rsid w:val="00B865FE"/>
    <w:rsid w:val="00B86819"/>
    <w:rsid w:val="00B879C9"/>
    <w:rsid w:val="00B91242"/>
    <w:rsid w:val="00B912AF"/>
    <w:rsid w:val="00B946E4"/>
    <w:rsid w:val="00B96CAA"/>
    <w:rsid w:val="00BA0855"/>
    <w:rsid w:val="00BA1FF0"/>
    <w:rsid w:val="00BA20D5"/>
    <w:rsid w:val="00BA6EFE"/>
    <w:rsid w:val="00BA78B2"/>
    <w:rsid w:val="00BB0E3C"/>
    <w:rsid w:val="00BB4361"/>
    <w:rsid w:val="00BB50EF"/>
    <w:rsid w:val="00BB5541"/>
    <w:rsid w:val="00BB7ABF"/>
    <w:rsid w:val="00BC3709"/>
    <w:rsid w:val="00BC5735"/>
    <w:rsid w:val="00BC57AF"/>
    <w:rsid w:val="00BC5C4E"/>
    <w:rsid w:val="00BC708B"/>
    <w:rsid w:val="00BD2A1F"/>
    <w:rsid w:val="00BD62BB"/>
    <w:rsid w:val="00BE1147"/>
    <w:rsid w:val="00BE18D1"/>
    <w:rsid w:val="00BE6ACC"/>
    <w:rsid w:val="00BE7B1A"/>
    <w:rsid w:val="00BF71E7"/>
    <w:rsid w:val="00C01C5A"/>
    <w:rsid w:val="00C12CB4"/>
    <w:rsid w:val="00C13C38"/>
    <w:rsid w:val="00C1502B"/>
    <w:rsid w:val="00C2458A"/>
    <w:rsid w:val="00C27588"/>
    <w:rsid w:val="00C30B3B"/>
    <w:rsid w:val="00C36CBF"/>
    <w:rsid w:val="00C4172C"/>
    <w:rsid w:val="00C41E09"/>
    <w:rsid w:val="00C4344E"/>
    <w:rsid w:val="00C47876"/>
    <w:rsid w:val="00C531E9"/>
    <w:rsid w:val="00C55582"/>
    <w:rsid w:val="00C56559"/>
    <w:rsid w:val="00C570C4"/>
    <w:rsid w:val="00C57B3F"/>
    <w:rsid w:val="00C60D32"/>
    <w:rsid w:val="00C63A12"/>
    <w:rsid w:val="00C64FFB"/>
    <w:rsid w:val="00C72A7E"/>
    <w:rsid w:val="00C73FA4"/>
    <w:rsid w:val="00C75768"/>
    <w:rsid w:val="00C76438"/>
    <w:rsid w:val="00C7754F"/>
    <w:rsid w:val="00C77595"/>
    <w:rsid w:val="00C91766"/>
    <w:rsid w:val="00C91C5B"/>
    <w:rsid w:val="00C96D52"/>
    <w:rsid w:val="00C9750B"/>
    <w:rsid w:val="00CA0B22"/>
    <w:rsid w:val="00CA3A92"/>
    <w:rsid w:val="00CA42F5"/>
    <w:rsid w:val="00CA7AD5"/>
    <w:rsid w:val="00CB71F1"/>
    <w:rsid w:val="00CC0AF2"/>
    <w:rsid w:val="00CC5690"/>
    <w:rsid w:val="00CC71CE"/>
    <w:rsid w:val="00CD119D"/>
    <w:rsid w:val="00CD1283"/>
    <w:rsid w:val="00CD2743"/>
    <w:rsid w:val="00CD3F12"/>
    <w:rsid w:val="00CD4B74"/>
    <w:rsid w:val="00CE3372"/>
    <w:rsid w:val="00CE3BF3"/>
    <w:rsid w:val="00CF61E9"/>
    <w:rsid w:val="00CF74F3"/>
    <w:rsid w:val="00D00C75"/>
    <w:rsid w:val="00D02DF6"/>
    <w:rsid w:val="00D04C92"/>
    <w:rsid w:val="00D05AE0"/>
    <w:rsid w:val="00D05C5C"/>
    <w:rsid w:val="00D12F20"/>
    <w:rsid w:val="00D16725"/>
    <w:rsid w:val="00D17AF1"/>
    <w:rsid w:val="00D17BF3"/>
    <w:rsid w:val="00D210A1"/>
    <w:rsid w:val="00D218FA"/>
    <w:rsid w:val="00D21D34"/>
    <w:rsid w:val="00D248E8"/>
    <w:rsid w:val="00D24A6D"/>
    <w:rsid w:val="00D30C34"/>
    <w:rsid w:val="00D3194D"/>
    <w:rsid w:val="00D330EC"/>
    <w:rsid w:val="00D36B51"/>
    <w:rsid w:val="00D4027F"/>
    <w:rsid w:val="00D42181"/>
    <w:rsid w:val="00D42737"/>
    <w:rsid w:val="00D4300E"/>
    <w:rsid w:val="00D43CB9"/>
    <w:rsid w:val="00D45D56"/>
    <w:rsid w:val="00D472E5"/>
    <w:rsid w:val="00D53C51"/>
    <w:rsid w:val="00D53E8D"/>
    <w:rsid w:val="00D55A93"/>
    <w:rsid w:val="00D60518"/>
    <w:rsid w:val="00D67D3A"/>
    <w:rsid w:val="00D67F69"/>
    <w:rsid w:val="00D70EDD"/>
    <w:rsid w:val="00D723E1"/>
    <w:rsid w:val="00D7361E"/>
    <w:rsid w:val="00D74F8F"/>
    <w:rsid w:val="00D768C6"/>
    <w:rsid w:val="00D77F26"/>
    <w:rsid w:val="00D81C2F"/>
    <w:rsid w:val="00D82B2A"/>
    <w:rsid w:val="00D82FB2"/>
    <w:rsid w:val="00D838E0"/>
    <w:rsid w:val="00D90CA2"/>
    <w:rsid w:val="00D93098"/>
    <w:rsid w:val="00D94052"/>
    <w:rsid w:val="00D94A43"/>
    <w:rsid w:val="00D94B02"/>
    <w:rsid w:val="00D97D51"/>
    <w:rsid w:val="00DB01A3"/>
    <w:rsid w:val="00DB07F8"/>
    <w:rsid w:val="00DB0802"/>
    <w:rsid w:val="00DB1C2C"/>
    <w:rsid w:val="00DB53BD"/>
    <w:rsid w:val="00DB6B73"/>
    <w:rsid w:val="00DB6F95"/>
    <w:rsid w:val="00DC4216"/>
    <w:rsid w:val="00DC43F6"/>
    <w:rsid w:val="00DC4DEA"/>
    <w:rsid w:val="00DC5E76"/>
    <w:rsid w:val="00DC7180"/>
    <w:rsid w:val="00DD06BE"/>
    <w:rsid w:val="00DD108D"/>
    <w:rsid w:val="00DD5CEB"/>
    <w:rsid w:val="00DE13C9"/>
    <w:rsid w:val="00DE2E71"/>
    <w:rsid w:val="00DE5C86"/>
    <w:rsid w:val="00DE75B9"/>
    <w:rsid w:val="00DF1627"/>
    <w:rsid w:val="00DF19F1"/>
    <w:rsid w:val="00DF3401"/>
    <w:rsid w:val="00DF4AF8"/>
    <w:rsid w:val="00E03509"/>
    <w:rsid w:val="00E0588C"/>
    <w:rsid w:val="00E075DC"/>
    <w:rsid w:val="00E11A6B"/>
    <w:rsid w:val="00E14DDF"/>
    <w:rsid w:val="00E178B6"/>
    <w:rsid w:val="00E20B9F"/>
    <w:rsid w:val="00E21263"/>
    <w:rsid w:val="00E25131"/>
    <w:rsid w:val="00E329C7"/>
    <w:rsid w:val="00E32DDA"/>
    <w:rsid w:val="00E35104"/>
    <w:rsid w:val="00E40735"/>
    <w:rsid w:val="00E43D5D"/>
    <w:rsid w:val="00E45390"/>
    <w:rsid w:val="00E455E8"/>
    <w:rsid w:val="00E52531"/>
    <w:rsid w:val="00E52FAB"/>
    <w:rsid w:val="00E553F9"/>
    <w:rsid w:val="00E5639E"/>
    <w:rsid w:val="00E57742"/>
    <w:rsid w:val="00E63A6B"/>
    <w:rsid w:val="00E65280"/>
    <w:rsid w:val="00E67DC7"/>
    <w:rsid w:val="00E715AC"/>
    <w:rsid w:val="00E72C27"/>
    <w:rsid w:val="00E72F30"/>
    <w:rsid w:val="00E817F7"/>
    <w:rsid w:val="00E83B93"/>
    <w:rsid w:val="00E86F66"/>
    <w:rsid w:val="00E92FD0"/>
    <w:rsid w:val="00E93D22"/>
    <w:rsid w:val="00E94DA9"/>
    <w:rsid w:val="00E9710F"/>
    <w:rsid w:val="00E97850"/>
    <w:rsid w:val="00EA0841"/>
    <w:rsid w:val="00EA176D"/>
    <w:rsid w:val="00EA6752"/>
    <w:rsid w:val="00EB0902"/>
    <w:rsid w:val="00EB1AB5"/>
    <w:rsid w:val="00EB3E2C"/>
    <w:rsid w:val="00EB685C"/>
    <w:rsid w:val="00EB69CC"/>
    <w:rsid w:val="00EB7AD8"/>
    <w:rsid w:val="00EC1F63"/>
    <w:rsid w:val="00EC267F"/>
    <w:rsid w:val="00EC4425"/>
    <w:rsid w:val="00ED521A"/>
    <w:rsid w:val="00ED6DC2"/>
    <w:rsid w:val="00ED7F96"/>
    <w:rsid w:val="00EE49C3"/>
    <w:rsid w:val="00EE677A"/>
    <w:rsid w:val="00EE781E"/>
    <w:rsid w:val="00EF0586"/>
    <w:rsid w:val="00EF50DD"/>
    <w:rsid w:val="00EF624D"/>
    <w:rsid w:val="00F158F0"/>
    <w:rsid w:val="00F159DE"/>
    <w:rsid w:val="00F15D12"/>
    <w:rsid w:val="00F15DA2"/>
    <w:rsid w:val="00F212BA"/>
    <w:rsid w:val="00F2164C"/>
    <w:rsid w:val="00F21F6D"/>
    <w:rsid w:val="00F271DB"/>
    <w:rsid w:val="00F31744"/>
    <w:rsid w:val="00F31D3B"/>
    <w:rsid w:val="00F32417"/>
    <w:rsid w:val="00F331A0"/>
    <w:rsid w:val="00F36986"/>
    <w:rsid w:val="00F44382"/>
    <w:rsid w:val="00F45B39"/>
    <w:rsid w:val="00F51064"/>
    <w:rsid w:val="00F51548"/>
    <w:rsid w:val="00F53CFD"/>
    <w:rsid w:val="00F56258"/>
    <w:rsid w:val="00F56517"/>
    <w:rsid w:val="00F567DD"/>
    <w:rsid w:val="00F609BA"/>
    <w:rsid w:val="00F60FC0"/>
    <w:rsid w:val="00F6583C"/>
    <w:rsid w:val="00F65D87"/>
    <w:rsid w:val="00F679B8"/>
    <w:rsid w:val="00F67CA0"/>
    <w:rsid w:val="00F73E52"/>
    <w:rsid w:val="00F74023"/>
    <w:rsid w:val="00F77D97"/>
    <w:rsid w:val="00F826A6"/>
    <w:rsid w:val="00F82A9C"/>
    <w:rsid w:val="00F83582"/>
    <w:rsid w:val="00F83A1B"/>
    <w:rsid w:val="00F851C6"/>
    <w:rsid w:val="00F86A65"/>
    <w:rsid w:val="00F90FA2"/>
    <w:rsid w:val="00F92E47"/>
    <w:rsid w:val="00F93A28"/>
    <w:rsid w:val="00FA5DDE"/>
    <w:rsid w:val="00FA79CA"/>
    <w:rsid w:val="00FB2C57"/>
    <w:rsid w:val="00FB6D74"/>
    <w:rsid w:val="00FB7C3B"/>
    <w:rsid w:val="00FC19F9"/>
    <w:rsid w:val="00FC5845"/>
    <w:rsid w:val="00FC6DA6"/>
    <w:rsid w:val="00FD2213"/>
    <w:rsid w:val="00FD3CE0"/>
    <w:rsid w:val="00FD7DCD"/>
    <w:rsid w:val="00FE086F"/>
    <w:rsid w:val="00FE703C"/>
    <w:rsid w:val="00FE7FF8"/>
    <w:rsid w:val="00FF0B90"/>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A"/>
  </w:style>
  <w:style w:type="paragraph" w:styleId="Heading2">
    <w:name w:val="heading 2"/>
    <w:basedOn w:val="Normal"/>
    <w:next w:val="Normal"/>
    <w:link w:val="Heading2Char"/>
    <w:uiPriority w:val="9"/>
    <w:unhideWhenUsed/>
    <w:qFormat/>
    <w:rsid w:val="00A24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1F"/>
  </w:style>
  <w:style w:type="paragraph" w:styleId="Footer">
    <w:name w:val="footer"/>
    <w:basedOn w:val="Normal"/>
    <w:link w:val="FooterChar"/>
    <w:uiPriority w:val="99"/>
    <w:unhideWhenUsed/>
    <w:rsid w:val="00AC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1F"/>
  </w:style>
  <w:style w:type="paragraph" w:styleId="ListParagraph">
    <w:name w:val="List Paragraph"/>
    <w:basedOn w:val="Normal"/>
    <w:uiPriority w:val="34"/>
    <w:qFormat/>
    <w:rsid w:val="00D12F20"/>
    <w:pPr>
      <w:ind w:left="720"/>
      <w:contextualSpacing/>
    </w:pPr>
  </w:style>
  <w:style w:type="character" w:styleId="FootnoteReference">
    <w:name w:val="footnote reference"/>
    <w:basedOn w:val="DefaultParagraphFont"/>
    <w:semiHidden/>
    <w:rsid w:val="009B03DE"/>
    <w:rPr>
      <w:vertAlign w:val="superscript"/>
    </w:rPr>
  </w:style>
  <w:style w:type="paragraph" w:styleId="FootnoteText">
    <w:name w:val="footnote text"/>
    <w:basedOn w:val="Normal"/>
    <w:link w:val="FootnoteTextChar"/>
    <w:semiHidden/>
    <w:rsid w:val="009B03D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B03DE"/>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9B03D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9B03DE"/>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242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31D3B"/>
    <w:rPr>
      <w:sz w:val="16"/>
      <w:szCs w:val="16"/>
    </w:rPr>
  </w:style>
  <w:style w:type="paragraph" w:styleId="CommentText">
    <w:name w:val="annotation text"/>
    <w:basedOn w:val="Normal"/>
    <w:link w:val="CommentTextChar"/>
    <w:uiPriority w:val="99"/>
    <w:semiHidden/>
    <w:unhideWhenUsed/>
    <w:rsid w:val="00F31D3B"/>
    <w:pPr>
      <w:spacing w:line="240" w:lineRule="auto"/>
    </w:pPr>
    <w:rPr>
      <w:sz w:val="20"/>
      <w:szCs w:val="20"/>
    </w:rPr>
  </w:style>
  <w:style w:type="character" w:customStyle="1" w:styleId="CommentTextChar">
    <w:name w:val="Comment Text Char"/>
    <w:basedOn w:val="DefaultParagraphFont"/>
    <w:link w:val="CommentText"/>
    <w:uiPriority w:val="99"/>
    <w:semiHidden/>
    <w:rsid w:val="00F31D3B"/>
    <w:rPr>
      <w:sz w:val="20"/>
      <w:szCs w:val="20"/>
    </w:rPr>
  </w:style>
  <w:style w:type="paragraph" w:styleId="CommentSubject">
    <w:name w:val="annotation subject"/>
    <w:basedOn w:val="CommentText"/>
    <w:next w:val="CommentText"/>
    <w:link w:val="CommentSubjectChar"/>
    <w:uiPriority w:val="99"/>
    <w:semiHidden/>
    <w:unhideWhenUsed/>
    <w:rsid w:val="00F31D3B"/>
    <w:rPr>
      <w:b/>
      <w:bCs/>
    </w:rPr>
  </w:style>
  <w:style w:type="character" w:customStyle="1" w:styleId="CommentSubjectChar">
    <w:name w:val="Comment Subject Char"/>
    <w:basedOn w:val="CommentTextChar"/>
    <w:link w:val="CommentSubject"/>
    <w:uiPriority w:val="99"/>
    <w:semiHidden/>
    <w:rsid w:val="00F31D3B"/>
    <w:rPr>
      <w:b/>
      <w:bCs/>
      <w:sz w:val="20"/>
      <w:szCs w:val="20"/>
    </w:rPr>
  </w:style>
  <w:style w:type="paragraph" w:styleId="BalloonText">
    <w:name w:val="Balloon Text"/>
    <w:basedOn w:val="Normal"/>
    <w:link w:val="BalloonTextChar"/>
    <w:uiPriority w:val="99"/>
    <w:semiHidden/>
    <w:unhideWhenUsed/>
    <w:rsid w:val="00F3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3B"/>
    <w:rPr>
      <w:rFonts w:ascii="Tahoma" w:hAnsi="Tahoma" w:cs="Tahoma"/>
      <w:sz w:val="16"/>
      <w:szCs w:val="16"/>
    </w:rPr>
  </w:style>
  <w:style w:type="character" w:styleId="EndnoteReference">
    <w:name w:val="endnote reference"/>
    <w:basedOn w:val="DefaultParagraphFont"/>
    <w:uiPriority w:val="99"/>
    <w:semiHidden/>
    <w:unhideWhenUsed/>
    <w:rsid w:val="008A7F0F"/>
    <w:rPr>
      <w:vertAlign w:val="superscript"/>
    </w:rPr>
  </w:style>
  <w:style w:type="character" w:styleId="Hyperlink">
    <w:name w:val="Hyperlink"/>
    <w:basedOn w:val="DefaultParagraphFont"/>
    <w:uiPriority w:val="99"/>
    <w:semiHidden/>
    <w:unhideWhenUsed/>
    <w:rsid w:val="008A7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A"/>
  </w:style>
  <w:style w:type="paragraph" w:styleId="Heading2">
    <w:name w:val="heading 2"/>
    <w:basedOn w:val="Normal"/>
    <w:next w:val="Normal"/>
    <w:link w:val="Heading2Char"/>
    <w:uiPriority w:val="9"/>
    <w:unhideWhenUsed/>
    <w:qFormat/>
    <w:rsid w:val="00A24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1F"/>
  </w:style>
  <w:style w:type="paragraph" w:styleId="Footer">
    <w:name w:val="footer"/>
    <w:basedOn w:val="Normal"/>
    <w:link w:val="FooterChar"/>
    <w:uiPriority w:val="99"/>
    <w:unhideWhenUsed/>
    <w:rsid w:val="00AC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1F"/>
  </w:style>
  <w:style w:type="paragraph" w:styleId="ListParagraph">
    <w:name w:val="List Paragraph"/>
    <w:basedOn w:val="Normal"/>
    <w:uiPriority w:val="34"/>
    <w:qFormat/>
    <w:rsid w:val="00D12F20"/>
    <w:pPr>
      <w:ind w:left="720"/>
      <w:contextualSpacing/>
    </w:pPr>
  </w:style>
  <w:style w:type="character" w:styleId="FootnoteReference">
    <w:name w:val="footnote reference"/>
    <w:basedOn w:val="DefaultParagraphFont"/>
    <w:semiHidden/>
    <w:rsid w:val="009B03DE"/>
    <w:rPr>
      <w:vertAlign w:val="superscript"/>
    </w:rPr>
  </w:style>
  <w:style w:type="paragraph" w:styleId="FootnoteText">
    <w:name w:val="footnote text"/>
    <w:basedOn w:val="Normal"/>
    <w:link w:val="FootnoteTextChar"/>
    <w:semiHidden/>
    <w:rsid w:val="009B03D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B03DE"/>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9B03D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9B03DE"/>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242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31D3B"/>
    <w:rPr>
      <w:sz w:val="16"/>
      <w:szCs w:val="16"/>
    </w:rPr>
  </w:style>
  <w:style w:type="paragraph" w:styleId="CommentText">
    <w:name w:val="annotation text"/>
    <w:basedOn w:val="Normal"/>
    <w:link w:val="CommentTextChar"/>
    <w:uiPriority w:val="99"/>
    <w:semiHidden/>
    <w:unhideWhenUsed/>
    <w:rsid w:val="00F31D3B"/>
    <w:pPr>
      <w:spacing w:line="240" w:lineRule="auto"/>
    </w:pPr>
    <w:rPr>
      <w:sz w:val="20"/>
      <w:szCs w:val="20"/>
    </w:rPr>
  </w:style>
  <w:style w:type="character" w:customStyle="1" w:styleId="CommentTextChar">
    <w:name w:val="Comment Text Char"/>
    <w:basedOn w:val="DefaultParagraphFont"/>
    <w:link w:val="CommentText"/>
    <w:uiPriority w:val="99"/>
    <w:semiHidden/>
    <w:rsid w:val="00F31D3B"/>
    <w:rPr>
      <w:sz w:val="20"/>
      <w:szCs w:val="20"/>
    </w:rPr>
  </w:style>
  <w:style w:type="paragraph" w:styleId="CommentSubject">
    <w:name w:val="annotation subject"/>
    <w:basedOn w:val="CommentText"/>
    <w:next w:val="CommentText"/>
    <w:link w:val="CommentSubjectChar"/>
    <w:uiPriority w:val="99"/>
    <w:semiHidden/>
    <w:unhideWhenUsed/>
    <w:rsid w:val="00F31D3B"/>
    <w:rPr>
      <w:b/>
      <w:bCs/>
    </w:rPr>
  </w:style>
  <w:style w:type="character" w:customStyle="1" w:styleId="CommentSubjectChar">
    <w:name w:val="Comment Subject Char"/>
    <w:basedOn w:val="CommentTextChar"/>
    <w:link w:val="CommentSubject"/>
    <w:uiPriority w:val="99"/>
    <w:semiHidden/>
    <w:rsid w:val="00F31D3B"/>
    <w:rPr>
      <w:b/>
      <w:bCs/>
      <w:sz w:val="20"/>
      <w:szCs w:val="20"/>
    </w:rPr>
  </w:style>
  <w:style w:type="paragraph" w:styleId="BalloonText">
    <w:name w:val="Balloon Text"/>
    <w:basedOn w:val="Normal"/>
    <w:link w:val="BalloonTextChar"/>
    <w:uiPriority w:val="99"/>
    <w:semiHidden/>
    <w:unhideWhenUsed/>
    <w:rsid w:val="00F3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3B"/>
    <w:rPr>
      <w:rFonts w:ascii="Tahoma" w:hAnsi="Tahoma" w:cs="Tahoma"/>
      <w:sz w:val="16"/>
      <w:szCs w:val="16"/>
    </w:rPr>
  </w:style>
  <w:style w:type="character" w:styleId="EndnoteReference">
    <w:name w:val="endnote reference"/>
    <w:basedOn w:val="DefaultParagraphFont"/>
    <w:uiPriority w:val="99"/>
    <w:semiHidden/>
    <w:unhideWhenUsed/>
    <w:rsid w:val="008A7F0F"/>
    <w:rPr>
      <w:vertAlign w:val="superscript"/>
    </w:rPr>
  </w:style>
  <w:style w:type="character" w:styleId="Hyperlink">
    <w:name w:val="Hyperlink"/>
    <w:basedOn w:val="DefaultParagraphFont"/>
    <w:uiPriority w:val="99"/>
    <w:semiHidden/>
    <w:unhideWhenUsed/>
    <w:rsid w:val="008A7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99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rism.talis.com/sussex-ac/items/307358?query=whitelock%27s+memorials&amp;resultsUri=items%3Fquery%3Dwhitelock%2527s%2Bmemorials%2B" TargetMode="External"/><Relationship Id="rId1" Type="http://schemas.openxmlformats.org/officeDocument/2006/relationships/hyperlink" Target="http://eebo.chadwyck.com.ezproxy.lib.bbk.ac.uk/search/full_rec?SOURCE=config.cfg&amp;ACTION=ByID&amp;ID=99865210&amp;HIGHLIGHT_KEYWORD=englands%20%20AND%20for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E905-59DA-4BC0-BFEE-415C095B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Majorp</dc:creator>
  <cp:lastModifiedBy>Majorp</cp:lastModifiedBy>
  <cp:revision>2</cp:revision>
  <dcterms:created xsi:type="dcterms:W3CDTF">2013-12-05T20:47:00Z</dcterms:created>
  <dcterms:modified xsi:type="dcterms:W3CDTF">2013-12-05T20:47:00Z</dcterms:modified>
</cp:coreProperties>
</file>