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4A" w:rsidRPr="00447C64" w:rsidRDefault="005A4F4A" w:rsidP="00361DD8">
      <w:pPr>
        <w:spacing w:line="360" w:lineRule="auto"/>
        <w:ind w:firstLine="397"/>
        <w:jc w:val="both"/>
        <w:rPr>
          <w:rFonts w:ascii="Times New Roman" w:hAnsi="Times New Roman"/>
          <w:b/>
        </w:rPr>
      </w:pPr>
      <w:r w:rsidRPr="00447C64">
        <w:rPr>
          <w:rFonts w:ascii="Times New Roman" w:hAnsi="Times New Roman"/>
          <w:b/>
        </w:rPr>
        <w:t>Enforcement of process requirements: a search for solid grounds.</w:t>
      </w:r>
    </w:p>
    <w:p w:rsidR="00B01F9A" w:rsidRPr="00B01F9A" w:rsidRDefault="00B01F9A" w:rsidP="00B01F9A">
      <w:pPr>
        <w:spacing w:line="360" w:lineRule="auto"/>
        <w:ind w:firstLine="397"/>
        <w:jc w:val="both"/>
        <w:rPr>
          <w:rFonts w:ascii="Times New Roman" w:hAnsi="Times New Roman"/>
        </w:rPr>
      </w:pPr>
      <w:r w:rsidRPr="00B01F9A">
        <w:rPr>
          <w:rFonts w:ascii="Times New Roman" w:hAnsi="Times New Roman"/>
        </w:rPr>
        <w:t>Dr Carla Crifò</w:t>
      </w:r>
      <w:r w:rsidRPr="00B01F9A">
        <w:rPr>
          <w:rStyle w:val="FootnoteReference"/>
          <w:rFonts w:ascii="Times New Roman" w:hAnsi="Times New Roman"/>
        </w:rPr>
        <w:footnoteReference w:customMarkFollows="1" w:id="1"/>
        <w:t>*</w:t>
      </w:r>
    </w:p>
    <w:p w:rsidR="005A4F4A" w:rsidRDefault="005A4F4A" w:rsidP="00361DD8">
      <w:pPr>
        <w:spacing w:line="360" w:lineRule="auto"/>
        <w:ind w:firstLine="397"/>
        <w:jc w:val="both"/>
        <w:rPr>
          <w:rFonts w:ascii="Times New Roman" w:hAnsi="Times New Roman"/>
          <w:u w:val="single"/>
        </w:rPr>
      </w:pPr>
    </w:p>
    <w:p w:rsidR="00F65607" w:rsidRPr="00447C64" w:rsidRDefault="00F65607" w:rsidP="00361DD8">
      <w:pPr>
        <w:spacing w:line="360" w:lineRule="auto"/>
        <w:ind w:firstLine="397"/>
        <w:jc w:val="both"/>
        <w:rPr>
          <w:rFonts w:ascii="Times New Roman" w:hAnsi="Times New Roman"/>
          <w:u w:val="single"/>
        </w:rPr>
      </w:pPr>
    </w:p>
    <w:p w:rsidR="00827DD4" w:rsidRPr="00B01F9A" w:rsidRDefault="00B01F9A" w:rsidP="00330636">
      <w:pPr>
        <w:spacing w:line="360" w:lineRule="auto"/>
        <w:jc w:val="both"/>
        <w:rPr>
          <w:rFonts w:ascii="Times New Roman" w:hAnsi="Times New Roman"/>
        </w:rPr>
      </w:pPr>
      <w:bookmarkStart w:id="0" w:name="_GoBack"/>
      <w:bookmarkEnd w:id="0"/>
      <w:r w:rsidRPr="00B01F9A">
        <w:rPr>
          <w:rFonts w:ascii="Times New Roman" w:hAnsi="Times New Roman"/>
        </w:rPr>
        <w:t xml:space="preserve">1. </w:t>
      </w:r>
      <w:r w:rsidR="00827DD4" w:rsidRPr="00B01F9A">
        <w:rPr>
          <w:rFonts w:ascii="Times New Roman" w:hAnsi="Times New Roman"/>
        </w:rPr>
        <w:t>Introduction</w:t>
      </w:r>
    </w:p>
    <w:p w:rsidR="00827DD4" w:rsidRDefault="00827DD4" w:rsidP="00361DD8">
      <w:pPr>
        <w:spacing w:line="360" w:lineRule="auto"/>
        <w:ind w:firstLine="397"/>
        <w:jc w:val="both"/>
        <w:rPr>
          <w:rFonts w:ascii="Times New Roman" w:hAnsi="Times New Roman"/>
        </w:rPr>
      </w:pPr>
    </w:p>
    <w:p w:rsidR="00DB436E" w:rsidRDefault="00256C8D" w:rsidP="00DF0748">
      <w:pPr>
        <w:spacing w:line="360" w:lineRule="auto"/>
        <w:ind w:firstLine="397"/>
        <w:jc w:val="both"/>
        <w:rPr>
          <w:rFonts w:ascii="Times New Roman" w:hAnsi="Times New Roman"/>
        </w:rPr>
      </w:pPr>
      <w:r>
        <w:rPr>
          <w:rFonts w:ascii="Times New Roman" w:hAnsi="Times New Roman"/>
        </w:rPr>
        <w:t>In England and Wales, the Civil Procedure Rules regulate all aspect</w:t>
      </w:r>
      <w:r w:rsidR="0040350C">
        <w:rPr>
          <w:rFonts w:ascii="Times New Roman" w:hAnsi="Times New Roman"/>
        </w:rPr>
        <w:t>s</w:t>
      </w:r>
      <w:r>
        <w:rPr>
          <w:rFonts w:ascii="Times New Roman" w:hAnsi="Times New Roman"/>
        </w:rPr>
        <w:t xml:space="preserve"> of court adjudication, including what happens when a litigant does not comply with the rules </w:t>
      </w:r>
      <w:r w:rsidR="00DF0748">
        <w:rPr>
          <w:rFonts w:ascii="Times New Roman" w:hAnsi="Times New Roman"/>
        </w:rPr>
        <w:t xml:space="preserve">of process. </w:t>
      </w:r>
      <w:r>
        <w:rPr>
          <w:rFonts w:ascii="Times New Roman" w:hAnsi="Times New Roman"/>
        </w:rPr>
        <w:t>Th</w:t>
      </w:r>
      <w:r w:rsidR="00DF0748">
        <w:rPr>
          <w:rFonts w:ascii="Times New Roman" w:hAnsi="Times New Roman"/>
        </w:rPr>
        <w:t>is</w:t>
      </w:r>
      <w:r w:rsidR="00CB0300">
        <w:rPr>
          <w:rFonts w:ascii="Times New Roman" w:hAnsi="Times New Roman"/>
        </w:rPr>
        <w:t xml:space="preserve"> </w:t>
      </w:r>
      <w:r>
        <w:rPr>
          <w:rFonts w:ascii="Times New Roman" w:hAnsi="Times New Roman"/>
        </w:rPr>
        <w:t xml:space="preserve">may </w:t>
      </w:r>
      <w:r w:rsidR="00DF0748">
        <w:rPr>
          <w:rFonts w:ascii="Times New Roman" w:hAnsi="Times New Roman"/>
        </w:rPr>
        <w:t>trigger</w:t>
      </w:r>
      <w:r>
        <w:rPr>
          <w:rFonts w:ascii="Times New Roman" w:hAnsi="Times New Roman"/>
        </w:rPr>
        <w:t xml:space="preserve"> in an array of responses, from ignoring the breach</w:t>
      </w:r>
      <w:r w:rsidR="00CB0300">
        <w:rPr>
          <w:rFonts w:ascii="Times New Roman" w:hAnsi="Times New Roman"/>
        </w:rPr>
        <w:t xml:space="preserve"> altogether</w:t>
      </w:r>
      <w:r>
        <w:rPr>
          <w:rFonts w:ascii="Times New Roman" w:hAnsi="Times New Roman"/>
        </w:rPr>
        <w:t>,</w:t>
      </w:r>
      <w:r w:rsidR="00CB0300">
        <w:rPr>
          <w:rFonts w:ascii="Times New Roman" w:hAnsi="Times New Roman"/>
        </w:rPr>
        <w:t xml:space="preserve"> through</w:t>
      </w:r>
      <w:r>
        <w:rPr>
          <w:rFonts w:ascii="Times New Roman" w:hAnsi="Times New Roman"/>
        </w:rPr>
        <w:t xml:space="preserve"> requiring the opposing party to complain about it, to levying costs sanctions against the non-complying litigant</w:t>
      </w:r>
      <w:r w:rsidR="00CB0300">
        <w:rPr>
          <w:rFonts w:ascii="Times New Roman" w:hAnsi="Times New Roman"/>
        </w:rPr>
        <w:t xml:space="preserve"> or </w:t>
      </w:r>
      <w:r>
        <w:rPr>
          <w:rFonts w:ascii="Times New Roman" w:hAnsi="Times New Roman"/>
        </w:rPr>
        <w:t>even precluding him from</w:t>
      </w:r>
      <w:r w:rsidR="00DF0748">
        <w:rPr>
          <w:rFonts w:ascii="Times New Roman" w:hAnsi="Times New Roman"/>
        </w:rPr>
        <w:t xml:space="preserve"> relying on an individual point – </w:t>
      </w:r>
      <w:r>
        <w:rPr>
          <w:rFonts w:ascii="Times New Roman" w:hAnsi="Times New Roman"/>
        </w:rPr>
        <w:t>or indeed, on his entire defence</w:t>
      </w:r>
      <w:r w:rsidR="00DF0748">
        <w:rPr>
          <w:rFonts w:ascii="Times New Roman" w:hAnsi="Times New Roman"/>
        </w:rPr>
        <w:t xml:space="preserve">, </w:t>
      </w:r>
      <w:r>
        <w:rPr>
          <w:rFonts w:ascii="Times New Roman" w:hAnsi="Times New Roman"/>
        </w:rPr>
        <w:t xml:space="preserve">effectively leaving the opponent to ‘win’ the case. Process requirements </w:t>
      </w:r>
      <w:r w:rsidR="0040350C">
        <w:rPr>
          <w:rFonts w:ascii="Times New Roman" w:hAnsi="Times New Roman"/>
        </w:rPr>
        <w:t>are essential to the administration of justice, and the extent to which they are enforced constitutes a measure of the efficiency of the process, that is, its ability to fulfil its purpose. There are however diverging opinions</w:t>
      </w:r>
      <w:r w:rsidR="00DB436E">
        <w:rPr>
          <w:rFonts w:ascii="Times New Roman" w:hAnsi="Times New Roman"/>
        </w:rPr>
        <w:t>, broadly associated respectively with Aristotelian ideas of general and individual justice,</w:t>
      </w:r>
      <w:r w:rsidR="0040350C">
        <w:rPr>
          <w:rFonts w:ascii="Times New Roman" w:hAnsi="Times New Roman"/>
        </w:rPr>
        <w:t xml:space="preserve"> as to what </w:t>
      </w:r>
      <w:r w:rsidR="009865EF">
        <w:rPr>
          <w:rFonts w:ascii="Times New Roman" w:hAnsi="Times New Roman"/>
        </w:rPr>
        <w:t>its purpose is</w:t>
      </w:r>
      <w:r w:rsidR="00DF0748">
        <w:rPr>
          <w:rFonts w:ascii="Times New Roman" w:hAnsi="Times New Roman"/>
        </w:rPr>
        <w:t>. T</w:t>
      </w:r>
      <w:r w:rsidR="009865EF">
        <w:rPr>
          <w:rFonts w:ascii="Times New Roman" w:hAnsi="Times New Roman"/>
        </w:rPr>
        <w:t xml:space="preserve">his leads to inconsistent applications of the rules and, eventually, uncertainty as to success or failure of individual cases in arguably similar circumstances of rule non-compliance, or an increase in appellate litigation by litigants in the hope of a more favourable application of the rules. </w:t>
      </w:r>
    </w:p>
    <w:p w:rsidR="00094843" w:rsidRDefault="00094843" w:rsidP="00094843">
      <w:pPr>
        <w:spacing w:line="360" w:lineRule="auto"/>
        <w:ind w:firstLine="397"/>
        <w:jc w:val="both"/>
        <w:rPr>
          <w:rFonts w:ascii="Times New Roman" w:hAnsi="Times New Roman"/>
        </w:rPr>
      </w:pPr>
      <w:r>
        <w:rPr>
          <w:rFonts w:ascii="Times New Roman" w:hAnsi="Times New Roman"/>
        </w:rPr>
        <w:t>The administration of justice is a human endeavour and therefore no single perfect interpretation of an ideal rule is to be expected. However, the normal human wavering in this field is compounded by the fact that, while judges are required to apply substantive rules of law, and have very little leeway to diverge from or actively undermine them, they are given – or take – an open and apparently unfettered amount of discretion in determining when to apply those rules of procedure which entail such drastic consequences as the potential exclusion of a litigant from the forum for a mere ‘technicality’. This article will argue firstly that there is no good reason for considering that rules of civil procedure are not capable of binding judges in the same manner as any other type of state regulation, and secondly that any discretion granted to judges faced with non-complying litigant</w:t>
      </w:r>
      <w:r w:rsidR="000C24EF">
        <w:rPr>
          <w:rFonts w:ascii="Times New Roman" w:hAnsi="Times New Roman"/>
        </w:rPr>
        <w:t>s</w:t>
      </w:r>
      <w:r>
        <w:rPr>
          <w:rFonts w:ascii="Times New Roman" w:hAnsi="Times New Roman"/>
        </w:rPr>
        <w:t xml:space="preserve"> ought not to be extended to a subjective assessment by the judge of the very purposes of his function, such that the rules are reduced merely to guidelines for ‘doing justice’. Instead, a formalist approach to civil procedure should be taken, whereby the rules bind the judges and expressly acknowledge the basic philosophy of justice underlying that particular legal system, rather than leaving these matters to the judges alone.</w:t>
      </w:r>
    </w:p>
    <w:p w:rsidR="009600A1" w:rsidRDefault="008F0D79" w:rsidP="00094843">
      <w:pPr>
        <w:spacing w:line="360" w:lineRule="auto"/>
        <w:ind w:firstLine="397"/>
        <w:jc w:val="both"/>
        <w:rPr>
          <w:rFonts w:ascii="Times New Roman" w:hAnsi="Times New Roman"/>
        </w:rPr>
      </w:pPr>
      <w:r>
        <w:rPr>
          <w:rFonts w:ascii="Times New Roman" w:hAnsi="Times New Roman"/>
        </w:rPr>
        <w:t xml:space="preserve">The article will develop the argument in the following manner: in section </w:t>
      </w:r>
      <w:r w:rsidR="00CB0300">
        <w:rPr>
          <w:rFonts w:ascii="Times New Roman" w:hAnsi="Times New Roman"/>
        </w:rPr>
        <w:t>1</w:t>
      </w:r>
      <w:r>
        <w:rPr>
          <w:rFonts w:ascii="Times New Roman" w:hAnsi="Times New Roman"/>
        </w:rPr>
        <w:t xml:space="preserve"> the background will be set, with the history of the current understanding of </w:t>
      </w:r>
      <w:r w:rsidR="00094843">
        <w:rPr>
          <w:rFonts w:ascii="Times New Roman" w:hAnsi="Times New Roman"/>
        </w:rPr>
        <w:t>civil procedure</w:t>
      </w:r>
      <w:r>
        <w:rPr>
          <w:rFonts w:ascii="Times New Roman" w:hAnsi="Times New Roman"/>
        </w:rPr>
        <w:t xml:space="preserve"> in England and Wales as </w:t>
      </w:r>
      <w:r w:rsidR="00094843">
        <w:rPr>
          <w:rFonts w:ascii="Times New Roman" w:hAnsi="Times New Roman"/>
        </w:rPr>
        <w:t xml:space="preserve">secondary to the substantive rights whose enforcement they facilitate and, as such, something that can safely be left to the experience of individual judges </w:t>
      </w:r>
      <w:r>
        <w:rPr>
          <w:rFonts w:ascii="Times New Roman" w:hAnsi="Times New Roman"/>
        </w:rPr>
        <w:t xml:space="preserve">than to </w:t>
      </w:r>
      <w:r w:rsidR="00094843">
        <w:rPr>
          <w:rFonts w:ascii="Times New Roman" w:hAnsi="Times New Roman"/>
        </w:rPr>
        <w:t>general law</w:t>
      </w:r>
      <w:r w:rsidR="001E1B3F">
        <w:rPr>
          <w:rFonts w:ascii="Times New Roman" w:hAnsi="Times New Roman"/>
        </w:rPr>
        <w:t>. Section 3</w:t>
      </w:r>
      <w:r>
        <w:rPr>
          <w:rFonts w:ascii="Times New Roman" w:hAnsi="Times New Roman"/>
        </w:rPr>
        <w:t xml:space="preserve"> provides a preliminary justification for the article’s emphasis on the judicial discretion to enforce process requirements, rather than the litigant’s duty to o</w:t>
      </w:r>
      <w:r w:rsidR="009600A1">
        <w:rPr>
          <w:rFonts w:ascii="Times New Roman" w:hAnsi="Times New Roman"/>
        </w:rPr>
        <w:t xml:space="preserve">bey them. The article then moves to consider judicial </w:t>
      </w:r>
      <w:r w:rsidR="00CB0300">
        <w:rPr>
          <w:rFonts w:ascii="Times New Roman" w:hAnsi="Times New Roman"/>
        </w:rPr>
        <w:t>attitudes</w:t>
      </w:r>
      <w:r w:rsidR="009600A1">
        <w:rPr>
          <w:rFonts w:ascii="Times New Roman" w:hAnsi="Times New Roman"/>
        </w:rPr>
        <w:t xml:space="preserve"> to the ultimate process rule: the rule </w:t>
      </w:r>
      <w:r w:rsidR="009600A1" w:rsidRPr="00447C64">
        <w:rPr>
          <w:rFonts w:ascii="Times New Roman" w:hAnsi="Times New Roman"/>
        </w:rPr>
        <w:t>that requires compliance with th</w:t>
      </w:r>
      <w:r w:rsidR="009600A1">
        <w:rPr>
          <w:rFonts w:ascii="Times New Roman" w:hAnsi="Times New Roman"/>
        </w:rPr>
        <w:t>e other rules as a condition to reach the stage where a substantive judgment can be delivered</w:t>
      </w:r>
      <w:r w:rsidR="009600A1" w:rsidRPr="00447C64">
        <w:rPr>
          <w:rFonts w:ascii="Times New Roman" w:hAnsi="Times New Roman"/>
        </w:rPr>
        <w:t>.</w:t>
      </w:r>
      <w:r w:rsidR="009600A1">
        <w:rPr>
          <w:rFonts w:ascii="Times New Roman" w:hAnsi="Times New Roman"/>
        </w:rPr>
        <w:t xml:space="preserve"> The rule is considered in two jurisdictions,</w:t>
      </w:r>
      <w:r w:rsidR="00094843">
        <w:rPr>
          <w:rFonts w:ascii="Times New Roman" w:hAnsi="Times New Roman"/>
        </w:rPr>
        <w:t xml:space="preserve"> the </w:t>
      </w:r>
      <w:r w:rsidR="001E1B3F">
        <w:rPr>
          <w:rFonts w:ascii="Times New Roman" w:hAnsi="Times New Roman"/>
        </w:rPr>
        <w:t>federal United States (section 4</w:t>
      </w:r>
      <w:r w:rsidR="00094843">
        <w:rPr>
          <w:rFonts w:ascii="Times New Roman" w:hAnsi="Times New Roman"/>
        </w:rPr>
        <w:t>) and</w:t>
      </w:r>
      <w:r w:rsidR="009600A1">
        <w:rPr>
          <w:rFonts w:ascii="Times New Roman" w:hAnsi="Times New Roman"/>
        </w:rPr>
        <w:t xml:space="preserve"> England </w:t>
      </w:r>
      <w:r w:rsidR="001E1B3F">
        <w:rPr>
          <w:rFonts w:ascii="Times New Roman" w:hAnsi="Times New Roman"/>
        </w:rPr>
        <w:t>(section 5</w:t>
      </w:r>
      <w:r w:rsidR="00094843">
        <w:rPr>
          <w:rFonts w:ascii="Times New Roman" w:hAnsi="Times New Roman"/>
        </w:rPr>
        <w:t>)</w:t>
      </w:r>
      <w:r w:rsidR="009600A1">
        <w:rPr>
          <w:rFonts w:ascii="Times New Roman" w:hAnsi="Times New Roman"/>
        </w:rPr>
        <w:t xml:space="preserve">, where it appears in a slightly different form but with arguably similar import. The necessity of a comparative approach arises from the attempt to </w:t>
      </w:r>
      <w:r w:rsidR="009600A1" w:rsidRPr="003D40E1">
        <w:rPr>
          <w:rFonts w:ascii="Times New Roman" w:hAnsi="Times New Roman"/>
        </w:rPr>
        <w:t xml:space="preserve">identify </w:t>
      </w:r>
      <w:r w:rsidR="000C2521">
        <w:rPr>
          <w:rFonts w:ascii="Times New Roman" w:hAnsi="Times New Roman"/>
        </w:rPr>
        <w:t>the</w:t>
      </w:r>
      <w:r w:rsidR="009600A1">
        <w:rPr>
          <w:rFonts w:ascii="Times New Roman" w:hAnsi="Times New Roman"/>
        </w:rPr>
        <w:t xml:space="preserve"> </w:t>
      </w:r>
      <w:r w:rsidR="000C2521">
        <w:rPr>
          <w:rFonts w:ascii="Times New Roman" w:hAnsi="Times New Roman"/>
        </w:rPr>
        <w:t xml:space="preserve">normative preferences </w:t>
      </w:r>
      <w:r w:rsidR="009600A1">
        <w:rPr>
          <w:rFonts w:ascii="Times New Roman" w:hAnsi="Times New Roman"/>
        </w:rPr>
        <w:t xml:space="preserve">that </w:t>
      </w:r>
      <w:r w:rsidR="000C2521">
        <w:rPr>
          <w:rFonts w:ascii="Times New Roman" w:hAnsi="Times New Roman"/>
        </w:rPr>
        <w:t>influence</w:t>
      </w:r>
      <w:r w:rsidR="009600A1">
        <w:rPr>
          <w:rFonts w:ascii="Times New Roman" w:hAnsi="Times New Roman"/>
        </w:rPr>
        <w:t xml:space="preserve"> the application of the rule in question</w:t>
      </w:r>
      <w:r w:rsidR="009600A1" w:rsidRPr="003D40E1">
        <w:rPr>
          <w:rFonts w:ascii="Times New Roman" w:hAnsi="Times New Roman"/>
        </w:rPr>
        <w:t xml:space="preserve">, and the extent to which those </w:t>
      </w:r>
      <w:r w:rsidR="000C2521">
        <w:rPr>
          <w:rFonts w:ascii="Times New Roman" w:hAnsi="Times New Roman"/>
        </w:rPr>
        <w:t>preferences</w:t>
      </w:r>
      <w:r w:rsidR="009600A1">
        <w:rPr>
          <w:rFonts w:ascii="Times New Roman" w:hAnsi="Times New Roman"/>
        </w:rPr>
        <w:t xml:space="preserve"> are unique</w:t>
      </w:r>
      <w:r w:rsidR="000C2521">
        <w:rPr>
          <w:rFonts w:ascii="Times New Roman" w:hAnsi="Times New Roman"/>
        </w:rPr>
        <w:t xml:space="preserve"> to the English system. </w:t>
      </w:r>
      <w:r w:rsidR="009600A1">
        <w:rPr>
          <w:rFonts w:ascii="Times New Roman" w:hAnsi="Times New Roman"/>
        </w:rPr>
        <w:t>The</w:t>
      </w:r>
      <w:r w:rsidR="000C2521">
        <w:rPr>
          <w:rFonts w:ascii="Times New Roman" w:hAnsi="Times New Roman"/>
        </w:rPr>
        <w:t xml:space="preserve"> </w:t>
      </w:r>
      <w:r w:rsidR="009600A1">
        <w:rPr>
          <w:rFonts w:ascii="Times New Roman" w:hAnsi="Times New Roman"/>
        </w:rPr>
        <w:t xml:space="preserve">analysis </w:t>
      </w:r>
      <w:r w:rsidR="000C2521">
        <w:rPr>
          <w:rFonts w:ascii="Times New Roman" w:hAnsi="Times New Roman"/>
        </w:rPr>
        <w:t xml:space="preserve">suggests </w:t>
      </w:r>
      <w:r w:rsidR="00077810">
        <w:rPr>
          <w:rFonts w:ascii="Times New Roman" w:hAnsi="Times New Roman"/>
        </w:rPr>
        <w:t xml:space="preserve">the same two conflicting </w:t>
      </w:r>
      <w:r w:rsidR="000C2521">
        <w:rPr>
          <w:rFonts w:ascii="Times New Roman" w:hAnsi="Times New Roman"/>
        </w:rPr>
        <w:t xml:space="preserve">philosophies guide the exercise of discretion: </w:t>
      </w:r>
      <w:r w:rsidR="00077810">
        <w:rPr>
          <w:rFonts w:ascii="Times New Roman" w:hAnsi="Times New Roman"/>
        </w:rPr>
        <w:t>‘justice on the merits’ and ‘</w:t>
      </w:r>
      <w:r w:rsidR="000C2521">
        <w:rPr>
          <w:rFonts w:ascii="Times New Roman" w:hAnsi="Times New Roman"/>
        </w:rPr>
        <w:t xml:space="preserve">complex justice’. These are </w:t>
      </w:r>
      <w:r w:rsidR="00077810">
        <w:rPr>
          <w:rFonts w:ascii="Times New Roman" w:hAnsi="Times New Roman"/>
        </w:rPr>
        <w:t>de</w:t>
      </w:r>
      <w:r w:rsidR="001E1B3F">
        <w:rPr>
          <w:rFonts w:ascii="Times New Roman" w:hAnsi="Times New Roman"/>
        </w:rPr>
        <w:t>tailed and examined in section 6</w:t>
      </w:r>
      <w:r w:rsidR="00077810">
        <w:rPr>
          <w:rFonts w:ascii="Times New Roman" w:hAnsi="Times New Roman"/>
        </w:rPr>
        <w:t xml:space="preserve">, but the article is not dedicated to the normative question of which of these philosophies, which both </w:t>
      </w:r>
      <w:r w:rsidR="000C2521">
        <w:rPr>
          <w:rFonts w:ascii="Times New Roman" w:hAnsi="Times New Roman"/>
        </w:rPr>
        <w:t>seek to determine</w:t>
      </w:r>
      <w:r w:rsidR="00077810">
        <w:rPr>
          <w:rFonts w:ascii="Times New Roman" w:hAnsi="Times New Roman"/>
        </w:rPr>
        <w:t xml:space="preserve"> </w:t>
      </w:r>
      <w:r w:rsidR="000C2521">
        <w:rPr>
          <w:rFonts w:ascii="Times New Roman" w:hAnsi="Times New Roman"/>
        </w:rPr>
        <w:t xml:space="preserve">the </w:t>
      </w:r>
      <w:r w:rsidR="00077810">
        <w:rPr>
          <w:rFonts w:ascii="Times New Roman" w:hAnsi="Times New Roman"/>
        </w:rPr>
        <w:t xml:space="preserve">function of </w:t>
      </w:r>
      <w:r w:rsidR="000C2521">
        <w:rPr>
          <w:rFonts w:ascii="Times New Roman" w:hAnsi="Times New Roman"/>
        </w:rPr>
        <w:t>state adjudication,</w:t>
      </w:r>
      <w:r w:rsidR="00077810">
        <w:rPr>
          <w:rFonts w:ascii="Times New Roman" w:hAnsi="Times New Roman"/>
        </w:rPr>
        <w:t xml:space="preserve"> is preferable</w:t>
      </w:r>
      <w:r w:rsidR="000C2521">
        <w:rPr>
          <w:rFonts w:ascii="Times New Roman" w:hAnsi="Times New Roman"/>
        </w:rPr>
        <w:t>. Instead, I argue that, while</w:t>
      </w:r>
      <w:r w:rsidR="00077810">
        <w:rPr>
          <w:rFonts w:ascii="Times New Roman" w:hAnsi="Times New Roman"/>
        </w:rPr>
        <w:t xml:space="preserve"> a choice must </w:t>
      </w:r>
      <w:r w:rsidR="003D0D83">
        <w:rPr>
          <w:rFonts w:ascii="Times New Roman" w:hAnsi="Times New Roman"/>
        </w:rPr>
        <w:t xml:space="preserve">clearly </w:t>
      </w:r>
      <w:r w:rsidR="00077810">
        <w:rPr>
          <w:rFonts w:ascii="Times New Roman" w:hAnsi="Times New Roman"/>
        </w:rPr>
        <w:t xml:space="preserve">be made, </w:t>
      </w:r>
      <w:r w:rsidR="000C2521">
        <w:rPr>
          <w:rFonts w:ascii="Times New Roman" w:hAnsi="Times New Roman"/>
        </w:rPr>
        <w:t xml:space="preserve">this is something that must be </w:t>
      </w:r>
      <w:r w:rsidR="00826CC0">
        <w:rPr>
          <w:rFonts w:ascii="Times New Roman" w:hAnsi="Times New Roman"/>
        </w:rPr>
        <w:t xml:space="preserve">formally incorporated </w:t>
      </w:r>
      <w:r w:rsidR="000C2521">
        <w:rPr>
          <w:rFonts w:ascii="Times New Roman" w:hAnsi="Times New Roman"/>
        </w:rPr>
        <w:t xml:space="preserve">into the </w:t>
      </w:r>
      <w:r w:rsidR="00826CC0">
        <w:rPr>
          <w:rFonts w:ascii="Times New Roman" w:hAnsi="Times New Roman"/>
        </w:rPr>
        <w:t xml:space="preserve">rule </w:t>
      </w:r>
      <w:r w:rsidR="000C2521">
        <w:rPr>
          <w:rFonts w:ascii="Times New Roman" w:hAnsi="Times New Roman"/>
        </w:rPr>
        <w:t>system</w:t>
      </w:r>
      <w:r w:rsidR="00826CC0">
        <w:rPr>
          <w:rFonts w:ascii="Times New Roman" w:hAnsi="Times New Roman"/>
        </w:rPr>
        <w:t>,</w:t>
      </w:r>
      <w:r w:rsidR="000C2521">
        <w:rPr>
          <w:rFonts w:ascii="Times New Roman" w:hAnsi="Times New Roman"/>
        </w:rPr>
        <w:t xml:space="preserve"> </w:t>
      </w:r>
      <w:r w:rsidR="00826CC0">
        <w:rPr>
          <w:rFonts w:ascii="Times New Roman" w:hAnsi="Times New Roman"/>
        </w:rPr>
        <w:t>rather than</w:t>
      </w:r>
      <w:r w:rsidR="000C2521">
        <w:rPr>
          <w:rFonts w:ascii="Times New Roman" w:hAnsi="Times New Roman"/>
        </w:rPr>
        <w:t xml:space="preserve"> left to the discretion of </w:t>
      </w:r>
      <w:r w:rsidR="00077810">
        <w:rPr>
          <w:rFonts w:ascii="Times New Roman" w:hAnsi="Times New Roman"/>
        </w:rPr>
        <w:t xml:space="preserve">judges </w:t>
      </w:r>
      <w:r w:rsidR="000C2521">
        <w:rPr>
          <w:rFonts w:ascii="Times New Roman" w:hAnsi="Times New Roman"/>
        </w:rPr>
        <w:t>in individual cases.</w:t>
      </w:r>
      <w:r w:rsidR="00CB0300">
        <w:rPr>
          <w:rFonts w:ascii="Times New Roman" w:hAnsi="Times New Roman"/>
        </w:rPr>
        <w:t xml:space="preserve"> </w:t>
      </w:r>
      <w:r w:rsidR="00826CC0">
        <w:rPr>
          <w:rFonts w:ascii="Times New Roman" w:hAnsi="Times New Roman"/>
        </w:rPr>
        <w:t>With this in mind,</w:t>
      </w:r>
      <w:r w:rsidR="001E1B3F">
        <w:rPr>
          <w:rFonts w:ascii="Times New Roman" w:hAnsi="Times New Roman"/>
        </w:rPr>
        <w:t xml:space="preserve"> section 7</w:t>
      </w:r>
      <w:r w:rsidR="00CB0300">
        <w:rPr>
          <w:rFonts w:ascii="Times New Roman" w:hAnsi="Times New Roman"/>
        </w:rPr>
        <w:t xml:space="preserve"> demonstrates that</w:t>
      </w:r>
      <w:r w:rsidR="00826CC0">
        <w:rPr>
          <w:rFonts w:ascii="Times New Roman" w:hAnsi="Times New Roman"/>
        </w:rPr>
        <w:t xml:space="preserve">, despite the criticisms </w:t>
      </w:r>
      <w:r w:rsidR="000C24EF">
        <w:rPr>
          <w:rFonts w:ascii="Times New Roman" w:hAnsi="Times New Roman"/>
        </w:rPr>
        <w:t>levelled</w:t>
      </w:r>
      <w:r w:rsidR="00826CC0">
        <w:rPr>
          <w:rFonts w:ascii="Times New Roman" w:hAnsi="Times New Roman"/>
        </w:rPr>
        <w:t xml:space="preserve"> at formalism,</w:t>
      </w:r>
      <w:r w:rsidR="00077810">
        <w:rPr>
          <w:rFonts w:ascii="Times New Roman" w:hAnsi="Times New Roman"/>
        </w:rPr>
        <w:t xml:space="preserve"> </w:t>
      </w:r>
      <w:r w:rsidR="003D0D83">
        <w:rPr>
          <w:rFonts w:ascii="Times New Roman" w:hAnsi="Times New Roman"/>
        </w:rPr>
        <w:t xml:space="preserve">it is </w:t>
      </w:r>
      <w:r w:rsidR="00826CC0">
        <w:rPr>
          <w:rFonts w:ascii="Times New Roman" w:hAnsi="Times New Roman"/>
        </w:rPr>
        <w:t xml:space="preserve">certainly </w:t>
      </w:r>
      <w:r w:rsidR="003D0D83">
        <w:rPr>
          <w:rFonts w:ascii="Times New Roman" w:hAnsi="Times New Roman"/>
        </w:rPr>
        <w:t xml:space="preserve">possible for a legal system to embrace formalism and achieve the desired result of judicial constraint. </w:t>
      </w:r>
      <w:r w:rsidR="00826CC0">
        <w:rPr>
          <w:rFonts w:ascii="Times New Roman" w:hAnsi="Times New Roman"/>
        </w:rPr>
        <w:t>Lastly, s</w:t>
      </w:r>
      <w:r w:rsidR="001E1B3F">
        <w:rPr>
          <w:rFonts w:ascii="Times New Roman" w:hAnsi="Times New Roman"/>
        </w:rPr>
        <w:t>ection 8</w:t>
      </w:r>
      <w:r w:rsidR="003D0D83">
        <w:rPr>
          <w:rFonts w:ascii="Times New Roman" w:hAnsi="Times New Roman"/>
        </w:rPr>
        <w:t xml:space="preserve"> addresses some particularities of </w:t>
      </w:r>
      <w:r w:rsidR="00826CC0">
        <w:rPr>
          <w:rFonts w:ascii="Times New Roman" w:hAnsi="Times New Roman"/>
        </w:rPr>
        <w:t>the</w:t>
      </w:r>
      <w:r w:rsidR="003D0D83">
        <w:rPr>
          <w:rFonts w:ascii="Times New Roman" w:hAnsi="Times New Roman"/>
        </w:rPr>
        <w:t xml:space="preserve"> common law which may undermine a general call to formalism: that </w:t>
      </w:r>
      <w:r w:rsidR="00826CC0">
        <w:rPr>
          <w:rFonts w:ascii="Times New Roman" w:hAnsi="Times New Roman"/>
        </w:rPr>
        <w:t>its</w:t>
      </w:r>
      <w:r w:rsidR="00AC4CF0">
        <w:rPr>
          <w:rFonts w:ascii="Times New Roman" w:hAnsi="Times New Roman"/>
        </w:rPr>
        <w:t xml:space="preserve"> </w:t>
      </w:r>
      <w:r w:rsidR="00826CC0">
        <w:rPr>
          <w:rFonts w:ascii="Times New Roman" w:hAnsi="Times New Roman"/>
        </w:rPr>
        <w:t xml:space="preserve">procedural </w:t>
      </w:r>
      <w:r w:rsidR="00AC4CF0">
        <w:rPr>
          <w:rFonts w:ascii="Times New Roman" w:hAnsi="Times New Roman"/>
        </w:rPr>
        <w:t>r</w:t>
      </w:r>
      <w:r w:rsidR="003D0D83">
        <w:rPr>
          <w:rFonts w:ascii="Times New Roman" w:hAnsi="Times New Roman"/>
        </w:rPr>
        <w:t>ule</w:t>
      </w:r>
      <w:r w:rsidR="00826CC0">
        <w:rPr>
          <w:rFonts w:ascii="Times New Roman" w:hAnsi="Times New Roman"/>
        </w:rPr>
        <w:t>s are</w:t>
      </w:r>
      <w:r w:rsidR="003D0D83">
        <w:rPr>
          <w:rFonts w:ascii="Times New Roman" w:hAnsi="Times New Roman"/>
        </w:rPr>
        <w:t xml:space="preserve"> </w:t>
      </w:r>
      <w:r w:rsidR="00826CC0">
        <w:rPr>
          <w:rFonts w:ascii="Times New Roman" w:hAnsi="Times New Roman"/>
        </w:rPr>
        <w:t>written</w:t>
      </w:r>
      <w:r w:rsidR="003D0D83">
        <w:rPr>
          <w:rFonts w:ascii="Times New Roman" w:hAnsi="Times New Roman"/>
        </w:rPr>
        <w:t xml:space="preserve"> primarily </w:t>
      </w:r>
      <w:r w:rsidR="00826CC0">
        <w:rPr>
          <w:rFonts w:ascii="Times New Roman" w:hAnsi="Times New Roman"/>
        </w:rPr>
        <w:t xml:space="preserve">by, </w:t>
      </w:r>
      <w:r w:rsidR="003D0D83">
        <w:rPr>
          <w:rFonts w:ascii="Times New Roman" w:hAnsi="Times New Roman"/>
        </w:rPr>
        <w:t xml:space="preserve">or with </w:t>
      </w:r>
      <w:r w:rsidR="00826CC0">
        <w:rPr>
          <w:rFonts w:ascii="Times New Roman" w:hAnsi="Times New Roman"/>
        </w:rPr>
        <w:t>significant</w:t>
      </w:r>
      <w:r w:rsidR="003D0D83">
        <w:rPr>
          <w:rFonts w:ascii="Times New Roman" w:hAnsi="Times New Roman"/>
        </w:rPr>
        <w:t xml:space="preserve"> in</w:t>
      </w:r>
      <w:r w:rsidR="00826CC0">
        <w:rPr>
          <w:rFonts w:ascii="Times New Roman" w:hAnsi="Times New Roman"/>
        </w:rPr>
        <w:t>put from, the judiciary itself;</w:t>
      </w:r>
      <w:r w:rsidR="003D0D83">
        <w:rPr>
          <w:rFonts w:ascii="Times New Roman" w:hAnsi="Times New Roman"/>
        </w:rPr>
        <w:t xml:space="preserve"> the </w:t>
      </w:r>
      <w:r w:rsidR="009400D1">
        <w:rPr>
          <w:rFonts w:ascii="Times New Roman" w:hAnsi="Times New Roman"/>
        </w:rPr>
        <w:t>pres</w:t>
      </w:r>
      <w:r w:rsidR="00826CC0">
        <w:rPr>
          <w:rFonts w:ascii="Times New Roman" w:hAnsi="Times New Roman"/>
        </w:rPr>
        <w:t>ence</w:t>
      </w:r>
      <w:r w:rsidR="00AC4CF0">
        <w:rPr>
          <w:rFonts w:ascii="Times New Roman" w:hAnsi="Times New Roman"/>
        </w:rPr>
        <w:t xml:space="preserve"> of</w:t>
      </w:r>
      <w:r w:rsidR="003D0D83">
        <w:rPr>
          <w:rFonts w:ascii="Times New Roman" w:hAnsi="Times New Roman"/>
        </w:rPr>
        <w:t xml:space="preserve"> an almost ‘pre-constitutional’ inherent power of the individual court to regulate its own process, with no higher au</w:t>
      </w:r>
      <w:r w:rsidR="00826CC0">
        <w:rPr>
          <w:rFonts w:ascii="Times New Roman" w:hAnsi="Times New Roman"/>
        </w:rPr>
        <w:t>thority to which to be beholden;</w:t>
      </w:r>
      <w:r w:rsidR="003D0D83">
        <w:rPr>
          <w:rFonts w:ascii="Times New Roman" w:hAnsi="Times New Roman"/>
        </w:rPr>
        <w:t xml:space="preserve"> and the necessity for formalistic rules to be ‘tran</w:t>
      </w:r>
      <w:r w:rsidR="00AC4CF0">
        <w:rPr>
          <w:rFonts w:ascii="Times New Roman" w:hAnsi="Times New Roman"/>
        </w:rPr>
        <w:t>s</w:t>
      </w:r>
      <w:r w:rsidR="003D0D83">
        <w:rPr>
          <w:rFonts w:ascii="Times New Roman" w:hAnsi="Times New Roman"/>
        </w:rPr>
        <w:t xml:space="preserve">substantive’, that is, of general application and with no underlying substantive content.  </w:t>
      </w:r>
    </w:p>
    <w:p w:rsidR="009F7143" w:rsidRDefault="009F7143" w:rsidP="00B01F9A">
      <w:pPr>
        <w:spacing w:line="360" w:lineRule="auto"/>
        <w:jc w:val="both"/>
        <w:rPr>
          <w:rFonts w:ascii="Times New Roman" w:hAnsi="Times New Roman"/>
        </w:rPr>
      </w:pPr>
    </w:p>
    <w:p w:rsidR="00766879" w:rsidRPr="00447C64" w:rsidRDefault="00B01F9A" w:rsidP="00330636">
      <w:pPr>
        <w:spacing w:line="360" w:lineRule="auto"/>
        <w:jc w:val="both"/>
        <w:rPr>
          <w:rFonts w:ascii="Times New Roman" w:hAnsi="Times New Roman"/>
        </w:rPr>
      </w:pPr>
      <w:r>
        <w:rPr>
          <w:rFonts w:ascii="Times New Roman" w:hAnsi="Times New Roman"/>
        </w:rPr>
        <w:t>2</w:t>
      </w:r>
      <w:r w:rsidR="00766879">
        <w:rPr>
          <w:rFonts w:ascii="Times New Roman" w:hAnsi="Times New Roman"/>
        </w:rPr>
        <w:t>. Background</w:t>
      </w:r>
    </w:p>
    <w:p w:rsidR="000C24EF" w:rsidRDefault="000C24EF" w:rsidP="00444053">
      <w:pPr>
        <w:spacing w:line="360" w:lineRule="auto"/>
        <w:ind w:firstLine="397"/>
        <w:jc w:val="both"/>
        <w:rPr>
          <w:rFonts w:ascii="Times New Roman" w:hAnsi="Times New Roman"/>
        </w:rPr>
      </w:pPr>
    </w:p>
    <w:p w:rsidR="009400D1" w:rsidRDefault="009400D1" w:rsidP="00444053">
      <w:pPr>
        <w:spacing w:line="360" w:lineRule="auto"/>
        <w:ind w:firstLine="397"/>
        <w:jc w:val="both"/>
        <w:rPr>
          <w:rFonts w:ascii="Times New Roman" w:hAnsi="Times New Roman"/>
        </w:rPr>
      </w:pPr>
      <w:r>
        <w:rPr>
          <w:rFonts w:ascii="Times New Roman" w:hAnsi="Times New Roman"/>
        </w:rPr>
        <w:t>For</w:t>
      </w:r>
      <w:r w:rsidR="009F7143">
        <w:rPr>
          <w:rFonts w:ascii="Times New Roman" w:hAnsi="Times New Roman"/>
        </w:rPr>
        <w:t xml:space="preserve"> some, c</w:t>
      </w:r>
      <w:r w:rsidR="00444053" w:rsidRPr="00447C64">
        <w:rPr>
          <w:rFonts w:ascii="Times New Roman" w:hAnsi="Times New Roman"/>
        </w:rPr>
        <w:t>ivil procedure has become almost a byword for mindless technicality and formality. Any critic of a mechanic application of rules can easily find support in decided cases or, indeed, in an established l</w:t>
      </w:r>
      <w:r w:rsidR="000C24EF">
        <w:rPr>
          <w:rFonts w:ascii="Times New Roman" w:hAnsi="Times New Roman"/>
        </w:rPr>
        <w:t xml:space="preserve">egal </w:t>
      </w:r>
      <w:r w:rsidR="00444053" w:rsidRPr="00447C64">
        <w:rPr>
          <w:rFonts w:ascii="Times New Roman" w:hAnsi="Times New Roman"/>
        </w:rPr>
        <w:t xml:space="preserve">philosophical tradition berating judges and lawyers for </w:t>
      </w:r>
      <w:r w:rsidR="0031749A" w:rsidRPr="00447C64">
        <w:rPr>
          <w:rFonts w:ascii="Times New Roman" w:hAnsi="Times New Roman"/>
        </w:rPr>
        <w:t xml:space="preserve">believing themselves to be so in thrall to </w:t>
      </w:r>
      <w:r w:rsidR="000C24EF">
        <w:rPr>
          <w:rFonts w:ascii="Times New Roman" w:hAnsi="Times New Roman"/>
        </w:rPr>
        <w:t>mere</w:t>
      </w:r>
      <w:r w:rsidR="0031749A" w:rsidRPr="00447C64">
        <w:rPr>
          <w:rFonts w:ascii="Times New Roman" w:hAnsi="Times New Roman"/>
        </w:rPr>
        <w:t xml:space="preserve"> process rules as to render the determination of rights and obligations unnecessarily complicated and often unfair</w:t>
      </w:r>
      <w:r w:rsidR="00444053" w:rsidRPr="00447C64">
        <w:rPr>
          <w:rFonts w:ascii="Times New Roman" w:hAnsi="Times New Roman"/>
        </w:rPr>
        <w:t>. From the 19</w:t>
      </w:r>
      <w:r w:rsidR="00444053" w:rsidRPr="00447C64">
        <w:rPr>
          <w:rFonts w:ascii="Times New Roman" w:hAnsi="Times New Roman"/>
          <w:vertAlign w:val="superscript"/>
        </w:rPr>
        <w:t>th</w:t>
      </w:r>
      <w:r w:rsidR="00444053" w:rsidRPr="00447C64">
        <w:rPr>
          <w:rFonts w:ascii="Times New Roman" w:hAnsi="Times New Roman"/>
        </w:rPr>
        <w:t xml:space="preserve"> century onwards,</w:t>
      </w:r>
      <w:r>
        <w:rPr>
          <w:rStyle w:val="FootnoteReference"/>
          <w:rFonts w:ascii="Times New Roman" w:hAnsi="Times New Roman"/>
        </w:rPr>
        <w:footnoteReference w:id="2"/>
      </w:r>
      <w:r w:rsidR="00444053" w:rsidRPr="00447C64">
        <w:rPr>
          <w:rFonts w:ascii="Times New Roman" w:hAnsi="Times New Roman"/>
        </w:rPr>
        <w:t xml:space="preserve"> that judges could consider themselves and the litigants</w:t>
      </w:r>
      <w:r w:rsidR="0031749A" w:rsidRPr="00447C64">
        <w:rPr>
          <w:rFonts w:ascii="Times New Roman" w:hAnsi="Times New Roman"/>
        </w:rPr>
        <w:t xml:space="preserve"> in front of them</w:t>
      </w:r>
      <w:r w:rsidR="00444053" w:rsidRPr="00447C64">
        <w:rPr>
          <w:rFonts w:ascii="Times New Roman" w:hAnsi="Times New Roman"/>
        </w:rPr>
        <w:t xml:space="preserve"> bound by the rules of procedure </w:t>
      </w:r>
      <w:r w:rsidR="0031749A" w:rsidRPr="00447C64">
        <w:rPr>
          <w:rFonts w:ascii="Times New Roman" w:hAnsi="Times New Roman"/>
        </w:rPr>
        <w:t>was</w:t>
      </w:r>
      <w:r w:rsidR="00444053" w:rsidRPr="00447C64">
        <w:rPr>
          <w:rFonts w:ascii="Times New Roman" w:hAnsi="Times New Roman"/>
        </w:rPr>
        <w:t xml:space="preserve"> criticised with such force that </w:t>
      </w:r>
      <w:r w:rsidR="0031749A" w:rsidRPr="00447C64">
        <w:rPr>
          <w:rFonts w:ascii="Times New Roman" w:hAnsi="Times New Roman"/>
        </w:rPr>
        <w:t>a formal</w:t>
      </w:r>
      <w:r w:rsidR="00CB4B6C">
        <w:rPr>
          <w:rFonts w:ascii="Times New Roman" w:hAnsi="Times New Roman"/>
        </w:rPr>
        <w:t xml:space="preserve"> approach to</w:t>
      </w:r>
      <w:r w:rsidR="0031749A" w:rsidRPr="00447C64">
        <w:rPr>
          <w:rFonts w:ascii="Times New Roman" w:hAnsi="Times New Roman"/>
        </w:rPr>
        <w:t xml:space="preserve"> procedure</w:t>
      </w:r>
      <w:r w:rsidR="00444053" w:rsidRPr="00447C64">
        <w:rPr>
          <w:rFonts w:ascii="Times New Roman" w:hAnsi="Times New Roman"/>
        </w:rPr>
        <w:t xml:space="preserve"> appear</w:t>
      </w:r>
      <w:r w:rsidR="0031749A" w:rsidRPr="00447C64">
        <w:rPr>
          <w:rFonts w:ascii="Times New Roman" w:hAnsi="Times New Roman"/>
        </w:rPr>
        <w:t>s</w:t>
      </w:r>
      <w:r w:rsidR="00444053" w:rsidRPr="00447C64">
        <w:rPr>
          <w:rFonts w:ascii="Times New Roman" w:hAnsi="Times New Roman"/>
        </w:rPr>
        <w:t xml:space="preserve"> unthinkable still today. Bentham, to who</w:t>
      </w:r>
      <w:r w:rsidR="0031749A" w:rsidRPr="00447C64">
        <w:rPr>
          <w:rFonts w:ascii="Times New Roman" w:hAnsi="Times New Roman"/>
        </w:rPr>
        <w:t>m</w:t>
      </w:r>
      <w:r w:rsidR="00444053" w:rsidRPr="00447C64">
        <w:rPr>
          <w:rFonts w:ascii="Times New Roman" w:hAnsi="Times New Roman"/>
        </w:rPr>
        <w:t xml:space="preserve"> we owe many insights into the </w:t>
      </w:r>
      <w:r w:rsidR="0031749A" w:rsidRPr="00447C64">
        <w:rPr>
          <w:rFonts w:ascii="Times New Roman" w:hAnsi="Times New Roman"/>
        </w:rPr>
        <w:t>English</w:t>
      </w:r>
      <w:r w:rsidR="00444053" w:rsidRPr="00447C64">
        <w:rPr>
          <w:rFonts w:ascii="Times New Roman" w:hAnsi="Times New Roman"/>
        </w:rPr>
        <w:t xml:space="preserve"> system of litigation, was particularly scathing with regards to procedural technicality, which he</w:t>
      </w:r>
      <w:r w:rsidR="0031749A" w:rsidRPr="00447C64">
        <w:rPr>
          <w:rFonts w:ascii="Times New Roman" w:hAnsi="Times New Roman"/>
        </w:rPr>
        <w:t xml:space="preserve"> characterised as the</w:t>
      </w:r>
      <w:r w:rsidR="001E1B3F">
        <w:rPr>
          <w:rFonts w:ascii="Times New Roman" w:hAnsi="Times New Roman"/>
        </w:rPr>
        <w:t xml:space="preserve"> ‘</w:t>
      </w:r>
      <w:r w:rsidR="00444053" w:rsidRPr="00447C64">
        <w:rPr>
          <w:rFonts w:ascii="Times New Roman" w:hAnsi="Times New Roman"/>
        </w:rPr>
        <w:t>multiplication of the occasions of extracting fee; the cause of factitious complicati</w:t>
      </w:r>
      <w:r w:rsidR="00444053" w:rsidRPr="00447C64">
        <w:rPr>
          <w:rFonts w:ascii="Times New Roman" w:hAnsi="Times New Roman"/>
          <w:iCs/>
        </w:rPr>
        <w:t>o</w:t>
      </w:r>
      <w:r w:rsidR="00444053" w:rsidRPr="00447C64">
        <w:rPr>
          <w:rFonts w:ascii="Times New Roman" w:hAnsi="Times New Roman"/>
        </w:rPr>
        <w:t>n, intricacy, obscurity, unintelligibility, uncognoscibi</w:t>
      </w:r>
      <w:r w:rsidR="001E1B3F">
        <w:rPr>
          <w:rFonts w:ascii="Times New Roman" w:hAnsi="Times New Roman"/>
        </w:rPr>
        <w:t>lity in the system of procedure’</w:t>
      </w:r>
      <w:r w:rsidR="0031749A" w:rsidRPr="00447C64">
        <w:rPr>
          <w:rFonts w:ascii="Times New Roman" w:hAnsi="Times New Roman"/>
        </w:rPr>
        <w:t>.</w:t>
      </w:r>
      <w:r w:rsidR="00444053" w:rsidRPr="00447C64">
        <w:rPr>
          <w:rStyle w:val="FootnoteReference"/>
          <w:rFonts w:ascii="Times New Roman" w:hAnsi="Times New Roman"/>
        </w:rPr>
        <w:footnoteReference w:id="3"/>
      </w:r>
      <w:r w:rsidR="00CB4B6C">
        <w:rPr>
          <w:rFonts w:ascii="Times New Roman" w:hAnsi="Times New Roman"/>
        </w:rPr>
        <w:t xml:space="preserve"> </w:t>
      </w:r>
      <w:r w:rsidR="003D40E1" w:rsidRPr="003D40E1">
        <w:rPr>
          <w:rFonts w:ascii="Times New Roman" w:hAnsi="Times New Roman"/>
        </w:rPr>
        <w:t xml:space="preserve">Bentham’s </w:t>
      </w:r>
      <w:r w:rsidR="000C24EF">
        <w:rPr>
          <w:rFonts w:ascii="Times New Roman" w:hAnsi="Times New Roman"/>
        </w:rPr>
        <w:t xml:space="preserve">contempt for procedural formalism </w:t>
      </w:r>
      <w:r w:rsidR="009F7143">
        <w:rPr>
          <w:rFonts w:ascii="Times New Roman" w:hAnsi="Times New Roman"/>
        </w:rPr>
        <w:t xml:space="preserve">meant that in his new system </w:t>
      </w:r>
      <w:r w:rsidR="000C24EF">
        <w:rPr>
          <w:rFonts w:ascii="Times New Roman" w:hAnsi="Times New Roman"/>
        </w:rPr>
        <w:t xml:space="preserve">judges </w:t>
      </w:r>
      <w:r w:rsidR="009F7143">
        <w:rPr>
          <w:rFonts w:ascii="Times New Roman" w:hAnsi="Times New Roman"/>
        </w:rPr>
        <w:t>would be granted</w:t>
      </w:r>
      <w:r w:rsidR="000C24EF">
        <w:rPr>
          <w:rFonts w:ascii="Times New Roman" w:hAnsi="Times New Roman"/>
        </w:rPr>
        <w:t xml:space="preserve"> a vast amount of unappealable discretion </w:t>
      </w:r>
      <w:r w:rsidR="009F7143">
        <w:rPr>
          <w:rFonts w:ascii="Times New Roman" w:hAnsi="Times New Roman"/>
        </w:rPr>
        <w:t xml:space="preserve">with regard to </w:t>
      </w:r>
      <w:r w:rsidR="000C24EF">
        <w:rPr>
          <w:rFonts w:ascii="Times New Roman" w:hAnsi="Times New Roman"/>
        </w:rPr>
        <w:t>procedure,</w:t>
      </w:r>
      <w:r w:rsidR="009F7143" w:rsidRPr="00447C64">
        <w:rPr>
          <w:rStyle w:val="FootnoteReference"/>
          <w:rFonts w:ascii="Times New Roman" w:hAnsi="Times New Roman"/>
        </w:rPr>
        <w:footnoteReference w:id="4"/>
      </w:r>
      <w:r w:rsidR="000C24EF">
        <w:rPr>
          <w:rFonts w:ascii="Times New Roman" w:hAnsi="Times New Roman"/>
        </w:rPr>
        <w:t xml:space="preserve"> precisely because </w:t>
      </w:r>
      <w:r w:rsidR="009F7143">
        <w:rPr>
          <w:rFonts w:ascii="Times New Roman" w:hAnsi="Times New Roman"/>
        </w:rPr>
        <w:t>no important substantive consequence would be allowed to flow from procedural constraints.</w:t>
      </w:r>
      <w:r w:rsidR="00444053" w:rsidRPr="00447C64">
        <w:rPr>
          <w:rFonts w:ascii="Times New Roman" w:hAnsi="Times New Roman"/>
        </w:rPr>
        <w:t xml:space="preserve"> </w:t>
      </w:r>
    </w:p>
    <w:p w:rsidR="00CB4B6C" w:rsidRDefault="00CA32A9" w:rsidP="009400D1">
      <w:pPr>
        <w:spacing w:line="360" w:lineRule="auto"/>
        <w:jc w:val="both"/>
        <w:rPr>
          <w:rFonts w:ascii="Times New Roman" w:hAnsi="Times New Roman"/>
        </w:rPr>
      </w:pPr>
      <w:r w:rsidRPr="00447C64">
        <w:rPr>
          <w:rFonts w:ascii="Times New Roman" w:hAnsi="Times New Roman"/>
        </w:rPr>
        <w:t xml:space="preserve">The </w:t>
      </w:r>
      <w:r w:rsidR="009F7143">
        <w:rPr>
          <w:rFonts w:ascii="Times New Roman" w:hAnsi="Times New Roman"/>
        </w:rPr>
        <w:t>critique</w:t>
      </w:r>
      <w:r w:rsidRPr="00447C64">
        <w:rPr>
          <w:rFonts w:ascii="Times New Roman" w:hAnsi="Times New Roman"/>
        </w:rPr>
        <w:t xml:space="preserve"> of formalism in civil procedure </w:t>
      </w:r>
      <w:r w:rsidR="009400D1">
        <w:rPr>
          <w:rFonts w:ascii="Times New Roman" w:hAnsi="Times New Roman"/>
        </w:rPr>
        <w:t>begun in the 19</w:t>
      </w:r>
      <w:r w:rsidR="009400D1" w:rsidRPr="009400D1">
        <w:rPr>
          <w:rFonts w:ascii="Times New Roman" w:hAnsi="Times New Roman"/>
          <w:vertAlign w:val="superscript"/>
        </w:rPr>
        <w:t>th</w:t>
      </w:r>
      <w:r w:rsidR="009400D1">
        <w:rPr>
          <w:rFonts w:ascii="Times New Roman" w:hAnsi="Times New Roman"/>
        </w:rPr>
        <w:t xml:space="preserve"> century is inextricably linked with the </w:t>
      </w:r>
      <w:r w:rsidRPr="00447C64">
        <w:rPr>
          <w:rFonts w:ascii="Times New Roman" w:hAnsi="Times New Roman"/>
        </w:rPr>
        <w:t>consideration of its rules as secondary, ancillary, and devoid of any interest beyond the m</w:t>
      </w:r>
      <w:r w:rsidR="00CB4B6C">
        <w:rPr>
          <w:rFonts w:ascii="Times New Roman" w:hAnsi="Times New Roman"/>
        </w:rPr>
        <w:t>erely instrumental</w:t>
      </w:r>
      <w:r w:rsidRPr="00447C64">
        <w:rPr>
          <w:rFonts w:ascii="Times New Roman" w:hAnsi="Times New Roman"/>
        </w:rPr>
        <w:t>.</w:t>
      </w:r>
      <w:r w:rsidR="002C5A08">
        <w:rPr>
          <w:rFonts w:ascii="Times New Roman" w:hAnsi="Times New Roman"/>
        </w:rPr>
        <w:t xml:space="preserve"> </w:t>
      </w:r>
      <w:r w:rsidR="00444053" w:rsidRPr="00447C64">
        <w:rPr>
          <w:rFonts w:ascii="Times New Roman" w:hAnsi="Times New Roman"/>
        </w:rPr>
        <w:t>Th</w:t>
      </w:r>
      <w:r w:rsidR="009400D1">
        <w:rPr>
          <w:rFonts w:ascii="Times New Roman" w:hAnsi="Times New Roman"/>
        </w:rPr>
        <w:t>is assessment</w:t>
      </w:r>
      <w:r w:rsidR="00444053" w:rsidRPr="00447C64">
        <w:rPr>
          <w:rFonts w:ascii="Times New Roman" w:hAnsi="Times New Roman"/>
        </w:rPr>
        <w:t xml:space="preserve"> </w:t>
      </w:r>
      <w:r w:rsidR="009F7143">
        <w:rPr>
          <w:rFonts w:ascii="Times New Roman" w:hAnsi="Times New Roman"/>
        </w:rPr>
        <w:t xml:space="preserve">continued throughout the next </w:t>
      </w:r>
      <w:r w:rsidR="00D37947">
        <w:rPr>
          <w:rFonts w:ascii="Times New Roman" w:hAnsi="Times New Roman"/>
        </w:rPr>
        <w:t>century: for</w:t>
      </w:r>
      <w:r w:rsidR="00444053" w:rsidRPr="00447C64">
        <w:rPr>
          <w:rFonts w:ascii="Times New Roman" w:hAnsi="Times New Roman"/>
        </w:rPr>
        <w:t xml:space="preserve"> Hart, the rules which define the procedure to be followed are </w:t>
      </w:r>
      <w:r w:rsidR="009F7143">
        <w:rPr>
          <w:rFonts w:ascii="Times New Roman" w:hAnsi="Times New Roman"/>
        </w:rPr>
        <w:t>‘secondary’</w:t>
      </w:r>
      <w:r w:rsidR="00444053" w:rsidRPr="00447C64">
        <w:rPr>
          <w:rFonts w:ascii="Times New Roman" w:hAnsi="Times New Roman"/>
        </w:rPr>
        <w:t>, rather than primary, rules;</w:t>
      </w:r>
      <w:r w:rsidR="009F7143">
        <w:rPr>
          <w:rStyle w:val="FootnoteReference"/>
          <w:rFonts w:ascii="Times New Roman" w:hAnsi="Times New Roman"/>
        </w:rPr>
        <w:footnoteReference w:id="5"/>
      </w:r>
      <w:r w:rsidR="00444053" w:rsidRPr="00447C64">
        <w:rPr>
          <w:rFonts w:ascii="Times New Roman" w:hAnsi="Times New Roman"/>
        </w:rPr>
        <w:t xml:space="preserve"> moreover they are not as important as the other secondary rules, those which confer the power to make determinations of the question whether a pri</w:t>
      </w:r>
      <w:r w:rsidR="009F7143">
        <w:rPr>
          <w:rFonts w:ascii="Times New Roman" w:hAnsi="Times New Roman"/>
        </w:rPr>
        <w:t>mary rule has been broken, or ‘rules of adjudication’</w:t>
      </w:r>
      <w:r w:rsidR="00E60AB1" w:rsidRPr="00447C64">
        <w:rPr>
          <w:rFonts w:ascii="Times New Roman" w:hAnsi="Times New Roman"/>
        </w:rPr>
        <w:t>.</w:t>
      </w:r>
      <w:r w:rsidR="00D37947">
        <w:rPr>
          <w:rStyle w:val="FootnoteReference"/>
          <w:rFonts w:ascii="Times New Roman" w:hAnsi="Times New Roman"/>
        </w:rPr>
        <w:footnoteReference w:id="6"/>
      </w:r>
      <w:r w:rsidR="00E60AB1" w:rsidRPr="00447C64">
        <w:rPr>
          <w:rFonts w:ascii="Times New Roman" w:hAnsi="Times New Roman"/>
        </w:rPr>
        <w:t xml:space="preserve"> Additionally, the former</w:t>
      </w:r>
      <w:r w:rsidRPr="00447C64">
        <w:rPr>
          <w:rFonts w:ascii="Times New Roman" w:hAnsi="Times New Roman"/>
        </w:rPr>
        <w:t>,</w:t>
      </w:r>
      <w:r w:rsidR="00E60AB1" w:rsidRPr="00447C64">
        <w:rPr>
          <w:rFonts w:ascii="Times New Roman" w:hAnsi="Times New Roman"/>
        </w:rPr>
        <w:t xml:space="preserve"> while having</w:t>
      </w:r>
      <w:r w:rsidR="00444053" w:rsidRPr="00447C64">
        <w:rPr>
          <w:rFonts w:ascii="Times New Roman" w:hAnsi="Times New Roman"/>
        </w:rPr>
        <w:t xml:space="preserve"> features of rules of recognition, </w:t>
      </w:r>
      <w:r w:rsidR="00E60AB1" w:rsidRPr="00447C64">
        <w:rPr>
          <w:rFonts w:ascii="Times New Roman" w:hAnsi="Times New Roman"/>
        </w:rPr>
        <w:t>have it in a</w:t>
      </w:r>
      <w:r w:rsidR="004E292A">
        <w:rPr>
          <w:rFonts w:ascii="Times New Roman" w:hAnsi="Times New Roman"/>
        </w:rPr>
        <w:t xml:space="preserve"> ‘</w:t>
      </w:r>
      <w:r w:rsidR="00444053" w:rsidRPr="00447C64">
        <w:rPr>
          <w:rFonts w:ascii="Times New Roman" w:hAnsi="Times New Roman"/>
        </w:rPr>
        <w:t xml:space="preserve">form </w:t>
      </w:r>
      <w:r w:rsidR="00E60AB1" w:rsidRPr="00447C64">
        <w:rPr>
          <w:rFonts w:ascii="Times New Roman" w:hAnsi="Times New Roman"/>
        </w:rPr>
        <w:t>[that]</w:t>
      </w:r>
      <w:r w:rsidR="00444053" w:rsidRPr="00447C64">
        <w:rPr>
          <w:rFonts w:ascii="Times New Roman" w:hAnsi="Times New Roman"/>
        </w:rPr>
        <w:t>… will be very imperfect.</w:t>
      </w:r>
      <w:r w:rsidR="004E292A">
        <w:rPr>
          <w:rFonts w:ascii="Times New Roman" w:hAnsi="Times New Roman"/>
        </w:rPr>
        <w:t>’</w:t>
      </w:r>
      <w:r w:rsidR="00444053" w:rsidRPr="00447C64">
        <w:rPr>
          <w:rStyle w:val="FootnoteReference"/>
          <w:rFonts w:ascii="Times New Roman" w:hAnsi="Times New Roman"/>
        </w:rPr>
        <w:footnoteReference w:id="7"/>
      </w:r>
      <w:r w:rsidR="00E60AB1" w:rsidRPr="00447C64">
        <w:rPr>
          <w:rFonts w:ascii="Times New Roman" w:hAnsi="Times New Roman"/>
        </w:rPr>
        <w:t xml:space="preserve"> I</w:t>
      </w:r>
      <w:r w:rsidR="00827DD4" w:rsidRPr="00447C64">
        <w:rPr>
          <w:rFonts w:ascii="Times New Roman" w:hAnsi="Times New Roman"/>
        </w:rPr>
        <w:t xml:space="preserve">f </w:t>
      </w:r>
      <w:r w:rsidR="00E60AB1" w:rsidRPr="00447C64">
        <w:rPr>
          <w:rFonts w:ascii="Times New Roman" w:hAnsi="Times New Roman"/>
        </w:rPr>
        <w:t xml:space="preserve">civil procedure </w:t>
      </w:r>
      <w:r w:rsidR="00827DD4" w:rsidRPr="00447C64">
        <w:rPr>
          <w:rFonts w:ascii="Times New Roman" w:hAnsi="Times New Roman"/>
        </w:rPr>
        <w:t xml:space="preserve">has no higher function than merely to facilitate the application of all the other, more important rules, then it </w:t>
      </w:r>
      <w:r w:rsidR="00E37714">
        <w:rPr>
          <w:rFonts w:ascii="Times New Roman" w:hAnsi="Times New Roman"/>
        </w:rPr>
        <w:t>can be easily</w:t>
      </w:r>
      <w:r w:rsidR="00E37714" w:rsidRPr="00447C64">
        <w:rPr>
          <w:rFonts w:ascii="Times New Roman" w:hAnsi="Times New Roman"/>
        </w:rPr>
        <w:t xml:space="preserve"> </w:t>
      </w:r>
      <w:r w:rsidR="00E37714">
        <w:rPr>
          <w:rFonts w:ascii="Times New Roman" w:hAnsi="Times New Roman"/>
        </w:rPr>
        <w:t xml:space="preserve">considered </w:t>
      </w:r>
      <w:r w:rsidR="002C5A08">
        <w:rPr>
          <w:rFonts w:ascii="Times New Roman" w:hAnsi="Times New Roman"/>
        </w:rPr>
        <w:t>comparativ</w:t>
      </w:r>
      <w:r w:rsidR="00D37947">
        <w:rPr>
          <w:rFonts w:ascii="Times New Roman" w:hAnsi="Times New Roman"/>
        </w:rPr>
        <w:t>e</w:t>
      </w:r>
      <w:r w:rsidR="002C5A08">
        <w:rPr>
          <w:rFonts w:ascii="Times New Roman" w:hAnsi="Times New Roman"/>
        </w:rPr>
        <w:t>ly</w:t>
      </w:r>
      <w:r w:rsidR="00D37947">
        <w:rPr>
          <w:rFonts w:ascii="Times New Roman" w:hAnsi="Times New Roman"/>
        </w:rPr>
        <w:t xml:space="preserve"> </w:t>
      </w:r>
      <w:r w:rsidR="00827DD4" w:rsidRPr="00447C64">
        <w:rPr>
          <w:rFonts w:ascii="Times New Roman" w:hAnsi="Times New Roman"/>
        </w:rPr>
        <w:t xml:space="preserve">unimportant. It is to be treated as pure mechanism. </w:t>
      </w:r>
    </w:p>
    <w:p w:rsidR="00E60AB1" w:rsidRPr="00447C64" w:rsidRDefault="00CB4B6C" w:rsidP="00E60AB1">
      <w:pPr>
        <w:spacing w:line="360" w:lineRule="auto"/>
        <w:ind w:firstLine="397"/>
        <w:jc w:val="both"/>
        <w:rPr>
          <w:rFonts w:ascii="Times New Roman" w:hAnsi="Times New Roman"/>
        </w:rPr>
      </w:pPr>
      <w:r>
        <w:rPr>
          <w:rFonts w:ascii="Times New Roman" w:hAnsi="Times New Roman"/>
        </w:rPr>
        <w:t>I</w:t>
      </w:r>
      <w:r w:rsidR="00827DD4" w:rsidRPr="00447C64">
        <w:rPr>
          <w:rFonts w:ascii="Times New Roman" w:hAnsi="Times New Roman"/>
        </w:rPr>
        <w:t xml:space="preserve">f the above is true, there is no political or ideological choice to be made in, and no weight need be given to, individual, specific rules of procedure; if the administration of justice is mere machinery, it can be left to its operators, the judiciary, to devise, enact and apply the best procedures for its delivery. It </w:t>
      </w:r>
      <w:r>
        <w:rPr>
          <w:rFonts w:ascii="Times New Roman" w:hAnsi="Times New Roman"/>
        </w:rPr>
        <w:t xml:space="preserve">is then </w:t>
      </w:r>
      <w:r w:rsidR="00827DD4" w:rsidRPr="00447C64">
        <w:rPr>
          <w:rFonts w:ascii="Times New Roman" w:hAnsi="Times New Roman"/>
        </w:rPr>
        <w:t>merely an issue of internal organi</w:t>
      </w:r>
      <w:r>
        <w:rPr>
          <w:rFonts w:ascii="Times New Roman" w:hAnsi="Times New Roman"/>
        </w:rPr>
        <w:t>s</w:t>
      </w:r>
      <w:r w:rsidR="00827DD4" w:rsidRPr="00447C64">
        <w:rPr>
          <w:rFonts w:ascii="Times New Roman" w:hAnsi="Times New Roman"/>
        </w:rPr>
        <w:t>ation whether, if at all, a judge or a court can derogate, interpret purposively, or integrate the rules thus created. Where a rule is missing or an eventuality has not been foreseen, the inherent jurisdiction of the court to regulate its own business can easily fill the gap.</w:t>
      </w:r>
      <w:r w:rsidR="00E60AB1" w:rsidRPr="00447C64">
        <w:rPr>
          <w:rFonts w:ascii="Times New Roman" w:hAnsi="Times New Roman"/>
        </w:rPr>
        <w:t xml:space="preserve"> However, the identification of civil procedure as merely a subsidiary (at best) part of the regulation and ri</w:t>
      </w:r>
      <w:r w:rsidR="00E37714">
        <w:rPr>
          <w:rFonts w:ascii="Times New Roman" w:hAnsi="Times New Roman"/>
        </w:rPr>
        <w:t>ghts-attribution powers of the s</w:t>
      </w:r>
      <w:r w:rsidR="00E60AB1" w:rsidRPr="00447C64">
        <w:rPr>
          <w:rFonts w:ascii="Times New Roman" w:hAnsi="Times New Roman"/>
        </w:rPr>
        <w:t>t</w:t>
      </w:r>
      <w:r w:rsidR="009F7143">
        <w:rPr>
          <w:rFonts w:ascii="Times New Roman" w:hAnsi="Times New Roman"/>
        </w:rPr>
        <w:t>ate, delegated to the court as ‘</w:t>
      </w:r>
      <w:r w:rsidR="00E60AB1" w:rsidRPr="00447C64">
        <w:rPr>
          <w:rFonts w:ascii="Times New Roman" w:hAnsi="Times New Roman"/>
        </w:rPr>
        <w:t>or</w:t>
      </w:r>
      <w:r w:rsidR="009F7143">
        <w:rPr>
          <w:rFonts w:ascii="Times New Roman" w:hAnsi="Times New Roman"/>
        </w:rPr>
        <w:t>ganisation of their own process’</w:t>
      </w:r>
      <w:r w:rsidR="00E60AB1" w:rsidRPr="00447C64">
        <w:rPr>
          <w:rFonts w:ascii="Times New Roman" w:hAnsi="Times New Roman"/>
        </w:rPr>
        <w:t>, is unsatisfactory</w:t>
      </w:r>
      <w:r>
        <w:rPr>
          <w:rFonts w:ascii="Times New Roman" w:hAnsi="Times New Roman"/>
        </w:rPr>
        <w:t xml:space="preserve"> in the present day</w:t>
      </w:r>
      <w:r w:rsidR="00E60AB1" w:rsidRPr="00447C64">
        <w:rPr>
          <w:rFonts w:ascii="Times New Roman" w:hAnsi="Times New Roman"/>
        </w:rPr>
        <w:t xml:space="preserve">. </w:t>
      </w:r>
    </w:p>
    <w:p w:rsidR="00E60AB1" w:rsidRPr="00447C64" w:rsidRDefault="00E60AB1" w:rsidP="00E60AB1">
      <w:pPr>
        <w:spacing w:line="360" w:lineRule="auto"/>
        <w:ind w:firstLine="397"/>
        <w:jc w:val="both"/>
        <w:rPr>
          <w:rFonts w:ascii="Times New Roman" w:hAnsi="Times New Roman"/>
        </w:rPr>
      </w:pPr>
      <w:r w:rsidRPr="00447C64">
        <w:rPr>
          <w:rFonts w:ascii="Times New Roman" w:hAnsi="Times New Roman"/>
        </w:rPr>
        <w:t xml:space="preserve"> On the one hand, Bentham</w:t>
      </w:r>
      <w:r w:rsidR="00D37947">
        <w:rPr>
          <w:rFonts w:ascii="Times New Roman" w:hAnsi="Times New Roman"/>
        </w:rPr>
        <w:t xml:space="preserve">’s critique is itself part of an extremely critical approach to </w:t>
      </w:r>
      <w:r w:rsidRPr="00447C64">
        <w:rPr>
          <w:rFonts w:ascii="Times New Roman" w:hAnsi="Times New Roman"/>
        </w:rPr>
        <w:t>judge-made law</w:t>
      </w:r>
      <w:r w:rsidR="00CA32A9" w:rsidRPr="00447C64">
        <w:rPr>
          <w:rFonts w:ascii="Times New Roman" w:hAnsi="Times New Roman"/>
        </w:rPr>
        <w:t>.</w:t>
      </w:r>
      <w:r w:rsidRPr="00447C64">
        <w:rPr>
          <w:rFonts w:ascii="Times New Roman" w:hAnsi="Times New Roman"/>
        </w:rPr>
        <w:t xml:space="preserve"> </w:t>
      </w:r>
      <w:r w:rsidR="00CA32A9" w:rsidRPr="00447C64">
        <w:rPr>
          <w:rFonts w:ascii="Times New Roman" w:hAnsi="Times New Roman"/>
        </w:rPr>
        <w:t>T</w:t>
      </w:r>
      <w:r w:rsidRPr="00447C64">
        <w:rPr>
          <w:rFonts w:ascii="Times New Roman" w:hAnsi="Times New Roman"/>
        </w:rPr>
        <w:t>hus, although he was clear that in procedural matters the court should have almost unfettered discretion, that was wit</w:t>
      </w:r>
      <w:r w:rsidR="0031749A" w:rsidRPr="00447C64">
        <w:rPr>
          <w:rFonts w:ascii="Times New Roman" w:hAnsi="Times New Roman"/>
        </w:rPr>
        <w:t xml:space="preserve">hin a proposed system of </w:t>
      </w:r>
      <w:r w:rsidRPr="00447C64">
        <w:rPr>
          <w:rFonts w:ascii="Times New Roman" w:hAnsi="Times New Roman"/>
        </w:rPr>
        <w:t xml:space="preserve">subjection to </w:t>
      </w:r>
      <w:r w:rsidR="0031749A" w:rsidRPr="00447C64">
        <w:rPr>
          <w:rFonts w:ascii="Times New Roman" w:hAnsi="Times New Roman"/>
        </w:rPr>
        <w:t>the will of Parliament in all other matters</w:t>
      </w:r>
      <w:r w:rsidRPr="00447C64">
        <w:rPr>
          <w:rFonts w:ascii="Times New Roman" w:hAnsi="Times New Roman"/>
        </w:rPr>
        <w:t>. If formalism consists in thinking of the rules as binding in their ability to constrain the creativity of their interpreter, Bentham’s dismissal of technicalities in procedure was sub</w:t>
      </w:r>
      <w:r w:rsidR="00CA32A9" w:rsidRPr="00447C64">
        <w:rPr>
          <w:rFonts w:ascii="Times New Roman" w:hAnsi="Times New Roman"/>
        </w:rPr>
        <w:t>ject</w:t>
      </w:r>
      <w:r w:rsidRPr="00447C64">
        <w:rPr>
          <w:rFonts w:ascii="Times New Roman" w:hAnsi="Times New Roman"/>
        </w:rPr>
        <w:t xml:space="preserve"> to the recognition of anoth</w:t>
      </w:r>
      <w:r w:rsidR="00CB4B6C">
        <w:rPr>
          <w:rFonts w:ascii="Times New Roman" w:hAnsi="Times New Roman"/>
        </w:rPr>
        <w:t>er type of constraint at a higher</w:t>
      </w:r>
      <w:r w:rsidRPr="00447C64">
        <w:rPr>
          <w:rFonts w:ascii="Times New Roman" w:hAnsi="Times New Roman"/>
        </w:rPr>
        <w:t xml:space="preserve"> legal level.</w:t>
      </w:r>
    </w:p>
    <w:p w:rsidR="00447C64" w:rsidRDefault="00E60AB1" w:rsidP="00E60AB1">
      <w:pPr>
        <w:spacing w:line="360" w:lineRule="auto"/>
        <w:ind w:firstLine="397"/>
        <w:jc w:val="both"/>
        <w:rPr>
          <w:rFonts w:ascii="Times New Roman" w:hAnsi="Times New Roman"/>
        </w:rPr>
      </w:pPr>
      <w:r w:rsidRPr="00447C64">
        <w:rPr>
          <w:rFonts w:ascii="Times New Roman" w:hAnsi="Times New Roman"/>
        </w:rPr>
        <w:t xml:space="preserve">On the other hand, </w:t>
      </w:r>
      <w:r w:rsidR="00827DD4" w:rsidRPr="00447C64">
        <w:rPr>
          <w:rFonts w:ascii="Times New Roman" w:hAnsi="Times New Roman"/>
        </w:rPr>
        <w:t>in the real world one is faced with the undoubted fact that, despite any attempts to minim</w:t>
      </w:r>
      <w:r w:rsidR="00823186" w:rsidRPr="00447C64">
        <w:rPr>
          <w:rFonts w:ascii="Times New Roman" w:hAnsi="Times New Roman"/>
        </w:rPr>
        <w:t>i</w:t>
      </w:r>
      <w:r w:rsidR="0031749A" w:rsidRPr="00447C64">
        <w:rPr>
          <w:rFonts w:ascii="Times New Roman" w:hAnsi="Times New Roman"/>
        </w:rPr>
        <w:t>s</w:t>
      </w:r>
      <w:r w:rsidR="00823186" w:rsidRPr="00447C64">
        <w:rPr>
          <w:rFonts w:ascii="Times New Roman" w:hAnsi="Times New Roman"/>
        </w:rPr>
        <w:t>e</w:t>
      </w:r>
      <w:r w:rsidR="00827DD4" w:rsidRPr="00447C64">
        <w:rPr>
          <w:rFonts w:ascii="Times New Roman" w:hAnsi="Times New Roman"/>
        </w:rPr>
        <w:t xml:space="preserve"> the theoretical importance of procedure and give priority to the substantive law to be applied, rules of procedure carry an inordinate amount of weight, both practical and legal. The violation of mere procedural rules  can effectively </w:t>
      </w:r>
      <w:r w:rsidR="00CB4B6C">
        <w:rPr>
          <w:rFonts w:ascii="Times New Roman" w:hAnsi="Times New Roman"/>
        </w:rPr>
        <w:t xml:space="preserve">put </w:t>
      </w:r>
      <w:r w:rsidR="00827DD4" w:rsidRPr="00447C64">
        <w:rPr>
          <w:rFonts w:ascii="Times New Roman" w:hAnsi="Times New Roman"/>
        </w:rPr>
        <w:t xml:space="preserve">substantive rights out of </w:t>
      </w:r>
      <w:r w:rsidR="00CB4B6C">
        <w:rPr>
          <w:rFonts w:ascii="Times New Roman" w:hAnsi="Times New Roman"/>
        </w:rPr>
        <w:t xml:space="preserve">the </w:t>
      </w:r>
      <w:r w:rsidR="00827DD4" w:rsidRPr="00447C64">
        <w:rPr>
          <w:rFonts w:ascii="Times New Roman" w:hAnsi="Times New Roman"/>
        </w:rPr>
        <w:t xml:space="preserve">reach </w:t>
      </w:r>
      <w:r w:rsidR="00CB4B6C">
        <w:rPr>
          <w:rFonts w:ascii="Times New Roman" w:hAnsi="Times New Roman"/>
        </w:rPr>
        <w:t>of</w:t>
      </w:r>
      <w:r w:rsidR="00CB4B6C" w:rsidRPr="00447C64">
        <w:rPr>
          <w:rFonts w:ascii="Times New Roman" w:hAnsi="Times New Roman"/>
        </w:rPr>
        <w:t xml:space="preserve"> </w:t>
      </w:r>
      <w:r w:rsidR="00CB4B6C">
        <w:rPr>
          <w:rFonts w:ascii="Times New Roman" w:hAnsi="Times New Roman"/>
        </w:rPr>
        <w:t xml:space="preserve">one or the other </w:t>
      </w:r>
      <w:r w:rsidR="00827DD4" w:rsidRPr="00447C64">
        <w:rPr>
          <w:rFonts w:ascii="Times New Roman" w:hAnsi="Times New Roman"/>
        </w:rPr>
        <w:t>litigant.</w:t>
      </w:r>
      <w:r w:rsidR="00D37947">
        <w:rPr>
          <w:rFonts w:ascii="Times New Roman" w:hAnsi="Times New Roman"/>
        </w:rPr>
        <w:t xml:space="preserve"> So can their strict application.</w:t>
      </w:r>
      <w:r w:rsidR="00827DD4" w:rsidRPr="00447C64">
        <w:rPr>
          <w:rFonts w:ascii="Times New Roman" w:hAnsi="Times New Roman"/>
        </w:rPr>
        <w:t xml:space="preserve"> </w:t>
      </w:r>
      <w:r w:rsidRPr="009F7143">
        <w:rPr>
          <w:rFonts w:ascii="Times New Roman" w:hAnsi="Times New Roman" w:cs="Calibri"/>
          <w:szCs w:val="30"/>
          <w:lang w:val="en-US"/>
        </w:rPr>
        <w:t xml:space="preserve">Procedure manifestly influences results, as it cannot help but assist in making winners and losers, and thus has an unavoidable </w:t>
      </w:r>
      <w:r w:rsidR="00CB4B6C" w:rsidRPr="009F7143">
        <w:rPr>
          <w:rFonts w:ascii="Times New Roman" w:hAnsi="Times New Roman" w:cs="Calibri"/>
          <w:szCs w:val="30"/>
          <w:lang w:val="en-US"/>
        </w:rPr>
        <w:t>‘</w:t>
      </w:r>
      <w:r w:rsidRPr="009F7143">
        <w:rPr>
          <w:rFonts w:ascii="Times New Roman" w:hAnsi="Times New Roman" w:cs="Calibri"/>
          <w:szCs w:val="30"/>
          <w:lang w:val="en-US"/>
        </w:rPr>
        <w:t>political</w:t>
      </w:r>
      <w:r w:rsidR="00CB4B6C" w:rsidRPr="009F7143">
        <w:rPr>
          <w:rFonts w:ascii="Times New Roman" w:hAnsi="Times New Roman" w:cs="Calibri"/>
          <w:szCs w:val="30"/>
          <w:lang w:val="en-US"/>
        </w:rPr>
        <w:t>’</w:t>
      </w:r>
      <w:r w:rsidRPr="009F7143">
        <w:rPr>
          <w:rFonts w:ascii="Times New Roman" w:hAnsi="Times New Roman" w:cs="Calibri"/>
          <w:szCs w:val="30"/>
          <w:lang w:val="en-US"/>
        </w:rPr>
        <w:t xml:space="preserve"> and power dimension</w:t>
      </w:r>
      <w:r w:rsidR="00CB4B6C" w:rsidRPr="009F7143">
        <w:rPr>
          <w:rFonts w:ascii="Times New Roman" w:hAnsi="Times New Roman" w:cs="Calibri"/>
          <w:szCs w:val="30"/>
          <w:lang w:val="en-US"/>
        </w:rPr>
        <w:t>, at least</w:t>
      </w:r>
      <w:r w:rsidRPr="009F7143">
        <w:rPr>
          <w:rFonts w:ascii="Times New Roman" w:hAnsi="Times New Roman" w:cs="Calibri"/>
          <w:szCs w:val="30"/>
          <w:lang w:val="en-US"/>
        </w:rPr>
        <w:t xml:space="preserve"> with respect to </w:t>
      </w:r>
      <w:r w:rsidR="009F7143">
        <w:rPr>
          <w:rFonts w:ascii="Times New Roman" w:hAnsi="Times New Roman" w:cs="Calibri"/>
          <w:szCs w:val="30"/>
          <w:lang w:val="en-US"/>
        </w:rPr>
        <w:t>the</w:t>
      </w:r>
      <w:r w:rsidRPr="009F7143">
        <w:rPr>
          <w:rFonts w:ascii="Times New Roman" w:hAnsi="Times New Roman" w:cs="Calibri"/>
          <w:szCs w:val="30"/>
          <w:lang w:val="en-US"/>
        </w:rPr>
        <w:t xml:space="preserve"> rules that make a difference</w:t>
      </w:r>
      <w:r w:rsidR="00CB4B6C" w:rsidRPr="009F7143">
        <w:rPr>
          <w:rFonts w:ascii="Times New Roman" w:hAnsi="Times New Roman" w:cs="Calibri"/>
          <w:szCs w:val="30"/>
          <w:lang w:val="en-US"/>
        </w:rPr>
        <w:t xml:space="preserve"> to the path that litigation takes</w:t>
      </w:r>
      <w:r w:rsidRPr="009F7143">
        <w:rPr>
          <w:rFonts w:ascii="Times New Roman" w:hAnsi="Times New Roman" w:cs="Calibri"/>
          <w:szCs w:val="30"/>
          <w:lang w:val="en-US"/>
        </w:rPr>
        <w:t xml:space="preserve">. </w:t>
      </w:r>
      <w:r w:rsidRPr="00447C64">
        <w:rPr>
          <w:rFonts w:ascii="Times New Roman" w:hAnsi="Times New Roman"/>
        </w:rPr>
        <w:t xml:space="preserve">To </w:t>
      </w:r>
      <w:r w:rsidR="00CB4B6C">
        <w:rPr>
          <w:rFonts w:ascii="Times New Roman" w:hAnsi="Times New Roman"/>
        </w:rPr>
        <w:t>‘</w:t>
      </w:r>
      <w:r w:rsidRPr="00447C64">
        <w:rPr>
          <w:rFonts w:ascii="Times New Roman" w:hAnsi="Times New Roman"/>
        </w:rPr>
        <w:t>formalise</w:t>
      </w:r>
      <w:r w:rsidR="00CB4B6C">
        <w:rPr>
          <w:rFonts w:ascii="Times New Roman" w:hAnsi="Times New Roman"/>
        </w:rPr>
        <w:t>’</w:t>
      </w:r>
      <w:r w:rsidRPr="00447C64">
        <w:rPr>
          <w:rFonts w:ascii="Times New Roman" w:hAnsi="Times New Roman"/>
        </w:rPr>
        <w:t xml:space="preserve"> procedure therefore is not a worthless enterprise: to formalise in this sense means to </w:t>
      </w:r>
      <w:r w:rsidR="004E15EC">
        <w:rPr>
          <w:rFonts w:ascii="Times New Roman" w:hAnsi="Times New Roman"/>
        </w:rPr>
        <w:t>put such rules on a par with substantive rules of law. It means that</w:t>
      </w:r>
      <w:r w:rsidRPr="00447C64">
        <w:rPr>
          <w:rFonts w:ascii="Times New Roman" w:hAnsi="Times New Roman"/>
        </w:rPr>
        <w:t xml:space="preserve"> </w:t>
      </w:r>
      <w:r w:rsidR="004E15EC">
        <w:rPr>
          <w:rFonts w:ascii="Times New Roman" w:hAnsi="Times New Roman"/>
        </w:rPr>
        <w:t xml:space="preserve">procedure, </w:t>
      </w:r>
      <w:r w:rsidRPr="00447C64">
        <w:rPr>
          <w:rFonts w:ascii="Times New Roman" w:hAnsi="Times New Roman"/>
        </w:rPr>
        <w:t>in combination with other rules</w:t>
      </w:r>
      <w:r w:rsidR="004E15EC">
        <w:rPr>
          <w:rFonts w:ascii="Times New Roman" w:hAnsi="Times New Roman"/>
        </w:rPr>
        <w:t xml:space="preserve">, </w:t>
      </w:r>
      <w:r w:rsidRPr="00447C64">
        <w:rPr>
          <w:rFonts w:ascii="Times New Roman" w:hAnsi="Times New Roman"/>
        </w:rPr>
        <w:t>determine</w:t>
      </w:r>
      <w:r w:rsidR="004E15EC">
        <w:rPr>
          <w:rFonts w:ascii="Times New Roman" w:hAnsi="Times New Roman"/>
        </w:rPr>
        <w:t>s</w:t>
      </w:r>
      <w:r w:rsidRPr="00447C64">
        <w:rPr>
          <w:rFonts w:ascii="Times New Roman" w:hAnsi="Times New Roman"/>
        </w:rPr>
        <w:t xml:space="preserve"> the extent and the enforcement of rights and obligations, </w:t>
      </w:r>
      <w:r w:rsidR="004E15EC">
        <w:rPr>
          <w:rFonts w:ascii="Times New Roman" w:hAnsi="Times New Roman"/>
        </w:rPr>
        <w:t xml:space="preserve">as opposed to </w:t>
      </w:r>
      <w:r w:rsidRPr="00447C64">
        <w:rPr>
          <w:rFonts w:ascii="Times New Roman" w:hAnsi="Times New Roman"/>
        </w:rPr>
        <w:t>accept</w:t>
      </w:r>
      <w:r w:rsidR="004E15EC">
        <w:rPr>
          <w:rFonts w:ascii="Times New Roman" w:hAnsi="Times New Roman"/>
        </w:rPr>
        <w:t>ing</w:t>
      </w:r>
      <w:r w:rsidRPr="00447C64">
        <w:rPr>
          <w:rFonts w:ascii="Times New Roman" w:hAnsi="Times New Roman"/>
        </w:rPr>
        <w:t xml:space="preserve"> that </w:t>
      </w:r>
      <w:r w:rsidR="004E15EC">
        <w:rPr>
          <w:rFonts w:ascii="Times New Roman" w:hAnsi="Times New Roman"/>
        </w:rPr>
        <w:t>these rules</w:t>
      </w:r>
      <w:r w:rsidRPr="00447C64">
        <w:rPr>
          <w:rFonts w:ascii="Times New Roman" w:hAnsi="Times New Roman"/>
        </w:rPr>
        <w:t xml:space="preserve"> are merely guidelines for the (good) organisation of a particular public activity, </w:t>
      </w:r>
      <w:r w:rsidR="00CB4B6C">
        <w:rPr>
          <w:rFonts w:ascii="Times New Roman" w:hAnsi="Times New Roman"/>
        </w:rPr>
        <w:t xml:space="preserve">and as such, </w:t>
      </w:r>
      <w:r w:rsidRPr="00447C64">
        <w:rPr>
          <w:rFonts w:ascii="Times New Roman" w:hAnsi="Times New Roman"/>
        </w:rPr>
        <w:t xml:space="preserve">mere </w:t>
      </w:r>
      <w:r w:rsidR="004E15EC">
        <w:rPr>
          <w:rFonts w:ascii="Times New Roman" w:hAnsi="Times New Roman"/>
        </w:rPr>
        <w:t>bureau</w:t>
      </w:r>
      <w:r w:rsidRPr="00447C64">
        <w:rPr>
          <w:rFonts w:ascii="Times New Roman" w:hAnsi="Times New Roman"/>
        </w:rPr>
        <w:t xml:space="preserve">cracy. </w:t>
      </w:r>
      <w:r w:rsidR="00CB4B6C">
        <w:rPr>
          <w:rFonts w:ascii="Times New Roman" w:hAnsi="Times New Roman"/>
        </w:rPr>
        <w:t xml:space="preserve">This </w:t>
      </w:r>
      <w:r w:rsidR="00D37947">
        <w:rPr>
          <w:rFonts w:ascii="Times New Roman" w:hAnsi="Times New Roman"/>
        </w:rPr>
        <w:t>reveals two things</w:t>
      </w:r>
      <w:r w:rsidR="00CB4B6C">
        <w:rPr>
          <w:rFonts w:ascii="Times New Roman" w:hAnsi="Times New Roman"/>
        </w:rPr>
        <w:t>:</w:t>
      </w:r>
      <w:r w:rsidRPr="00447C64">
        <w:rPr>
          <w:rFonts w:ascii="Times New Roman" w:hAnsi="Times New Roman"/>
        </w:rPr>
        <w:t xml:space="preserve"> </w:t>
      </w:r>
      <w:r w:rsidR="00CB4B6C">
        <w:rPr>
          <w:rFonts w:ascii="Times New Roman" w:hAnsi="Times New Roman"/>
        </w:rPr>
        <w:t xml:space="preserve">firstly, that </w:t>
      </w:r>
      <w:r w:rsidR="00CA32A9" w:rsidRPr="00447C64">
        <w:rPr>
          <w:rFonts w:ascii="Times New Roman" w:hAnsi="Times New Roman"/>
        </w:rPr>
        <w:t xml:space="preserve">the rules themselves </w:t>
      </w:r>
      <w:r w:rsidR="00E37714">
        <w:rPr>
          <w:rFonts w:ascii="Times New Roman" w:hAnsi="Times New Roman"/>
        </w:rPr>
        <w:t xml:space="preserve">may well </w:t>
      </w:r>
      <w:r w:rsidR="00CB4B6C">
        <w:rPr>
          <w:rFonts w:ascii="Times New Roman" w:hAnsi="Times New Roman"/>
        </w:rPr>
        <w:t>contain their own</w:t>
      </w:r>
      <w:r w:rsidR="00823186" w:rsidRPr="00447C64">
        <w:rPr>
          <w:rFonts w:ascii="Times New Roman" w:hAnsi="Times New Roman"/>
        </w:rPr>
        <w:t xml:space="preserve"> </w:t>
      </w:r>
      <w:r w:rsidR="00E37714">
        <w:rPr>
          <w:rFonts w:ascii="Times New Roman" w:hAnsi="Times New Roman"/>
        </w:rPr>
        <w:t>’</w:t>
      </w:r>
      <w:r w:rsidR="00827DD4" w:rsidRPr="00447C64">
        <w:rPr>
          <w:rFonts w:ascii="Times New Roman" w:hAnsi="Times New Roman"/>
        </w:rPr>
        <w:t>process values</w:t>
      </w:r>
      <w:r w:rsidR="00CB4B6C">
        <w:rPr>
          <w:rFonts w:ascii="Times New Roman" w:hAnsi="Times New Roman"/>
        </w:rPr>
        <w:t>‘</w:t>
      </w:r>
      <w:r w:rsidR="00CB4B6C" w:rsidRPr="00447C64">
        <w:rPr>
          <w:rStyle w:val="FootnoteReference"/>
          <w:rFonts w:ascii="Times New Roman" w:hAnsi="Times New Roman"/>
        </w:rPr>
        <w:footnoteReference w:id="8"/>
      </w:r>
      <w:r w:rsidR="00CB4B6C" w:rsidRPr="00447C64">
        <w:rPr>
          <w:rFonts w:ascii="Times New Roman" w:hAnsi="Times New Roman"/>
        </w:rPr>
        <w:t xml:space="preserve"> </w:t>
      </w:r>
      <w:r w:rsidR="00827DD4" w:rsidRPr="00447C64">
        <w:rPr>
          <w:rFonts w:ascii="Times New Roman" w:hAnsi="Times New Roman"/>
        </w:rPr>
        <w:t xml:space="preserve">(implicit or explicit) that </w:t>
      </w:r>
      <w:r w:rsidR="00E37714">
        <w:rPr>
          <w:rFonts w:ascii="Times New Roman" w:hAnsi="Times New Roman"/>
        </w:rPr>
        <w:t>may belie their neutrality and political unimportance</w:t>
      </w:r>
      <w:r w:rsidR="00827DD4" w:rsidRPr="00447C64">
        <w:rPr>
          <w:rFonts w:ascii="Times New Roman" w:hAnsi="Times New Roman"/>
        </w:rPr>
        <w:t xml:space="preserve">. </w:t>
      </w:r>
      <w:r w:rsidR="00E37714">
        <w:rPr>
          <w:rFonts w:ascii="Times New Roman" w:hAnsi="Times New Roman"/>
        </w:rPr>
        <w:t xml:space="preserve">Therefore, if there are values buried in the rules, there is no reason to believe that the expression of such values should not derive from the usual democratic processes, and as such bind an individual judge to the same extent as all legislatively expressed public values. </w:t>
      </w:r>
      <w:r w:rsidR="00CB4B6C">
        <w:rPr>
          <w:rFonts w:ascii="Times New Roman" w:hAnsi="Times New Roman"/>
        </w:rPr>
        <w:t xml:space="preserve">This means that it is legitimate to re-introduce a </w:t>
      </w:r>
      <w:r w:rsidR="0031749A" w:rsidRPr="00447C64">
        <w:rPr>
          <w:rFonts w:ascii="Times New Roman" w:hAnsi="Times New Roman"/>
        </w:rPr>
        <w:t>formalis</w:t>
      </w:r>
      <w:r w:rsidR="00CB4B6C">
        <w:rPr>
          <w:rFonts w:ascii="Times New Roman" w:hAnsi="Times New Roman"/>
        </w:rPr>
        <w:t>tic approach to</w:t>
      </w:r>
      <w:r w:rsidR="0031749A" w:rsidRPr="00447C64">
        <w:rPr>
          <w:rFonts w:ascii="Times New Roman" w:hAnsi="Times New Roman"/>
        </w:rPr>
        <w:t xml:space="preserve"> civil procedure. </w:t>
      </w:r>
    </w:p>
    <w:p w:rsidR="00E37714" w:rsidRDefault="00447C64" w:rsidP="00E60AB1">
      <w:pPr>
        <w:spacing w:line="360" w:lineRule="auto"/>
        <w:ind w:firstLine="397"/>
        <w:jc w:val="both"/>
        <w:rPr>
          <w:rFonts w:ascii="Times New Roman" w:hAnsi="Times New Roman"/>
          <w:lang w:val="en-US"/>
        </w:rPr>
      </w:pPr>
      <w:r>
        <w:rPr>
          <w:rFonts w:ascii="Times New Roman" w:hAnsi="Times New Roman"/>
        </w:rPr>
        <w:t>T</w:t>
      </w:r>
      <w:r w:rsidR="00911B4E">
        <w:rPr>
          <w:rFonts w:ascii="Times New Roman" w:hAnsi="Times New Roman"/>
        </w:rPr>
        <w:t>h</w:t>
      </w:r>
      <w:r w:rsidR="00D37947">
        <w:rPr>
          <w:rFonts w:ascii="Times New Roman" w:hAnsi="Times New Roman"/>
        </w:rPr>
        <w:t xml:space="preserve">is article centres on the </w:t>
      </w:r>
      <w:r>
        <w:rPr>
          <w:rFonts w:ascii="Times New Roman" w:hAnsi="Times New Roman"/>
        </w:rPr>
        <w:t>rule of civil procedure</w:t>
      </w:r>
      <w:r w:rsidR="00CA32A9" w:rsidRPr="00447C64">
        <w:rPr>
          <w:rFonts w:ascii="Times New Roman" w:hAnsi="Times New Roman"/>
        </w:rPr>
        <w:t xml:space="preserve"> that requires compliance with th</w:t>
      </w:r>
      <w:r>
        <w:rPr>
          <w:rFonts w:ascii="Times New Roman" w:hAnsi="Times New Roman"/>
        </w:rPr>
        <w:t>e other rules as a condition to reach the stage where a substantive judgment can be delivered</w:t>
      </w:r>
      <w:r w:rsidR="00CA32A9" w:rsidRPr="00447C64">
        <w:rPr>
          <w:rFonts w:ascii="Times New Roman" w:hAnsi="Times New Roman"/>
        </w:rPr>
        <w:t xml:space="preserve">. </w:t>
      </w:r>
      <w:r w:rsidR="00D37947" w:rsidRPr="003D40E1">
        <w:rPr>
          <w:rFonts w:ascii="Times New Roman" w:hAnsi="Times New Roman"/>
        </w:rPr>
        <w:t xml:space="preserve">Problems </w:t>
      </w:r>
      <w:r w:rsidR="00D37947">
        <w:rPr>
          <w:rFonts w:ascii="Times New Roman" w:hAnsi="Times New Roman"/>
        </w:rPr>
        <w:t xml:space="preserve">mostly </w:t>
      </w:r>
      <w:r w:rsidR="00D37947" w:rsidRPr="00447C64">
        <w:rPr>
          <w:rFonts w:ascii="Times New Roman" w:hAnsi="Times New Roman"/>
        </w:rPr>
        <w:t>arise</w:t>
      </w:r>
      <w:r w:rsidR="00E37714">
        <w:rPr>
          <w:rStyle w:val="FootnoteReference"/>
          <w:rFonts w:ascii="Times New Roman" w:hAnsi="Times New Roman"/>
        </w:rPr>
        <w:footnoteReference w:id="9"/>
      </w:r>
      <w:r w:rsidR="00D37947" w:rsidRPr="00447C64">
        <w:rPr>
          <w:rFonts w:ascii="Times New Roman" w:hAnsi="Times New Roman"/>
        </w:rPr>
        <w:t xml:space="preserve"> when preventing, rather than facilitating the production of the judgment on the substantive law, is the eventual outcome of the application of </w:t>
      </w:r>
      <w:r w:rsidR="00D37947">
        <w:rPr>
          <w:rFonts w:ascii="Times New Roman" w:hAnsi="Times New Roman"/>
        </w:rPr>
        <w:t>the rules</w:t>
      </w:r>
      <w:r w:rsidR="00D37947" w:rsidRPr="00447C64">
        <w:rPr>
          <w:rFonts w:ascii="Times New Roman" w:hAnsi="Times New Roman"/>
        </w:rPr>
        <w:t>. This is the case where the court strikes out part or all of a litigant’s statements of claim for proce</w:t>
      </w:r>
      <w:r w:rsidR="009254BF">
        <w:rPr>
          <w:rFonts w:ascii="Times New Roman" w:hAnsi="Times New Roman"/>
        </w:rPr>
        <w:t>dural failings, with the effect</w:t>
      </w:r>
      <w:r w:rsidR="009254BF">
        <w:rPr>
          <w:rStyle w:val="FootnoteReference"/>
          <w:rFonts w:ascii="Times New Roman" w:hAnsi="Times New Roman"/>
        </w:rPr>
        <w:footnoteReference w:id="10"/>
      </w:r>
      <w:r w:rsidR="00D37947" w:rsidRPr="00447C64">
        <w:rPr>
          <w:rFonts w:ascii="Times New Roman" w:hAnsi="Times New Roman"/>
        </w:rPr>
        <w:t xml:space="preserve"> that what is </w:t>
      </w:r>
      <w:r w:rsidR="00D37947">
        <w:rPr>
          <w:rFonts w:ascii="Times New Roman" w:hAnsi="Times New Roman"/>
        </w:rPr>
        <w:t xml:space="preserve">to all intents and purposes </w:t>
      </w:r>
      <w:r w:rsidR="00D37947" w:rsidRPr="00447C64">
        <w:rPr>
          <w:rFonts w:ascii="Times New Roman" w:hAnsi="Times New Roman"/>
        </w:rPr>
        <w:t xml:space="preserve">a judgment is entered in favour of the opposing party without consideration of the non-complying litigant’s substantive case. </w:t>
      </w:r>
    </w:p>
    <w:p w:rsidR="00CA32A9" w:rsidRPr="00447C64" w:rsidRDefault="00911B4E" w:rsidP="00E60AB1">
      <w:pPr>
        <w:spacing w:line="360" w:lineRule="auto"/>
        <w:ind w:firstLine="397"/>
        <w:jc w:val="both"/>
        <w:rPr>
          <w:rFonts w:ascii="Times New Roman" w:hAnsi="Times New Roman"/>
        </w:rPr>
      </w:pPr>
      <w:r>
        <w:rPr>
          <w:rFonts w:ascii="Times New Roman" w:hAnsi="Times New Roman"/>
        </w:rPr>
        <w:t xml:space="preserve">The application of the rule has led to starkly conflicting </w:t>
      </w:r>
      <w:r w:rsidRPr="00447C64">
        <w:rPr>
          <w:rFonts w:ascii="Times New Roman" w:hAnsi="Times New Roman"/>
        </w:rPr>
        <w:t>results</w:t>
      </w:r>
      <w:r>
        <w:rPr>
          <w:rFonts w:ascii="Times New Roman" w:hAnsi="Times New Roman"/>
        </w:rPr>
        <w:t>.</w:t>
      </w:r>
      <w:r w:rsidRPr="00447C64">
        <w:rPr>
          <w:rFonts w:ascii="Times New Roman" w:hAnsi="Times New Roman"/>
        </w:rPr>
        <w:t xml:space="preserve"> </w:t>
      </w:r>
      <w:r w:rsidR="00CA32A9" w:rsidRPr="00447C64">
        <w:rPr>
          <w:rFonts w:ascii="Times New Roman" w:hAnsi="Times New Roman"/>
        </w:rPr>
        <w:t xml:space="preserve">Such variation appears </w:t>
      </w:r>
      <w:r w:rsidR="0031749A" w:rsidRPr="00447C64">
        <w:rPr>
          <w:rFonts w:ascii="Times New Roman" w:hAnsi="Times New Roman"/>
        </w:rPr>
        <w:t xml:space="preserve">in decided cases </w:t>
      </w:r>
      <w:r w:rsidR="00CA32A9" w:rsidRPr="00447C64">
        <w:rPr>
          <w:rFonts w:ascii="Times New Roman" w:hAnsi="Times New Roman"/>
        </w:rPr>
        <w:t xml:space="preserve">not because the rule is claimed to be ambiguous, and thus needing explanation, but because </w:t>
      </w:r>
      <w:r w:rsidR="00E80ACB" w:rsidRPr="00447C64">
        <w:rPr>
          <w:rFonts w:ascii="Times New Roman" w:hAnsi="Times New Roman"/>
        </w:rPr>
        <w:t>courts</w:t>
      </w:r>
      <w:r w:rsidR="0031749A" w:rsidRPr="00447C64">
        <w:rPr>
          <w:rFonts w:ascii="Times New Roman" w:hAnsi="Times New Roman"/>
        </w:rPr>
        <w:t xml:space="preserve"> explicitly refer to one of two broader philosophies of procedure</w:t>
      </w:r>
      <w:r w:rsidR="00D37947">
        <w:rPr>
          <w:rFonts w:ascii="Times New Roman" w:hAnsi="Times New Roman"/>
        </w:rPr>
        <w:t xml:space="preserve">, ‘justice on the merits’ or ‘complex justice’ which </w:t>
      </w:r>
      <w:r w:rsidR="0031749A" w:rsidRPr="00447C64">
        <w:rPr>
          <w:rFonts w:ascii="Times New Roman" w:hAnsi="Times New Roman"/>
        </w:rPr>
        <w:t>are</w:t>
      </w:r>
      <w:r w:rsidR="00E80ACB" w:rsidRPr="00447C64">
        <w:rPr>
          <w:rFonts w:ascii="Times New Roman" w:hAnsi="Times New Roman"/>
        </w:rPr>
        <w:t xml:space="preserve"> </w:t>
      </w:r>
      <w:r w:rsidR="0031749A" w:rsidRPr="00447C64">
        <w:rPr>
          <w:rFonts w:ascii="Times New Roman" w:hAnsi="Times New Roman"/>
        </w:rPr>
        <w:t xml:space="preserve">generally </w:t>
      </w:r>
      <w:r w:rsidR="00E80ACB" w:rsidRPr="00447C64">
        <w:rPr>
          <w:rFonts w:ascii="Times New Roman" w:hAnsi="Times New Roman"/>
        </w:rPr>
        <w:t>n</w:t>
      </w:r>
      <w:r w:rsidR="0031749A" w:rsidRPr="00447C64">
        <w:rPr>
          <w:rFonts w:ascii="Times New Roman" w:hAnsi="Times New Roman"/>
        </w:rPr>
        <w:t xml:space="preserve">owhere to be found in the rules of court nor in any superior source of law. </w:t>
      </w:r>
      <w:r w:rsidR="00D37947">
        <w:rPr>
          <w:rFonts w:ascii="Times New Roman" w:hAnsi="Times New Roman"/>
        </w:rPr>
        <w:t xml:space="preserve">These philosophies will </w:t>
      </w:r>
      <w:r w:rsidR="003B384E">
        <w:rPr>
          <w:rFonts w:ascii="Times New Roman" w:hAnsi="Times New Roman"/>
        </w:rPr>
        <w:t>be further analysed in section 6</w:t>
      </w:r>
      <w:r w:rsidR="00D37947">
        <w:rPr>
          <w:rFonts w:ascii="Times New Roman" w:hAnsi="Times New Roman"/>
        </w:rPr>
        <w:t xml:space="preserve">. </w:t>
      </w:r>
      <w:r w:rsidR="0031749A" w:rsidRPr="00447C64">
        <w:rPr>
          <w:rFonts w:ascii="Times New Roman" w:hAnsi="Times New Roman"/>
        </w:rPr>
        <w:t xml:space="preserve">The choice of which philosophy to apply appears to be entirely free, and dependent on no more than an individual judge’s </w:t>
      </w:r>
      <w:r>
        <w:rPr>
          <w:rFonts w:ascii="Times New Roman" w:hAnsi="Times New Roman"/>
        </w:rPr>
        <w:t>‘</w:t>
      </w:r>
      <w:r w:rsidR="0031749A" w:rsidRPr="00447C64">
        <w:rPr>
          <w:rFonts w:ascii="Times New Roman" w:hAnsi="Times New Roman"/>
        </w:rPr>
        <w:t>normative preferences</w:t>
      </w:r>
      <w:r>
        <w:rPr>
          <w:rFonts w:ascii="Times New Roman" w:hAnsi="Times New Roman"/>
        </w:rPr>
        <w:t>’</w:t>
      </w:r>
      <w:r w:rsidR="0031749A" w:rsidRPr="00447C64">
        <w:rPr>
          <w:rFonts w:ascii="Times New Roman" w:hAnsi="Times New Roman"/>
        </w:rPr>
        <w:t>,</w:t>
      </w:r>
      <w:bookmarkStart w:id="1" w:name="_Ref232394964"/>
      <w:r w:rsidR="0031749A" w:rsidRPr="00447C64">
        <w:rPr>
          <w:rStyle w:val="FootnoteReference"/>
          <w:rFonts w:ascii="Times New Roman" w:hAnsi="Times New Roman"/>
        </w:rPr>
        <w:footnoteReference w:id="11"/>
      </w:r>
      <w:bookmarkEnd w:id="1"/>
      <w:r w:rsidR="0031749A" w:rsidRPr="00447C64">
        <w:rPr>
          <w:rFonts w:ascii="Times New Roman" w:hAnsi="Times New Roman"/>
        </w:rPr>
        <w:t xml:space="preserve"> in a manner than may appear in conflict with</w:t>
      </w:r>
      <w:r>
        <w:rPr>
          <w:rFonts w:ascii="Times New Roman" w:hAnsi="Times New Roman"/>
        </w:rPr>
        <w:t xml:space="preserve"> </w:t>
      </w:r>
      <w:r w:rsidR="0031749A" w:rsidRPr="00447C64">
        <w:rPr>
          <w:rFonts w:ascii="Times New Roman" w:hAnsi="Times New Roman"/>
        </w:rPr>
        <w:t xml:space="preserve">basic principles of predictability and certainty of prescription which underpin the rule of law. Civil procedure in the Common Law tradition is today so </w:t>
      </w:r>
      <w:r>
        <w:rPr>
          <w:rFonts w:ascii="Times New Roman" w:hAnsi="Times New Roman"/>
        </w:rPr>
        <w:t>entirely</w:t>
      </w:r>
      <w:r w:rsidR="0031749A" w:rsidRPr="00447C64">
        <w:rPr>
          <w:rFonts w:ascii="Times New Roman" w:hAnsi="Times New Roman"/>
        </w:rPr>
        <w:t xml:space="preserve"> within the discretion of the judge, that it seems normal that she should be allowed to identify for herself the boundaries of her own function and jurisdiction. This is a direct consequence of the historical and philosophical minimising of the role of the rules of civil procedure. The further consequence of such an approach is that the outcome of rules is not to be found in the rules themselves, as created through an established process,</w:t>
      </w:r>
      <w:r w:rsidR="0031749A" w:rsidRPr="00447C64">
        <w:rPr>
          <w:rStyle w:val="FootnoteReference"/>
          <w:rFonts w:ascii="Times New Roman" w:hAnsi="Times New Roman"/>
        </w:rPr>
        <w:footnoteReference w:id="12"/>
      </w:r>
      <w:r w:rsidR="0031749A" w:rsidRPr="00447C64">
        <w:rPr>
          <w:rFonts w:ascii="Times New Roman" w:hAnsi="Times New Roman"/>
        </w:rPr>
        <w:t xml:space="preserve"> but in the personality and tendency of the jud</w:t>
      </w:r>
      <w:r w:rsidR="005F5416">
        <w:rPr>
          <w:rFonts w:ascii="Times New Roman" w:hAnsi="Times New Roman"/>
        </w:rPr>
        <w:t>ges, whose appointment, history and</w:t>
      </w:r>
      <w:r w:rsidR="0031749A" w:rsidRPr="00447C64">
        <w:rPr>
          <w:rFonts w:ascii="Times New Roman" w:hAnsi="Times New Roman"/>
        </w:rPr>
        <w:t xml:space="preserve"> humanity becomes attractive to criticism, while much less </w:t>
      </w:r>
      <w:r>
        <w:rPr>
          <w:rFonts w:ascii="Times New Roman" w:hAnsi="Times New Roman"/>
        </w:rPr>
        <w:t>amenable to</w:t>
      </w:r>
      <w:r w:rsidR="0031749A" w:rsidRPr="00447C64">
        <w:rPr>
          <w:rFonts w:ascii="Times New Roman" w:hAnsi="Times New Roman"/>
        </w:rPr>
        <w:t xml:space="preserve"> critical analysis and change.  </w:t>
      </w:r>
    </w:p>
    <w:p w:rsidR="00447C64" w:rsidRDefault="003D40E1" w:rsidP="0031749A">
      <w:pPr>
        <w:spacing w:line="360" w:lineRule="auto"/>
        <w:ind w:firstLine="397"/>
        <w:jc w:val="both"/>
        <w:rPr>
          <w:rFonts w:ascii="Times New Roman" w:hAnsi="Times New Roman"/>
        </w:rPr>
      </w:pPr>
      <w:r w:rsidRPr="003D40E1">
        <w:rPr>
          <w:rFonts w:ascii="Times New Roman" w:hAnsi="Times New Roman"/>
        </w:rPr>
        <w:t xml:space="preserve">In order to identify </w:t>
      </w:r>
      <w:r w:rsidR="00447C64">
        <w:rPr>
          <w:rFonts w:ascii="Times New Roman" w:hAnsi="Times New Roman"/>
        </w:rPr>
        <w:t>the</w:t>
      </w:r>
      <w:r w:rsidR="00911B4E">
        <w:rPr>
          <w:rFonts w:ascii="Times New Roman" w:hAnsi="Times New Roman"/>
        </w:rPr>
        <w:t xml:space="preserve"> </w:t>
      </w:r>
      <w:r w:rsidRPr="003D40E1">
        <w:rPr>
          <w:rFonts w:ascii="Times New Roman" w:hAnsi="Times New Roman"/>
        </w:rPr>
        <w:t>external</w:t>
      </w:r>
      <w:r w:rsidR="00447C64">
        <w:rPr>
          <w:rFonts w:ascii="Times New Roman" w:hAnsi="Times New Roman"/>
        </w:rPr>
        <w:t xml:space="preserve"> or subjective rationales </w:t>
      </w:r>
      <w:r w:rsidR="008C20C8">
        <w:rPr>
          <w:rFonts w:ascii="Times New Roman" w:hAnsi="Times New Roman"/>
        </w:rPr>
        <w:t xml:space="preserve">that </w:t>
      </w:r>
      <w:r w:rsidR="00447C64">
        <w:rPr>
          <w:rFonts w:ascii="Times New Roman" w:hAnsi="Times New Roman"/>
        </w:rPr>
        <w:t>affect the application of the rule in question</w:t>
      </w:r>
      <w:r w:rsidRPr="003D40E1">
        <w:rPr>
          <w:rFonts w:ascii="Times New Roman" w:hAnsi="Times New Roman"/>
        </w:rPr>
        <w:t>, and the extent to which those rationales recur</w:t>
      </w:r>
      <w:r w:rsidR="005F5416">
        <w:rPr>
          <w:rFonts w:ascii="Times New Roman" w:hAnsi="Times New Roman"/>
        </w:rPr>
        <w:t xml:space="preserve"> or are unique to the English landscape</w:t>
      </w:r>
      <w:r w:rsidRPr="003D40E1">
        <w:rPr>
          <w:rFonts w:ascii="Times New Roman" w:hAnsi="Times New Roman"/>
        </w:rPr>
        <w:t>, a comparative approach can provide useful insights</w:t>
      </w:r>
      <w:r w:rsidR="00911B4E">
        <w:rPr>
          <w:rFonts w:ascii="Times New Roman" w:hAnsi="Times New Roman"/>
        </w:rPr>
        <w:t xml:space="preserve">. Within the </w:t>
      </w:r>
      <w:r w:rsidR="00E37714">
        <w:rPr>
          <w:rFonts w:ascii="Times New Roman" w:hAnsi="Times New Roman"/>
        </w:rPr>
        <w:t>common l</w:t>
      </w:r>
      <w:r w:rsidRPr="003D40E1">
        <w:rPr>
          <w:rFonts w:ascii="Times New Roman" w:hAnsi="Times New Roman"/>
        </w:rPr>
        <w:t xml:space="preserve">aw </w:t>
      </w:r>
      <w:r w:rsidR="00911B4E">
        <w:rPr>
          <w:rFonts w:ascii="Times New Roman" w:hAnsi="Times New Roman"/>
        </w:rPr>
        <w:t xml:space="preserve">judicial </w:t>
      </w:r>
      <w:r w:rsidRPr="003D40E1">
        <w:rPr>
          <w:rFonts w:ascii="Times New Roman" w:hAnsi="Times New Roman"/>
        </w:rPr>
        <w:t xml:space="preserve">tradition, England </w:t>
      </w:r>
      <w:r w:rsidR="00911B4E">
        <w:rPr>
          <w:rFonts w:ascii="Times New Roman" w:hAnsi="Times New Roman"/>
        </w:rPr>
        <w:t xml:space="preserve">still influences </w:t>
      </w:r>
      <w:r w:rsidRPr="003D40E1">
        <w:rPr>
          <w:rFonts w:ascii="Times New Roman" w:hAnsi="Times New Roman"/>
        </w:rPr>
        <w:t>m</w:t>
      </w:r>
      <w:r w:rsidR="00911B4E">
        <w:rPr>
          <w:rFonts w:ascii="Times New Roman" w:hAnsi="Times New Roman"/>
        </w:rPr>
        <w:t>any</w:t>
      </w:r>
      <w:r w:rsidRPr="003D40E1">
        <w:rPr>
          <w:rFonts w:ascii="Times New Roman" w:hAnsi="Times New Roman"/>
        </w:rPr>
        <w:t xml:space="preserve"> jurisdictions and their court systems and organisations. In looking for the </w:t>
      </w:r>
      <w:r w:rsidR="00E37714">
        <w:rPr>
          <w:rFonts w:ascii="Times New Roman" w:hAnsi="Times New Roman"/>
        </w:rPr>
        <w:t xml:space="preserve">common law </w:t>
      </w:r>
      <w:r w:rsidRPr="003D40E1">
        <w:rPr>
          <w:rFonts w:ascii="Times New Roman" w:hAnsi="Times New Roman"/>
        </w:rPr>
        <w:t>jurisdiction that is</w:t>
      </w:r>
      <w:r w:rsidR="00447C64">
        <w:rPr>
          <w:rFonts w:ascii="Times New Roman" w:hAnsi="Times New Roman"/>
        </w:rPr>
        <w:t xml:space="preserve"> today</w:t>
      </w:r>
      <w:r w:rsidRPr="003D40E1">
        <w:rPr>
          <w:rFonts w:ascii="Times New Roman" w:hAnsi="Times New Roman"/>
        </w:rPr>
        <w:t xml:space="preserve"> most independent of English practice and ideas, one can not help but alight on the earliest system to assert its own identity in a manner both derived from</w:t>
      </w:r>
      <w:r w:rsidR="008C20C8">
        <w:rPr>
          <w:rFonts w:ascii="Times New Roman" w:hAnsi="Times New Roman"/>
        </w:rPr>
        <w:t>,</w:t>
      </w:r>
      <w:r w:rsidRPr="003D40E1">
        <w:rPr>
          <w:rFonts w:ascii="Times New Roman" w:hAnsi="Times New Roman"/>
        </w:rPr>
        <w:t xml:space="preserve"> and in conscious opposition to</w:t>
      </w:r>
      <w:r w:rsidR="008C20C8">
        <w:rPr>
          <w:rFonts w:ascii="Times New Roman" w:hAnsi="Times New Roman"/>
        </w:rPr>
        <w:t>,</w:t>
      </w:r>
      <w:r w:rsidRPr="003D40E1">
        <w:rPr>
          <w:rFonts w:ascii="Times New Roman" w:hAnsi="Times New Roman"/>
        </w:rPr>
        <w:t xml:space="preserve"> that of England, to be found in the United States</w:t>
      </w:r>
      <w:r w:rsidR="00E37714">
        <w:rPr>
          <w:rFonts w:ascii="Times New Roman" w:hAnsi="Times New Roman"/>
        </w:rPr>
        <w:t>, and within it, the f</w:t>
      </w:r>
      <w:r w:rsidR="008C20C8">
        <w:rPr>
          <w:rFonts w:ascii="Times New Roman" w:hAnsi="Times New Roman"/>
        </w:rPr>
        <w:t>ederal system.</w:t>
      </w:r>
      <w:r w:rsidRPr="003D40E1">
        <w:rPr>
          <w:rFonts w:ascii="Times New Roman" w:hAnsi="Times New Roman"/>
        </w:rPr>
        <w:t xml:space="preserve"> </w:t>
      </w:r>
      <w:r w:rsidR="005F5416">
        <w:rPr>
          <w:rFonts w:ascii="Times New Roman" w:hAnsi="Times New Roman"/>
        </w:rPr>
        <w:t xml:space="preserve">This has the additional advantage of allowing access to a rich body of academic literature in the field. </w:t>
      </w:r>
      <w:r w:rsidR="008C20C8">
        <w:rPr>
          <w:rFonts w:ascii="Times New Roman" w:hAnsi="Times New Roman"/>
        </w:rPr>
        <w:t xml:space="preserve">In </w:t>
      </w:r>
      <w:r w:rsidR="00447C64" w:rsidRPr="00447C64">
        <w:rPr>
          <w:rFonts w:ascii="Times New Roman" w:hAnsi="Times New Roman"/>
        </w:rPr>
        <w:t xml:space="preserve">the United States, the study of civil procedure has not been excessively concerned with Benthamian </w:t>
      </w:r>
      <w:r w:rsidR="00447C64">
        <w:rPr>
          <w:rFonts w:ascii="Times New Roman" w:hAnsi="Times New Roman"/>
        </w:rPr>
        <w:t>aspersions</w:t>
      </w:r>
      <w:r w:rsidR="00E37714">
        <w:rPr>
          <w:rFonts w:ascii="Times New Roman" w:hAnsi="Times New Roman"/>
        </w:rPr>
        <w:t>, although the reforms of the f</w:t>
      </w:r>
      <w:r w:rsidR="00447C64" w:rsidRPr="00447C64">
        <w:rPr>
          <w:rFonts w:ascii="Times New Roman" w:hAnsi="Times New Roman"/>
        </w:rPr>
        <w:t>ederal court system and its regulation</w:t>
      </w:r>
      <w:bookmarkStart w:id="2" w:name="_Ref232398957"/>
      <w:r w:rsidR="00447C64" w:rsidRPr="00447C64">
        <w:rPr>
          <w:rStyle w:val="FootnoteReference"/>
          <w:rFonts w:ascii="Times New Roman" w:hAnsi="Times New Roman"/>
        </w:rPr>
        <w:footnoteReference w:id="13"/>
      </w:r>
      <w:bookmarkEnd w:id="2"/>
      <w:r w:rsidR="00447C64" w:rsidRPr="00447C64">
        <w:rPr>
          <w:rFonts w:ascii="Times New Roman" w:hAnsi="Times New Roman"/>
        </w:rPr>
        <w:t xml:space="preserve"> have followed a similar path as in England, and conflated the Common Law and Equity practices to the evident advantage of the latter, with its broad definitions and extensive discretionary powers.</w:t>
      </w:r>
      <w:r w:rsidR="00447C64">
        <w:rPr>
          <w:rFonts w:ascii="Times New Roman" w:hAnsi="Times New Roman"/>
        </w:rPr>
        <w:t xml:space="preserve"> </w:t>
      </w:r>
      <w:r w:rsidR="00447C64" w:rsidRPr="00447C64">
        <w:rPr>
          <w:rFonts w:ascii="Times New Roman" w:hAnsi="Times New Roman"/>
        </w:rPr>
        <w:t xml:space="preserve">In </w:t>
      </w:r>
      <w:r w:rsidR="005F5416">
        <w:rPr>
          <w:rFonts w:ascii="Times New Roman" w:hAnsi="Times New Roman"/>
        </w:rPr>
        <w:t xml:space="preserve">both jurisdictions, </w:t>
      </w:r>
      <w:r w:rsidR="00447C64" w:rsidRPr="00447C64">
        <w:rPr>
          <w:rFonts w:ascii="Times New Roman" w:hAnsi="Times New Roman"/>
        </w:rPr>
        <w:t>the Anglo-American conflagration of common law and equity traditions</w:t>
      </w:r>
      <w:r w:rsidR="00447C64" w:rsidRPr="00447C64">
        <w:rPr>
          <w:rStyle w:val="FootnoteReference"/>
          <w:rFonts w:ascii="Times New Roman" w:hAnsi="Times New Roman"/>
        </w:rPr>
        <w:footnoteReference w:id="14"/>
      </w:r>
      <w:r w:rsidR="00447C64" w:rsidRPr="00447C64">
        <w:rPr>
          <w:rFonts w:ascii="Times New Roman" w:hAnsi="Times New Roman"/>
        </w:rPr>
        <w:t xml:space="preserve"> </w:t>
      </w:r>
      <w:r w:rsidR="005F5416">
        <w:rPr>
          <w:rFonts w:ascii="Times New Roman" w:hAnsi="Times New Roman"/>
        </w:rPr>
        <w:t xml:space="preserve">leads to </w:t>
      </w:r>
      <w:r w:rsidR="00447C64" w:rsidRPr="00447C64">
        <w:rPr>
          <w:rFonts w:ascii="Times New Roman" w:hAnsi="Times New Roman"/>
        </w:rPr>
        <w:t>a</w:t>
      </w:r>
      <w:r w:rsidR="005F5416">
        <w:rPr>
          <w:rFonts w:ascii="Times New Roman" w:hAnsi="Times New Roman"/>
        </w:rPr>
        <w:t xml:space="preserve"> comparable</w:t>
      </w:r>
      <w:r w:rsidR="00447C64" w:rsidRPr="00447C64">
        <w:rPr>
          <w:rFonts w:ascii="Times New Roman" w:hAnsi="Times New Roman"/>
        </w:rPr>
        <w:t xml:space="preserve"> combination of ‘</w:t>
      </w:r>
      <w:r w:rsidR="005F5416">
        <w:rPr>
          <w:rFonts w:ascii="Times New Roman" w:hAnsi="Times New Roman"/>
        </w:rPr>
        <w:t>reactivist</w:t>
      </w:r>
      <w:r w:rsidR="00447C64" w:rsidRPr="00447C64">
        <w:rPr>
          <w:rFonts w:ascii="Times New Roman" w:hAnsi="Times New Roman"/>
        </w:rPr>
        <w:t>’</w:t>
      </w:r>
      <w:r w:rsidR="00447C64" w:rsidRPr="00447C64">
        <w:rPr>
          <w:rStyle w:val="FootnoteReference"/>
          <w:rFonts w:ascii="Times New Roman" w:hAnsi="Times New Roman"/>
        </w:rPr>
        <w:footnoteReference w:id="15"/>
      </w:r>
      <w:r w:rsidR="00447C64" w:rsidRPr="00447C64">
        <w:rPr>
          <w:rFonts w:ascii="Times New Roman" w:hAnsi="Times New Roman"/>
        </w:rPr>
        <w:t xml:space="preserve"> regulation, wi</w:t>
      </w:r>
      <w:r w:rsidR="008C20C8">
        <w:rPr>
          <w:rFonts w:ascii="Times New Roman" w:hAnsi="Times New Roman"/>
        </w:rPr>
        <w:t>th attendant expectations of a ‘soft touch’</w:t>
      </w:r>
      <w:r w:rsidR="00447C64" w:rsidRPr="00447C64">
        <w:rPr>
          <w:rFonts w:ascii="Times New Roman" w:hAnsi="Times New Roman"/>
        </w:rPr>
        <w:t xml:space="preserve"> for parties’ failings, </w:t>
      </w:r>
      <w:r w:rsidR="005F5416">
        <w:rPr>
          <w:rFonts w:ascii="Times New Roman" w:hAnsi="Times New Roman"/>
        </w:rPr>
        <w:t>and all the characteristics of s</w:t>
      </w:r>
      <w:r w:rsidR="00447C64" w:rsidRPr="00447C64">
        <w:rPr>
          <w:rFonts w:ascii="Times New Roman" w:hAnsi="Times New Roman"/>
        </w:rPr>
        <w:t>tate regulation, such as coercion, finality and inflexibility to individual circumstances (general rules for everyone, rather than an individuali</w:t>
      </w:r>
      <w:r w:rsidR="00447C64">
        <w:rPr>
          <w:rFonts w:ascii="Times New Roman" w:hAnsi="Times New Roman"/>
        </w:rPr>
        <w:t>s</w:t>
      </w:r>
      <w:r w:rsidR="00447C64" w:rsidRPr="00447C64">
        <w:rPr>
          <w:rFonts w:ascii="Times New Roman" w:hAnsi="Times New Roman"/>
        </w:rPr>
        <w:t>ed approach for each).</w:t>
      </w:r>
      <w:r w:rsidR="005F5416">
        <w:rPr>
          <w:rFonts w:ascii="Times New Roman" w:hAnsi="Times New Roman"/>
        </w:rPr>
        <w:t xml:space="preserve"> The tensions between these two aspects are often found in the ‘hard cases’ where the compliance rule must be applied. </w:t>
      </w:r>
      <w:r w:rsidR="00447C64">
        <w:rPr>
          <w:rFonts w:ascii="Times New Roman" w:hAnsi="Times New Roman"/>
        </w:rPr>
        <w:t>Clearly, there are systemic distinctions to be made, such as (most obviously) the explicit constitutional framework</w:t>
      </w:r>
      <w:r w:rsidR="00D37947">
        <w:rPr>
          <w:rFonts w:ascii="Times New Roman" w:hAnsi="Times New Roman"/>
        </w:rPr>
        <w:t xml:space="preserve"> within which the f</w:t>
      </w:r>
      <w:r w:rsidR="00447C64">
        <w:rPr>
          <w:rFonts w:ascii="Times New Roman" w:hAnsi="Times New Roman"/>
        </w:rPr>
        <w:t xml:space="preserve">ederal court system operates. However, the compliance rule is present in both systems and in the first and most important case decided in the USA, </w:t>
      </w:r>
      <w:r w:rsidR="00447C64">
        <w:rPr>
          <w:rFonts w:ascii="Times New Roman" w:hAnsi="Times New Roman"/>
          <w:i/>
        </w:rPr>
        <w:t>Link v Wabash</w:t>
      </w:r>
      <w:r w:rsidR="00447C64">
        <w:rPr>
          <w:rFonts w:ascii="Times New Roman" w:hAnsi="Times New Roman"/>
        </w:rPr>
        <w:t xml:space="preserve">, it is explicitly referred to as a direct descendant of the original English version, although in a slightly different form, with no allowance made for a revolutionary </w:t>
      </w:r>
      <w:r w:rsidR="008C20C8">
        <w:rPr>
          <w:rFonts w:ascii="Times New Roman" w:hAnsi="Times New Roman"/>
        </w:rPr>
        <w:t>blank slate</w:t>
      </w:r>
      <w:r w:rsidR="00447C64">
        <w:rPr>
          <w:rFonts w:ascii="Times New Roman" w:hAnsi="Times New Roman"/>
        </w:rPr>
        <w:t>. Whereas constitutional matters</w:t>
      </w:r>
      <w:r w:rsidR="008C20C8">
        <w:rPr>
          <w:rFonts w:ascii="Times New Roman" w:hAnsi="Times New Roman"/>
        </w:rPr>
        <w:t xml:space="preserve"> of due process</w:t>
      </w:r>
      <w:r w:rsidR="00447C64">
        <w:rPr>
          <w:rFonts w:ascii="Times New Roman" w:hAnsi="Times New Roman"/>
        </w:rPr>
        <w:t xml:space="preserve"> arise frequently in the discourse on the Federal Rules of Civil Procedure, even with regards to other process enforcement rules,</w:t>
      </w:r>
      <w:r w:rsidR="00447C64">
        <w:rPr>
          <w:rStyle w:val="FootnoteReference"/>
          <w:rFonts w:ascii="Times New Roman" w:hAnsi="Times New Roman"/>
        </w:rPr>
        <w:footnoteReference w:id="16"/>
      </w:r>
      <w:r w:rsidR="00447C64">
        <w:rPr>
          <w:rFonts w:ascii="Times New Roman" w:hAnsi="Times New Roman"/>
        </w:rPr>
        <w:t xml:space="preserve"> </w:t>
      </w:r>
      <w:r w:rsidR="008C20C8">
        <w:rPr>
          <w:rFonts w:ascii="Times New Roman" w:hAnsi="Times New Roman"/>
        </w:rPr>
        <w:t>few</w:t>
      </w:r>
      <w:r w:rsidR="00447C64">
        <w:rPr>
          <w:rFonts w:ascii="Times New Roman" w:hAnsi="Times New Roman"/>
        </w:rPr>
        <w:t xml:space="preserve"> are adverted to in relation to the rule under consideration. In the judgments dealing with the rule, the same or similar two conflicting extra-regulatory concerns (philosophies) appear as justifications and limit</w:t>
      </w:r>
      <w:r w:rsidR="008C20C8">
        <w:rPr>
          <w:rFonts w:ascii="Times New Roman" w:hAnsi="Times New Roman"/>
        </w:rPr>
        <w:t>ations on its application, making it suitable for direct comparative analysis.</w:t>
      </w:r>
      <w:r w:rsidR="00447C64">
        <w:rPr>
          <w:rFonts w:ascii="Times New Roman" w:hAnsi="Times New Roman"/>
        </w:rPr>
        <w:t xml:space="preserve"> </w:t>
      </w:r>
    </w:p>
    <w:p w:rsidR="00D37947" w:rsidRPr="00447C64" w:rsidRDefault="00E37714" w:rsidP="00D37947">
      <w:pPr>
        <w:spacing w:line="360" w:lineRule="auto"/>
        <w:ind w:firstLine="397"/>
        <w:jc w:val="both"/>
        <w:rPr>
          <w:rFonts w:ascii="Times New Roman" w:hAnsi="Times New Roman"/>
        </w:rPr>
      </w:pPr>
      <w:r>
        <w:rPr>
          <w:rFonts w:ascii="Times New Roman" w:hAnsi="Times New Roman"/>
        </w:rPr>
        <w:t>Before detailing the rules and their application, however, it is necessary to justify the present article’s emphasis on the judge, rather than the litigant, as the object of the rules of civil procedure, who ought to be bound by them.</w:t>
      </w:r>
    </w:p>
    <w:p w:rsidR="00827DD4" w:rsidRPr="00447C64" w:rsidRDefault="00827DD4" w:rsidP="00D37947">
      <w:pPr>
        <w:spacing w:line="360" w:lineRule="auto"/>
        <w:ind w:firstLine="397"/>
        <w:jc w:val="both"/>
        <w:rPr>
          <w:rFonts w:ascii="Times New Roman" w:hAnsi="Times New Roman"/>
        </w:rPr>
      </w:pPr>
    </w:p>
    <w:p w:rsidR="00330636" w:rsidRDefault="00330636" w:rsidP="00330636">
      <w:pPr>
        <w:spacing w:line="360" w:lineRule="auto"/>
        <w:jc w:val="both"/>
        <w:rPr>
          <w:rFonts w:ascii="Times New Roman" w:eastAsiaTheme="minorHAnsi" w:hAnsi="Times New Roman"/>
          <w:lang w:val="en-US"/>
        </w:rPr>
      </w:pPr>
      <w:r w:rsidRPr="00330636">
        <w:rPr>
          <w:rFonts w:ascii="Times New Roman" w:eastAsiaTheme="minorHAnsi" w:hAnsi="Times New Roman"/>
          <w:lang w:val="en-US"/>
        </w:rPr>
        <w:t>3</w:t>
      </w:r>
      <w:r w:rsidR="003D40E1" w:rsidRPr="00330636">
        <w:rPr>
          <w:rFonts w:ascii="Times New Roman" w:eastAsiaTheme="minorHAnsi" w:hAnsi="Times New Roman"/>
          <w:lang w:val="en-US"/>
        </w:rPr>
        <w:t>. Rules of civil procedure: who are they for?</w:t>
      </w:r>
    </w:p>
    <w:p w:rsidR="00103B93" w:rsidRDefault="00103B93" w:rsidP="00330636">
      <w:pPr>
        <w:spacing w:line="360" w:lineRule="auto"/>
        <w:jc w:val="both"/>
        <w:rPr>
          <w:rFonts w:ascii="Times New Roman" w:eastAsiaTheme="minorHAnsi" w:hAnsi="Times New Roman"/>
          <w:lang w:val="en-US"/>
        </w:rPr>
      </w:pPr>
    </w:p>
    <w:p w:rsidR="00EA5BE7" w:rsidRDefault="00103B93">
      <w:pPr>
        <w:spacing w:line="360" w:lineRule="auto"/>
        <w:jc w:val="both"/>
        <w:rPr>
          <w:rFonts w:ascii="Times New Roman" w:eastAsiaTheme="minorHAnsi" w:hAnsi="Times New Roman"/>
          <w:lang w:val="en-US"/>
        </w:rPr>
      </w:pPr>
      <w:r>
        <w:rPr>
          <w:rFonts w:ascii="Times New Roman" w:eastAsiaTheme="minorHAnsi" w:hAnsi="Times New Roman"/>
          <w:lang w:val="en-US"/>
        </w:rPr>
        <w:t>R</w:t>
      </w:r>
      <w:r w:rsidR="003D40E1" w:rsidRPr="003D40E1">
        <w:rPr>
          <w:rFonts w:ascii="Times New Roman" w:eastAsiaTheme="minorHAnsi" w:hAnsi="Times New Roman"/>
          <w:lang w:val="en-US"/>
        </w:rPr>
        <w:t>ules of court</w:t>
      </w:r>
      <w:r>
        <w:rPr>
          <w:rFonts w:ascii="Times New Roman" w:eastAsiaTheme="minorHAnsi" w:hAnsi="Times New Roman"/>
          <w:lang w:val="en-US"/>
        </w:rPr>
        <w:t xml:space="preserve"> </w:t>
      </w:r>
      <w:r w:rsidR="003D40E1" w:rsidRPr="003D40E1">
        <w:rPr>
          <w:rFonts w:ascii="Times New Roman" w:eastAsiaTheme="minorHAnsi" w:hAnsi="Times New Roman"/>
          <w:lang w:val="en-US"/>
        </w:rPr>
        <w:t>are addressed to two distinct audiences. On the one hand, they impose behavio</w:t>
      </w:r>
      <w:r w:rsidR="00447C64">
        <w:rPr>
          <w:rFonts w:ascii="Times New Roman" w:eastAsiaTheme="minorHAnsi" w:hAnsi="Times New Roman"/>
          <w:lang w:val="en-US"/>
        </w:rPr>
        <w:t>u</w:t>
      </w:r>
      <w:r w:rsidR="00827DD4" w:rsidRPr="00447C64">
        <w:rPr>
          <w:rFonts w:ascii="Times New Roman" w:eastAsiaTheme="minorHAnsi" w:hAnsi="Times New Roman"/>
          <w:lang w:val="en-US"/>
        </w:rPr>
        <w:t>rs and sanctions (where those sanctions are automatic) upon the litigants themselves. In so doing they may require more or less specifically defined behavio</w:t>
      </w:r>
      <w:r w:rsidR="00447C64">
        <w:rPr>
          <w:rFonts w:ascii="Times New Roman" w:eastAsiaTheme="minorHAnsi" w:hAnsi="Times New Roman"/>
          <w:lang w:val="en-US"/>
        </w:rPr>
        <w:t>u</w:t>
      </w:r>
      <w:r w:rsidR="00827DD4" w:rsidRPr="00447C64">
        <w:rPr>
          <w:rFonts w:ascii="Times New Roman" w:eastAsiaTheme="minorHAnsi" w:hAnsi="Times New Roman"/>
          <w:lang w:val="en-US"/>
        </w:rPr>
        <w:t>rs,</w:t>
      </w:r>
      <w:r w:rsidR="00827DD4" w:rsidRPr="00447C64">
        <w:rPr>
          <w:rStyle w:val="FootnoteReference"/>
          <w:rFonts w:ascii="Times New Roman" w:eastAsiaTheme="minorHAnsi" w:hAnsi="Times New Roman"/>
          <w:lang w:val="en-US"/>
        </w:rPr>
        <w:footnoteReference w:id="17"/>
      </w:r>
      <w:r w:rsidR="00827DD4" w:rsidRPr="00447C64">
        <w:rPr>
          <w:rFonts w:ascii="Times New Roman" w:eastAsiaTheme="minorHAnsi" w:hAnsi="Times New Roman"/>
          <w:lang w:val="en-US"/>
        </w:rPr>
        <w:t xml:space="preserve"> and they </w:t>
      </w:r>
      <w:r>
        <w:rPr>
          <w:rFonts w:ascii="Times New Roman" w:eastAsiaTheme="minorHAnsi" w:hAnsi="Times New Roman"/>
          <w:lang w:val="en-US"/>
        </w:rPr>
        <w:t>provide</w:t>
      </w:r>
      <w:r w:rsidR="00827DD4" w:rsidRPr="00447C64">
        <w:rPr>
          <w:rFonts w:ascii="Times New Roman" w:eastAsiaTheme="minorHAnsi" w:hAnsi="Times New Roman"/>
          <w:lang w:val="en-US"/>
        </w:rPr>
        <w:t xml:space="preserve"> a practical structure within which to comply. Of the various functions</w:t>
      </w:r>
      <w:bookmarkStart w:id="3" w:name="_Ref232393655"/>
      <w:r w:rsidR="00827DD4" w:rsidRPr="00447C64">
        <w:rPr>
          <w:rStyle w:val="FootnoteReference"/>
          <w:rFonts w:ascii="Times New Roman" w:eastAsiaTheme="minorHAnsi" w:hAnsi="Times New Roman"/>
          <w:lang w:val="en-US"/>
        </w:rPr>
        <w:footnoteReference w:id="18"/>
      </w:r>
      <w:bookmarkEnd w:id="3"/>
      <w:r w:rsidR="00827DD4" w:rsidRPr="00447C64">
        <w:rPr>
          <w:rFonts w:ascii="Times New Roman" w:eastAsiaTheme="minorHAnsi" w:hAnsi="Times New Roman"/>
          <w:lang w:val="en-US"/>
        </w:rPr>
        <w:t xml:space="preserve"> that the rules of court as formalities addressed to litigants and litigants’ behavio</w:t>
      </w:r>
      <w:r w:rsidR="0045481E">
        <w:rPr>
          <w:rFonts w:ascii="Times New Roman" w:eastAsiaTheme="minorHAnsi" w:hAnsi="Times New Roman"/>
          <w:lang w:val="en-US"/>
        </w:rPr>
        <w:t>u</w:t>
      </w:r>
      <w:r w:rsidR="00827DD4" w:rsidRPr="00447C64">
        <w:rPr>
          <w:rFonts w:ascii="Times New Roman" w:eastAsiaTheme="minorHAnsi" w:hAnsi="Times New Roman"/>
          <w:lang w:val="en-US"/>
        </w:rPr>
        <w:t>r could have, the most important in this context is the standardi</w:t>
      </w:r>
      <w:r w:rsidR="00447C64">
        <w:rPr>
          <w:rFonts w:ascii="Times New Roman" w:eastAsiaTheme="minorHAnsi" w:hAnsi="Times New Roman"/>
          <w:lang w:val="en-US"/>
        </w:rPr>
        <w:t>s</w:t>
      </w:r>
      <w:r w:rsidR="00827DD4" w:rsidRPr="00447C64">
        <w:rPr>
          <w:rFonts w:ascii="Times New Roman" w:eastAsiaTheme="minorHAnsi" w:hAnsi="Times New Roman"/>
          <w:lang w:val="en-US"/>
        </w:rPr>
        <w:t xml:space="preserve">ing function, or </w:t>
      </w:r>
      <w:r w:rsidR="0045481E">
        <w:rPr>
          <w:rFonts w:ascii="Times New Roman" w:eastAsiaTheme="minorHAnsi" w:hAnsi="Times New Roman"/>
          <w:lang w:val="en-US"/>
        </w:rPr>
        <w:t>‘</w:t>
      </w:r>
      <w:r w:rsidR="00827DD4" w:rsidRPr="00447C64">
        <w:rPr>
          <w:rFonts w:ascii="Times New Roman" w:eastAsiaTheme="minorHAnsi" w:hAnsi="Times New Roman"/>
          <w:lang w:val="en-US"/>
        </w:rPr>
        <w:t>channeling</w:t>
      </w:r>
      <w:r w:rsidR="0045481E">
        <w:rPr>
          <w:rFonts w:ascii="Times New Roman" w:eastAsiaTheme="minorHAnsi" w:hAnsi="Times New Roman"/>
          <w:lang w:val="en-US"/>
        </w:rPr>
        <w:t>’</w:t>
      </w:r>
      <w:r w:rsidR="00827DD4" w:rsidRPr="00447C64">
        <w:rPr>
          <w:rFonts w:ascii="Times New Roman" w:eastAsiaTheme="minorHAnsi" w:hAnsi="Times New Roman"/>
          <w:lang w:val="en-US"/>
        </w:rPr>
        <w:t xml:space="preserve"> function in Fuller’s wor</w:t>
      </w:r>
      <w:r>
        <w:rPr>
          <w:rFonts w:ascii="Times New Roman" w:eastAsiaTheme="minorHAnsi" w:hAnsi="Times New Roman"/>
          <w:lang w:val="en-US"/>
        </w:rPr>
        <w:t>ds</w:t>
      </w:r>
      <w:r w:rsidR="00827DD4" w:rsidRPr="00447C64">
        <w:rPr>
          <w:rFonts w:ascii="Times New Roman" w:eastAsiaTheme="minorHAnsi" w:hAnsi="Times New Roman"/>
          <w:lang w:val="en-US"/>
        </w:rPr>
        <w:t>.</w:t>
      </w:r>
      <w:r w:rsidR="00BA4F96">
        <w:rPr>
          <w:rStyle w:val="FootnoteReference"/>
          <w:rFonts w:ascii="Times New Roman" w:eastAsiaTheme="minorHAnsi" w:hAnsi="Times New Roman"/>
          <w:lang w:val="en-US"/>
        </w:rPr>
        <w:footnoteReference w:id="19"/>
      </w:r>
      <w:r w:rsidR="00827DD4" w:rsidRPr="00447C64">
        <w:rPr>
          <w:rFonts w:ascii="Times New Roman" w:eastAsiaTheme="minorHAnsi" w:hAnsi="Times New Roman"/>
          <w:lang w:val="en-US"/>
        </w:rPr>
        <w:t xml:space="preserve"> The rules provide a channel that facilitates the identification, investigation and resolution of a dispute or of law-given right. For a litigant, stepping outside of the channel </w:t>
      </w:r>
      <w:r w:rsidR="00447C64">
        <w:rPr>
          <w:rFonts w:ascii="Times New Roman" w:eastAsiaTheme="minorHAnsi" w:hAnsi="Times New Roman"/>
          <w:lang w:val="en-US"/>
        </w:rPr>
        <w:t xml:space="preserve">must </w:t>
      </w:r>
      <w:r w:rsidR="00827DD4" w:rsidRPr="00447C64">
        <w:rPr>
          <w:rFonts w:ascii="Times New Roman" w:eastAsiaTheme="minorHAnsi" w:hAnsi="Times New Roman"/>
          <w:lang w:val="en-US"/>
        </w:rPr>
        <w:t>mean withdrawing, or at least deviating, from achieving the goal of adjudication. A well-established tradition</w:t>
      </w:r>
      <w:bookmarkStart w:id="4" w:name="_Ref232393560"/>
      <w:r w:rsidR="00827DD4" w:rsidRPr="00447C64">
        <w:rPr>
          <w:rStyle w:val="FootnoteReference"/>
          <w:rFonts w:ascii="Times New Roman" w:eastAsiaTheme="minorHAnsi" w:hAnsi="Times New Roman"/>
          <w:lang w:val="en-US"/>
        </w:rPr>
        <w:footnoteReference w:id="20"/>
      </w:r>
      <w:bookmarkEnd w:id="4"/>
      <w:r w:rsidR="00827DD4" w:rsidRPr="00447C64">
        <w:rPr>
          <w:rFonts w:ascii="Times New Roman" w:eastAsiaTheme="minorHAnsi" w:hAnsi="Times New Roman"/>
          <w:lang w:val="en-US"/>
        </w:rPr>
        <w:t xml:space="preserve"> with regards to civil procedural law in England and Wales considers that, since participation in the</w:t>
      </w:r>
      <w:r w:rsidR="00676844">
        <w:rPr>
          <w:rFonts w:ascii="Times New Roman" w:eastAsiaTheme="minorHAnsi" w:hAnsi="Times New Roman"/>
          <w:lang w:val="en-US"/>
        </w:rPr>
        <w:t xml:space="preserve"> </w:t>
      </w:r>
      <w:r w:rsidR="00827DD4" w:rsidRPr="00447C64">
        <w:rPr>
          <w:rFonts w:ascii="Times New Roman" w:eastAsiaTheme="minorHAnsi" w:hAnsi="Times New Roman"/>
          <w:lang w:val="en-US"/>
        </w:rPr>
        <w:t>process is voluntary (one may choose not to sue or not to defend when sued</w:t>
      </w:r>
      <w:r w:rsidR="00676844">
        <w:rPr>
          <w:rFonts w:ascii="Times New Roman" w:eastAsiaTheme="minorHAnsi" w:hAnsi="Times New Roman"/>
          <w:lang w:val="en-US"/>
        </w:rPr>
        <w:t xml:space="preserve"> on a private law matter</w:t>
      </w:r>
      <w:r w:rsidR="00827DD4" w:rsidRPr="00447C64">
        <w:rPr>
          <w:rFonts w:ascii="Times New Roman" w:eastAsiaTheme="minorHAnsi" w:hAnsi="Times New Roman"/>
          <w:lang w:val="en-US"/>
        </w:rPr>
        <w:t xml:space="preserve">), it is legitimate for the system to require of its users that they should enter the process alertly and responsibly, in particular by accepting that there are consequences to their procedural choices. In so doing, sanctions – where they arise automatically – are not sanctions (punishments) at all, </w:t>
      </w:r>
      <w:r w:rsidR="00447C64">
        <w:rPr>
          <w:rFonts w:ascii="Times New Roman" w:eastAsiaTheme="minorHAnsi" w:hAnsi="Times New Roman"/>
          <w:lang w:val="en-US"/>
        </w:rPr>
        <w:t xml:space="preserve">but </w:t>
      </w:r>
      <w:r w:rsidR="00827DD4" w:rsidRPr="00447C64">
        <w:rPr>
          <w:rFonts w:ascii="Times New Roman" w:eastAsiaTheme="minorHAnsi" w:hAnsi="Times New Roman"/>
          <w:lang w:val="en-US"/>
        </w:rPr>
        <w:t xml:space="preserve">merely foreseen, avoidable and </w:t>
      </w:r>
      <w:r w:rsidR="00447C64">
        <w:rPr>
          <w:rFonts w:ascii="Times New Roman" w:eastAsiaTheme="minorHAnsi" w:hAnsi="Times New Roman"/>
          <w:lang w:val="en-US"/>
        </w:rPr>
        <w:t xml:space="preserve">yet </w:t>
      </w:r>
      <w:r w:rsidR="00827DD4" w:rsidRPr="00447C64">
        <w:rPr>
          <w:rFonts w:ascii="Times New Roman" w:eastAsiaTheme="minorHAnsi" w:hAnsi="Times New Roman"/>
          <w:lang w:val="en-US"/>
        </w:rPr>
        <w:t>unavoided consequences of a choice.</w:t>
      </w:r>
      <w:r w:rsidR="00716CEE">
        <w:rPr>
          <w:rFonts w:ascii="Times New Roman" w:eastAsiaTheme="minorHAnsi" w:hAnsi="Times New Roman"/>
          <w:lang w:val="en-US"/>
        </w:rPr>
        <w:t xml:space="preserve"> According to Zuckerman,</w:t>
      </w:r>
      <w:r w:rsidR="001E1B3F">
        <w:rPr>
          <w:rFonts w:ascii="Times New Roman" w:eastAsiaTheme="minorHAnsi" w:hAnsi="Times New Roman"/>
          <w:lang w:val="en-US"/>
        </w:rPr>
        <w:t xml:space="preserve"> ‘</w:t>
      </w:r>
      <w:r>
        <w:rPr>
          <w:rFonts w:ascii="Times New Roman" w:hAnsi="Times New Roman"/>
          <w:lang w:val="en-US"/>
        </w:rPr>
        <w:t>[t]</w:t>
      </w:r>
      <w:r w:rsidR="00716CEE" w:rsidRPr="00716CEE">
        <w:rPr>
          <w:rFonts w:ascii="Times New Roman" w:hAnsi="Times New Roman"/>
          <w:lang w:val="en-US"/>
        </w:rPr>
        <w:t>he exclusion from the adjudicative process of a party who has failed to comply with the rules is not a punishment but a mere consequence of failing to meet the conditions of participation.</w:t>
      </w:r>
      <w:bookmarkStart w:id="5" w:name="_Ref232396333"/>
      <w:r w:rsidR="001E1B3F">
        <w:rPr>
          <w:rFonts w:ascii="Times New Roman" w:hAnsi="Times New Roman"/>
          <w:lang w:val="en-US"/>
        </w:rPr>
        <w:t>’</w:t>
      </w:r>
      <w:r w:rsidR="00716CEE">
        <w:rPr>
          <w:rStyle w:val="FootnoteReference"/>
          <w:rFonts w:ascii="Times New Roman" w:hAnsi="Times New Roman"/>
          <w:sz w:val="20"/>
          <w:lang w:val="en-US"/>
        </w:rPr>
        <w:footnoteReference w:id="21"/>
      </w:r>
      <w:bookmarkEnd w:id="5"/>
      <w:r w:rsidR="00716CEE">
        <w:rPr>
          <w:rFonts w:ascii="Times New Roman" w:eastAsiaTheme="minorHAnsi" w:hAnsi="Times New Roman"/>
          <w:lang w:val="en-US"/>
        </w:rPr>
        <w:t xml:space="preserve"> As Jolowicz puts it,</w:t>
      </w:r>
      <w:bookmarkStart w:id="6" w:name="_Ref232408614"/>
      <w:r w:rsidR="003D40E1" w:rsidRPr="003D40E1">
        <w:rPr>
          <w:rStyle w:val="FootnoteReference"/>
          <w:rFonts w:ascii="Times New Roman" w:eastAsiaTheme="minorHAnsi" w:hAnsi="Times New Roman"/>
          <w:sz w:val="20"/>
          <w:lang w:val="en-US"/>
        </w:rPr>
        <w:footnoteReference w:id="22"/>
      </w:r>
      <w:bookmarkEnd w:id="6"/>
    </w:p>
    <w:p w:rsidR="00EA5BE7" w:rsidRDefault="003D40E1">
      <w:pPr>
        <w:ind w:left="397" w:right="397"/>
        <w:jc w:val="both"/>
        <w:rPr>
          <w:rFonts w:ascii="Times New Roman" w:hAnsi="Times New Roman"/>
        </w:rPr>
      </w:pPr>
      <w:r w:rsidRPr="003D40E1">
        <w:rPr>
          <w:rFonts w:ascii="Times New Roman" w:hAnsi="Times New Roman"/>
        </w:rPr>
        <w:t>If the party to whom such a rule appl</w:t>
      </w:r>
      <w:r w:rsidR="00676844">
        <w:rPr>
          <w:rFonts w:ascii="Times New Roman" w:hAnsi="Times New Roman"/>
        </w:rPr>
        <w:t>i</w:t>
      </w:r>
      <w:r w:rsidRPr="003D40E1">
        <w:rPr>
          <w:rFonts w:ascii="Times New Roman" w:hAnsi="Times New Roman"/>
        </w:rPr>
        <w:t>es chooses to disregard it, the normal outcome is that a choice accrues to the other party. He may do nothing or he may seek an appropriate order from the court. If he chooses to do nothing, nothing will happen; if he chooses to bring the matter before the court, a choice accrues to the [court]: in contrast to substantive law, procedural law rarely purports to dictate what the court’s order must be, even after the facts have been established.</w:t>
      </w:r>
    </w:p>
    <w:p w:rsidR="00EA5BE7" w:rsidRDefault="00EA5BE7">
      <w:pPr>
        <w:spacing w:line="360" w:lineRule="auto"/>
        <w:jc w:val="both"/>
        <w:rPr>
          <w:rFonts w:ascii="Times New Roman" w:hAnsi="Times New Roman"/>
        </w:rPr>
      </w:pPr>
    </w:p>
    <w:p w:rsidR="00827DD4" w:rsidRPr="00447C64" w:rsidRDefault="00827DD4" w:rsidP="00361DD8">
      <w:pPr>
        <w:spacing w:line="360" w:lineRule="auto"/>
        <w:ind w:firstLine="397"/>
        <w:jc w:val="both"/>
        <w:rPr>
          <w:rFonts w:ascii="Times New Roman" w:eastAsiaTheme="minorHAnsi" w:hAnsi="Times New Roman"/>
          <w:lang w:val="en-US"/>
        </w:rPr>
      </w:pPr>
      <w:r w:rsidRPr="00447C64">
        <w:rPr>
          <w:rFonts w:ascii="Times New Roman" w:eastAsiaTheme="minorHAnsi" w:hAnsi="Times New Roman"/>
          <w:lang w:val="en-US"/>
        </w:rPr>
        <w:t>The English litigant (inclusive of litigant’s counsel, but irrespective of his or her actual abilities or knowledge) is expected to be a rational economic actor. The principle of party autonomy in procedur</w:t>
      </w:r>
      <w:r w:rsidR="001E1B3F">
        <w:rPr>
          <w:rFonts w:ascii="Times New Roman" w:eastAsiaTheme="minorHAnsi" w:hAnsi="Times New Roman"/>
          <w:lang w:val="en-US"/>
        </w:rPr>
        <w:t>e leads to the conclusion that ‘</w:t>
      </w:r>
      <w:r w:rsidRPr="00447C64">
        <w:rPr>
          <w:rFonts w:ascii="Times New Roman" w:eastAsiaTheme="minorHAnsi" w:hAnsi="Times New Roman"/>
          <w:lang w:val="en-US"/>
        </w:rPr>
        <w:t>it is strictly inaccurate to describe the great majority of procedural requirements as obligations or duties, [and therefore] it is also inaccurate to describe the consequences of procedural defaults as</w:t>
      </w:r>
      <w:r w:rsidR="001E1B3F">
        <w:rPr>
          <w:rFonts w:ascii="Times New Roman" w:eastAsiaTheme="minorHAnsi" w:hAnsi="Times New Roman"/>
          <w:lang w:val="en-US"/>
        </w:rPr>
        <w:t xml:space="preserve"> sanctions</w:t>
      </w:r>
      <w:r w:rsidRPr="00447C64">
        <w:rPr>
          <w:rFonts w:ascii="Times New Roman" w:eastAsiaTheme="minorHAnsi" w:hAnsi="Times New Roman"/>
          <w:lang w:val="en-US"/>
        </w:rPr>
        <w:t>.</w:t>
      </w:r>
      <w:r w:rsidR="001E1B3F">
        <w:rPr>
          <w:rFonts w:ascii="Times New Roman" w:eastAsiaTheme="minorHAnsi" w:hAnsi="Times New Roman"/>
          <w:lang w:val="en-US"/>
        </w:rPr>
        <w:t>’</w:t>
      </w:r>
      <w:r w:rsidRPr="00447C64">
        <w:rPr>
          <w:rStyle w:val="FootnoteReference"/>
          <w:rFonts w:ascii="Times New Roman" w:eastAsiaTheme="minorHAnsi" w:hAnsi="Times New Roman"/>
          <w:lang w:val="en-US"/>
        </w:rPr>
        <w:footnoteReference w:id="23"/>
      </w:r>
      <w:r w:rsidRPr="00447C64">
        <w:rPr>
          <w:rFonts w:ascii="Times New Roman" w:eastAsiaTheme="minorHAnsi" w:hAnsi="Times New Roman"/>
          <w:lang w:val="en-US"/>
        </w:rPr>
        <w:t xml:space="preserve"> This understanding of the role of litigants in procedure turns the </w:t>
      </w:r>
      <w:r w:rsidR="00F71A37">
        <w:rPr>
          <w:rFonts w:ascii="Times New Roman" w:eastAsiaTheme="minorHAnsi" w:hAnsi="Times New Roman"/>
          <w:lang w:val="en-US"/>
        </w:rPr>
        <w:t>apparently compulsory nature</w:t>
      </w:r>
      <w:r w:rsidR="00794392" w:rsidRPr="00447C64">
        <w:rPr>
          <w:rFonts w:ascii="Times New Roman" w:eastAsiaTheme="minorHAnsi" w:hAnsi="Times New Roman"/>
          <w:lang w:val="en-US"/>
        </w:rPr>
        <w:t xml:space="preserve"> </w:t>
      </w:r>
      <w:r w:rsidRPr="00447C64">
        <w:rPr>
          <w:rFonts w:ascii="Times New Roman" w:eastAsiaTheme="minorHAnsi" w:hAnsi="Times New Roman"/>
          <w:lang w:val="en-US"/>
        </w:rPr>
        <w:t xml:space="preserve">of the rules, with respect to </w:t>
      </w:r>
      <w:r w:rsidR="00716CEE">
        <w:rPr>
          <w:rFonts w:ascii="Times New Roman" w:eastAsiaTheme="minorHAnsi" w:hAnsi="Times New Roman"/>
          <w:lang w:val="en-US"/>
        </w:rPr>
        <w:t>litigants</w:t>
      </w:r>
      <w:r w:rsidRPr="00447C64">
        <w:rPr>
          <w:rFonts w:ascii="Times New Roman" w:eastAsiaTheme="minorHAnsi" w:hAnsi="Times New Roman"/>
          <w:lang w:val="en-US"/>
        </w:rPr>
        <w:t>, into a natural consequence rather than, as Kennedy</w:t>
      </w:r>
      <w:r w:rsidRPr="00447C64">
        <w:rPr>
          <w:rStyle w:val="FootnoteReference"/>
          <w:rFonts w:ascii="Times New Roman" w:eastAsiaTheme="minorHAnsi" w:hAnsi="Times New Roman"/>
          <w:lang w:val="en-US"/>
        </w:rPr>
        <w:footnoteReference w:id="24"/>
      </w:r>
      <w:r w:rsidRPr="00447C64">
        <w:rPr>
          <w:rFonts w:ascii="Times New Roman" w:eastAsiaTheme="minorHAnsi" w:hAnsi="Times New Roman"/>
          <w:lang w:val="en-US"/>
        </w:rPr>
        <w:t xml:space="preserve"> would have it, an active contradiction-compulsion</w:t>
      </w:r>
      <w:r w:rsidR="00F71A37">
        <w:rPr>
          <w:rFonts w:ascii="Times New Roman" w:eastAsiaTheme="minorHAnsi" w:hAnsi="Times New Roman"/>
          <w:lang w:val="en-US"/>
        </w:rPr>
        <w:t xml:space="preserve"> of the litigant’s </w:t>
      </w:r>
      <w:r w:rsidR="00BF5AD6">
        <w:rPr>
          <w:rFonts w:ascii="Times New Roman" w:eastAsiaTheme="minorHAnsi" w:hAnsi="Times New Roman"/>
          <w:lang w:val="en-US"/>
        </w:rPr>
        <w:t>will</w:t>
      </w:r>
      <w:r w:rsidRPr="00447C64">
        <w:rPr>
          <w:rFonts w:ascii="Times New Roman" w:eastAsiaTheme="minorHAnsi" w:hAnsi="Times New Roman"/>
          <w:lang w:val="en-US"/>
        </w:rPr>
        <w:t xml:space="preserve">. Rules of procedure become no different than rules of physics, in describing causation rather than causing themselves the effect. This allows us to concentrate on the role of </w:t>
      </w:r>
      <w:r w:rsidR="00103B93">
        <w:rPr>
          <w:rFonts w:ascii="Times New Roman" w:eastAsiaTheme="minorHAnsi" w:hAnsi="Times New Roman"/>
          <w:lang w:val="en-US"/>
        </w:rPr>
        <w:t>judges, to whom the rules are also addressed,</w:t>
      </w:r>
      <w:r w:rsidRPr="00447C64">
        <w:rPr>
          <w:rFonts w:ascii="Times New Roman" w:eastAsiaTheme="minorHAnsi" w:hAnsi="Times New Roman"/>
          <w:lang w:val="en-US"/>
        </w:rPr>
        <w:t xml:space="preserve"> and their relationship with the rules</w:t>
      </w:r>
      <w:r w:rsidR="00103B93">
        <w:rPr>
          <w:rFonts w:ascii="Times New Roman" w:eastAsiaTheme="minorHAnsi" w:hAnsi="Times New Roman"/>
          <w:lang w:val="en-US"/>
        </w:rPr>
        <w:t xml:space="preserve"> themselves</w:t>
      </w:r>
      <w:r w:rsidRPr="00447C64">
        <w:rPr>
          <w:rFonts w:ascii="Times New Roman" w:eastAsiaTheme="minorHAnsi" w:hAnsi="Times New Roman"/>
          <w:lang w:val="en-US"/>
        </w:rPr>
        <w:t xml:space="preserve">. In particular, where there is – in the rule – a discretion to change those </w:t>
      </w:r>
      <w:r w:rsidR="00263E79">
        <w:rPr>
          <w:rFonts w:ascii="Times New Roman" w:eastAsiaTheme="minorHAnsi" w:hAnsi="Times New Roman"/>
          <w:lang w:val="en-US"/>
        </w:rPr>
        <w:t>natural</w:t>
      </w:r>
      <w:r w:rsidR="00716CEE">
        <w:rPr>
          <w:rFonts w:ascii="Times New Roman" w:eastAsiaTheme="minorHAnsi" w:hAnsi="Times New Roman"/>
          <w:lang w:val="en-US"/>
        </w:rPr>
        <w:t xml:space="preserve"> </w:t>
      </w:r>
      <w:r w:rsidRPr="00447C64">
        <w:rPr>
          <w:rFonts w:ascii="Times New Roman" w:eastAsiaTheme="minorHAnsi" w:hAnsi="Times New Roman"/>
          <w:lang w:val="en-US"/>
        </w:rPr>
        <w:t>consequences</w:t>
      </w:r>
      <w:r w:rsidR="00716CEE">
        <w:rPr>
          <w:rFonts w:ascii="Times New Roman" w:eastAsiaTheme="minorHAnsi" w:hAnsi="Times New Roman"/>
          <w:lang w:val="en-US"/>
        </w:rPr>
        <w:t xml:space="preserve"> that would ensue from the litigant</w:t>
      </w:r>
      <w:r w:rsidR="00BF5AD6">
        <w:rPr>
          <w:rFonts w:ascii="Times New Roman" w:eastAsiaTheme="minorHAnsi" w:hAnsi="Times New Roman"/>
          <w:lang w:val="en-US"/>
        </w:rPr>
        <w:t>’s</w:t>
      </w:r>
      <w:r w:rsidR="00716CEE">
        <w:rPr>
          <w:rFonts w:ascii="Times New Roman" w:eastAsiaTheme="minorHAnsi" w:hAnsi="Times New Roman"/>
          <w:lang w:val="en-US"/>
        </w:rPr>
        <w:t xml:space="preserve"> behaviour</w:t>
      </w:r>
      <w:r w:rsidRPr="00447C64">
        <w:rPr>
          <w:rFonts w:ascii="Times New Roman" w:eastAsiaTheme="minorHAnsi" w:hAnsi="Times New Roman"/>
          <w:lang w:val="en-US"/>
        </w:rPr>
        <w:t xml:space="preserve">, it becomes essential to understand whether the judge </w:t>
      </w:r>
      <w:r w:rsidR="00263E79">
        <w:rPr>
          <w:rFonts w:ascii="Times New Roman" w:eastAsiaTheme="minorHAnsi" w:hAnsi="Times New Roman"/>
          <w:lang w:val="en-US"/>
        </w:rPr>
        <w:t>in</w:t>
      </w:r>
      <w:r w:rsidRPr="00447C64">
        <w:rPr>
          <w:rFonts w:ascii="Times New Roman" w:eastAsiaTheme="minorHAnsi" w:hAnsi="Times New Roman"/>
          <w:lang w:val="en-US"/>
        </w:rPr>
        <w:t xml:space="preserve"> her exercise of discretion </w:t>
      </w:r>
      <w:r w:rsidR="00263E79">
        <w:rPr>
          <w:rFonts w:ascii="Times New Roman" w:eastAsiaTheme="minorHAnsi" w:hAnsi="Times New Roman"/>
          <w:lang w:val="en-US"/>
        </w:rPr>
        <w:t>is</w:t>
      </w:r>
      <w:r w:rsidRPr="00447C64">
        <w:rPr>
          <w:rFonts w:ascii="Times New Roman" w:eastAsiaTheme="minorHAnsi" w:hAnsi="Times New Roman"/>
          <w:lang w:val="en-US"/>
        </w:rPr>
        <w:t xml:space="preserve"> part of the physical realm, a cog in the machine, or above it</w:t>
      </w:r>
      <w:r w:rsidR="00716CEE">
        <w:rPr>
          <w:rFonts w:ascii="Times New Roman" w:eastAsiaTheme="minorHAnsi" w:hAnsi="Times New Roman"/>
          <w:lang w:val="en-US"/>
        </w:rPr>
        <w:t xml:space="preserve"> all</w:t>
      </w:r>
      <w:r w:rsidRPr="00447C64">
        <w:rPr>
          <w:rFonts w:ascii="Times New Roman" w:eastAsiaTheme="minorHAnsi" w:hAnsi="Times New Roman"/>
          <w:lang w:val="en-US"/>
        </w:rPr>
        <w:t xml:space="preserve">, in the form of a </w:t>
      </w:r>
      <w:r w:rsidRPr="00447C64">
        <w:rPr>
          <w:rFonts w:ascii="Times New Roman" w:eastAsiaTheme="minorHAnsi" w:hAnsi="Times New Roman"/>
          <w:i/>
          <w:lang w:val="en-US"/>
        </w:rPr>
        <w:t>dea ex machina.</w:t>
      </w:r>
    </w:p>
    <w:p w:rsidR="00827DD4" w:rsidRPr="00447C64" w:rsidRDefault="00827DD4" w:rsidP="00361DD8">
      <w:pPr>
        <w:spacing w:line="360" w:lineRule="auto"/>
        <w:ind w:firstLine="397"/>
        <w:jc w:val="both"/>
        <w:rPr>
          <w:rFonts w:ascii="Times New Roman" w:eastAsiaTheme="minorHAnsi" w:hAnsi="Times New Roman"/>
          <w:lang w:val="en-US"/>
        </w:rPr>
      </w:pPr>
    </w:p>
    <w:p w:rsidR="00827DD4" w:rsidRPr="005C5BD1" w:rsidRDefault="005C5BD1" w:rsidP="005C5BD1">
      <w:pPr>
        <w:spacing w:line="360" w:lineRule="auto"/>
        <w:jc w:val="both"/>
        <w:rPr>
          <w:rFonts w:ascii="Times New Roman" w:hAnsi="Times New Roman"/>
          <w:lang w:val="en-US"/>
        </w:rPr>
      </w:pPr>
      <w:r w:rsidRPr="005C5BD1">
        <w:rPr>
          <w:rFonts w:ascii="Times New Roman" w:hAnsi="Times New Roman"/>
          <w:lang w:val="en-US"/>
        </w:rPr>
        <w:t>4</w:t>
      </w:r>
      <w:r w:rsidR="00827DD4" w:rsidRPr="005C5BD1">
        <w:rPr>
          <w:rFonts w:ascii="Times New Roman" w:hAnsi="Times New Roman"/>
          <w:lang w:val="en-US"/>
        </w:rPr>
        <w:t>. Involuntary dismissal in the US Federal Rules of Civil Procedure</w:t>
      </w:r>
    </w:p>
    <w:p w:rsidR="00827DD4" w:rsidRDefault="00827DD4" w:rsidP="00361DD8">
      <w:pPr>
        <w:spacing w:line="360" w:lineRule="auto"/>
        <w:ind w:firstLine="397"/>
        <w:jc w:val="both"/>
        <w:rPr>
          <w:rFonts w:ascii="Times New Roman" w:hAnsi="Times New Roman"/>
          <w:u w:val="single"/>
          <w:lang w:val="en-US"/>
        </w:rPr>
      </w:pPr>
    </w:p>
    <w:p w:rsidR="00BF5AD6" w:rsidRPr="005C5BD1" w:rsidRDefault="00BF5AD6" w:rsidP="00361DD8">
      <w:pPr>
        <w:spacing w:line="360" w:lineRule="auto"/>
        <w:ind w:firstLine="397"/>
        <w:jc w:val="both"/>
        <w:rPr>
          <w:rFonts w:ascii="Times New Roman" w:hAnsi="Times New Roman"/>
          <w:lang w:val="en-US"/>
        </w:rPr>
      </w:pPr>
      <w:r w:rsidRPr="005C5BD1">
        <w:rPr>
          <w:rFonts w:ascii="Times New Roman" w:hAnsi="Times New Roman"/>
          <w:lang w:val="en-US"/>
        </w:rPr>
        <w:t>The position in the United States with regards to the compliance rule is deceptively simple, much more so than in England. It is therefore a good starting point to draw out the main issues that arise with the rule.</w:t>
      </w:r>
    </w:p>
    <w:p w:rsidR="00BF5AD6" w:rsidRPr="00447C64" w:rsidRDefault="00BF5AD6" w:rsidP="00361DD8">
      <w:pPr>
        <w:spacing w:line="360" w:lineRule="auto"/>
        <w:ind w:firstLine="397"/>
        <w:jc w:val="both"/>
        <w:rPr>
          <w:rFonts w:ascii="Times New Roman" w:hAnsi="Times New Roman"/>
          <w:u w:val="single"/>
          <w:lang w:val="en-US"/>
        </w:rPr>
      </w:pPr>
    </w:p>
    <w:p w:rsidR="00827DD4" w:rsidRPr="00447C64" w:rsidRDefault="003D40E1" w:rsidP="00361DD8">
      <w:pPr>
        <w:spacing w:line="360" w:lineRule="auto"/>
        <w:ind w:firstLine="397"/>
        <w:jc w:val="both"/>
        <w:rPr>
          <w:rFonts w:ascii="Times New Roman" w:hAnsi="Times New Roman"/>
          <w:color w:val="000000"/>
          <w:szCs w:val="20"/>
          <w:lang w:val="en-US"/>
        </w:rPr>
      </w:pPr>
      <w:r w:rsidRPr="003D40E1">
        <w:rPr>
          <w:rFonts w:ascii="Times New Roman" w:hAnsi="Times New Roman"/>
          <w:color w:val="000000"/>
          <w:szCs w:val="20"/>
          <w:lang w:val="en-US"/>
        </w:rPr>
        <w:t xml:space="preserve">Rule 41(b) provides:  </w:t>
      </w:r>
    </w:p>
    <w:p w:rsidR="00EA5BE7" w:rsidRDefault="003D40E1">
      <w:pPr>
        <w:spacing w:after="120"/>
        <w:ind w:left="454" w:right="454" w:firstLine="57"/>
        <w:jc w:val="both"/>
        <w:rPr>
          <w:rFonts w:ascii="Times New Roman" w:hAnsi="Times New Roman"/>
          <w:color w:val="000000"/>
          <w:szCs w:val="20"/>
          <w:lang w:val="en-US"/>
        </w:rPr>
      </w:pPr>
      <w:r w:rsidRPr="003D40E1">
        <w:rPr>
          <w:rFonts w:ascii="Times New Roman" w:hAnsi="Times New Roman"/>
          <w:color w:val="000000"/>
          <w:szCs w:val="20"/>
          <w:lang w:val="en-US"/>
        </w:rPr>
        <w:t xml:space="preserve">Involuntary Dismissal: Effect Thereof. </w:t>
      </w:r>
    </w:p>
    <w:p w:rsidR="00EA5BE7" w:rsidRDefault="003D40E1">
      <w:pPr>
        <w:spacing w:after="120"/>
        <w:ind w:left="454" w:right="454" w:firstLine="57"/>
        <w:jc w:val="both"/>
        <w:rPr>
          <w:rFonts w:ascii="Times New Roman" w:hAnsi="Times New Roman"/>
          <w:color w:val="000000"/>
          <w:szCs w:val="20"/>
          <w:lang w:val="en-US"/>
        </w:rPr>
      </w:pPr>
      <w:r w:rsidRPr="003D40E1">
        <w:rPr>
          <w:rFonts w:ascii="Times New Roman" w:hAnsi="Times New Roman"/>
          <w:color w:val="000000"/>
          <w:szCs w:val="20"/>
          <w:lang w:val="en-US"/>
        </w:rPr>
        <w:t xml:space="preserve">For failure of the plaintiff to prosecute or </w:t>
      </w:r>
      <w:r w:rsidRPr="00007B05">
        <w:rPr>
          <w:rFonts w:ascii="Times New Roman" w:hAnsi="Times New Roman"/>
          <w:color w:val="000000"/>
          <w:szCs w:val="20"/>
          <w:lang w:val="en-US"/>
        </w:rPr>
        <w:t>to comply with these rules or any order of court,</w:t>
      </w:r>
      <w:r w:rsidRPr="003D40E1">
        <w:rPr>
          <w:rFonts w:ascii="Times New Roman" w:hAnsi="Times New Roman"/>
          <w:color w:val="000000"/>
          <w:szCs w:val="20"/>
          <w:lang w:val="en-US"/>
        </w:rPr>
        <w:t xml:space="preserve"> a defendant may move for dismissal of an action or of any claim against him. </w:t>
      </w:r>
    </w:p>
    <w:p w:rsidR="00EA5BE7" w:rsidRDefault="003D40E1">
      <w:pPr>
        <w:spacing w:after="120"/>
        <w:ind w:left="454" w:right="454" w:firstLine="57"/>
        <w:jc w:val="both"/>
        <w:rPr>
          <w:rFonts w:ascii="Times New Roman" w:hAnsi="Times New Roman"/>
          <w:color w:val="000000"/>
          <w:szCs w:val="20"/>
          <w:lang w:val="en-US"/>
        </w:rPr>
      </w:pPr>
      <w:r w:rsidRPr="003D40E1">
        <w:rPr>
          <w:rFonts w:ascii="Times New Roman" w:hAnsi="Times New Roman"/>
          <w:color w:val="000000"/>
          <w:szCs w:val="20"/>
          <w:lang w:val="en-US"/>
        </w:rPr>
        <w:t>Unless the court in its order for dismissal otherwise specifies, a dismissal under this subdivision and any dismissal not provided for in this rule, other than a dismissal for lack of jurisdiction or for improper venue, operates as an adjudication up</w:t>
      </w:r>
      <w:r w:rsidR="00007B05">
        <w:rPr>
          <w:rFonts w:ascii="Times New Roman" w:hAnsi="Times New Roman"/>
          <w:color w:val="000000"/>
          <w:szCs w:val="20"/>
          <w:lang w:val="en-US"/>
        </w:rPr>
        <w:t>on the merits.</w:t>
      </w:r>
      <w:r w:rsidRPr="003D40E1">
        <w:rPr>
          <w:rFonts w:ascii="Times New Roman" w:hAnsi="Times New Roman"/>
          <w:color w:val="000000"/>
          <w:szCs w:val="20"/>
          <w:lang w:val="en-US"/>
        </w:rPr>
        <w:t xml:space="preserve"> </w:t>
      </w:r>
    </w:p>
    <w:p w:rsidR="00BF5AD6" w:rsidRDefault="00BF5AD6" w:rsidP="00361DD8">
      <w:pPr>
        <w:spacing w:line="360" w:lineRule="auto"/>
        <w:ind w:firstLine="397"/>
        <w:jc w:val="both"/>
        <w:rPr>
          <w:rFonts w:ascii="Times New Roman" w:hAnsi="Times New Roman"/>
        </w:rPr>
      </w:pPr>
    </w:p>
    <w:p w:rsidR="00827DD4" w:rsidRPr="00447C64" w:rsidRDefault="00F71A37" w:rsidP="00361DD8">
      <w:pPr>
        <w:spacing w:line="360" w:lineRule="auto"/>
        <w:ind w:firstLine="397"/>
        <w:jc w:val="both"/>
        <w:rPr>
          <w:rFonts w:ascii="Times New Roman" w:hAnsi="Times New Roman"/>
        </w:rPr>
      </w:pPr>
      <w:r>
        <w:rPr>
          <w:rFonts w:ascii="Times New Roman" w:hAnsi="Times New Roman"/>
        </w:rPr>
        <w:t xml:space="preserve">Although the rule is couched in general terms, amongst the provisions </w:t>
      </w:r>
      <w:r w:rsidR="003D40E1" w:rsidRPr="003D40E1">
        <w:rPr>
          <w:rFonts w:ascii="Times New Roman" w:hAnsi="Times New Roman"/>
        </w:rPr>
        <w:t xml:space="preserve">in the Fed. R. Civ. P. </w:t>
      </w:r>
      <w:r>
        <w:rPr>
          <w:rFonts w:ascii="Times New Roman" w:hAnsi="Times New Roman"/>
        </w:rPr>
        <w:t xml:space="preserve">it is rarely used to justify or apply </w:t>
      </w:r>
      <w:r w:rsidR="003D40E1" w:rsidRPr="003D40E1">
        <w:rPr>
          <w:rFonts w:ascii="Times New Roman" w:hAnsi="Times New Roman"/>
        </w:rPr>
        <w:t xml:space="preserve">sanctions for disobeying the rules themselves. Several </w:t>
      </w:r>
      <w:r>
        <w:rPr>
          <w:rFonts w:ascii="Times New Roman" w:hAnsi="Times New Roman"/>
        </w:rPr>
        <w:t>other, more specific</w:t>
      </w:r>
      <w:r w:rsidRPr="003D40E1">
        <w:rPr>
          <w:rFonts w:ascii="Times New Roman" w:hAnsi="Times New Roman"/>
        </w:rPr>
        <w:t xml:space="preserve"> </w:t>
      </w:r>
      <w:r w:rsidR="003D40E1" w:rsidRPr="003D40E1">
        <w:rPr>
          <w:rFonts w:ascii="Times New Roman" w:hAnsi="Times New Roman"/>
        </w:rPr>
        <w:t xml:space="preserve">Rules </w:t>
      </w:r>
      <w:r>
        <w:rPr>
          <w:rFonts w:ascii="Times New Roman" w:hAnsi="Times New Roman"/>
        </w:rPr>
        <w:t xml:space="preserve">allow for </w:t>
      </w:r>
      <w:r w:rsidR="003D40E1" w:rsidRPr="003D40E1">
        <w:rPr>
          <w:rFonts w:ascii="Times New Roman" w:hAnsi="Times New Roman"/>
        </w:rPr>
        <w:t>the explicit possibility of sanctions for non-compliance, the most notable being Rule 11, which imposes on the attorney a duty of honest belief in the legal grounding of the claim;</w:t>
      </w:r>
      <w:r w:rsidR="008E05F3">
        <w:rPr>
          <w:rStyle w:val="FootnoteReference"/>
          <w:rFonts w:ascii="Times New Roman" w:hAnsi="Times New Roman"/>
        </w:rPr>
        <w:footnoteReference w:id="25"/>
      </w:r>
      <w:r w:rsidR="003D40E1" w:rsidRPr="003D40E1">
        <w:rPr>
          <w:rFonts w:ascii="Times New Roman" w:hAnsi="Times New Roman"/>
        </w:rPr>
        <w:t xml:space="preserve"> and Rule 37(b) which imposes a series of specific sanctions which the court may order for failure to obey a discovery order. These include striking pleadings, dismissing the action or part of it, and giving a default judgment against the disobedient party, as well as preventing the disobedient party from relying on some claims or defences and staying proceedings.</w:t>
      </w:r>
      <w:bookmarkStart w:id="7" w:name="_Ref232395016"/>
      <w:r w:rsidR="008E05F3">
        <w:rPr>
          <w:rStyle w:val="FootnoteReference"/>
          <w:rFonts w:ascii="Times New Roman" w:hAnsi="Times New Roman"/>
        </w:rPr>
        <w:footnoteReference w:id="26"/>
      </w:r>
      <w:bookmarkEnd w:id="7"/>
      <w:r w:rsidR="003D40E1" w:rsidRPr="003D40E1">
        <w:rPr>
          <w:rFonts w:ascii="Times New Roman" w:hAnsi="Times New Roman"/>
        </w:rPr>
        <w:t xml:space="preserve"> </w:t>
      </w:r>
      <w:r>
        <w:rPr>
          <w:rFonts w:ascii="Times New Roman" w:hAnsi="Times New Roman"/>
        </w:rPr>
        <w:t>While the</w:t>
      </w:r>
      <w:r w:rsidR="00716CEE">
        <w:rPr>
          <w:rFonts w:ascii="Times New Roman" w:hAnsi="Times New Roman"/>
        </w:rPr>
        <w:t xml:space="preserve"> latter rules</w:t>
      </w:r>
      <w:r>
        <w:rPr>
          <w:rFonts w:ascii="Times New Roman" w:hAnsi="Times New Roman"/>
        </w:rPr>
        <w:t xml:space="preserve"> have been the object of intense debate, especially when subject to amendment,</w:t>
      </w:r>
      <w:r w:rsidR="00716CEE">
        <w:rPr>
          <w:rFonts w:ascii="Times New Roman" w:hAnsi="Times New Roman"/>
        </w:rPr>
        <w:t xml:space="preserve"> in part because of </w:t>
      </w:r>
      <w:r>
        <w:rPr>
          <w:rFonts w:ascii="Times New Roman" w:hAnsi="Times New Roman"/>
        </w:rPr>
        <w:t xml:space="preserve">specific </w:t>
      </w:r>
      <w:r w:rsidR="00716CEE">
        <w:rPr>
          <w:rFonts w:ascii="Times New Roman" w:hAnsi="Times New Roman"/>
        </w:rPr>
        <w:t xml:space="preserve">constitutional requirements, such as </w:t>
      </w:r>
      <w:r w:rsidR="00263E79">
        <w:rPr>
          <w:rFonts w:ascii="Times New Roman" w:hAnsi="Times New Roman"/>
        </w:rPr>
        <w:t>due process</w:t>
      </w:r>
      <w:r w:rsidR="00716CEE">
        <w:rPr>
          <w:rFonts w:ascii="Times New Roman" w:hAnsi="Times New Roman"/>
        </w:rPr>
        <w:t xml:space="preserve">, </w:t>
      </w:r>
      <w:r>
        <w:rPr>
          <w:rFonts w:ascii="Times New Roman" w:hAnsi="Times New Roman"/>
        </w:rPr>
        <w:t>such issues</w:t>
      </w:r>
      <w:r w:rsidR="00716CEE">
        <w:rPr>
          <w:rFonts w:ascii="Times New Roman" w:hAnsi="Times New Roman"/>
        </w:rPr>
        <w:t xml:space="preserve"> have not </w:t>
      </w:r>
      <w:r w:rsidR="00103B93">
        <w:rPr>
          <w:rFonts w:ascii="Times New Roman" w:hAnsi="Times New Roman"/>
        </w:rPr>
        <w:t xml:space="preserve">excessively </w:t>
      </w:r>
      <w:r w:rsidR="00716CEE">
        <w:rPr>
          <w:rFonts w:ascii="Times New Roman" w:hAnsi="Times New Roman"/>
        </w:rPr>
        <w:t xml:space="preserve">troubled the Court and the commentators with regards to Rule 41. Indeed, </w:t>
      </w:r>
      <w:r>
        <w:rPr>
          <w:rFonts w:ascii="Times New Roman" w:hAnsi="Times New Roman"/>
        </w:rPr>
        <w:t>sometimes</w:t>
      </w:r>
      <w:r w:rsidR="00716CEE" w:rsidRPr="00447C64">
        <w:rPr>
          <w:rFonts w:ascii="Times New Roman" w:hAnsi="Times New Roman"/>
        </w:rPr>
        <w:t xml:space="preserve"> </w:t>
      </w:r>
      <w:r w:rsidR="00827DD4" w:rsidRPr="00447C64">
        <w:rPr>
          <w:rFonts w:ascii="Times New Roman" w:hAnsi="Times New Roman"/>
        </w:rPr>
        <w:t>sanctions take the form of costs orders against the opposing party,</w:t>
      </w:r>
      <w:bookmarkStart w:id="8" w:name="_Ref232394907"/>
      <w:r w:rsidR="00827DD4" w:rsidRPr="00447C64">
        <w:rPr>
          <w:rStyle w:val="FootnoteReference"/>
          <w:rFonts w:ascii="Times New Roman" w:hAnsi="Times New Roman"/>
        </w:rPr>
        <w:footnoteReference w:id="27"/>
      </w:r>
      <w:bookmarkEnd w:id="8"/>
      <w:r w:rsidR="00827DD4" w:rsidRPr="00447C64">
        <w:rPr>
          <w:rFonts w:ascii="Times New Roman" w:hAnsi="Times New Roman"/>
        </w:rPr>
        <w:t xml:space="preserve"> or even against the lawyer of the party rather than the party herself</w:t>
      </w:r>
      <w:r>
        <w:rPr>
          <w:rFonts w:ascii="Times New Roman" w:hAnsi="Times New Roman"/>
        </w:rPr>
        <w:t>, in which case</w:t>
      </w:r>
      <w:r w:rsidR="00827DD4" w:rsidRPr="00447C64">
        <w:rPr>
          <w:rFonts w:ascii="Times New Roman" w:hAnsi="Times New Roman"/>
        </w:rPr>
        <w:t xml:space="preserve"> the discussion becomes coloured by considerations concerning such essential features of American civil procedure as the attorney fee regime or the encouragement of private enforcement of general utility statutes.</w:t>
      </w:r>
      <w:r w:rsidR="00827DD4" w:rsidRPr="00447C64">
        <w:rPr>
          <w:rStyle w:val="FootnoteReference"/>
          <w:rFonts w:ascii="Times New Roman" w:hAnsi="Times New Roman"/>
        </w:rPr>
        <w:footnoteReference w:id="28"/>
      </w:r>
      <w:r w:rsidR="00827DD4" w:rsidRPr="00447C64">
        <w:rPr>
          <w:rFonts w:ascii="Times New Roman" w:hAnsi="Times New Roman"/>
        </w:rPr>
        <w:t xml:space="preserve"> </w:t>
      </w:r>
    </w:p>
    <w:p w:rsidR="00827DD4" w:rsidRPr="00447C64" w:rsidRDefault="00103B93" w:rsidP="00F71A37">
      <w:pPr>
        <w:spacing w:line="360" w:lineRule="auto"/>
        <w:ind w:firstLine="397"/>
        <w:jc w:val="both"/>
        <w:rPr>
          <w:rFonts w:ascii="Times New Roman" w:hAnsi="Times New Roman"/>
        </w:rPr>
      </w:pPr>
      <w:r>
        <w:rPr>
          <w:rFonts w:ascii="Times New Roman" w:hAnsi="Times New Roman"/>
        </w:rPr>
        <w:t xml:space="preserve">As long as </w:t>
      </w:r>
      <w:r w:rsidR="004D4D87">
        <w:rPr>
          <w:rFonts w:ascii="Times New Roman" w:hAnsi="Times New Roman"/>
        </w:rPr>
        <w:t xml:space="preserve">one bears </w:t>
      </w:r>
      <w:r>
        <w:rPr>
          <w:rFonts w:ascii="Times New Roman" w:hAnsi="Times New Roman"/>
        </w:rPr>
        <w:t xml:space="preserve">in mind the fundamental constitutional </w:t>
      </w:r>
      <w:r w:rsidR="004D4D87">
        <w:rPr>
          <w:rFonts w:ascii="Times New Roman" w:hAnsi="Times New Roman"/>
        </w:rPr>
        <w:t>importance of due process</w:t>
      </w:r>
      <w:r>
        <w:rPr>
          <w:rFonts w:ascii="Times New Roman" w:hAnsi="Times New Roman"/>
        </w:rPr>
        <w:t xml:space="preserve"> in the USA, which is not mirrored, structurally, in the UK’s compliance with the ECHR or even in traditional notions of </w:t>
      </w:r>
      <w:r w:rsidR="004D4D87">
        <w:rPr>
          <w:rFonts w:ascii="Times New Roman" w:hAnsi="Times New Roman"/>
        </w:rPr>
        <w:t>fair trial</w:t>
      </w:r>
      <w:r>
        <w:rPr>
          <w:rFonts w:ascii="Times New Roman" w:hAnsi="Times New Roman"/>
        </w:rPr>
        <w:t>, i</w:t>
      </w:r>
      <w:r w:rsidR="00827DD4" w:rsidRPr="00447C64">
        <w:rPr>
          <w:rFonts w:ascii="Times New Roman" w:hAnsi="Times New Roman"/>
        </w:rPr>
        <w:t xml:space="preserve">t is not necessary to go into such details in order to deal with the general problem, that is, the availability to a court of the discretion (or the obligation) to remove </w:t>
      </w:r>
      <w:r w:rsidR="004D4D87">
        <w:rPr>
          <w:rFonts w:ascii="Times New Roman" w:hAnsi="Times New Roman"/>
        </w:rPr>
        <w:t xml:space="preserve">from </w:t>
      </w:r>
      <w:r w:rsidR="00827DD4" w:rsidRPr="00447C64">
        <w:rPr>
          <w:rFonts w:ascii="Times New Roman" w:hAnsi="Times New Roman"/>
        </w:rPr>
        <w:t xml:space="preserve">the litigant the only possibility of achieving a substantive determination of his legal position. Questions of litigant or attorney fault and questions of degree of sanctioning merely follow on from the more essential issue: on what basis it can ever be appropriate to consider, in the application of the very rules for the determination of a claim, that such claim may be discontinued for a violation of those rules. </w:t>
      </w:r>
      <w:r w:rsidR="00716CEE">
        <w:rPr>
          <w:rFonts w:ascii="Times New Roman" w:hAnsi="Times New Roman"/>
        </w:rPr>
        <w:t xml:space="preserve">In </w:t>
      </w:r>
      <w:r w:rsidR="004D4D87">
        <w:rPr>
          <w:rFonts w:ascii="Times New Roman" w:hAnsi="Times New Roman"/>
        </w:rPr>
        <w:t xml:space="preserve">American </w:t>
      </w:r>
      <w:r w:rsidR="00716CEE">
        <w:rPr>
          <w:rFonts w:ascii="Times New Roman" w:hAnsi="Times New Roman"/>
        </w:rPr>
        <w:t>textbook treatments, the rule is either ignored or it is considered sel</w:t>
      </w:r>
      <w:r w:rsidR="001E1B3F">
        <w:rPr>
          <w:rFonts w:ascii="Times New Roman" w:hAnsi="Times New Roman"/>
        </w:rPr>
        <w:t>f-evident in order to avoid an ‘</w:t>
      </w:r>
      <w:r w:rsidR="00716CEE">
        <w:rPr>
          <w:rFonts w:ascii="Times New Roman" w:hAnsi="Times New Roman"/>
        </w:rPr>
        <w:t>inefficient system, if not an unfair on</w:t>
      </w:r>
      <w:r w:rsidR="001E1B3F">
        <w:rPr>
          <w:rFonts w:ascii="Times New Roman" w:hAnsi="Times New Roman"/>
        </w:rPr>
        <w:t>e’</w:t>
      </w:r>
      <w:r w:rsidR="00716CEE">
        <w:rPr>
          <w:rFonts w:ascii="Times New Roman" w:hAnsi="Times New Roman"/>
        </w:rPr>
        <w:t>.</w:t>
      </w:r>
      <w:r w:rsidR="00716CEE">
        <w:rPr>
          <w:rStyle w:val="FootnoteReference"/>
          <w:rFonts w:ascii="Times New Roman" w:hAnsi="Times New Roman"/>
        </w:rPr>
        <w:footnoteReference w:id="29"/>
      </w:r>
      <w:r w:rsidR="00716CEE">
        <w:rPr>
          <w:rFonts w:ascii="Times New Roman" w:hAnsi="Times New Roman"/>
        </w:rPr>
        <w:t xml:space="preserve"> On the specific rule, t</w:t>
      </w:r>
      <w:r w:rsidR="00827DD4" w:rsidRPr="00447C64">
        <w:rPr>
          <w:rFonts w:ascii="Times New Roman" w:hAnsi="Times New Roman"/>
        </w:rPr>
        <w:t>here has been little judicial and academic discussion, which centr</w:t>
      </w:r>
      <w:r w:rsidR="00716CEE">
        <w:rPr>
          <w:rFonts w:ascii="Times New Roman" w:hAnsi="Times New Roman"/>
        </w:rPr>
        <w:t>e</w:t>
      </w:r>
      <w:r w:rsidR="00827DD4" w:rsidRPr="00447C64">
        <w:rPr>
          <w:rFonts w:ascii="Times New Roman" w:hAnsi="Times New Roman"/>
        </w:rPr>
        <w:t xml:space="preserve">s on the case of </w:t>
      </w:r>
      <w:r w:rsidR="00827DD4" w:rsidRPr="00447C64">
        <w:rPr>
          <w:rFonts w:ascii="Times New Roman" w:hAnsi="Times New Roman"/>
          <w:i/>
        </w:rPr>
        <w:t>Link v Wabash</w:t>
      </w:r>
      <w:r w:rsidR="00827DD4" w:rsidRPr="00447C64">
        <w:rPr>
          <w:rFonts w:ascii="Times New Roman" w:hAnsi="Times New Roman"/>
        </w:rPr>
        <w:t>.</w:t>
      </w:r>
      <w:r w:rsidR="00827DD4" w:rsidRPr="00447C64">
        <w:rPr>
          <w:rStyle w:val="FootnoteReference"/>
          <w:rFonts w:ascii="Times New Roman" w:hAnsi="Times New Roman"/>
        </w:rPr>
        <w:footnoteReference w:id="30"/>
      </w:r>
      <w:r w:rsidR="00716CEE">
        <w:rPr>
          <w:rFonts w:ascii="Times New Roman" w:hAnsi="Times New Roman"/>
        </w:rPr>
        <w:t xml:space="preserve"> </w:t>
      </w:r>
      <w:r w:rsidR="00827DD4" w:rsidRPr="00447C64">
        <w:rPr>
          <w:rFonts w:ascii="Times New Roman" w:hAnsi="Times New Roman"/>
        </w:rPr>
        <w:t>In that case,</w:t>
      </w:r>
      <w:r w:rsidR="00827DD4" w:rsidRPr="00447C64">
        <w:rPr>
          <w:rStyle w:val="FootnoteReference"/>
          <w:rFonts w:ascii="Times New Roman" w:hAnsi="Times New Roman"/>
        </w:rPr>
        <w:footnoteReference w:id="31"/>
      </w:r>
      <w:r w:rsidR="00827DD4" w:rsidRPr="00447C64">
        <w:rPr>
          <w:rFonts w:ascii="Times New Roman" w:hAnsi="Times New Roman"/>
        </w:rPr>
        <w:t xml:space="preserve"> a 1962 Supreme Court decision, in an action arising out of a </w:t>
      </w:r>
      <w:r w:rsidR="00716CEE">
        <w:rPr>
          <w:rFonts w:ascii="Times New Roman" w:hAnsi="Times New Roman"/>
        </w:rPr>
        <w:t>traffic</w:t>
      </w:r>
      <w:r w:rsidR="00716CEE" w:rsidRPr="00447C64">
        <w:rPr>
          <w:rFonts w:ascii="Times New Roman" w:hAnsi="Times New Roman"/>
        </w:rPr>
        <w:t xml:space="preserve"> </w:t>
      </w:r>
      <w:r w:rsidR="00827DD4" w:rsidRPr="00447C64">
        <w:rPr>
          <w:rFonts w:ascii="Times New Roman" w:hAnsi="Times New Roman"/>
        </w:rPr>
        <w:t xml:space="preserve">accident, a majority of the Supreme Court, with an opinion written by Justice Harlan, held that the court’s power to dismiss for want of prosecution, in the application of Rule 41(b), was an inherent power of the court, which could be exercised </w:t>
      </w:r>
      <w:r w:rsidR="005A12F6" w:rsidRPr="00F71A37">
        <w:rPr>
          <w:rFonts w:ascii="Times New Roman" w:hAnsi="Times New Roman"/>
          <w:i/>
        </w:rPr>
        <w:t>sua sponte</w:t>
      </w:r>
      <w:r w:rsidR="005A12F6">
        <w:rPr>
          <w:rFonts w:ascii="Times New Roman" w:hAnsi="Times New Roman"/>
        </w:rPr>
        <w:t xml:space="preserve">, </w:t>
      </w:r>
      <w:r w:rsidR="00827DD4" w:rsidRPr="00447C64">
        <w:rPr>
          <w:rFonts w:ascii="Times New Roman" w:hAnsi="Times New Roman"/>
        </w:rPr>
        <w:t>without notice or an adversarial hearing. There could therefore not be a finding of abuse of discretion where the District Court had dismissed the case, six years after it had been commenced, when the plaintiff's counsel failed to appear at the duly scheduled pre-trial conference in view of the excuse offered and the prior history of the case.  Harlan J. wrote:</w:t>
      </w:r>
      <w:r w:rsidR="00827DD4" w:rsidRPr="00447C64">
        <w:rPr>
          <w:rStyle w:val="FootnoteReference"/>
          <w:rFonts w:ascii="Times New Roman" w:hAnsi="Times New Roman"/>
        </w:rPr>
        <w:footnoteReference w:id="32"/>
      </w:r>
    </w:p>
    <w:p w:rsidR="00EA5BE7" w:rsidRDefault="00827DD4">
      <w:pPr>
        <w:ind w:left="397" w:right="397" w:firstLine="397"/>
        <w:jc w:val="both"/>
        <w:rPr>
          <w:rStyle w:val="documentbody"/>
        </w:rPr>
      </w:pPr>
      <w:r w:rsidRPr="00447C64">
        <w:rPr>
          <w:rStyle w:val="documentbody"/>
          <w:rFonts w:ascii="Times New Roman" w:hAnsi="Times New Roman"/>
        </w:rPr>
        <w:t xml:space="preserve">The authority of a federal trial court to dismiss a plaintiff's action with prejudice because of his failure to prosecute cannot seriously be doubted. </w:t>
      </w:r>
      <w:bookmarkStart w:id="9" w:name="FN3"/>
      <w:bookmarkEnd w:id="9"/>
      <w:r w:rsidRPr="00447C64">
        <w:rPr>
          <w:rStyle w:val="documentbody"/>
          <w:rFonts w:ascii="Times New Roman" w:hAnsi="Times New Roman"/>
        </w:rPr>
        <w:t xml:space="preserve">The power to invoke this sanction is necessary in order to prevent undue delays in the disposition of pending cases and to avoid congestion </w:t>
      </w:r>
      <w:bookmarkStart w:id="10" w:name="sp_780_630"/>
      <w:bookmarkStart w:id="11" w:name="SDU_630"/>
      <w:bookmarkStart w:id="12" w:name="citeas((Cite_as:_370_U.S._626,_*630,_82_"/>
      <w:bookmarkEnd w:id="10"/>
      <w:bookmarkEnd w:id="11"/>
      <w:bookmarkEnd w:id="12"/>
      <w:r w:rsidRPr="00447C64">
        <w:rPr>
          <w:rStyle w:val="documentbody"/>
          <w:rFonts w:ascii="Times New Roman" w:hAnsi="Times New Roman"/>
        </w:rPr>
        <w:t xml:space="preserve">in the calendars of the District Courts. The power is of ancient origin, having its roots in judgments of nonsuit and non prosequitur entered at common law, e.g., 3 Blackstone, Commentaries (1768), 295-296, and dismissals for want of prosecution of bills in equity, e.g., id., at 451. It has been expressly recognized in Federal Rule of Civil Procedure 41(b). … Neither the permissive language of the Rule-which merely authorizes a motion by the defendant-nor its policy requires us to conclude that it was the purpose of the Rule to abrogate the power of courts, </w:t>
      </w:r>
      <w:bookmarkStart w:id="13" w:name="sp_708_1389"/>
      <w:bookmarkStart w:id="14" w:name="SDU_1389"/>
      <w:bookmarkEnd w:id="13"/>
      <w:bookmarkEnd w:id="14"/>
      <w:r w:rsidRPr="00447C64">
        <w:rPr>
          <w:rStyle w:val="documentbody"/>
          <w:rFonts w:ascii="Times New Roman" w:hAnsi="Times New Roman"/>
        </w:rPr>
        <w:t xml:space="preserve">acting on their own initiative, to clear their calendars of cases that have remained dormant because of the inaction or dilatoriness of the parties seeking relief. The authority of a court to dismiss sua sponte for lack of prosecution has generally been considered an ‘inherent power,’ governed not by rule or statute but by the control necessarily vested in courts to manage their own affairs so as to </w:t>
      </w:r>
      <w:bookmarkStart w:id="15" w:name="sp_780_631"/>
      <w:bookmarkStart w:id="16" w:name="SDU_631"/>
      <w:bookmarkStart w:id="17" w:name="citeas((Cite_as:_370_U.S._626,_*631,_82_"/>
      <w:bookmarkEnd w:id="15"/>
      <w:bookmarkEnd w:id="16"/>
      <w:bookmarkEnd w:id="17"/>
      <w:r w:rsidRPr="00447C64">
        <w:rPr>
          <w:rStyle w:val="documentbody"/>
          <w:rFonts w:ascii="Times New Roman" w:hAnsi="Times New Roman"/>
        </w:rPr>
        <w:t>achieve the orderly and expeditious disposition of cases.</w:t>
      </w:r>
    </w:p>
    <w:p w:rsidR="00827DD4" w:rsidRPr="00447C64" w:rsidRDefault="00827DD4" w:rsidP="00361DD8">
      <w:pPr>
        <w:spacing w:line="360" w:lineRule="auto"/>
        <w:ind w:firstLine="397"/>
        <w:jc w:val="both"/>
        <w:rPr>
          <w:rStyle w:val="documentbody"/>
        </w:rPr>
      </w:pPr>
    </w:p>
    <w:p w:rsidR="00827DD4" w:rsidRPr="00447C64" w:rsidRDefault="00827DD4" w:rsidP="00361DD8">
      <w:pPr>
        <w:spacing w:line="360" w:lineRule="auto"/>
        <w:ind w:firstLine="397"/>
        <w:jc w:val="both"/>
        <w:rPr>
          <w:rFonts w:ascii="Times New Roman" w:hAnsi="Times New Roman"/>
        </w:rPr>
      </w:pPr>
      <w:r w:rsidRPr="00447C64">
        <w:rPr>
          <w:rFonts w:ascii="Times New Roman" w:hAnsi="Times New Roman"/>
        </w:rPr>
        <w:t>Thus the rule recogni</w:t>
      </w:r>
      <w:r w:rsidR="00716CEE">
        <w:rPr>
          <w:rFonts w:ascii="Times New Roman" w:hAnsi="Times New Roman"/>
        </w:rPr>
        <w:t>s</w:t>
      </w:r>
      <w:r w:rsidRPr="00447C64">
        <w:rPr>
          <w:rFonts w:ascii="Times New Roman" w:hAnsi="Times New Roman"/>
        </w:rPr>
        <w:t>ed</w:t>
      </w:r>
      <w:r w:rsidR="00716CEE">
        <w:rPr>
          <w:rFonts w:ascii="Times New Roman" w:hAnsi="Times New Roman"/>
        </w:rPr>
        <w:t xml:space="preserve">, </w:t>
      </w:r>
      <w:r w:rsidRPr="00447C64">
        <w:rPr>
          <w:rFonts w:ascii="Times New Roman" w:hAnsi="Times New Roman"/>
        </w:rPr>
        <w:t>rather than created</w:t>
      </w:r>
      <w:r w:rsidR="00716CEE">
        <w:rPr>
          <w:rFonts w:ascii="Times New Roman" w:hAnsi="Times New Roman"/>
        </w:rPr>
        <w:t>,</w:t>
      </w:r>
      <w:r w:rsidRPr="00447C64">
        <w:rPr>
          <w:rFonts w:ascii="Times New Roman" w:hAnsi="Times New Roman"/>
        </w:rPr>
        <w:t xml:space="preserve"> the power to dismiss, and therefore the court was not bound </w:t>
      </w:r>
      <w:r w:rsidR="00F71A37">
        <w:rPr>
          <w:rFonts w:ascii="Times New Roman" w:hAnsi="Times New Roman"/>
        </w:rPr>
        <w:t xml:space="preserve">by </w:t>
      </w:r>
      <w:r w:rsidRPr="00447C64">
        <w:rPr>
          <w:rFonts w:ascii="Times New Roman" w:hAnsi="Times New Roman"/>
        </w:rPr>
        <w:t xml:space="preserve">the </w:t>
      </w:r>
      <w:r w:rsidR="00F71A37">
        <w:rPr>
          <w:rFonts w:ascii="Times New Roman" w:hAnsi="Times New Roman"/>
        </w:rPr>
        <w:t xml:space="preserve">literal import of the </w:t>
      </w:r>
      <w:r w:rsidRPr="00447C64">
        <w:rPr>
          <w:rFonts w:ascii="Times New Roman" w:hAnsi="Times New Roman"/>
        </w:rPr>
        <w:t>rule.</w:t>
      </w:r>
      <w:bookmarkStart w:id="18" w:name="_Ref232407609"/>
      <w:r w:rsidR="00F71A37">
        <w:rPr>
          <w:rStyle w:val="FootnoteReference"/>
          <w:rFonts w:ascii="Times New Roman" w:hAnsi="Times New Roman"/>
        </w:rPr>
        <w:footnoteReference w:id="33"/>
      </w:r>
      <w:bookmarkEnd w:id="18"/>
      <w:r w:rsidRPr="00447C64">
        <w:rPr>
          <w:rFonts w:ascii="Times New Roman" w:hAnsi="Times New Roman"/>
        </w:rPr>
        <w:t xml:space="preserve"> The danger of course is that by maintaining the existence of an inherent power even where there is an explicit rule, the court can extend or limit the scope of this or other rules based on policies that are not explicit, as was the case in </w:t>
      </w:r>
      <w:r w:rsidRPr="00447C64">
        <w:rPr>
          <w:rFonts w:ascii="Times New Roman" w:hAnsi="Times New Roman"/>
          <w:i/>
        </w:rPr>
        <w:t>Chambers v NASCO</w:t>
      </w:r>
      <w:r w:rsidRPr="00447C64">
        <w:rPr>
          <w:rFonts w:ascii="Times New Roman" w:hAnsi="Times New Roman"/>
        </w:rPr>
        <w:t>.</w:t>
      </w:r>
      <w:r w:rsidR="00716CEE">
        <w:rPr>
          <w:rStyle w:val="FootnoteReference"/>
          <w:rFonts w:ascii="Times New Roman" w:hAnsi="Times New Roman"/>
        </w:rPr>
        <w:footnoteReference w:id="34"/>
      </w:r>
      <w:r w:rsidR="00716CEE">
        <w:rPr>
          <w:rFonts w:ascii="Times New Roman" w:hAnsi="Times New Roman"/>
        </w:rPr>
        <w:t xml:space="preserve"> </w:t>
      </w:r>
      <w:r w:rsidR="00103B93">
        <w:rPr>
          <w:rFonts w:ascii="Times New Roman" w:hAnsi="Times New Roman"/>
        </w:rPr>
        <w:t>There,</w:t>
      </w:r>
      <w:r w:rsidR="003D40E1" w:rsidRPr="003D40E1">
        <w:rPr>
          <w:rFonts w:ascii="Times New Roman" w:hAnsi="Times New Roman"/>
        </w:rPr>
        <w:t xml:space="preserve"> the extent of the inherent power was held to be due to </w:t>
      </w:r>
      <w:r w:rsidR="005A12F6">
        <w:rPr>
          <w:rFonts w:ascii="Times New Roman" w:eastAsiaTheme="minorHAnsi" w:hAnsi="Times New Roman" w:cs="Times"/>
          <w:lang w:val="en-US"/>
        </w:rPr>
        <w:t xml:space="preserve">the fact </w:t>
      </w:r>
      <w:r w:rsidR="0023788E">
        <w:rPr>
          <w:rFonts w:ascii="Times New Roman" w:eastAsiaTheme="minorHAnsi" w:hAnsi="Times New Roman" w:cs="Times"/>
          <w:lang w:val="en-US"/>
        </w:rPr>
        <w:t>that ‘</w:t>
      </w:r>
      <w:r w:rsidR="003D40E1" w:rsidRPr="003D40E1">
        <w:rPr>
          <w:rFonts w:ascii="Times New Roman" w:eastAsiaTheme="minorHAnsi" w:hAnsi="Times New Roman" w:cs="Times"/>
          <w:lang w:val="en-US"/>
        </w:rPr>
        <w:t>[c]ertain implied powers must necessarily result to our Courts of justice from t</w:t>
      </w:r>
      <w:r w:rsidR="0023788E">
        <w:rPr>
          <w:rFonts w:ascii="Times New Roman" w:eastAsiaTheme="minorHAnsi" w:hAnsi="Times New Roman" w:cs="Times"/>
          <w:lang w:val="en-US"/>
        </w:rPr>
        <w:t>he nature of their institution,’ powers ‘</w:t>
      </w:r>
      <w:r w:rsidR="003D40E1" w:rsidRPr="003D40E1">
        <w:rPr>
          <w:rFonts w:ascii="Times New Roman" w:eastAsiaTheme="minorHAnsi" w:hAnsi="Times New Roman" w:cs="Times"/>
          <w:lang w:val="en-US"/>
        </w:rPr>
        <w:t>which cannot be dispensed with in a Court, because they are necessary to the exercise of all others.</w:t>
      </w:r>
      <w:r w:rsidR="0023788E">
        <w:rPr>
          <w:rFonts w:ascii="Times New Roman" w:eastAsiaTheme="minorHAnsi" w:hAnsi="Times New Roman" w:cs="Times"/>
          <w:lang w:val="en-US"/>
        </w:rPr>
        <w:t>’</w:t>
      </w:r>
      <w:r w:rsidRPr="00447C64">
        <w:rPr>
          <w:rStyle w:val="FootnoteReference"/>
          <w:rFonts w:ascii="Times New Roman" w:hAnsi="Times New Roman"/>
        </w:rPr>
        <w:footnoteReference w:id="35"/>
      </w:r>
      <w:r w:rsidRPr="00447C64">
        <w:rPr>
          <w:rFonts w:ascii="Times New Roman" w:hAnsi="Times New Roman"/>
        </w:rPr>
        <w:t xml:space="preserve"> </w:t>
      </w:r>
    </w:p>
    <w:p w:rsidR="00827DD4" w:rsidRPr="00447C64" w:rsidRDefault="00827DD4" w:rsidP="00361DD8">
      <w:pPr>
        <w:spacing w:line="360" w:lineRule="auto"/>
        <w:ind w:firstLine="397"/>
        <w:jc w:val="both"/>
        <w:rPr>
          <w:rFonts w:ascii="Times New Roman" w:hAnsi="Times New Roman"/>
        </w:rPr>
      </w:pPr>
      <w:r w:rsidRPr="00447C64">
        <w:rPr>
          <w:rFonts w:ascii="Times New Roman" w:hAnsi="Times New Roman"/>
        </w:rPr>
        <w:t xml:space="preserve">Harlan J.’s </w:t>
      </w:r>
      <w:r w:rsidR="00F71A37">
        <w:rPr>
          <w:rFonts w:ascii="Times New Roman" w:hAnsi="Times New Roman"/>
        </w:rPr>
        <w:t>speech</w:t>
      </w:r>
      <w:r w:rsidR="0023788E">
        <w:rPr>
          <w:rFonts w:ascii="Times New Roman" w:hAnsi="Times New Roman"/>
        </w:rPr>
        <w:t xml:space="preserve"> in </w:t>
      </w:r>
      <w:r w:rsidR="0023788E">
        <w:rPr>
          <w:rFonts w:ascii="Times New Roman" w:hAnsi="Times New Roman"/>
          <w:i/>
        </w:rPr>
        <w:t>Link v Wabash</w:t>
      </w:r>
      <w:r w:rsidRPr="00447C64">
        <w:rPr>
          <w:rFonts w:ascii="Times New Roman" w:hAnsi="Times New Roman"/>
        </w:rPr>
        <w:t xml:space="preserve"> is interesting for several reasons. Firstly, it states (by circular reference to the rule) that there is a </w:t>
      </w:r>
      <w:r w:rsidR="005A12F6">
        <w:rPr>
          <w:rFonts w:ascii="Times New Roman" w:hAnsi="Times New Roman"/>
        </w:rPr>
        <w:t>‘</w:t>
      </w:r>
      <w:r w:rsidRPr="00447C64">
        <w:rPr>
          <w:rFonts w:ascii="Times New Roman" w:hAnsi="Times New Roman"/>
        </w:rPr>
        <w:t>self-evident</w:t>
      </w:r>
      <w:r w:rsidR="005A12F6">
        <w:rPr>
          <w:rFonts w:ascii="Times New Roman" w:hAnsi="Times New Roman"/>
        </w:rPr>
        <w:t>’</w:t>
      </w:r>
      <w:r w:rsidRPr="00447C64">
        <w:rPr>
          <w:rFonts w:ascii="Times New Roman" w:hAnsi="Times New Roman"/>
        </w:rPr>
        <w:t xml:space="preserve"> and inherent power. Secondly, it refuses the idea that enshrining the power – or some effect of it – into a Rule would have exhausted it. Thirdly, it calls upon the argument of historical authority to bolster its claims. Finally, and most importantly for the present discussion, it gives as a rationale the power of the courts to regulate their own business, if necessary to the extent of streamlining </w:t>
      </w:r>
      <w:r w:rsidR="005A12F6">
        <w:rPr>
          <w:rFonts w:ascii="Times New Roman" w:hAnsi="Times New Roman"/>
        </w:rPr>
        <w:t>their</w:t>
      </w:r>
      <w:r w:rsidRPr="00447C64">
        <w:rPr>
          <w:rFonts w:ascii="Times New Roman" w:hAnsi="Times New Roman"/>
        </w:rPr>
        <w:t xml:space="preserve"> dockets, in order to achieve orderly and expeditious disposition of cases. </w:t>
      </w:r>
    </w:p>
    <w:p w:rsidR="00827DD4" w:rsidRPr="00447C64" w:rsidRDefault="00827DD4" w:rsidP="00361DD8">
      <w:pPr>
        <w:spacing w:line="360" w:lineRule="auto"/>
        <w:ind w:firstLine="397"/>
        <w:jc w:val="both"/>
        <w:rPr>
          <w:rFonts w:ascii="Times New Roman" w:hAnsi="Times New Roman"/>
        </w:rPr>
      </w:pPr>
      <w:r w:rsidRPr="00447C64">
        <w:rPr>
          <w:rFonts w:ascii="Times New Roman" w:hAnsi="Times New Roman"/>
        </w:rPr>
        <w:t>There was a strong dissenting opinion from Justice Black, with whom Chief Justice Warren concurred (Justice Douglas merely dissented). Justice Black began by agreeing with the single dissenting judge in the Court of Appeals, who had said</w:t>
      </w:r>
    </w:p>
    <w:p w:rsidR="00827DD4" w:rsidRPr="00447C64" w:rsidRDefault="00827DD4" w:rsidP="00361DD8">
      <w:pPr>
        <w:spacing w:line="360" w:lineRule="auto"/>
        <w:ind w:firstLine="397"/>
        <w:jc w:val="both"/>
        <w:rPr>
          <w:rFonts w:ascii="Times New Roman" w:hAnsi="Times New Roman"/>
        </w:rPr>
      </w:pPr>
    </w:p>
    <w:p w:rsidR="00EA5BE7" w:rsidRDefault="00827DD4">
      <w:pPr>
        <w:ind w:left="397" w:right="397" w:firstLine="397"/>
        <w:jc w:val="both"/>
        <w:rPr>
          <w:rStyle w:val="documentbody"/>
        </w:rPr>
      </w:pPr>
      <w:r w:rsidRPr="00447C64">
        <w:rPr>
          <w:rStyle w:val="documentbody"/>
          <w:rFonts w:ascii="Times New Roman" w:hAnsi="Times New Roman"/>
        </w:rPr>
        <w:t>Plaintiff's cause of action was his property. It has been destroyed. The district court, to punish a lawyer, has confiscated another's property without process of law, which offends the constitution. A district court does not lack disciplinary authority over an attorney and there is no justification, moral or legal, for its punishment of an innocent litigant for the personal conduct of his counsel.</w:t>
      </w:r>
      <w:r w:rsidRPr="00447C64">
        <w:rPr>
          <w:rStyle w:val="FootnoteReference"/>
          <w:rFonts w:ascii="Times New Roman" w:hAnsi="Times New Roman"/>
        </w:rPr>
        <w:footnoteReference w:id="36"/>
      </w:r>
      <w:r w:rsidRPr="00447C64">
        <w:rPr>
          <w:rStyle w:val="documentbody"/>
          <w:rFonts w:ascii="Times New Roman" w:hAnsi="Times New Roman"/>
        </w:rPr>
        <w:t xml:space="preserve"> </w:t>
      </w:r>
    </w:p>
    <w:p w:rsidR="00827DD4" w:rsidRPr="00447C64" w:rsidRDefault="00827DD4" w:rsidP="00361DD8">
      <w:pPr>
        <w:spacing w:line="360" w:lineRule="auto"/>
        <w:ind w:firstLine="397"/>
        <w:jc w:val="both"/>
        <w:rPr>
          <w:rStyle w:val="documentbody"/>
        </w:rPr>
      </w:pPr>
    </w:p>
    <w:p w:rsidR="00827DD4" w:rsidRPr="00447C64" w:rsidRDefault="00827DD4" w:rsidP="00361DD8">
      <w:pPr>
        <w:spacing w:line="360" w:lineRule="auto"/>
        <w:ind w:firstLine="397"/>
        <w:jc w:val="both"/>
        <w:rPr>
          <w:rFonts w:ascii="Times New Roman" w:hAnsi="Times New Roman"/>
          <w:color w:val="000000"/>
          <w:szCs w:val="20"/>
          <w:lang w:val="en-US"/>
        </w:rPr>
      </w:pPr>
      <w:r w:rsidRPr="00447C64">
        <w:rPr>
          <w:rStyle w:val="documentbody"/>
          <w:rFonts w:ascii="Times New Roman" w:hAnsi="Times New Roman"/>
        </w:rPr>
        <w:t xml:space="preserve">He then went on to </w:t>
      </w:r>
      <w:r w:rsidR="00716CEE" w:rsidRPr="00447C64">
        <w:rPr>
          <w:rStyle w:val="documentbody"/>
          <w:rFonts w:ascii="Times New Roman" w:hAnsi="Times New Roman"/>
        </w:rPr>
        <w:t>critici</w:t>
      </w:r>
      <w:r w:rsidR="00716CEE">
        <w:rPr>
          <w:rStyle w:val="documentbody"/>
          <w:rFonts w:ascii="Times New Roman" w:hAnsi="Times New Roman"/>
        </w:rPr>
        <w:t>s</w:t>
      </w:r>
      <w:r w:rsidR="00716CEE" w:rsidRPr="00447C64">
        <w:rPr>
          <w:rStyle w:val="documentbody"/>
          <w:rFonts w:ascii="Times New Roman" w:hAnsi="Times New Roman"/>
        </w:rPr>
        <w:t xml:space="preserve">e </w:t>
      </w:r>
      <w:r w:rsidRPr="00447C64">
        <w:rPr>
          <w:rStyle w:val="documentbody"/>
          <w:rFonts w:ascii="Times New Roman" w:hAnsi="Times New Roman"/>
        </w:rPr>
        <w:t>the majority’s argument by pitting desirable against indispensable features of a court system:</w:t>
      </w:r>
      <w:r w:rsidRPr="00447C64">
        <w:rPr>
          <w:rStyle w:val="FootnoteReference"/>
          <w:rFonts w:ascii="Times New Roman" w:hAnsi="Times New Roman"/>
        </w:rPr>
        <w:footnoteReference w:id="37"/>
      </w:r>
    </w:p>
    <w:p w:rsidR="00EA5BE7" w:rsidRDefault="00827DD4">
      <w:pPr>
        <w:ind w:left="397" w:right="397" w:firstLine="397"/>
        <w:jc w:val="both"/>
        <w:rPr>
          <w:rFonts w:ascii="Times New Roman" w:hAnsi="Times New Roman"/>
          <w:color w:val="000000"/>
          <w:szCs w:val="20"/>
          <w:lang w:val="en-US"/>
        </w:rPr>
      </w:pPr>
      <w:r w:rsidRPr="00447C64">
        <w:rPr>
          <w:rFonts w:ascii="Times New Roman" w:hAnsi="Times New Roman"/>
          <w:color w:val="000000"/>
          <w:szCs w:val="20"/>
          <w:lang w:val="en-US"/>
        </w:rPr>
        <w:t>It is of course desirable that the congestion on court dockets be reduced in every way possible consistent with the fair administration of justice. But that laudable objective should not be sought in a way which undercuts the very purposes for which courts were created-that is, to try cases on their merits and render judgments in accordance with the substantial rights of the parties. ... When we allow the desire to reduce court congestion to justify the sacrifice of substantial rights of the litigants in cases like this, we attempt to promote speed in administration, which is</w:t>
      </w:r>
      <w:r w:rsidRPr="00447C64">
        <w:rPr>
          <w:rFonts w:ascii="Times New Roman" w:hAnsi="Times New Roman"/>
          <w:bCs/>
          <w:color w:val="000000"/>
          <w:szCs w:val="20"/>
          <w:lang w:val="en-US"/>
        </w:rPr>
        <w:t xml:space="preserve"> </w:t>
      </w:r>
      <w:r w:rsidRPr="00447C64">
        <w:rPr>
          <w:rFonts w:ascii="Times New Roman" w:hAnsi="Times New Roman"/>
          <w:color w:val="000000"/>
          <w:szCs w:val="20"/>
          <w:lang w:val="en-US"/>
        </w:rPr>
        <w:t xml:space="preserve">desirable, </w:t>
      </w:r>
      <w:r w:rsidRPr="00447C64">
        <w:rPr>
          <w:rStyle w:val="documentbody"/>
          <w:rFonts w:ascii="Times New Roman" w:hAnsi="Times New Roman"/>
        </w:rPr>
        <w:t>at</w:t>
      </w:r>
      <w:r w:rsidRPr="00447C64">
        <w:rPr>
          <w:rFonts w:ascii="Times New Roman" w:hAnsi="Times New Roman"/>
          <w:color w:val="000000"/>
          <w:szCs w:val="20"/>
          <w:lang w:val="en-US"/>
        </w:rPr>
        <w:t xml:space="preserve"> the expense of justice, which is indispensable to any court system worthy of its name.</w:t>
      </w:r>
    </w:p>
    <w:p w:rsidR="00EA5BE7" w:rsidRDefault="00827DD4">
      <w:pPr>
        <w:ind w:left="397" w:right="397" w:firstLine="397"/>
        <w:jc w:val="both"/>
        <w:rPr>
          <w:rFonts w:ascii="Times New Roman" w:hAnsi="Times New Roman"/>
        </w:rPr>
      </w:pPr>
      <w:r w:rsidRPr="00447C64">
        <w:rPr>
          <w:rFonts w:ascii="Times New Roman" w:hAnsi="Times New Roman"/>
          <w:color w:val="000000"/>
          <w:szCs w:val="20"/>
          <w:lang w:val="en-US"/>
        </w:rPr>
        <w:t xml:space="preserve">Moreover, it seems plain to me that any attempt to cut down on court congestion by dismissing meritorious lawsuits is doomed to fail even in its misguided purpose of promoting speed in judicial administration. Litigants with meritorious lawsuits are not likely to accept unfair rulings of that kind without exhausting all available appellate remedies. Consequently, any reduction of trial court dockets accomplished by such dismissals will be more than offset by the increased burden on appellate courts. This case seems to me an excellent example of the sort of wholly unnecessary waste of judicial resources which can result from such overzealous protection of trial court dockets. The case has twice been before the Court of Appeals and has twice been brought to this Court as a result of ‘time-saving’ ruling </w:t>
      </w:r>
      <w:r w:rsidR="00361DD8" w:rsidRPr="00447C64">
        <w:rPr>
          <w:rFonts w:ascii="Times New Roman" w:hAnsi="Times New Roman"/>
          <w:color w:val="000000"/>
          <w:szCs w:val="20"/>
          <w:lang w:val="en-US"/>
        </w:rPr>
        <w:t>handed down by the trial judge.</w:t>
      </w:r>
    </w:p>
    <w:p w:rsidR="00827DD4" w:rsidRPr="00447C64" w:rsidRDefault="00827DD4" w:rsidP="00361DD8">
      <w:pPr>
        <w:spacing w:line="360" w:lineRule="auto"/>
        <w:ind w:firstLine="397"/>
        <w:jc w:val="both"/>
        <w:rPr>
          <w:rFonts w:ascii="Times New Roman" w:hAnsi="Times New Roman"/>
        </w:rPr>
      </w:pPr>
    </w:p>
    <w:p w:rsidR="00827DD4" w:rsidRPr="00447C64" w:rsidRDefault="00827DD4" w:rsidP="00361DD8">
      <w:pPr>
        <w:spacing w:line="360" w:lineRule="auto"/>
        <w:ind w:firstLine="397"/>
        <w:jc w:val="both"/>
        <w:rPr>
          <w:rFonts w:ascii="Times New Roman" w:hAnsi="Times New Roman"/>
        </w:rPr>
      </w:pPr>
      <w:r w:rsidRPr="00447C64">
        <w:rPr>
          <w:rFonts w:ascii="Times New Roman" w:hAnsi="Times New Roman"/>
        </w:rPr>
        <w:t xml:space="preserve">Justice Black’s argument is in two parts: firstly, there is a clear hierarchy between </w:t>
      </w:r>
      <w:r w:rsidR="00F71A37">
        <w:rPr>
          <w:rFonts w:ascii="Times New Roman" w:hAnsi="Times New Roman"/>
        </w:rPr>
        <w:t>‘</w:t>
      </w:r>
      <w:r w:rsidRPr="00447C64">
        <w:rPr>
          <w:rFonts w:ascii="Times New Roman" w:hAnsi="Times New Roman"/>
        </w:rPr>
        <w:t>justice</w:t>
      </w:r>
      <w:r w:rsidR="00F71A37">
        <w:rPr>
          <w:rFonts w:ascii="Times New Roman" w:hAnsi="Times New Roman"/>
        </w:rPr>
        <w:t>‘</w:t>
      </w:r>
      <w:r w:rsidR="00F71A37" w:rsidRPr="00447C64">
        <w:rPr>
          <w:rFonts w:ascii="Times New Roman" w:hAnsi="Times New Roman"/>
        </w:rPr>
        <w:t xml:space="preserve"> </w:t>
      </w:r>
      <w:r w:rsidRPr="00447C64">
        <w:rPr>
          <w:rFonts w:ascii="Times New Roman" w:hAnsi="Times New Roman"/>
        </w:rPr>
        <w:t xml:space="preserve">and </w:t>
      </w:r>
      <w:r w:rsidR="0023788E">
        <w:rPr>
          <w:rFonts w:ascii="Times New Roman" w:hAnsi="Times New Roman"/>
        </w:rPr>
        <w:t>‘</w:t>
      </w:r>
      <w:r w:rsidRPr="00447C64">
        <w:rPr>
          <w:rFonts w:ascii="Times New Roman" w:hAnsi="Times New Roman"/>
        </w:rPr>
        <w:t>administration</w:t>
      </w:r>
      <w:r w:rsidR="00F71A37">
        <w:rPr>
          <w:rFonts w:ascii="Times New Roman" w:hAnsi="Times New Roman"/>
        </w:rPr>
        <w:t>’</w:t>
      </w:r>
      <w:r w:rsidRPr="00447C64">
        <w:rPr>
          <w:rFonts w:ascii="Times New Roman" w:hAnsi="Times New Roman"/>
        </w:rPr>
        <w:t xml:space="preserve"> considerations, with the latte</w:t>
      </w:r>
      <w:r w:rsidR="00F71A37">
        <w:rPr>
          <w:rFonts w:ascii="Times New Roman" w:hAnsi="Times New Roman"/>
        </w:rPr>
        <w:t>r</w:t>
      </w:r>
      <w:r w:rsidRPr="00447C64">
        <w:rPr>
          <w:rFonts w:ascii="Times New Roman" w:hAnsi="Times New Roman"/>
        </w:rPr>
        <w:t xml:space="preserve"> incapable of trumping the former. Secondly, the additional satellite litigation that would ensue to challenge exercises of discretion would equal, if not outweigh, the strain on the court system caused by allowing existing and already lengthy cases to remain on the dockets. Elsewhere in the opinion he also expresses his discomfort at the ensuing arrogation of determinative power over the case by the judge, whereas, constitutionally, a jury ought to decide if a case is devoid of merits.</w:t>
      </w:r>
      <w:r w:rsidR="00716CEE" w:rsidRPr="00447C64">
        <w:rPr>
          <w:rStyle w:val="FootnoteReference"/>
          <w:rFonts w:ascii="Times New Roman" w:hAnsi="Times New Roman"/>
        </w:rPr>
        <w:footnoteReference w:id="38"/>
      </w:r>
    </w:p>
    <w:p w:rsidR="00827DD4" w:rsidRPr="00447C64" w:rsidRDefault="00827DD4" w:rsidP="00361DD8">
      <w:pPr>
        <w:spacing w:line="360" w:lineRule="auto"/>
        <w:ind w:firstLine="397"/>
        <w:jc w:val="both"/>
        <w:rPr>
          <w:rFonts w:ascii="Times New Roman" w:hAnsi="Times New Roman"/>
        </w:rPr>
      </w:pPr>
      <w:r w:rsidRPr="00447C64">
        <w:rPr>
          <w:rFonts w:ascii="Times New Roman" w:hAnsi="Times New Roman"/>
        </w:rPr>
        <w:t xml:space="preserve">Rule 41(b) was not amended substantively, except in relation </w:t>
      </w:r>
      <w:r w:rsidR="005A12F6">
        <w:rPr>
          <w:rFonts w:ascii="Times New Roman" w:hAnsi="Times New Roman"/>
        </w:rPr>
        <w:t>to</w:t>
      </w:r>
      <w:r w:rsidRPr="00447C64">
        <w:rPr>
          <w:rFonts w:ascii="Times New Roman" w:hAnsi="Times New Roman"/>
        </w:rPr>
        <w:t xml:space="preserve"> evidence burdens in jury trials, since its adoption in 1937. </w:t>
      </w:r>
      <w:r w:rsidRPr="00447C64">
        <w:rPr>
          <w:rFonts w:ascii="Times New Roman" w:hAnsi="Times New Roman"/>
          <w:i/>
        </w:rPr>
        <w:t>Link v Wabash</w:t>
      </w:r>
      <w:r w:rsidRPr="00447C64">
        <w:rPr>
          <w:rFonts w:ascii="Times New Roman" w:hAnsi="Times New Roman"/>
        </w:rPr>
        <w:t xml:space="preserve"> is authority for the continued existence of the court’s inherent power to control its own proceedings</w:t>
      </w:r>
      <w:r w:rsidRPr="00447C64">
        <w:rPr>
          <w:rStyle w:val="FootnoteReference"/>
          <w:rFonts w:ascii="Times New Roman" w:hAnsi="Times New Roman"/>
        </w:rPr>
        <w:footnoteReference w:id="39"/>
      </w:r>
      <w:r w:rsidRPr="00447C64">
        <w:rPr>
          <w:rFonts w:ascii="Times New Roman" w:hAnsi="Times New Roman"/>
        </w:rPr>
        <w:t xml:space="preserve"> of which Rule 41(b) is one expression, and the focus of discussion of the court’s power to sanction litigants or their counsel for non-compliance with the rules has moved to more specific rules, such as Rule 11 or Rule 37.</w:t>
      </w:r>
      <w:r w:rsidRPr="00447C64">
        <w:rPr>
          <w:rStyle w:val="FootnoteReference"/>
          <w:rFonts w:ascii="Times New Roman" w:hAnsi="Times New Roman"/>
        </w:rPr>
        <w:footnoteReference w:id="40"/>
      </w:r>
      <w:r w:rsidRPr="00447C64">
        <w:rPr>
          <w:rFonts w:ascii="Times New Roman" w:hAnsi="Times New Roman"/>
        </w:rPr>
        <w:t xml:space="preserve"> </w:t>
      </w:r>
    </w:p>
    <w:p w:rsidR="00361DD8" w:rsidRPr="00447C64" w:rsidRDefault="00827DD4" w:rsidP="00361DD8">
      <w:pPr>
        <w:spacing w:line="360" w:lineRule="auto"/>
        <w:ind w:firstLine="397"/>
        <w:jc w:val="both"/>
        <w:rPr>
          <w:rFonts w:ascii="Times New Roman" w:hAnsi="Times New Roman"/>
        </w:rPr>
      </w:pPr>
      <w:r w:rsidRPr="00447C64">
        <w:rPr>
          <w:rFonts w:ascii="Times New Roman" w:hAnsi="Times New Roman"/>
        </w:rPr>
        <w:t>The general statement of the availability of dismissal as sanction for non-compliance with rules or court orders is now qualified</w:t>
      </w:r>
      <w:r w:rsidRPr="00447C64">
        <w:rPr>
          <w:rStyle w:val="FootnoteReference"/>
          <w:rFonts w:ascii="Times New Roman" w:hAnsi="Times New Roman"/>
        </w:rPr>
        <w:footnoteReference w:id="41"/>
      </w:r>
      <w:r w:rsidRPr="00447C64">
        <w:rPr>
          <w:rFonts w:ascii="Times New Roman" w:hAnsi="Times New Roman"/>
        </w:rPr>
        <w:t xml:space="preserve"> by the accretion of jurisprudential dicta – mostly at Appeals Court level. Dismissal now is to be considered the most extreme sanction among the many available to the trial court.</w:t>
      </w:r>
      <w:r w:rsidRPr="00447C64">
        <w:rPr>
          <w:rStyle w:val="FootnoteReference"/>
          <w:rFonts w:ascii="Times New Roman" w:hAnsi="Times New Roman"/>
        </w:rPr>
        <w:footnoteReference w:id="42"/>
      </w:r>
      <w:r w:rsidRPr="00447C64">
        <w:rPr>
          <w:rFonts w:ascii="Times New Roman" w:hAnsi="Times New Roman"/>
        </w:rPr>
        <w:t xml:space="preserve">  In addition, it would appear that there is no consensus in the case</w:t>
      </w:r>
      <w:r w:rsidR="00361DD8" w:rsidRPr="00447C64">
        <w:rPr>
          <w:rFonts w:ascii="Times New Roman" w:hAnsi="Times New Roman"/>
        </w:rPr>
        <w:t>-</w:t>
      </w:r>
      <w:r w:rsidRPr="00447C64">
        <w:rPr>
          <w:rFonts w:ascii="Times New Roman" w:hAnsi="Times New Roman"/>
        </w:rPr>
        <w:t>law as to which factors ought to be considered before the court determines whether a case may be involuntarily dismissed. Some cases emphas</w:t>
      </w:r>
      <w:r w:rsidR="00823186" w:rsidRPr="00447C64">
        <w:rPr>
          <w:rFonts w:ascii="Times New Roman" w:hAnsi="Times New Roman"/>
        </w:rPr>
        <w:t>i</w:t>
      </w:r>
      <w:r w:rsidR="00716CEE">
        <w:rPr>
          <w:rFonts w:ascii="Times New Roman" w:hAnsi="Times New Roman"/>
        </w:rPr>
        <w:t>s</w:t>
      </w:r>
      <w:r w:rsidR="00823186" w:rsidRPr="00447C64">
        <w:rPr>
          <w:rFonts w:ascii="Times New Roman" w:hAnsi="Times New Roman"/>
        </w:rPr>
        <w:t>e</w:t>
      </w:r>
      <w:r w:rsidRPr="00447C64">
        <w:rPr>
          <w:rFonts w:ascii="Times New Roman" w:hAnsi="Times New Roman"/>
        </w:rPr>
        <w:t xml:space="preserve"> the importance of clearing the docket and a generic interest in the expeditious resolution of litigation,</w:t>
      </w:r>
      <w:r w:rsidR="008E05F3">
        <w:rPr>
          <w:rStyle w:val="FootnoteReference"/>
          <w:rFonts w:ascii="Times New Roman" w:hAnsi="Times New Roman"/>
        </w:rPr>
        <w:footnoteReference w:id="43"/>
      </w:r>
      <w:r w:rsidR="00323432" w:rsidRPr="00323432">
        <w:rPr>
          <w:rFonts w:ascii="Times New Roman" w:hAnsi="Times New Roman"/>
        </w:rPr>
        <w:t xml:space="preserve"> while others take an atomistic approach and consider the plaintiff’s and the defendant’s respective positions and behaviour. Thus we have a list of the factors to be considered:</w:t>
      </w:r>
    </w:p>
    <w:p w:rsidR="00A84D3C" w:rsidRDefault="00323432">
      <w:pPr>
        <w:pStyle w:val="ListParagraph"/>
        <w:numPr>
          <w:ilvl w:val="0"/>
          <w:numId w:val="26"/>
        </w:numPr>
        <w:ind w:right="284"/>
        <w:jc w:val="both"/>
        <w:rPr>
          <w:rFonts w:ascii="Times New Roman" w:eastAsia="Times New Roman" w:hAnsi="Times New Roman"/>
          <w:color w:val="000000"/>
        </w:rPr>
      </w:pPr>
      <w:r w:rsidRPr="00323432">
        <w:rPr>
          <w:rFonts w:ascii="Times New Roman" w:eastAsia="Times New Roman" w:hAnsi="Times New Roman"/>
          <w:color w:val="000000"/>
        </w:rPr>
        <w:t xml:space="preserve">the duration of the plaintiff's failure to comply with the court order; (2) whether the plaintiff was on </w:t>
      </w:r>
      <w:r w:rsidRPr="00323432">
        <w:rPr>
          <w:rFonts w:ascii="Times New Roman" w:hAnsi="Times New Roman"/>
          <w:color w:val="000000"/>
          <w:szCs w:val="20"/>
          <w:lang w:val="en-US"/>
        </w:rPr>
        <w:t>notice</w:t>
      </w:r>
      <w:r w:rsidRPr="00323432">
        <w:rPr>
          <w:rFonts w:ascii="Times New Roman" w:eastAsia="Times New Roman" w:hAnsi="Times New Roman"/>
          <w:color w:val="000000"/>
        </w:rPr>
        <w:t xml:space="preserve"> that failure to comply would result in dismissal; (3) whether the defendants are likely to be prejudiced by further delay in the proceedings; (4) a balancing of the court's interest in managing its docket with the plaintiff's interest in receiving a fair chance to be heard; and (5) whether the judge has adequately considered a sanction less drastic than dismissal.</w:t>
      </w:r>
      <w:r w:rsidR="008E05F3">
        <w:rPr>
          <w:rStyle w:val="FootnoteReference"/>
          <w:rFonts w:ascii="Times New Roman" w:hAnsi="Times New Roman"/>
        </w:rPr>
        <w:footnoteReference w:id="44"/>
      </w:r>
      <w:r w:rsidRPr="00323432">
        <w:rPr>
          <w:rFonts w:ascii="Times New Roman" w:eastAsia="Times New Roman" w:hAnsi="Times New Roman"/>
          <w:color w:val="000000"/>
        </w:rPr>
        <w:t xml:space="preserve"> </w:t>
      </w:r>
    </w:p>
    <w:p w:rsidR="00A84D3C" w:rsidRDefault="00A84D3C">
      <w:pPr>
        <w:pStyle w:val="ListParagraph"/>
        <w:ind w:left="1501" w:right="284"/>
        <w:jc w:val="both"/>
        <w:rPr>
          <w:rFonts w:ascii="Times New Roman" w:eastAsia="Times New Roman" w:hAnsi="Times New Roman"/>
          <w:color w:val="000000"/>
        </w:rPr>
      </w:pPr>
    </w:p>
    <w:p w:rsidR="00827DD4" w:rsidRPr="00447C64" w:rsidRDefault="00323432" w:rsidP="00361DD8">
      <w:pPr>
        <w:spacing w:line="360" w:lineRule="auto"/>
        <w:ind w:firstLine="397"/>
        <w:jc w:val="both"/>
        <w:rPr>
          <w:rFonts w:ascii="Times New Roman" w:hAnsi="Times New Roman"/>
        </w:rPr>
      </w:pPr>
      <w:r w:rsidRPr="00323432">
        <w:rPr>
          <w:rFonts w:ascii="Times New Roman" w:eastAsia="Times New Roman" w:hAnsi="Times New Roman"/>
          <w:color w:val="000000"/>
        </w:rPr>
        <w:t xml:space="preserve">In other cases, the emphasis is on whether the behaviour is so </w:t>
      </w:r>
      <w:r w:rsidR="005844A4">
        <w:rPr>
          <w:rFonts w:ascii="Times New Roman" w:eastAsia="Times New Roman" w:hAnsi="Times New Roman"/>
          <w:color w:val="000000"/>
        </w:rPr>
        <w:t>‘</w:t>
      </w:r>
      <w:r w:rsidRPr="00323432">
        <w:rPr>
          <w:rFonts w:ascii="Times New Roman" w:eastAsia="Times New Roman" w:hAnsi="Times New Roman"/>
          <w:color w:val="000000"/>
        </w:rPr>
        <w:t>deliberate and contumacious</w:t>
      </w:r>
      <w:r w:rsidR="005844A4">
        <w:rPr>
          <w:rFonts w:ascii="Times New Roman" w:eastAsia="Times New Roman" w:hAnsi="Times New Roman"/>
          <w:color w:val="000000"/>
        </w:rPr>
        <w:t>’</w:t>
      </w:r>
      <w:r w:rsidRPr="00323432">
        <w:rPr>
          <w:rFonts w:ascii="Times New Roman" w:eastAsia="Times New Roman" w:hAnsi="Times New Roman"/>
          <w:color w:val="000000"/>
        </w:rPr>
        <w:t xml:space="preserve"> as to justify the sanction.</w:t>
      </w:r>
      <w:r w:rsidR="008E05F3">
        <w:rPr>
          <w:rStyle w:val="FootnoteReference"/>
          <w:rFonts w:ascii="Times New Roman" w:eastAsia="Times New Roman" w:hAnsi="Times New Roman"/>
          <w:color w:val="000000"/>
        </w:rPr>
        <w:footnoteReference w:id="45"/>
      </w:r>
    </w:p>
    <w:p w:rsidR="00827DD4" w:rsidRPr="00447C64" w:rsidRDefault="00827DD4" w:rsidP="00361DD8">
      <w:pPr>
        <w:spacing w:line="360" w:lineRule="auto"/>
        <w:ind w:firstLine="397"/>
        <w:jc w:val="both"/>
        <w:rPr>
          <w:rFonts w:ascii="Times New Roman" w:hAnsi="Times New Roman"/>
        </w:rPr>
      </w:pPr>
    </w:p>
    <w:p w:rsidR="00827DD4" w:rsidRPr="001E1B3F" w:rsidRDefault="001E1B3F" w:rsidP="00361DD8">
      <w:pPr>
        <w:spacing w:line="360" w:lineRule="auto"/>
        <w:ind w:firstLine="397"/>
        <w:jc w:val="both"/>
        <w:rPr>
          <w:rFonts w:ascii="Times New Roman" w:hAnsi="Times New Roman"/>
        </w:rPr>
      </w:pPr>
      <w:r w:rsidRPr="001E1B3F">
        <w:rPr>
          <w:rFonts w:ascii="Times New Roman" w:hAnsi="Times New Roman"/>
        </w:rPr>
        <w:t>5</w:t>
      </w:r>
      <w:r w:rsidR="00323432" w:rsidRPr="001E1B3F">
        <w:rPr>
          <w:rFonts w:ascii="Times New Roman" w:hAnsi="Times New Roman"/>
        </w:rPr>
        <w:t>. Non-compliance with rules or court orders in the Civil Procedure Rules for England and Wales</w:t>
      </w:r>
    </w:p>
    <w:p w:rsidR="00827DD4" w:rsidRPr="00447C64" w:rsidRDefault="00827DD4" w:rsidP="00361DD8">
      <w:pPr>
        <w:widowControl w:val="0"/>
        <w:autoSpaceDE w:val="0"/>
        <w:autoSpaceDN w:val="0"/>
        <w:adjustRightInd w:val="0"/>
        <w:ind w:firstLine="397"/>
        <w:jc w:val="both"/>
        <w:rPr>
          <w:rFonts w:ascii="Times New Roman" w:eastAsia="Times New Roman" w:hAnsi="Times New Roman"/>
          <w:color w:val="000000"/>
          <w:sz w:val="20"/>
          <w:szCs w:val="20"/>
        </w:rPr>
      </w:pPr>
    </w:p>
    <w:p w:rsidR="00827DD4" w:rsidRPr="00447C64" w:rsidRDefault="00827DD4" w:rsidP="00361DD8">
      <w:pPr>
        <w:widowControl w:val="0"/>
        <w:autoSpaceDE w:val="0"/>
        <w:autoSpaceDN w:val="0"/>
        <w:adjustRightInd w:val="0"/>
        <w:ind w:firstLine="397"/>
        <w:jc w:val="both"/>
        <w:rPr>
          <w:rFonts w:ascii="Times New Roman" w:eastAsia="Times New Roman" w:hAnsi="Times New Roman"/>
          <w:color w:val="000000"/>
          <w:sz w:val="20"/>
          <w:szCs w:val="20"/>
        </w:rPr>
      </w:pP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 xml:space="preserve">Before the enactment </w:t>
      </w:r>
      <w:r w:rsidRPr="00323432">
        <w:rPr>
          <w:rFonts w:ascii="Times New Roman" w:hAnsi="Times New Roman"/>
        </w:rPr>
        <w:t>of</w:t>
      </w:r>
      <w:r w:rsidRPr="00323432">
        <w:rPr>
          <w:rFonts w:ascii="Times New Roman" w:eastAsiaTheme="minorHAnsi" w:hAnsi="Times New Roman"/>
          <w:lang w:val="en-US"/>
        </w:rPr>
        <w:t xml:space="preserve"> the CPR, if faced with a delay or failure by the plaintiff in serving a statement of claim, or in complying with Rules of Court or an order of the Court, the courts were loath to deny the plaintiff an adjudication on the merits </w:t>
      </w:r>
      <w:r w:rsidR="005C3ED2">
        <w:rPr>
          <w:rFonts w:ascii="Times New Roman" w:eastAsiaTheme="minorHAnsi" w:hAnsi="Times New Roman"/>
          <w:lang w:val="en-US"/>
        </w:rPr>
        <w:t xml:space="preserve">due solely to </w:t>
      </w:r>
      <w:r w:rsidRPr="00323432">
        <w:rPr>
          <w:rFonts w:ascii="Times New Roman" w:eastAsiaTheme="minorHAnsi" w:hAnsi="Times New Roman"/>
          <w:lang w:val="en-US"/>
        </w:rPr>
        <w:t>procedural default, unless the default had caused prejudice to his opponent which an award of costs could not compensate.</w:t>
      </w:r>
      <w:bookmarkStart w:id="19" w:name="_Ref232395991"/>
      <w:r w:rsidR="008E05F3">
        <w:rPr>
          <w:rStyle w:val="FootnoteReference"/>
          <w:rFonts w:ascii="Times New Roman" w:eastAsiaTheme="minorHAnsi" w:hAnsi="Times New Roman"/>
          <w:lang w:val="en-US"/>
        </w:rPr>
        <w:footnoteReference w:id="46"/>
      </w:r>
      <w:bookmarkEnd w:id="19"/>
      <w:r w:rsidRPr="00323432">
        <w:rPr>
          <w:rFonts w:ascii="Times New Roman" w:eastAsiaTheme="minorHAnsi" w:hAnsi="Times New Roman"/>
          <w:lang w:val="en-US"/>
        </w:rPr>
        <w:t xml:space="preserve"> The defendant could apply to the court for an order to dismiss the action for want of prosecution,</w:t>
      </w:r>
      <w:r w:rsidR="00BF5AD6">
        <w:rPr>
          <w:rFonts w:ascii="Times New Roman" w:eastAsiaTheme="minorHAnsi" w:hAnsi="Times New Roman"/>
          <w:lang w:val="en-US"/>
        </w:rPr>
        <w:t xml:space="preserve"> in terms very similar to those of Rule 41(b),</w:t>
      </w:r>
      <w:r w:rsidRPr="00323432">
        <w:rPr>
          <w:rFonts w:ascii="Times New Roman" w:eastAsiaTheme="minorHAnsi" w:hAnsi="Times New Roman"/>
          <w:lang w:val="en-US"/>
        </w:rPr>
        <w:t xml:space="preserve"> but the rules</w:t>
      </w:r>
      <w:bookmarkStart w:id="20" w:name="_Ref232395571"/>
      <w:r w:rsidR="008E05F3">
        <w:rPr>
          <w:rStyle w:val="FootnoteReference"/>
          <w:rFonts w:ascii="Times New Roman" w:eastAsiaTheme="minorHAnsi" w:hAnsi="Times New Roman"/>
          <w:lang w:val="en-US"/>
        </w:rPr>
        <w:footnoteReference w:id="47"/>
      </w:r>
      <w:bookmarkEnd w:id="20"/>
      <w:r w:rsidRPr="00323432">
        <w:rPr>
          <w:rFonts w:ascii="Times New Roman" w:eastAsiaTheme="minorHAnsi" w:hAnsi="Times New Roman"/>
          <w:lang w:val="en-US"/>
        </w:rPr>
        <w:t xml:space="preserve"> invested the court with the broadest possible discretion.</w:t>
      </w: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 xml:space="preserve">An order of dismissal for want of </w:t>
      </w:r>
      <w:r w:rsidRPr="00323432">
        <w:rPr>
          <w:rFonts w:ascii="Times New Roman" w:hAnsi="Times New Roman"/>
        </w:rPr>
        <w:t>prosecution</w:t>
      </w:r>
      <w:r w:rsidRPr="00323432">
        <w:rPr>
          <w:rFonts w:ascii="Times New Roman" w:eastAsiaTheme="minorHAnsi" w:hAnsi="Times New Roman"/>
          <w:lang w:val="en-US"/>
        </w:rPr>
        <w:t xml:space="preserve"> was rather difficult to obtain.  As it was put in the modern statement of the rule,</w:t>
      </w:r>
      <w:bookmarkStart w:id="21" w:name="_Ref232399258"/>
      <w:r w:rsidR="008E05F3">
        <w:rPr>
          <w:rStyle w:val="FootnoteReference"/>
          <w:rFonts w:ascii="Times New Roman" w:eastAsiaTheme="minorHAnsi" w:hAnsi="Times New Roman"/>
          <w:lang w:val="en-US"/>
        </w:rPr>
        <w:footnoteReference w:id="48"/>
      </w:r>
      <w:bookmarkEnd w:id="21"/>
      <w:r w:rsidRPr="00323432">
        <w:rPr>
          <w:rFonts w:ascii="Times New Roman" w:eastAsiaTheme="minorHAnsi" w:hAnsi="Times New Roman"/>
          <w:lang w:val="en-US"/>
        </w:rPr>
        <w:t xml:space="preserve"> </w:t>
      </w:r>
    </w:p>
    <w:p w:rsidR="00827DD4" w:rsidRPr="00447C64" w:rsidRDefault="00323432" w:rsidP="00361DD8">
      <w:pPr>
        <w:ind w:left="284" w:right="284" w:firstLine="397"/>
        <w:jc w:val="both"/>
        <w:rPr>
          <w:rFonts w:ascii="Times New Roman" w:eastAsiaTheme="minorHAnsi" w:hAnsi="Times New Roman"/>
          <w:lang w:val="en-US"/>
        </w:rPr>
      </w:pPr>
      <w:r w:rsidRPr="00323432">
        <w:rPr>
          <w:rFonts w:ascii="Times New Roman" w:eastAsiaTheme="minorHAnsi" w:hAnsi="Times New Roman"/>
          <w:lang w:val="en-US"/>
        </w:rPr>
        <w:t xml:space="preserve">the power should be exercised only where the court is satisfied either (1) that the default has been </w:t>
      </w:r>
      <w:r w:rsidR="008E05F3">
        <w:rPr>
          <w:rStyle w:val="documentbody"/>
          <w:rFonts w:ascii="Times New Roman" w:hAnsi="Times New Roman"/>
        </w:rPr>
        <w:t>intentional</w:t>
      </w:r>
      <w:r w:rsidR="008E05F3">
        <w:rPr>
          <w:rFonts w:ascii="Times New Roman" w:eastAsiaTheme="minorHAnsi" w:hAnsi="Times New Roman"/>
          <w:lang w:val="en-US"/>
        </w:rPr>
        <w:t xml:space="preserve"> and contumelious, e.g. disobedience to a peremptory order of the court or conduct amounting to an abuse of the process of the court; or (2) (a) that there has been inordinate and inexcusable delay on the part of the plaintiff or his lawyers, and (b) that such delay will give rise to a substantial risk that it is not possible to have a fair trial of the issues in the action or is such as is likely to cause or have caused serious prejudice to the defendant either as between themselves and the plaintiff or between each other or between them and a third party. </w:t>
      </w:r>
    </w:p>
    <w:p w:rsidR="00827DD4" w:rsidRPr="00447C64" w:rsidRDefault="00827DD4" w:rsidP="00361DD8">
      <w:pPr>
        <w:widowControl w:val="0"/>
        <w:autoSpaceDE w:val="0"/>
        <w:autoSpaceDN w:val="0"/>
        <w:adjustRightInd w:val="0"/>
        <w:spacing w:line="480" w:lineRule="auto"/>
        <w:ind w:right="1270" w:firstLine="397"/>
        <w:jc w:val="both"/>
        <w:rPr>
          <w:rFonts w:ascii="Times New Roman" w:eastAsiaTheme="minorHAnsi" w:hAnsi="Times New Roman"/>
          <w:lang w:val="en-US"/>
        </w:rPr>
      </w:pPr>
    </w:p>
    <w:p w:rsidR="00827DD4" w:rsidRPr="00447C64" w:rsidRDefault="008E05F3" w:rsidP="00F71A37">
      <w:pPr>
        <w:spacing w:line="360" w:lineRule="auto"/>
        <w:ind w:firstLine="397"/>
        <w:jc w:val="both"/>
        <w:rPr>
          <w:rFonts w:ascii="Times New Roman" w:eastAsiaTheme="minorHAnsi" w:hAnsi="Times New Roman"/>
          <w:lang w:val="en-US"/>
        </w:rPr>
      </w:pPr>
      <w:r>
        <w:rPr>
          <w:rFonts w:ascii="Times New Roman" w:eastAsiaTheme="minorHAnsi" w:hAnsi="Times New Roman"/>
          <w:lang w:val="en-US"/>
        </w:rPr>
        <w:t>Striking out upon non-compliance require</w:t>
      </w:r>
      <w:r w:rsidR="005C3ED2">
        <w:rPr>
          <w:rFonts w:ascii="Times New Roman" w:eastAsiaTheme="minorHAnsi" w:hAnsi="Times New Roman"/>
          <w:lang w:val="en-US"/>
        </w:rPr>
        <w:t>d</w:t>
      </w:r>
      <w:r>
        <w:rPr>
          <w:rFonts w:ascii="Times New Roman" w:eastAsiaTheme="minorHAnsi" w:hAnsi="Times New Roman"/>
          <w:lang w:val="en-US"/>
        </w:rPr>
        <w:t xml:space="preserve"> that it was impossible to conduct a fair trial, and that the defendant had suffered some prejudice. This in turn would be balanced against any advantage he would have derived from the delay. In more recent cases,</w:t>
      </w:r>
      <w:r>
        <w:rPr>
          <w:rStyle w:val="FootnoteReference"/>
          <w:rFonts w:ascii="Times New Roman" w:eastAsiaTheme="minorHAnsi" w:hAnsi="Times New Roman"/>
          <w:lang w:val="en-US"/>
        </w:rPr>
        <w:footnoteReference w:id="49"/>
      </w:r>
      <w:r w:rsidR="00F71A37">
        <w:rPr>
          <w:rFonts w:ascii="Times New Roman" w:eastAsiaTheme="minorHAnsi" w:hAnsi="Times New Roman"/>
          <w:lang w:val="en-US"/>
        </w:rPr>
        <w:t xml:space="preserve"> </w:t>
      </w:r>
      <w:r w:rsidR="00323432" w:rsidRPr="00323432">
        <w:rPr>
          <w:rFonts w:ascii="Times New Roman" w:eastAsiaTheme="minorHAnsi" w:hAnsi="Times New Roman"/>
          <w:lang w:val="en-US"/>
        </w:rPr>
        <w:t xml:space="preserve">other factors were added to the list to be taken into account for the balancing act, such as the possibility of abuse of process. In </w:t>
      </w:r>
      <w:r w:rsidR="00323432" w:rsidRPr="00323432">
        <w:rPr>
          <w:rFonts w:ascii="Times New Roman" w:eastAsiaTheme="minorHAnsi" w:hAnsi="Times New Roman"/>
          <w:i/>
          <w:lang w:val="en-US"/>
        </w:rPr>
        <w:t>Grovit v Doctor</w:t>
      </w:r>
      <w:r>
        <w:rPr>
          <w:rStyle w:val="FootnoteReference"/>
          <w:rFonts w:ascii="Times New Roman" w:eastAsiaTheme="minorHAnsi" w:hAnsi="Times New Roman"/>
          <w:lang w:val="en-US"/>
        </w:rPr>
        <w:footnoteReference w:id="50"/>
      </w:r>
      <w:r w:rsidR="00323432" w:rsidRPr="00323432">
        <w:rPr>
          <w:rFonts w:ascii="Times New Roman" w:eastAsiaTheme="minorHAnsi" w:hAnsi="Times New Roman"/>
          <w:lang w:val="en-US"/>
        </w:rPr>
        <w:t xml:space="preserve"> L</w:t>
      </w:r>
      <w:r w:rsidR="001E1B3F">
        <w:rPr>
          <w:rFonts w:ascii="Times New Roman" w:eastAsiaTheme="minorHAnsi" w:hAnsi="Times New Roman"/>
          <w:lang w:val="en-US"/>
        </w:rPr>
        <w:t>ord Woolf held that ‘</w:t>
      </w:r>
      <w:r w:rsidR="00323432" w:rsidRPr="00323432">
        <w:rPr>
          <w:rFonts w:ascii="Times New Roman" w:eastAsiaTheme="minorHAnsi" w:hAnsi="Times New Roman"/>
          <w:lang w:val="en-US"/>
        </w:rPr>
        <w:t>the prevention of abuse of process has by itself long been a ground of the courts striking out or staying actions by virtue of their inherent jurisdiction irresp</w:t>
      </w:r>
      <w:r w:rsidR="001E1B3F">
        <w:rPr>
          <w:rFonts w:ascii="Times New Roman" w:eastAsiaTheme="minorHAnsi" w:hAnsi="Times New Roman"/>
          <w:lang w:val="en-US"/>
        </w:rPr>
        <w:t>ective of the question of delay’</w:t>
      </w:r>
      <w:r w:rsidR="00323432" w:rsidRPr="00323432">
        <w:rPr>
          <w:rFonts w:ascii="Times New Roman" w:eastAsiaTheme="minorHAnsi" w:hAnsi="Times New Roman"/>
          <w:lang w:val="en-US"/>
        </w:rPr>
        <w:t>.</w:t>
      </w:r>
      <w:r>
        <w:rPr>
          <w:rStyle w:val="FootnoteReference"/>
          <w:rFonts w:ascii="Times New Roman" w:eastAsiaTheme="minorHAnsi" w:hAnsi="Times New Roman"/>
          <w:lang w:val="en-US"/>
        </w:rPr>
        <w:footnoteReference w:id="51"/>
      </w: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 xml:space="preserve"> </w:t>
      </w:r>
      <w:r w:rsidRPr="00323432">
        <w:rPr>
          <w:rFonts w:ascii="Times New Roman" w:hAnsi="Times New Roman"/>
        </w:rPr>
        <w:t>In 1998 the position was reversed.</w:t>
      </w:r>
      <w:bookmarkStart w:id="22" w:name="_Ref232396643"/>
      <w:r w:rsidR="008E05F3">
        <w:rPr>
          <w:rStyle w:val="FootnoteReference"/>
          <w:rFonts w:ascii="Times New Roman" w:hAnsi="Times New Roman"/>
        </w:rPr>
        <w:footnoteReference w:id="52"/>
      </w:r>
      <w:bookmarkEnd w:id="22"/>
      <w:r w:rsidRPr="00323432">
        <w:rPr>
          <w:rFonts w:ascii="Times New Roman" w:hAnsi="Times New Roman"/>
        </w:rPr>
        <w:t xml:space="preserve"> The English Civil Procedure Rules provide that where a litigant has failed to comply with the rules or an order of the court,</w:t>
      </w:r>
      <w:r w:rsidR="008E05F3">
        <w:rPr>
          <w:rStyle w:val="FootnoteReference"/>
          <w:rFonts w:ascii="Times New Roman" w:hAnsi="Times New Roman"/>
        </w:rPr>
        <w:footnoteReference w:id="53"/>
      </w:r>
      <w:r w:rsidRPr="00323432">
        <w:rPr>
          <w:rFonts w:ascii="Times New Roman" w:hAnsi="Times New Roman"/>
        </w:rPr>
        <w:t xml:space="preserve"> sanctions take effect immediately and the court may be petitioned to remove the consequences of those sanctions. As Lord Woolf explained in </w:t>
      </w:r>
      <w:r w:rsidRPr="00323432">
        <w:rPr>
          <w:rFonts w:ascii="Times New Roman" w:hAnsi="Times New Roman"/>
          <w:i/>
        </w:rPr>
        <w:t>Biguzzi v Rank Leisure,</w:t>
      </w:r>
      <w:r w:rsidR="008E05F3">
        <w:rPr>
          <w:rStyle w:val="FootnoteReference"/>
          <w:rFonts w:ascii="Times New Roman" w:hAnsi="Times New Roman"/>
        </w:rPr>
        <w:footnoteReference w:id="54"/>
      </w:r>
      <w:r w:rsidRPr="00323432">
        <w:rPr>
          <w:rFonts w:ascii="Times New Roman" w:hAnsi="Times New Roman"/>
          <w:i/>
        </w:rPr>
        <w:t xml:space="preserve"> </w:t>
      </w:r>
      <w:r w:rsidRPr="00323432">
        <w:rPr>
          <w:rFonts w:ascii="Times New Roman" w:hAnsi="Times New Roman"/>
        </w:rPr>
        <w:t>the situation was not as stark as a literal reading of the</w:t>
      </w:r>
      <w:r w:rsidR="00716CEE">
        <w:rPr>
          <w:rFonts w:ascii="Times New Roman" w:hAnsi="Times New Roman"/>
        </w:rPr>
        <w:t xml:space="preserve"> new</w:t>
      </w:r>
      <w:r w:rsidR="00827DD4" w:rsidRPr="00447C64">
        <w:rPr>
          <w:rFonts w:ascii="Times New Roman" w:hAnsi="Times New Roman"/>
        </w:rPr>
        <w:t xml:space="preserve"> rule implied. The new requirement of proportionality</w:t>
      </w:r>
      <w:r w:rsidR="00827DD4" w:rsidRPr="00447C64">
        <w:rPr>
          <w:rStyle w:val="FootnoteReference"/>
          <w:rFonts w:ascii="Times New Roman" w:hAnsi="Times New Roman"/>
        </w:rPr>
        <w:footnoteReference w:id="55"/>
      </w:r>
      <w:r w:rsidR="00827DD4" w:rsidRPr="00447C64">
        <w:rPr>
          <w:rFonts w:ascii="Times New Roman" w:hAnsi="Times New Roman"/>
        </w:rPr>
        <w:t xml:space="preserve"> in case management decisions</w:t>
      </w:r>
      <w:r w:rsidRPr="00323432">
        <w:rPr>
          <w:rFonts w:ascii="Times New Roman" w:hAnsi="Times New Roman"/>
        </w:rPr>
        <w:t xml:space="preserve"> would ensure that both the rules themselves and the court, when giving orders inclusive of sanctions for non-compliance, imposed sanctions that were appropriate and proportionate responses, rather than </w:t>
      </w:r>
      <w:r w:rsidR="00717F96">
        <w:rPr>
          <w:rFonts w:ascii="Times New Roman" w:hAnsi="Times New Roman"/>
        </w:rPr>
        <w:t>‘</w:t>
      </w:r>
      <w:r w:rsidRPr="00323432">
        <w:rPr>
          <w:rFonts w:ascii="Times New Roman" w:hAnsi="Times New Roman"/>
        </w:rPr>
        <w:t>all or nothing</w:t>
      </w:r>
      <w:r w:rsidR="00717F96">
        <w:rPr>
          <w:rFonts w:ascii="Times New Roman" w:hAnsi="Times New Roman"/>
        </w:rPr>
        <w:t>’</w:t>
      </w:r>
      <w:r w:rsidRPr="00323432">
        <w:rPr>
          <w:rFonts w:ascii="Times New Roman" w:hAnsi="Times New Roman"/>
        </w:rPr>
        <w:t xml:space="preserve">. The reconstruction of the nature of procedural sanctions in </w:t>
      </w:r>
      <w:r w:rsidRPr="00323432">
        <w:rPr>
          <w:rFonts w:ascii="Times New Roman" w:hAnsi="Times New Roman"/>
          <w:i/>
        </w:rPr>
        <w:t>Biguzzi</w:t>
      </w:r>
      <w:r w:rsidRPr="00323432">
        <w:rPr>
          <w:rFonts w:ascii="Times New Roman" w:hAnsi="Times New Roman"/>
        </w:rPr>
        <w:t xml:space="preserve"> should also have constrained the exercise of discretion of the court upon applications to dispense with such sanctions. It is only because the court exercises a control of proportionality over the possible consequences of failure to comply (especially when they derive from a court order themselves, as in an order given in the form of an ‘unless’ order</w:t>
      </w:r>
      <w:r w:rsidR="008E05F3">
        <w:rPr>
          <w:rStyle w:val="FootnoteReference"/>
          <w:rFonts w:ascii="Times New Roman" w:hAnsi="Times New Roman"/>
        </w:rPr>
        <w:footnoteReference w:id="56"/>
      </w:r>
      <w:r w:rsidRPr="00323432">
        <w:rPr>
          <w:rFonts w:ascii="Times New Roman" w:hAnsi="Times New Roman"/>
        </w:rPr>
        <w:t xml:space="preserve">) that there is (or ought to be) little shrift given at the later stage of potential reconsideration.  </w:t>
      </w:r>
    </w:p>
    <w:p w:rsidR="00903596"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 xml:space="preserve">The overriding objective (CPR 1.1) </w:t>
      </w:r>
      <w:r w:rsidR="00716CEE">
        <w:rPr>
          <w:rFonts w:ascii="Times New Roman" w:eastAsiaTheme="minorHAnsi" w:hAnsi="Times New Roman"/>
          <w:lang w:val="en-US"/>
        </w:rPr>
        <w:t xml:space="preserve">also </w:t>
      </w:r>
      <w:r w:rsidR="00827DD4" w:rsidRPr="00447C64">
        <w:rPr>
          <w:rFonts w:ascii="Times New Roman" w:eastAsiaTheme="minorHAnsi" w:hAnsi="Times New Roman"/>
          <w:lang w:val="en-US"/>
        </w:rPr>
        <w:t>provided for the first time a regulatory template of the court’s function, introducing some principles to guide the court in applying the Civil Procedure Rules, in particular notions of proportionality</w:t>
      </w:r>
      <w:r w:rsidR="00716CEE">
        <w:rPr>
          <w:rFonts w:ascii="Times New Roman" w:eastAsiaTheme="minorHAnsi" w:hAnsi="Times New Roman"/>
          <w:lang w:val="en-US"/>
        </w:rPr>
        <w:t xml:space="preserve"> </w:t>
      </w:r>
      <w:r w:rsidR="00827DD4" w:rsidRPr="00447C64">
        <w:rPr>
          <w:rFonts w:ascii="Times New Roman" w:eastAsiaTheme="minorHAnsi" w:hAnsi="Times New Roman"/>
          <w:lang w:val="en-US"/>
        </w:rPr>
        <w:t>and equality of arms.</w:t>
      </w:r>
      <w:r w:rsidR="00827DD4" w:rsidRPr="00447C64">
        <w:rPr>
          <w:rStyle w:val="FootnoteReference"/>
          <w:rFonts w:ascii="Times New Roman" w:eastAsiaTheme="minorHAnsi" w:hAnsi="Times New Roman"/>
          <w:lang w:val="en-US"/>
        </w:rPr>
        <w:footnoteReference w:id="57"/>
      </w:r>
      <w:r w:rsidR="00827DD4" w:rsidRPr="00447C64">
        <w:rPr>
          <w:rFonts w:ascii="Times New Roman" w:eastAsiaTheme="minorHAnsi" w:hAnsi="Times New Roman"/>
          <w:lang w:val="en-US"/>
        </w:rPr>
        <w:t xml:space="preserve"> Additionally, case management was introduced as a means of wrestling from the parties, and giving to the court, overall control of the proceedings. The rules governing non-compliance are within Part 3, dealing with the court’s case management powers. Here we find the traditional version of the (active) power of the court to strike out a statement of case</w:t>
      </w:r>
      <w:r w:rsidR="00361DD8" w:rsidRPr="00447C64">
        <w:rPr>
          <w:rFonts w:ascii="Times New Roman" w:eastAsiaTheme="minorHAnsi" w:hAnsi="Times New Roman"/>
          <w:lang w:val="en-US"/>
        </w:rPr>
        <w:t>,</w:t>
      </w:r>
      <w:r w:rsidR="00827DD4" w:rsidRPr="00447C64">
        <w:rPr>
          <w:rFonts w:ascii="Times New Roman" w:eastAsiaTheme="minorHAnsi" w:hAnsi="Times New Roman"/>
          <w:lang w:val="en-US"/>
        </w:rPr>
        <w:t xml:space="preserve"> if </w:t>
      </w:r>
      <w:r w:rsidR="001E1B3F">
        <w:rPr>
          <w:rFonts w:ascii="Times New Roman" w:eastAsiaTheme="minorHAnsi" w:hAnsi="Times New Roman"/>
          <w:lang w:val="en-US"/>
        </w:rPr>
        <w:t>‘</w:t>
      </w:r>
      <w:r w:rsidR="00827DD4" w:rsidRPr="00447C64">
        <w:rPr>
          <w:rFonts w:ascii="Times New Roman" w:eastAsiaTheme="minorHAnsi" w:hAnsi="Times New Roman"/>
          <w:lang w:val="en-US"/>
        </w:rPr>
        <w:t>it is an abuse of the process of the court or is otherwise likely to obstruct the just disposal of the proceedings, or there has been a failure to comply with a rule, pra</w:t>
      </w:r>
      <w:r w:rsidR="001E1B3F">
        <w:rPr>
          <w:rFonts w:ascii="Times New Roman" w:eastAsiaTheme="minorHAnsi" w:hAnsi="Times New Roman"/>
          <w:lang w:val="en-US"/>
        </w:rPr>
        <w:t>ctice direction or court order.’</w:t>
      </w:r>
      <w:r w:rsidR="00827DD4" w:rsidRPr="00447C64">
        <w:rPr>
          <w:rFonts w:ascii="Times New Roman" w:eastAsiaTheme="minorHAnsi" w:hAnsi="Times New Roman"/>
          <w:lang w:val="en-US"/>
        </w:rPr>
        <w:t xml:space="preserve"> (CPR 3.4(2)(b) and (c)).  Part 3 also contains the avowedly revolutionary</w:t>
      </w:r>
      <w:r w:rsidR="00827DD4" w:rsidRPr="00447C64">
        <w:rPr>
          <w:rStyle w:val="FootnoteReference"/>
          <w:rFonts w:ascii="Times New Roman" w:eastAsiaTheme="minorHAnsi" w:hAnsi="Times New Roman"/>
          <w:lang w:val="en-US"/>
        </w:rPr>
        <w:footnoteReference w:id="58"/>
      </w:r>
      <w:r w:rsidR="00827DD4" w:rsidRPr="00447C64">
        <w:rPr>
          <w:rFonts w:ascii="Times New Roman" w:eastAsiaTheme="minorHAnsi" w:hAnsi="Times New Roman"/>
          <w:lang w:val="en-US"/>
        </w:rPr>
        <w:t xml:space="preserve"> change with regards to the effect of sanctioning rules</w:t>
      </w:r>
      <w:r w:rsidR="0066000C">
        <w:rPr>
          <w:rFonts w:ascii="Times New Roman" w:eastAsiaTheme="minorHAnsi" w:hAnsi="Times New Roman"/>
          <w:lang w:val="en-US"/>
        </w:rPr>
        <w:t>.</w:t>
      </w:r>
      <w:r w:rsidR="00827DD4" w:rsidRPr="00447C64">
        <w:rPr>
          <w:rFonts w:ascii="Times New Roman" w:eastAsiaTheme="minorHAnsi" w:hAnsi="Times New Roman"/>
          <w:lang w:val="en-US"/>
        </w:rPr>
        <w:t xml:space="preserve"> </w:t>
      </w:r>
      <w:r w:rsidR="0066000C">
        <w:rPr>
          <w:rFonts w:ascii="Times New Roman" w:eastAsiaTheme="minorHAnsi" w:hAnsi="Times New Roman"/>
          <w:lang w:val="en-US"/>
        </w:rPr>
        <w:t>T</w:t>
      </w:r>
      <w:r w:rsidR="0066000C" w:rsidRPr="00447C64">
        <w:rPr>
          <w:rFonts w:ascii="Times New Roman" w:eastAsiaTheme="minorHAnsi" w:hAnsi="Times New Roman"/>
          <w:lang w:val="en-US"/>
        </w:rPr>
        <w:t xml:space="preserve">he </w:t>
      </w:r>
      <w:r w:rsidR="00827DD4" w:rsidRPr="00447C64">
        <w:rPr>
          <w:rFonts w:ascii="Times New Roman" w:eastAsiaTheme="minorHAnsi" w:hAnsi="Times New Roman"/>
          <w:lang w:val="en-US"/>
        </w:rPr>
        <w:t xml:space="preserve">effects of rule non-compliance </w:t>
      </w:r>
      <w:r w:rsidR="006A182C">
        <w:rPr>
          <w:rFonts w:ascii="Times New Roman" w:eastAsiaTheme="minorHAnsi" w:hAnsi="Times New Roman"/>
          <w:lang w:val="en-US"/>
        </w:rPr>
        <w:t>we</w:t>
      </w:r>
      <w:r w:rsidR="00827DD4" w:rsidRPr="00447C64">
        <w:rPr>
          <w:rFonts w:ascii="Times New Roman" w:eastAsiaTheme="minorHAnsi" w:hAnsi="Times New Roman"/>
          <w:lang w:val="en-US"/>
        </w:rPr>
        <w:t>re now</w:t>
      </w:r>
      <w:r w:rsidR="00716CEE">
        <w:rPr>
          <w:rFonts w:ascii="Times New Roman" w:eastAsiaTheme="minorHAnsi" w:hAnsi="Times New Roman"/>
          <w:lang w:val="en-US"/>
        </w:rPr>
        <w:t xml:space="preserve"> to be</w:t>
      </w:r>
      <w:r w:rsidR="00827DD4" w:rsidRPr="00447C64">
        <w:rPr>
          <w:rFonts w:ascii="Times New Roman" w:eastAsiaTheme="minorHAnsi" w:hAnsi="Times New Roman"/>
          <w:lang w:val="en-US"/>
        </w:rPr>
        <w:t xml:space="preserve"> automatic,</w:t>
      </w:r>
      <w:r w:rsidR="00827DD4" w:rsidRPr="00447C64">
        <w:rPr>
          <w:rStyle w:val="FootnoteReference"/>
          <w:rFonts w:ascii="Times New Roman" w:eastAsiaTheme="minorHAnsi" w:hAnsi="Times New Roman"/>
          <w:lang w:val="en-US"/>
        </w:rPr>
        <w:footnoteReference w:id="59"/>
      </w:r>
      <w:r w:rsidR="00827DD4" w:rsidRPr="00447C64">
        <w:rPr>
          <w:rFonts w:ascii="Times New Roman" w:eastAsiaTheme="minorHAnsi" w:hAnsi="Times New Roman"/>
          <w:lang w:val="en-US"/>
        </w:rPr>
        <w:t xml:space="preserve"> and the rules only g</w:t>
      </w:r>
      <w:r w:rsidR="006A182C">
        <w:rPr>
          <w:rFonts w:ascii="Times New Roman" w:eastAsiaTheme="minorHAnsi" w:hAnsi="Times New Roman"/>
          <w:lang w:val="en-US"/>
        </w:rPr>
        <w:t>a</w:t>
      </w:r>
      <w:r w:rsidR="00827DD4" w:rsidRPr="00447C64">
        <w:rPr>
          <w:rFonts w:ascii="Times New Roman" w:eastAsiaTheme="minorHAnsi" w:hAnsi="Times New Roman"/>
          <w:lang w:val="en-US"/>
        </w:rPr>
        <w:t>ve the court discretion to grant relief subsequently, having regard to a long, non-exhaustive list of factors</w:t>
      </w:r>
      <w:r w:rsidR="00903596">
        <w:rPr>
          <w:rFonts w:ascii="Times New Roman" w:eastAsiaTheme="minorHAnsi" w:hAnsi="Times New Roman"/>
          <w:lang w:val="en-US"/>
        </w:rPr>
        <w:t>:</w:t>
      </w:r>
    </w:p>
    <w:p w:rsidR="00EA5BE7" w:rsidRDefault="00903596">
      <w:pPr>
        <w:pStyle w:val="FootnoteText"/>
        <w:ind w:left="397" w:right="397" w:firstLine="227"/>
        <w:rPr>
          <w:rFonts w:ascii="Times New Roman" w:hAnsi="Times New Roman"/>
        </w:rPr>
      </w:pPr>
      <w:r w:rsidRPr="00903596">
        <w:rPr>
          <w:rFonts w:ascii="Times New Roman" w:eastAsiaTheme="minorHAnsi" w:hAnsi="Times New Roman" w:cs="Arial"/>
          <w:szCs w:val="26"/>
          <w:lang w:val="en-US"/>
        </w:rPr>
        <w:t>(1) On an application for relief from any sanction imposed for a failure to comply with any rule, practice direction or court order the court will consider all the circumstances including –</w:t>
      </w:r>
    </w:p>
    <w:p w:rsidR="00EA5BE7" w:rsidRDefault="00903596">
      <w:pPr>
        <w:pStyle w:val="FootnoteText"/>
        <w:ind w:left="397" w:right="397" w:firstLine="227"/>
        <w:rPr>
          <w:rFonts w:ascii="Times New Roman" w:eastAsiaTheme="minorHAnsi" w:hAnsi="Times New Roman" w:cs="Arial"/>
          <w:szCs w:val="26"/>
          <w:lang w:val="en-US"/>
        </w:rPr>
      </w:pPr>
      <w:r w:rsidRPr="00903596">
        <w:rPr>
          <w:rFonts w:ascii="Times New Roman" w:eastAsiaTheme="minorHAnsi" w:hAnsi="Times New Roman" w:cs="Arial"/>
          <w:szCs w:val="26"/>
          <w:lang w:val="en-US"/>
        </w:rPr>
        <w:t>(a) the interests of the administration of justice;</w:t>
      </w:r>
    </w:p>
    <w:p w:rsidR="00EA5BE7" w:rsidRDefault="00903596">
      <w:pPr>
        <w:pStyle w:val="FootnoteText"/>
        <w:ind w:left="397" w:right="397" w:firstLine="227"/>
        <w:rPr>
          <w:rFonts w:ascii="Times New Roman" w:eastAsiaTheme="minorHAnsi" w:hAnsi="Times New Roman" w:cs="Arial"/>
          <w:szCs w:val="26"/>
          <w:lang w:val="en-US"/>
        </w:rPr>
      </w:pPr>
      <w:r w:rsidRPr="00903596">
        <w:rPr>
          <w:rFonts w:ascii="Times New Roman" w:eastAsiaTheme="minorHAnsi" w:hAnsi="Times New Roman" w:cs="Arial"/>
          <w:szCs w:val="26"/>
          <w:lang w:val="en-US"/>
        </w:rPr>
        <w:t>(b) whether the application for relief has been made promptly;</w:t>
      </w:r>
    </w:p>
    <w:p w:rsidR="00EA5BE7" w:rsidRDefault="00903596">
      <w:pPr>
        <w:pStyle w:val="FootnoteText"/>
        <w:ind w:left="397" w:right="397" w:firstLine="227"/>
        <w:rPr>
          <w:rFonts w:ascii="Times New Roman" w:eastAsiaTheme="minorHAnsi" w:hAnsi="Times New Roman" w:cs="Arial"/>
          <w:szCs w:val="26"/>
          <w:lang w:val="en-US"/>
        </w:rPr>
      </w:pPr>
      <w:r w:rsidRPr="00903596">
        <w:rPr>
          <w:rFonts w:ascii="Times New Roman" w:eastAsiaTheme="minorHAnsi" w:hAnsi="Times New Roman" w:cs="Arial"/>
          <w:szCs w:val="26"/>
          <w:lang w:val="en-US"/>
        </w:rPr>
        <w:t>(c) whether the failure to comply was intentional;</w:t>
      </w:r>
    </w:p>
    <w:p w:rsidR="00EA5BE7" w:rsidRDefault="00903596">
      <w:pPr>
        <w:pStyle w:val="FootnoteText"/>
        <w:ind w:left="397" w:right="397" w:firstLine="227"/>
        <w:rPr>
          <w:rFonts w:ascii="Times New Roman" w:eastAsiaTheme="minorHAnsi" w:hAnsi="Times New Roman" w:cs="Arial"/>
          <w:szCs w:val="26"/>
          <w:lang w:val="en-US"/>
        </w:rPr>
      </w:pPr>
      <w:r w:rsidRPr="00903596">
        <w:rPr>
          <w:rFonts w:ascii="Times New Roman" w:eastAsiaTheme="minorHAnsi" w:hAnsi="Times New Roman" w:cs="Arial"/>
          <w:szCs w:val="26"/>
          <w:lang w:val="en-US"/>
        </w:rPr>
        <w:t>(d) whether there is a good explanation for the failure;</w:t>
      </w:r>
    </w:p>
    <w:p w:rsidR="00EA5BE7" w:rsidRDefault="00903596">
      <w:pPr>
        <w:pStyle w:val="FootnoteText"/>
        <w:ind w:left="397" w:right="397" w:firstLine="227"/>
        <w:rPr>
          <w:rFonts w:ascii="Times New Roman" w:eastAsiaTheme="minorHAnsi" w:hAnsi="Times New Roman" w:cs="Arial"/>
          <w:szCs w:val="26"/>
          <w:lang w:val="en-US"/>
        </w:rPr>
      </w:pPr>
      <w:r w:rsidRPr="00903596">
        <w:rPr>
          <w:rFonts w:ascii="Times New Roman" w:eastAsiaTheme="minorHAnsi" w:hAnsi="Times New Roman" w:cs="Arial"/>
          <w:szCs w:val="26"/>
          <w:lang w:val="en-US"/>
        </w:rPr>
        <w:t>(e) the extent to which the party in default has complied with other rules, practice directions, court orders and any relevant pre-action protocol;</w:t>
      </w:r>
    </w:p>
    <w:p w:rsidR="00EA5BE7" w:rsidRDefault="00903596">
      <w:pPr>
        <w:pStyle w:val="FootnoteText"/>
        <w:ind w:left="397" w:right="397" w:firstLine="227"/>
        <w:rPr>
          <w:rFonts w:ascii="Times New Roman" w:eastAsiaTheme="minorHAnsi" w:hAnsi="Times New Roman" w:cs="Arial"/>
          <w:szCs w:val="26"/>
          <w:lang w:val="en-US"/>
        </w:rPr>
      </w:pPr>
      <w:r w:rsidRPr="00903596">
        <w:rPr>
          <w:rFonts w:ascii="Times New Roman" w:eastAsiaTheme="minorHAnsi" w:hAnsi="Times New Roman" w:cs="Arial"/>
          <w:szCs w:val="26"/>
          <w:lang w:val="en-US"/>
        </w:rPr>
        <w:t>(f) whether the failure to comply was caused by the party or his legal representative;</w:t>
      </w:r>
    </w:p>
    <w:p w:rsidR="00EA5BE7" w:rsidRDefault="00903596">
      <w:pPr>
        <w:pStyle w:val="FootnoteText"/>
        <w:ind w:left="397" w:right="397" w:firstLine="227"/>
        <w:rPr>
          <w:rFonts w:ascii="Times New Roman" w:eastAsiaTheme="minorHAnsi" w:hAnsi="Times New Roman" w:cs="Arial"/>
          <w:szCs w:val="26"/>
          <w:lang w:val="en-US"/>
        </w:rPr>
      </w:pPr>
      <w:r w:rsidRPr="00903596">
        <w:rPr>
          <w:rFonts w:ascii="Times New Roman" w:eastAsiaTheme="minorHAnsi" w:hAnsi="Times New Roman" w:cs="Arial"/>
          <w:szCs w:val="26"/>
          <w:lang w:val="en-US"/>
        </w:rPr>
        <w:t>(g) whether the trial date or the likely trial date can still be met if relief is granted;</w:t>
      </w:r>
    </w:p>
    <w:p w:rsidR="00EA5BE7" w:rsidRDefault="00903596">
      <w:pPr>
        <w:pStyle w:val="FootnoteText"/>
        <w:ind w:left="397" w:right="397" w:firstLine="227"/>
        <w:rPr>
          <w:rFonts w:ascii="Times New Roman" w:eastAsiaTheme="minorHAnsi" w:hAnsi="Times New Roman" w:cs="Arial"/>
          <w:szCs w:val="26"/>
          <w:lang w:val="en-US"/>
        </w:rPr>
      </w:pPr>
      <w:r w:rsidRPr="00903596">
        <w:rPr>
          <w:rFonts w:ascii="Times New Roman" w:eastAsiaTheme="minorHAnsi" w:hAnsi="Times New Roman" w:cs="Arial"/>
          <w:szCs w:val="26"/>
          <w:lang w:val="en-US"/>
        </w:rPr>
        <w:t>(h) the effect which the failure to comply had on each party; and</w:t>
      </w:r>
    </w:p>
    <w:p w:rsidR="00EA5BE7" w:rsidRDefault="00903596">
      <w:pPr>
        <w:pStyle w:val="FootnoteText"/>
        <w:ind w:left="397" w:right="397" w:firstLine="227"/>
        <w:rPr>
          <w:rFonts w:ascii="Times New Roman" w:eastAsiaTheme="minorHAnsi" w:hAnsi="Times New Roman" w:cs="Arial"/>
          <w:szCs w:val="26"/>
          <w:lang w:val="en-US"/>
        </w:rPr>
      </w:pPr>
      <w:r w:rsidRPr="00903596">
        <w:rPr>
          <w:rFonts w:ascii="Times New Roman" w:eastAsiaTheme="minorHAnsi" w:hAnsi="Times New Roman" w:cs="Arial"/>
          <w:szCs w:val="26"/>
          <w:lang w:val="en-US"/>
        </w:rPr>
        <w:t>(i) the effect which the granting of relief would have on each party.</w:t>
      </w:r>
    </w:p>
    <w:p w:rsidR="00EA5BE7" w:rsidRDefault="00903596">
      <w:pPr>
        <w:spacing w:line="360" w:lineRule="auto"/>
        <w:ind w:left="397" w:right="397" w:firstLine="227"/>
        <w:jc w:val="both"/>
        <w:rPr>
          <w:rFonts w:ascii="Times New Roman" w:eastAsiaTheme="minorHAnsi" w:hAnsi="Times New Roman"/>
          <w:lang w:val="en-US"/>
        </w:rPr>
      </w:pPr>
      <w:r w:rsidRPr="00903596">
        <w:rPr>
          <w:rFonts w:ascii="Times New Roman" w:eastAsiaTheme="minorHAnsi" w:hAnsi="Times New Roman" w:cs="Arial"/>
          <w:szCs w:val="26"/>
          <w:lang w:val="en-US"/>
        </w:rPr>
        <w:t>(2) An application for relief</w:t>
      </w:r>
      <w:r w:rsidR="0066000C">
        <w:rPr>
          <w:rFonts w:ascii="Times New Roman" w:eastAsiaTheme="minorHAnsi" w:hAnsi="Times New Roman" w:cs="Arial"/>
          <w:szCs w:val="26"/>
          <w:lang w:val="en-US"/>
        </w:rPr>
        <w:t xml:space="preserve"> must be supported by evidence.</w:t>
      </w:r>
      <w:r w:rsidR="00827DD4" w:rsidRPr="00447C64">
        <w:rPr>
          <w:rStyle w:val="FootnoteReference"/>
          <w:rFonts w:ascii="Times New Roman" w:eastAsiaTheme="minorHAnsi" w:hAnsi="Times New Roman"/>
          <w:lang w:val="en-US"/>
        </w:rPr>
        <w:footnoteReference w:id="60"/>
      </w:r>
    </w:p>
    <w:p w:rsidR="0066000C" w:rsidRDefault="00827DD4" w:rsidP="00903596">
      <w:pPr>
        <w:spacing w:line="360" w:lineRule="auto"/>
        <w:ind w:firstLine="397"/>
        <w:jc w:val="both"/>
        <w:rPr>
          <w:rFonts w:ascii="Times New Roman" w:eastAsiaTheme="minorHAnsi" w:hAnsi="Times New Roman"/>
          <w:lang w:val="en-US"/>
        </w:rPr>
      </w:pPr>
      <w:r w:rsidRPr="00447C64">
        <w:rPr>
          <w:rFonts w:ascii="Times New Roman" w:eastAsiaTheme="minorHAnsi" w:hAnsi="Times New Roman"/>
          <w:lang w:val="en-US"/>
        </w:rPr>
        <w:t xml:space="preserve"> </w:t>
      </w:r>
    </w:p>
    <w:p w:rsidR="00827DD4" w:rsidRPr="00447C64" w:rsidRDefault="00827DD4" w:rsidP="00903596">
      <w:pPr>
        <w:spacing w:line="360" w:lineRule="auto"/>
        <w:ind w:firstLine="397"/>
        <w:jc w:val="both"/>
        <w:rPr>
          <w:rFonts w:ascii="Times New Roman" w:eastAsiaTheme="minorHAnsi" w:hAnsi="Times New Roman"/>
          <w:lang w:val="en-US"/>
        </w:rPr>
      </w:pPr>
      <w:r w:rsidRPr="00447C64">
        <w:rPr>
          <w:rFonts w:ascii="Times New Roman" w:eastAsiaTheme="minorHAnsi" w:hAnsi="Times New Roman"/>
          <w:lang w:val="en-US"/>
        </w:rPr>
        <w:t>The original intention</w:t>
      </w:r>
      <w:r w:rsidRPr="00447C64">
        <w:rPr>
          <w:rStyle w:val="FootnoteReference"/>
          <w:rFonts w:ascii="Times New Roman" w:eastAsiaTheme="minorHAnsi" w:hAnsi="Times New Roman"/>
          <w:lang w:val="en-US"/>
        </w:rPr>
        <w:footnoteReference w:id="61"/>
      </w:r>
      <w:r w:rsidRPr="00447C64">
        <w:rPr>
          <w:rFonts w:ascii="Times New Roman" w:eastAsiaTheme="minorHAnsi" w:hAnsi="Times New Roman"/>
          <w:lang w:val="en-US"/>
        </w:rPr>
        <w:t xml:space="preserve"> in introducing such a potentially draconian rule structure – that applications for relief would not be entertained as a matter of course, but remain exceptional and subject to all the stated aims of the Overriding Objective, including case management ones such as preventing the clogging up of courts’ dockets,</w:t>
      </w:r>
      <w:r w:rsidRPr="00447C64">
        <w:rPr>
          <w:rStyle w:val="FootnoteReference"/>
          <w:rFonts w:ascii="Times New Roman" w:eastAsiaTheme="minorHAnsi" w:hAnsi="Times New Roman"/>
          <w:lang w:val="en-US"/>
        </w:rPr>
        <w:footnoteReference w:id="62"/>
      </w:r>
      <w:r w:rsidRPr="00447C64">
        <w:rPr>
          <w:rFonts w:ascii="Times New Roman" w:eastAsiaTheme="minorHAnsi" w:hAnsi="Times New Roman"/>
          <w:lang w:val="en-US"/>
        </w:rPr>
        <w:t xml:space="preserve"> – was in part thwarted by the continued importance given by the courts to the right of a litigant to an adjudication on the merits. A</w:t>
      </w:r>
      <w:r w:rsidRPr="00447C64">
        <w:rPr>
          <w:rFonts w:ascii="Times New Roman" w:hAnsi="Times New Roman"/>
        </w:rPr>
        <w:t xml:space="preserve">s Sorabji has shown, it takes a long time for the culture to follow where the rule-makers lead, be they the Rule Committee or the Court of Appeal, who is charged with providing leadership and authoritative interpretation of procedural questions. </w:t>
      </w:r>
      <w:r w:rsidRPr="00447C64">
        <w:rPr>
          <w:rFonts w:ascii="Times New Roman" w:eastAsiaTheme="minorHAnsi" w:hAnsi="Times New Roman"/>
          <w:lang w:val="en-US"/>
        </w:rPr>
        <w:t>While the new approach is applied in most cases,</w:t>
      </w:r>
      <w:r w:rsidRPr="00447C64">
        <w:rPr>
          <w:rStyle w:val="FootnoteReference"/>
          <w:rFonts w:ascii="Times New Roman" w:hAnsi="Times New Roman"/>
        </w:rPr>
        <w:footnoteReference w:id="63"/>
      </w:r>
      <w:r w:rsidRPr="00447C64">
        <w:rPr>
          <w:rFonts w:ascii="Times New Roman" w:hAnsi="Times New Roman"/>
        </w:rPr>
        <w:t xml:space="preserve"> there are still situations where first instance courts (or perhaps even just some more traditionalist judges) rely on general dicta to satisfy what they see as a fundamental need of litigants to be heard on </w:t>
      </w:r>
      <w:r w:rsidR="00F73B1B">
        <w:rPr>
          <w:rFonts w:ascii="Times New Roman" w:hAnsi="Times New Roman"/>
        </w:rPr>
        <w:t>the merits</w:t>
      </w:r>
      <w:r w:rsidRPr="00447C64">
        <w:rPr>
          <w:rFonts w:ascii="Times New Roman" w:hAnsi="Times New Roman"/>
        </w:rPr>
        <w:t>.</w:t>
      </w:r>
      <w:bookmarkStart w:id="23" w:name="_Ref232396836"/>
      <w:r w:rsidRPr="00447C64">
        <w:rPr>
          <w:rStyle w:val="FootnoteReference"/>
          <w:rFonts w:ascii="Times New Roman" w:hAnsi="Times New Roman"/>
        </w:rPr>
        <w:footnoteReference w:id="64"/>
      </w:r>
      <w:bookmarkEnd w:id="23"/>
      <w:r w:rsidRPr="00447C64">
        <w:rPr>
          <w:rFonts w:ascii="Times New Roman" w:hAnsi="Times New Roman"/>
        </w:rPr>
        <w:t xml:space="preserve"> </w:t>
      </w:r>
    </w:p>
    <w:p w:rsidR="00A84D3C" w:rsidRDefault="00A74B76" w:rsidP="00A84D3C">
      <w:pPr>
        <w:spacing w:line="360" w:lineRule="auto"/>
        <w:ind w:firstLine="397"/>
        <w:jc w:val="both"/>
        <w:rPr>
          <w:rFonts w:ascii="Times New Roman" w:hAnsi="Times New Roman"/>
        </w:rPr>
      </w:pPr>
      <w:r>
        <w:rPr>
          <w:rFonts w:ascii="Times New Roman" w:hAnsi="Times New Roman"/>
        </w:rPr>
        <w:t>Not everyone accepted Lord Woolf’s diagnosis and recipe for a new procedural landscape</w:t>
      </w:r>
      <w:r w:rsidR="00827DD4" w:rsidRPr="00447C64">
        <w:rPr>
          <w:rFonts w:ascii="Times New Roman" w:hAnsi="Times New Roman"/>
        </w:rPr>
        <w:t xml:space="preserve">. The ideological lines were drawn up quite clearly in a number of cases immediately preceding or following the introduction of the CPR. </w:t>
      </w:r>
      <w:r w:rsidR="003E2174">
        <w:rPr>
          <w:rFonts w:ascii="Times New Roman" w:hAnsi="Times New Roman"/>
        </w:rPr>
        <w:t>In support of the post-1875 ‘justice on the merits’ approach, t</w:t>
      </w:r>
      <w:r w:rsidR="00A84D3C">
        <w:rPr>
          <w:rFonts w:ascii="Times New Roman" w:hAnsi="Times New Roman"/>
        </w:rPr>
        <w:t xml:space="preserve">he </w:t>
      </w:r>
      <w:r w:rsidR="003E2174">
        <w:rPr>
          <w:rFonts w:ascii="Times New Roman" w:hAnsi="Times New Roman"/>
        </w:rPr>
        <w:t xml:space="preserve">most </w:t>
      </w:r>
      <w:r w:rsidR="00A84D3C">
        <w:rPr>
          <w:rFonts w:ascii="Times New Roman" w:hAnsi="Times New Roman"/>
        </w:rPr>
        <w:t xml:space="preserve">authoritative reference </w:t>
      </w:r>
      <w:r w:rsidR="003E2174">
        <w:rPr>
          <w:rFonts w:ascii="Times New Roman" w:hAnsi="Times New Roman"/>
        </w:rPr>
        <w:t xml:space="preserve">seems to be </w:t>
      </w:r>
      <w:r w:rsidR="00827DD4" w:rsidRPr="00447C64">
        <w:rPr>
          <w:rFonts w:ascii="Times New Roman" w:hAnsi="Times New Roman"/>
        </w:rPr>
        <w:t>Bowen L.J.’s dictum</w:t>
      </w:r>
      <w:r w:rsidR="00A84D3C">
        <w:rPr>
          <w:rFonts w:ascii="Times New Roman" w:hAnsi="Times New Roman"/>
        </w:rPr>
        <w:t xml:space="preserve"> in </w:t>
      </w:r>
      <w:r w:rsidR="00A84D3C">
        <w:rPr>
          <w:rFonts w:ascii="Times New Roman" w:hAnsi="Times New Roman"/>
          <w:i/>
        </w:rPr>
        <w:t>Smith v Cropper</w:t>
      </w:r>
      <w:r w:rsidR="00827DD4" w:rsidRPr="00447C64">
        <w:rPr>
          <w:rFonts w:ascii="Times New Roman" w:hAnsi="Times New Roman"/>
        </w:rPr>
        <w:t>,</w:t>
      </w:r>
      <w:r w:rsidR="00827DD4" w:rsidRPr="00447C64">
        <w:rPr>
          <w:rStyle w:val="FootnoteReference"/>
          <w:rFonts w:ascii="Times New Roman" w:hAnsi="Times New Roman"/>
        </w:rPr>
        <w:footnoteReference w:id="65"/>
      </w:r>
    </w:p>
    <w:p w:rsidR="00A84D3C" w:rsidRPr="00A84D3C" w:rsidRDefault="00A84D3C" w:rsidP="00A84D3C">
      <w:pPr>
        <w:ind w:left="567" w:right="567" w:firstLine="397"/>
        <w:jc w:val="both"/>
        <w:rPr>
          <w:rFonts w:ascii="Times New Roman" w:hAnsi="Times New Roman"/>
        </w:rPr>
      </w:pPr>
      <w:r w:rsidRPr="00A84D3C">
        <w:rPr>
          <w:rFonts w:ascii="Times New Roman" w:eastAsiaTheme="minorHAnsi" w:hAnsi="Times New Roman" w:cs="Verdana"/>
          <w:szCs w:val="26"/>
          <w:lang w:val="en-US"/>
        </w:rPr>
        <w:t xml:space="preserve">… the object of the Courts is to decide the rights of parties, and not to punish them for mistakes they make in the conduct of their cases by deciding otherwise than in accordance with their rights … I know of no kind of error or mistake which, if not fraudulent or intended to overreach, the Court ought not to correct, if it can be done without </w:t>
      </w:r>
      <w:r w:rsidRPr="00A84D3C">
        <w:rPr>
          <w:rFonts w:ascii="Times New Roman" w:eastAsiaTheme="minorHAnsi" w:hAnsi="Times New Roman" w:cs="Verdana"/>
          <w:iCs/>
          <w:szCs w:val="26"/>
          <w:lang w:val="en-US"/>
        </w:rPr>
        <w:t>injustice</w:t>
      </w:r>
      <w:r w:rsidRPr="00A84D3C">
        <w:rPr>
          <w:rFonts w:ascii="Times New Roman" w:eastAsiaTheme="minorHAnsi" w:hAnsi="Times New Roman" w:cs="Verdana"/>
          <w:szCs w:val="26"/>
          <w:lang w:val="en-US"/>
        </w:rPr>
        <w:t xml:space="preserve"> to the other party. Courts do not exist for the sake of discipline, but for the sake of </w:t>
      </w:r>
      <w:r w:rsidR="00186F22">
        <w:rPr>
          <w:rFonts w:ascii="Times New Roman" w:eastAsiaTheme="minorHAnsi" w:hAnsi="Times New Roman" w:cs="Verdana"/>
          <w:szCs w:val="26"/>
          <w:lang w:val="en-US"/>
        </w:rPr>
        <w:t>deciding matters in controversy.</w:t>
      </w:r>
    </w:p>
    <w:p w:rsidR="00A84D3C" w:rsidRDefault="00A84D3C" w:rsidP="00A84D3C">
      <w:pPr>
        <w:spacing w:line="360" w:lineRule="auto"/>
        <w:ind w:firstLine="397"/>
        <w:jc w:val="both"/>
        <w:rPr>
          <w:rFonts w:ascii="Times New Roman" w:hAnsi="Times New Roman"/>
        </w:rPr>
      </w:pPr>
    </w:p>
    <w:p w:rsidR="00EA5BE7" w:rsidRDefault="003E2174">
      <w:pPr>
        <w:spacing w:line="360" w:lineRule="auto"/>
        <w:jc w:val="both"/>
        <w:rPr>
          <w:rFonts w:ascii="Times New Roman" w:eastAsiaTheme="minorHAnsi" w:hAnsi="Times New Roman"/>
          <w:szCs w:val="26"/>
          <w:lang w:val="en-US"/>
        </w:rPr>
      </w:pPr>
      <w:r>
        <w:rPr>
          <w:rFonts w:ascii="Times New Roman" w:hAnsi="Times New Roman"/>
        </w:rPr>
        <w:t xml:space="preserve">More than a hundred years later, </w:t>
      </w:r>
      <w:r w:rsidR="00827DD4" w:rsidRPr="00447C64">
        <w:rPr>
          <w:rFonts w:ascii="Times New Roman" w:hAnsi="Times New Roman"/>
        </w:rPr>
        <w:t xml:space="preserve">Millett LJ </w:t>
      </w:r>
      <w:r w:rsidR="00A84D3C" w:rsidRPr="00447C64">
        <w:rPr>
          <w:rFonts w:ascii="Times New Roman" w:hAnsi="Times New Roman"/>
        </w:rPr>
        <w:t>critici</w:t>
      </w:r>
      <w:r w:rsidR="00A84D3C">
        <w:rPr>
          <w:rFonts w:ascii="Times New Roman" w:hAnsi="Times New Roman"/>
        </w:rPr>
        <w:t>s</w:t>
      </w:r>
      <w:r w:rsidR="00A84D3C" w:rsidRPr="00447C64">
        <w:rPr>
          <w:rFonts w:ascii="Times New Roman" w:hAnsi="Times New Roman"/>
        </w:rPr>
        <w:t xml:space="preserve">ed </w:t>
      </w:r>
      <w:r w:rsidR="00827DD4" w:rsidRPr="00447C64">
        <w:rPr>
          <w:rFonts w:ascii="Times New Roman" w:hAnsi="Times New Roman"/>
        </w:rPr>
        <w:t xml:space="preserve">the then imminent Woolf reforms in </w:t>
      </w:r>
      <w:r w:rsidR="00827DD4" w:rsidRPr="00447C64">
        <w:rPr>
          <w:rFonts w:ascii="Times New Roman" w:hAnsi="Times New Roman"/>
          <w:i/>
        </w:rPr>
        <w:t>Gale v Superdrug Stores Plc:</w:t>
      </w:r>
      <w:r w:rsidR="00827DD4" w:rsidRPr="00447C64">
        <w:rPr>
          <w:rStyle w:val="FootnoteReference"/>
          <w:rFonts w:ascii="Times New Roman" w:hAnsi="Times New Roman"/>
        </w:rPr>
        <w:footnoteReference w:id="66"/>
      </w:r>
    </w:p>
    <w:p w:rsidR="00827DD4" w:rsidRPr="00447C64" w:rsidRDefault="00323432" w:rsidP="00361DD8">
      <w:pPr>
        <w:ind w:left="284" w:right="284" w:firstLine="397"/>
        <w:jc w:val="both"/>
        <w:rPr>
          <w:rFonts w:ascii="Times New Roman" w:eastAsiaTheme="minorHAnsi" w:hAnsi="Times New Roman"/>
          <w:szCs w:val="26"/>
          <w:lang w:val="en-US"/>
        </w:rPr>
      </w:pPr>
      <w:r w:rsidRPr="00323432">
        <w:rPr>
          <w:rFonts w:ascii="Times New Roman" w:eastAsiaTheme="minorHAnsi" w:hAnsi="Times New Roman"/>
          <w:szCs w:val="26"/>
          <w:lang w:val="en-US"/>
        </w:rPr>
        <w:t xml:space="preserve">Litigation is slow, </w:t>
      </w:r>
      <w:r w:rsidRPr="00323432">
        <w:rPr>
          <w:rFonts w:ascii="Times New Roman" w:hAnsi="Times New Roman"/>
          <w:color w:val="000000"/>
          <w:szCs w:val="20"/>
          <w:lang w:val="en-US"/>
        </w:rPr>
        <w:t>cumbersome</w:t>
      </w:r>
      <w:r w:rsidRPr="00323432">
        <w:rPr>
          <w:rFonts w:ascii="Times New Roman" w:eastAsiaTheme="minorHAnsi" w:hAnsi="Times New Roman"/>
          <w:szCs w:val="26"/>
          <w:lang w:val="en-US"/>
        </w:rPr>
        <w:t>, beset by technicalities, and expensive. From time to time laudable attempts are made to simplify it, speed it up and make it less expensive. Such endeavours are once again in fashion. But the process is a difficult one which is often frustrated by the overriding need to ensure that justice is not sacrificed. It is easy to dispense injustice quickly and cheaply, but it is better to do justice even if it takes a little longer and costs a little more.</w:t>
      </w:r>
    </w:p>
    <w:p w:rsidR="00827DD4" w:rsidRPr="00447C64" w:rsidRDefault="00323432" w:rsidP="00361DD8">
      <w:pPr>
        <w:ind w:left="284" w:right="284" w:firstLine="397"/>
        <w:jc w:val="both"/>
        <w:rPr>
          <w:rFonts w:ascii="Times New Roman" w:eastAsiaTheme="minorHAnsi" w:hAnsi="Times New Roman"/>
          <w:szCs w:val="26"/>
          <w:lang w:val="en-US"/>
        </w:rPr>
      </w:pPr>
      <w:r w:rsidRPr="00323432">
        <w:rPr>
          <w:rFonts w:ascii="Times New Roman" w:eastAsiaTheme="minorHAnsi" w:hAnsi="Times New Roman"/>
          <w:szCs w:val="26"/>
          <w:lang w:val="en-US"/>
        </w:rPr>
        <w:t>The administration of justice is a human activity, and accordingly cannot be made immune from error. When a litigant or his adviser makes a mistake, justice requires that he be allowed to put it right even if this causes delay and expense, provided that it can be done without injustice to the other party.</w:t>
      </w:r>
    </w:p>
    <w:p w:rsidR="00827DD4" w:rsidRPr="00447C64" w:rsidRDefault="00323432" w:rsidP="00361DD8">
      <w:pPr>
        <w:ind w:left="284" w:right="284" w:firstLine="397"/>
        <w:jc w:val="both"/>
        <w:rPr>
          <w:rFonts w:ascii="Times New Roman" w:eastAsiaTheme="minorHAnsi" w:hAnsi="Times New Roman"/>
          <w:szCs w:val="26"/>
          <w:lang w:val="en-US"/>
        </w:rPr>
      </w:pPr>
      <w:r w:rsidRPr="00323432">
        <w:rPr>
          <w:rFonts w:ascii="Times New Roman" w:eastAsiaTheme="minorHAnsi" w:hAnsi="Times New Roman"/>
          <w:szCs w:val="26"/>
          <w:lang w:val="en-US"/>
        </w:rPr>
        <w:t>… I do not believe that these principles can be brushed aside on the ground that they were laid down a century ago or that they fail to recognise the exigencies of the modern civil justice system. On the contrary, I believe that they represent a fundamental assessment of the functions of a court of justice which has a universal and timeless validity.</w:t>
      </w:r>
    </w:p>
    <w:p w:rsidR="00827DD4" w:rsidRPr="00447C64" w:rsidRDefault="00827DD4" w:rsidP="00361DD8">
      <w:pPr>
        <w:spacing w:line="360" w:lineRule="auto"/>
        <w:ind w:firstLine="397"/>
        <w:jc w:val="both"/>
        <w:rPr>
          <w:rFonts w:ascii="Times New Roman" w:eastAsiaTheme="minorHAnsi" w:hAnsi="Times New Roman"/>
          <w:szCs w:val="26"/>
          <w:lang w:val="en-US"/>
        </w:rPr>
      </w:pPr>
    </w:p>
    <w:p w:rsidR="00827DD4" w:rsidRPr="00447C64" w:rsidRDefault="00323432" w:rsidP="00361DD8">
      <w:pPr>
        <w:spacing w:line="360" w:lineRule="auto"/>
        <w:ind w:firstLine="397"/>
        <w:jc w:val="both"/>
        <w:rPr>
          <w:rFonts w:ascii="Times New Roman" w:eastAsiaTheme="minorHAnsi" w:hAnsi="Times New Roman"/>
          <w:szCs w:val="26"/>
          <w:lang w:val="en-US"/>
        </w:rPr>
      </w:pPr>
      <w:r w:rsidRPr="00323432">
        <w:rPr>
          <w:rFonts w:ascii="Times New Roman" w:eastAsiaTheme="minorHAnsi" w:hAnsi="Times New Roman"/>
          <w:szCs w:val="26"/>
          <w:lang w:val="en-US"/>
        </w:rPr>
        <w:t>On the academic side, Sir Jack Jacob concluded his influential Hamlyn Lectures</w:t>
      </w:r>
      <w:bookmarkStart w:id="24" w:name="_Ref232408124"/>
      <w:r w:rsidR="008E05F3">
        <w:rPr>
          <w:rStyle w:val="FootnoteReference"/>
          <w:rFonts w:ascii="Times New Roman" w:eastAsiaTheme="minorHAnsi" w:hAnsi="Times New Roman"/>
          <w:szCs w:val="26"/>
          <w:lang w:val="en-US"/>
        </w:rPr>
        <w:footnoteReference w:id="67"/>
      </w:r>
      <w:bookmarkEnd w:id="24"/>
      <w:r w:rsidRPr="00323432">
        <w:rPr>
          <w:rFonts w:ascii="Times New Roman" w:eastAsiaTheme="minorHAnsi" w:hAnsi="Times New Roman"/>
          <w:szCs w:val="26"/>
          <w:lang w:val="en-US"/>
        </w:rPr>
        <w:t xml:space="preserve"> with a quotation from </w:t>
      </w:r>
      <w:r w:rsidRPr="00323432">
        <w:rPr>
          <w:rFonts w:ascii="Times New Roman" w:hAnsi="Times New Roman"/>
        </w:rPr>
        <w:t>a speech of Quintin</w:t>
      </w:r>
      <w:r w:rsidR="002D2F48">
        <w:rPr>
          <w:rFonts w:ascii="Times New Roman" w:hAnsi="Times New Roman"/>
        </w:rPr>
        <w:t xml:space="preserve"> Hogg MP, later Lord Hailsham: ‘</w:t>
      </w:r>
      <w:r w:rsidRPr="00323432">
        <w:rPr>
          <w:rFonts w:ascii="Times New Roman" w:hAnsi="Times New Roman"/>
        </w:rPr>
        <w:t>[i]t is not only important to realize that litigation is an evil; it is also important to realize that neither speed, nor cheapness nor universality are the ultimate ends of litigatio</w:t>
      </w:r>
      <w:r w:rsidR="002D2F48">
        <w:rPr>
          <w:rFonts w:ascii="Times New Roman" w:hAnsi="Times New Roman"/>
        </w:rPr>
        <w:t>n. The ultimate end is justice…’</w:t>
      </w:r>
      <w:r w:rsidRPr="00323432">
        <w:rPr>
          <w:rFonts w:ascii="Times New Roman" w:hAnsi="Times New Roman"/>
        </w:rPr>
        <w:t xml:space="preserve"> </w:t>
      </w:r>
      <w:r w:rsidR="00186F22">
        <w:rPr>
          <w:rFonts w:ascii="Times New Roman" w:hAnsi="Times New Roman"/>
        </w:rPr>
        <w:t xml:space="preserve">He also </w:t>
      </w:r>
      <w:r w:rsidR="00A84D3C">
        <w:rPr>
          <w:rFonts w:ascii="Times New Roman" w:hAnsi="Times New Roman"/>
        </w:rPr>
        <w:t xml:space="preserve">reiterated his </w:t>
      </w:r>
      <w:r w:rsidRPr="00323432">
        <w:rPr>
          <w:rFonts w:ascii="Times New Roman" w:hAnsi="Times New Roman"/>
        </w:rPr>
        <w:t xml:space="preserve">opposition to automatic sanctions for non-compliance in 1968 </w:t>
      </w:r>
      <w:r w:rsidR="00A84D3C">
        <w:rPr>
          <w:rFonts w:ascii="Times New Roman" w:hAnsi="Times New Roman"/>
        </w:rPr>
        <w:t>in his submission to the Winn Committee on Personal Injuries Litigation</w:t>
      </w:r>
      <w:r w:rsidRPr="00323432">
        <w:rPr>
          <w:rFonts w:ascii="Times New Roman" w:hAnsi="Times New Roman"/>
        </w:rPr>
        <w:t xml:space="preserve">. </w:t>
      </w: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 xml:space="preserve"> Although, in contrast with what seems to be the prevailing position in the US, in reported cases in England only a minority view still clings to a pure </w:t>
      </w:r>
      <w:r w:rsidR="003E2174">
        <w:rPr>
          <w:rFonts w:ascii="Times New Roman" w:eastAsiaTheme="minorHAnsi" w:hAnsi="Times New Roman"/>
          <w:lang w:val="en-US"/>
        </w:rPr>
        <w:t>‘</w:t>
      </w:r>
      <w:r w:rsidRPr="00323432">
        <w:rPr>
          <w:rFonts w:ascii="Times New Roman" w:eastAsiaTheme="minorHAnsi" w:hAnsi="Times New Roman"/>
          <w:lang w:val="en-US"/>
        </w:rPr>
        <w:t>justice on the merits</w:t>
      </w:r>
      <w:r w:rsidR="003E2174">
        <w:rPr>
          <w:rFonts w:ascii="Times New Roman" w:eastAsiaTheme="minorHAnsi" w:hAnsi="Times New Roman"/>
          <w:lang w:val="en-US"/>
        </w:rPr>
        <w:t>‘</w:t>
      </w:r>
      <w:r w:rsidR="003E2174" w:rsidRPr="00323432">
        <w:rPr>
          <w:rFonts w:ascii="Times New Roman" w:eastAsiaTheme="minorHAnsi" w:hAnsi="Times New Roman"/>
          <w:lang w:val="en-US"/>
        </w:rPr>
        <w:t xml:space="preserve"> </w:t>
      </w:r>
      <w:r w:rsidRPr="00323432">
        <w:rPr>
          <w:rFonts w:ascii="Times New Roman" w:eastAsiaTheme="minorHAnsi" w:hAnsi="Times New Roman"/>
          <w:lang w:val="en-US"/>
        </w:rPr>
        <w:t xml:space="preserve">ideal, the position is still canvassed at regular intervals and </w:t>
      </w:r>
      <w:r w:rsidR="008F2E45">
        <w:rPr>
          <w:rFonts w:ascii="Times New Roman" w:eastAsiaTheme="minorHAnsi" w:hAnsi="Times New Roman"/>
          <w:lang w:val="en-US"/>
        </w:rPr>
        <w:t xml:space="preserve">occasionally </w:t>
      </w:r>
      <w:r w:rsidRPr="00323432">
        <w:rPr>
          <w:rFonts w:ascii="Times New Roman" w:eastAsiaTheme="minorHAnsi" w:hAnsi="Times New Roman"/>
          <w:lang w:val="en-US"/>
        </w:rPr>
        <w:t>reappears with each application of the rule.</w:t>
      </w:r>
      <w:r w:rsidR="003E2174">
        <w:rPr>
          <w:rStyle w:val="FootnoteReference"/>
          <w:rFonts w:ascii="Times New Roman" w:eastAsiaTheme="minorHAnsi" w:hAnsi="Times New Roman"/>
          <w:lang w:val="en-US"/>
        </w:rPr>
        <w:footnoteReference w:id="68"/>
      </w:r>
      <w:r w:rsidRPr="00323432">
        <w:rPr>
          <w:rFonts w:ascii="Times New Roman" w:eastAsiaTheme="minorHAnsi" w:hAnsi="Times New Roman"/>
          <w:lang w:val="en-US"/>
        </w:rPr>
        <w:t xml:space="preserve"> The debate extends to what the rule itself ought or ought not to say on its face. In the most recent report on the civil procedure system</w:t>
      </w:r>
      <w:r w:rsidR="008E05F3">
        <w:rPr>
          <w:rStyle w:val="FootnoteReference"/>
          <w:rFonts w:ascii="Times New Roman" w:eastAsiaTheme="minorHAnsi" w:hAnsi="Times New Roman"/>
          <w:lang w:val="en-US"/>
        </w:rPr>
        <w:footnoteReference w:id="69"/>
      </w:r>
      <w:r w:rsidRPr="00323432">
        <w:rPr>
          <w:rFonts w:ascii="Times New Roman" w:eastAsiaTheme="minorHAnsi" w:hAnsi="Times New Roman"/>
          <w:lang w:val="en-US"/>
        </w:rPr>
        <w:t xml:space="preserve"> Sir Rupert Jackson, having been given </w:t>
      </w:r>
      <w:r w:rsidR="00DF4C1E">
        <w:rPr>
          <w:rFonts w:ascii="Times New Roman" w:eastAsiaTheme="minorHAnsi" w:hAnsi="Times New Roman"/>
          <w:lang w:val="en-US"/>
        </w:rPr>
        <w:t>a</w:t>
      </w:r>
      <w:r w:rsidR="00DF4C1E" w:rsidRPr="00323432">
        <w:rPr>
          <w:rFonts w:ascii="Times New Roman" w:eastAsiaTheme="minorHAnsi" w:hAnsi="Times New Roman"/>
          <w:lang w:val="en-US"/>
        </w:rPr>
        <w:t xml:space="preserve"> </w:t>
      </w:r>
      <w:r w:rsidRPr="00323432">
        <w:rPr>
          <w:rFonts w:ascii="Times New Roman" w:eastAsiaTheme="minorHAnsi" w:hAnsi="Times New Roman"/>
          <w:lang w:val="en-US"/>
        </w:rPr>
        <w:t>mandate to review the entirety of the rules of procedure, as well as those pertaining more specifically to costs, and to suggest improvements to reduce costs, noted that the vast amount of satellite litigation created by the inconsistent application of CPR 3.9 contributed considerably to increased costs.</w:t>
      </w:r>
      <w:bookmarkStart w:id="25" w:name="_Ref232398091"/>
      <w:r w:rsidR="008E05F3">
        <w:rPr>
          <w:rStyle w:val="FootnoteReference"/>
          <w:rFonts w:ascii="Times New Roman" w:eastAsiaTheme="minorHAnsi" w:hAnsi="Times New Roman"/>
          <w:lang w:val="en-US"/>
        </w:rPr>
        <w:footnoteReference w:id="70"/>
      </w:r>
      <w:bookmarkEnd w:id="25"/>
      <w:r w:rsidRPr="00323432">
        <w:rPr>
          <w:rFonts w:ascii="Times New Roman" w:eastAsiaTheme="minorHAnsi" w:hAnsi="Times New Roman"/>
          <w:lang w:val="en-US"/>
        </w:rPr>
        <w:t xml:space="preserve"> He suggested that the rule be simplified, indicating two alternative versions.</w:t>
      </w:r>
      <w:r w:rsidR="008E05F3">
        <w:rPr>
          <w:rStyle w:val="FootnoteReference"/>
          <w:rFonts w:ascii="Times New Roman" w:eastAsiaTheme="minorHAnsi" w:hAnsi="Times New Roman"/>
          <w:lang w:val="en-US"/>
        </w:rPr>
        <w:footnoteReference w:id="71"/>
      </w:r>
      <w:r w:rsidRPr="00323432">
        <w:rPr>
          <w:rFonts w:ascii="Times New Roman" w:eastAsiaTheme="minorHAnsi" w:hAnsi="Times New Roman"/>
          <w:lang w:val="en-US"/>
        </w:rPr>
        <w:t xml:space="preserve"> Eventually, neither of his specific proposals w</w:t>
      </w:r>
      <w:r w:rsidR="00183853">
        <w:rPr>
          <w:rFonts w:ascii="Times New Roman" w:eastAsiaTheme="minorHAnsi" w:hAnsi="Times New Roman"/>
          <w:lang w:val="en-US"/>
        </w:rPr>
        <w:t>as</w:t>
      </w:r>
      <w:r w:rsidRPr="00323432">
        <w:rPr>
          <w:rFonts w:ascii="Times New Roman" w:eastAsiaTheme="minorHAnsi" w:hAnsi="Times New Roman"/>
          <w:lang w:val="en-US"/>
        </w:rPr>
        <w:t xml:space="preserve"> taken up, but the general idea of reforming </w:t>
      </w:r>
      <w:r w:rsidR="00B90733">
        <w:rPr>
          <w:rFonts w:ascii="Times New Roman" w:eastAsiaTheme="minorHAnsi" w:hAnsi="Times New Roman"/>
          <w:lang w:val="en-US"/>
        </w:rPr>
        <w:t xml:space="preserve">and simplifying </w:t>
      </w:r>
      <w:r w:rsidRPr="00323432">
        <w:rPr>
          <w:rFonts w:ascii="Times New Roman" w:eastAsiaTheme="minorHAnsi" w:hAnsi="Times New Roman"/>
          <w:lang w:val="en-US"/>
        </w:rPr>
        <w:t>the rule</w:t>
      </w:r>
      <w:r w:rsidR="003E2174">
        <w:rPr>
          <w:rFonts w:ascii="Times New Roman" w:eastAsiaTheme="minorHAnsi" w:hAnsi="Times New Roman"/>
          <w:lang w:val="en-US"/>
        </w:rPr>
        <w:t>, by removing the ‘laundry list’ of factors to be considered,</w:t>
      </w:r>
      <w:r w:rsidRPr="00323432">
        <w:rPr>
          <w:rFonts w:ascii="Times New Roman" w:eastAsiaTheme="minorHAnsi" w:hAnsi="Times New Roman"/>
          <w:lang w:val="en-US"/>
        </w:rPr>
        <w:t xml:space="preserve"> was accepted.  As of 1 April 2013, CPR 3.9 state</w:t>
      </w:r>
      <w:r w:rsidR="00183853">
        <w:rPr>
          <w:rFonts w:ascii="Times New Roman" w:eastAsiaTheme="minorHAnsi" w:hAnsi="Times New Roman"/>
          <w:lang w:val="en-US"/>
        </w:rPr>
        <w:t>s</w:t>
      </w:r>
      <w:r w:rsidRPr="00323432">
        <w:rPr>
          <w:rFonts w:ascii="Times New Roman" w:eastAsiaTheme="minorHAnsi" w:hAnsi="Times New Roman"/>
          <w:lang w:val="en-US"/>
        </w:rPr>
        <w:t xml:space="preserve">: </w:t>
      </w:r>
    </w:p>
    <w:p w:rsidR="00827DD4" w:rsidRPr="00447C64" w:rsidRDefault="00323432" w:rsidP="00361DD8">
      <w:pPr>
        <w:widowControl w:val="0"/>
        <w:autoSpaceDE w:val="0"/>
        <w:autoSpaceDN w:val="0"/>
        <w:adjustRightInd w:val="0"/>
        <w:ind w:firstLine="397"/>
        <w:rPr>
          <w:rFonts w:ascii="Times New Roman" w:eastAsiaTheme="minorHAnsi" w:hAnsi="Times New Roman"/>
          <w:kern w:val="1"/>
          <w:szCs w:val="200"/>
          <w:lang w:val="en-US"/>
        </w:rPr>
      </w:pPr>
      <w:r w:rsidRPr="00323432">
        <w:rPr>
          <w:rFonts w:ascii="Times New Roman" w:eastAsiaTheme="minorHAnsi" w:hAnsi="Times New Roman"/>
          <w:kern w:val="1"/>
          <w:szCs w:val="320"/>
          <w:lang w:val="en-US"/>
        </w:rPr>
        <w:t>(1) On an application for relief from any sanction imposed for a failure to comply with</w:t>
      </w:r>
      <w:r w:rsidRPr="00323432">
        <w:rPr>
          <w:rFonts w:ascii="Times New Roman" w:eastAsiaTheme="minorHAnsi" w:hAnsi="Times New Roman"/>
          <w:kern w:val="1"/>
          <w:szCs w:val="200"/>
          <w:lang w:val="en-US"/>
        </w:rPr>
        <w:t xml:space="preserve"> </w:t>
      </w:r>
      <w:r w:rsidRPr="00323432">
        <w:rPr>
          <w:rFonts w:ascii="Times New Roman" w:eastAsiaTheme="minorHAnsi" w:hAnsi="Times New Roman"/>
          <w:kern w:val="1"/>
          <w:szCs w:val="320"/>
          <w:lang w:val="en-US"/>
        </w:rPr>
        <w:t>any rule, practice direction or court order, the court will consider all the circumstances of</w:t>
      </w:r>
      <w:r w:rsidRPr="00323432">
        <w:rPr>
          <w:rFonts w:ascii="Times New Roman" w:eastAsiaTheme="minorHAnsi" w:hAnsi="Times New Roman"/>
          <w:kern w:val="1"/>
          <w:szCs w:val="200"/>
          <w:lang w:val="en-US"/>
        </w:rPr>
        <w:t xml:space="preserve"> </w:t>
      </w:r>
      <w:r w:rsidRPr="00323432">
        <w:rPr>
          <w:rFonts w:ascii="Times New Roman" w:eastAsiaTheme="minorHAnsi" w:hAnsi="Times New Roman"/>
          <w:kern w:val="1"/>
          <w:szCs w:val="320"/>
          <w:lang w:val="en-US"/>
        </w:rPr>
        <w:t>the case, so as to enable it to deal justly with the application, including the need</w:t>
      </w:r>
      <w:r w:rsidRPr="00323432">
        <w:rPr>
          <w:rFonts w:ascii="Times New Roman" w:eastAsiaTheme="minorHAnsi" w:hAnsi="Times New Roman"/>
          <w:spacing w:val="20"/>
          <w:kern w:val="1"/>
          <w:szCs w:val="320"/>
          <w:lang w:val="en-US"/>
        </w:rPr>
        <w:t>—</w:t>
      </w:r>
    </w:p>
    <w:p w:rsidR="00827DD4" w:rsidRPr="00447C64" w:rsidRDefault="00323432" w:rsidP="00361DD8">
      <w:pPr>
        <w:widowControl w:val="0"/>
        <w:autoSpaceDE w:val="0"/>
        <w:autoSpaceDN w:val="0"/>
        <w:adjustRightInd w:val="0"/>
        <w:ind w:firstLine="397"/>
        <w:rPr>
          <w:rFonts w:ascii="Times New Roman" w:eastAsiaTheme="minorHAnsi" w:hAnsi="Times New Roman"/>
          <w:kern w:val="1"/>
          <w:szCs w:val="200"/>
          <w:lang w:val="en-US"/>
        </w:rPr>
      </w:pPr>
      <w:r w:rsidRPr="00323432">
        <w:rPr>
          <w:rFonts w:ascii="Times New Roman" w:eastAsiaTheme="minorHAnsi" w:hAnsi="Times New Roman"/>
          <w:kern w:val="1"/>
          <w:szCs w:val="320"/>
          <w:lang w:val="en-US"/>
        </w:rPr>
        <w:t>(a) for litigation to be conducted efficiently and at proportionate cost; and</w:t>
      </w:r>
    </w:p>
    <w:p w:rsidR="00186F22" w:rsidRDefault="00323432" w:rsidP="00186F22">
      <w:pPr>
        <w:spacing w:line="360" w:lineRule="auto"/>
        <w:ind w:firstLine="397"/>
        <w:jc w:val="both"/>
        <w:rPr>
          <w:rFonts w:ascii="Times New Roman" w:eastAsiaTheme="minorHAnsi" w:hAnsi="Times New Roman"/>
          <w:kern w:val="1"/>
          <w:szCs w:val="320"/>
          <w:lang w:val="en-US"/>
        </w:rPr>
      </w:pPr>
      <w:r w:rsidRPr="00323432">
        <w:rPr>
          <w:rFonts w:ascii="Times New Roman" w:eastAsiaTheme="minorHAnsi" w:hAnsi="Times New Roman"/>
          <w:kern w:val="1"/>
          <w:szCs w:val="320"/>
          <w:lang w:val="en-US"/>
        </w:rPr>
        <w:t>(b) to enforce compliance with rules, practice directions and orders.</w:t>
      </w:r>
    </w:p>
    <w:p w:rsidR="00B90733" w:rsidRDefault="00B90733" w:rsidP="00186F22">
      <w:pPr>
        <w:spacing w:line="360" w:lineRule="auto"/>
        <w:ind w:firstLine="397"/>
        <w:jc w:val="both"/>
        <w:rPr>
          <w:rFonts w:ascii="Times New Roman" w:eastAsiaTheme="minorHAnsi" w:hAnsi="Times New Roman"/>
          <w:lang w:val="en-US"/>
        </w:rPr>
      </w:pPr>
    </w:p>
    <w:p w:rsidR="00186F22" w:rsidRDefault="00B90733" w:rsidP="00B90733">
      <w:pPr>
        <w:spacing w:line="360" w:lineRule="auto"/>
        <w:ind w:firstLine="397"/>
        <w:jc w:val="both"/>
        <w:rPr>
          <w:rFonts w:ascii="Times New Roman" w:eastAsiaTheme="minorHAnsi" w:hAnsi="Times New Roman"/>
          <w:lang w:val="en-US"/>
        </w:rPr>
      </w:pPr>
      <w:r>
        <w:rPr>
          <w:rFonts w:ascii="Times New Roman" w:eastAsiaTheme="minorHAnsi" w:hAnsi="Times New Roman"/>
          <w:lang w:val="en-US"/>
        </w:rPr>
        <w:t>It is as yet unclear how far the new version of the rule satisfies either Lord Justice Jackson’s concerns or those of the academics who</w:t>
      </w:r>
      <w:r w:rsidR="006B1D42">
        <w:rPr>
          <w:rFonts w:ascii="Times New Roman" w:eastAsiaTheme="minorHAnsi" w:hAnsi="Times New Roman"/>
          <w:lang w:val="en-US"/>
        </w:rPr>
        <w:t xml:space="preserve"> suggested changes to the rule</w:t>
      </w:r>
      <w:r>
        <w:rPr>
          <w:rFonts w:ascii="Times New Roman" w:eastAsiaTheme="minorHAnsi" w:hAnsi="Times New Roman"/>
          <w:lang w:val="en-US"/>
        </w:rPr>
        <w:t>.</w:t>
      </w:r>
      <w:bookmarkStart w:id="26" w:name="_Ref232402233"/>
      <w:r>
        <w:rPr>
          <w:rStyle w:val="FootnoteReference"/>
          <w:rFonts w:ascii="Times New Roman" w:eastAsiaTheme="minorHAnsi" w:hAnsi="Times New Roman"/>
          <w:lang w:val="en-US"/>
        </w:rPr>
        <w:footnoteReference w:id="72"/>
      </w:r>
      <w:bookmarkEnd w:id="26"/>
      <w:r w:rsidR="00A74B76">
        <w:rPr>
          <w:rFonts w:ascii="Times New Roman" w:eastAsiaTheme="minorHAnsi" w:hAnsi="Times New Roman"/>
          <w:lang w:val="en-US"/>
        </w:rPr>
        <w:t xml:space="preserve"> Past history of procedural reform in England however suggests that drafting changes may not be sufficient to eradicate unwanted cultural hang-ups. Such cultural imperatives, however, are not to be limited to the ‘philosophies of procedure’. Instead they go much further back, to the belief that the choice of which philosophy to adopt when applying the rule is subjectively that of the judge. The following section</w:t>
      </w:r>
      <w:r w:rsidR="004C43B3">
        <w:rPr>
          <w:rFonts w:ascii="Times New Roman" w:eastAsiaTheme="minorHAnsi" w:hAnsi="Times New Roman"/>
          <w:lang w:val="en-US"/>
        </w:rPr>
        <w:t>s</w:t>
      </w:r>
      <w:r w:rsidR="00A74B76">
        <w:rPr>
          <w:rFonts w:ascii="Times New Roman" w:eastAsiaTheme="minorHAnsi" w:hAnsi="Times New Roman"/>
          <w:lang w:val="en-US"/>
        </w:rPr>
        <w:t xml:space="preserve"> will attempt to </w:t>
      </w:r>
      <w:r w:rsidR="004C43B3">
        <w:rPr>
          <w:rFonts w:ascii="Times New Roman" w:eastAsiaTheme="minorHAnsi" w:hAnsi="Times New Roman"/>
          <w:lang w:val="en-US"/>
        </w:rPr>
        <w:t>address, and dispel, this misconception</w:t>
      </w:r>
      <w:r w:rsidR="00A74B76">
        <w:rPr>
          <w:rFonts w:ascii="Times New Roman" w:eastAsiaTheme="minorHAnsi" w:hAnsi="Times New Roman"/>
          <w:lang w:val="en-US"/>
        </w:rPr>
        <w:t>.</w:t>
      </w:r>
    </w:p>
    <w:p w:rsidR="00B90733" w:rsidRDefault="00B90733" w:rsidP="00B90733">
      <w:pPr>
        <w:spacing w:line="360" w:lineRule="auto"/>
        <w:ind w:firstLine="397"/>
        <w:jc w:val="both"/>
        <w:rPr>
          <w:rFonts w:ascii="Times New Roman" w:eastAsiaTheme="minorHAnsi" w:hAnsi="Times New Roman"/>
          <w:lang w:val="en-US"/>
        </w:rPr>
      </w:pPr>
    </w:p>
    <w:p w:rsidR="00827DD4" w:rsidRPr="002D2F48" w:rsidRDefault="002D2F48" w:rsidP="002D2F48">
      <w:pPr>
        <w:spacing w:line="360" w:lineRule="auto"/>
        <w:jc w:val="both"/>
        <w:rPr>
          <w:rFonts w:ascii="Times New Roman" w:eastAsiaTheme="minorHAnsi" w:hAnsi="Times New Roman"/>
          <w:lang w:val="en-US"/>
        </w:rPr>
      </w:pPr>
      <w:r w:rsidRPr="002D2F48">
        <w:rPr>
          <w:rFonts w:ascii="Times New Roman" w:eastAsiaTheme="minorHAnsi" w:hAnsi="Times New Roman"/>
          <w:lang w:val="en-US"/>
        </w:rPr>
        <w:t>6</w:t>
      </w:r>
      <w:r w:rsidR="00323432" w:rsidRPr="002D2F48">
        <w:rPr>
          <w:rFonts w:ascii="Times New Roman" w:eastAsiaTheme="minorHAnsi" w:hAnsi="Times New Roman"/>
          <w:lang w:val="en-US"/>
        </w:rPr>
        <w:t xml:space="preserve">. Two philosophies: Justice for one, justice for many. </w:t>
      </w:r>
    </w:p>
    <w:p w:rsidR="00827DD4" w:rsidRPr="00447C64" w:rsidRDefault="00827DD4" w:rsidP="00361DD8">
      <w:pPr>
        <w:spacing w:line="360" w:lineRule="auto"/>
        <w:ind w:firstLine="397"/>
        <w:jc w:val="both"/>
        <w:rPr>
          <w:rFonts w:ascii="Times New Roman" w:eastAsiaTheme="minorHAnsi" w:hAnsi="Times New Roman"/>
          <w:lang w:val="en-US"/>
        </w:rPr>
      </w:pP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 xml:space="preserve">The American Federal court system and the English system of civil courts, while </w:t>
      </w:r>
      <w:r w:rsidR="00A74B76">
        <w:rPr>
          <w:rFonts w:ascii="Times New Roman" w:eastAsiaTheme="minorHAnsi" w:hAnsi="Times New Roman"/>
          <w:lang w:val="en-US"/>
        </w:rPr>
        <w:t xml:space="preserve">both </w:t>
      </w:r>
      <w:r w:rsidRPr="00323432">
        <w:rPr>
          <w:rFonts w:ascii="Times New Roman" w:eastAsiaTheme="minorHAnsi" w:hAnsi="Times New Roman"/>
          <w:lang w:val="en-US"/>
        </w:rPr>
        <w:t>part of the Common Law family,</w:t>
      </w:r>
      <w:r w:rsidR="008E05F3">
        <w:rPr>
          <w:rStyle w:val="FootnoteReference"/>
          <w:rFonts w:ascii="Times New Roman" w:eastAsiaTheme="minorHAnsi" w:hAnsi="Times New Roman"/>
          <w:lang w:val="en-US"/>
        </w:rPr>
        <w:footnoteReference w:id="73"/>
      </w:r>
      <w:r w:rsidRPr="00323432">
        <w:rPr>
          <w:rFonts w:ascii="Times New Roman" w:eastAsiaTheme="minorHAnsi" w:hAnsi="Times New Roman"/>
          <w:lang w:val="en-US"/>
        </w:rPr>
        <w:t xml:space="preserve"> share very little today in terms of structure, constitutional framework, and even the character of judicial personnel. The American Federal system was designed to apply to a vast territory and provide a relatively uniform</w:t>
      </w:r>
      <w:r w:rsidR="008E05F3">
        <w:rPr>
          <w:rStyle w:val="FootnoteReference"/>
          <w:rFonts w:ascii="Times New Roman" w:eastAsiaTheme="minorHAnsi" w:hAnsi="Times New Roman"/>
          <w:lang w:val="en-US"/>
        </w:rPr>
        <w:footnoteReference w:id="74"/>
      </w:r>
      <w:r w:rsidRPr="00323432">
        <w:rPr>
          <w:rFonts w:ascii="Times New Roman" w:eastAsiaTheme="minorHAnsi" w:hAnsi="Times New Roman"/>
          <w:lang w:val="en-US"/>
        </w:rPr>
        <w:t xml:space="preserve"> adjudicative process throughout the United States. It is established by the United States Constitution in terms both general and rigid.</w:t>
      </w:r>
      <w:r w:rsidR="008E05F3">
        <w:rPr>
          <w:rStyle w:val="FootnoteReference"/>
          <w:rFonts w:ascii="Times New Roman" w:eastAsiaTheme="minorHAnsi" w:hAnsi="Times New Roman"/>
          <w:lang w:val="en-US"/>
        </w:rPr>
        <w:footnoteReference w:id="75"/>
      </w:r>
      <w:r w:rsidRPr="00323432">
        <w:rPr>
          <w:rFonts w:ascii="Times New Roman" w:eastAsiaTheme="minorHAnsi" w:hAnsi="Times New Roman"/>
          <w:lang w:val="en-US"/>
        </w:rPr>
        <w:t xml:space="preserve"> With regards to the procedure of the court, the Rules Enabling Act 1934 gives the Supreme Court and all courts established by Act of Congress the power to prescribe rules for the conduct of their business, which must not be inconsistent with Acts of Congress</w:t>
      </w:r>
      <w:r w:rsidR="00183853">
        <w:rPr>
          <w:rFonts w:ascii="Times New Roman" w:eastAsiaTheme="minorHAnsi" w:hAnsi="Times New Roman"/>
          <w:lang w:val="en-US"/>
        </w:rPr>
        <w:t xml:space="preserve"> or</w:t>
      </w:r>
      <w:r w:rsidRPr="00323432">
        <w:rPr>
          <w:rFonts w:ascii="Times New Roman" w:eastAsiaTheme="minorHAnsi" w:hAnsi="Times New Roman"/>
          <w:lang w:val="en-US"/>
        </w:rPr>
        <w:t xml:space="preserve"> the rules of practice and procedure prescribed by the Supreme Court</w:t>
      </w:r>
      <w:r w:rsidR="00183853">
        <w:rPr>
          <w:rFonts w:ascii="Times New Roman" w:eastAsiaTheme="minorHAnsi" w:hAnsi="Times New Roman"/>
          <w:lang w:val="en-US"/>
        </w:rPr>
        <w:t>,</w:t>
      </w:r>
      <w:r w:rsidR="00B21C81">
        <w:rPr>
          <w:rFonts w:ascii="Times New Roman" w:eastAsiaTheme="minorHAnsi" w:hAnsi="Times New Roman"/>
          <w:lang w:val="en-US"/>
        </w:rPr>
        <w:t xml:space="preserve"> and must also not ‘</w:t>
      </w:r>
      <w:r w:rsidRPr="00323432">
        <w:rPr>
          <w:rFonts w:ascii="Times New Roman" w:eastAsiaTheme="minorHAnsi" w:hAnsi="Times New Roman"/>
          <w:lang w:val="en-US"/>
        </w:rPr>
        <w:t>abridge, enlarge or modify any subst</w:t>
      </w:r>
      <w:bookmarkStart w:id="27" w:name="_Ref232407538"/>
      <w:r w:rsidR="00B21C81">
        <w:rPr>
          <w:rFonts w:ascii="Times New Roman" w:eastAsiaTheme="minorHAnsi" w:hAnsi="Times New Roman"/>
          <w:lang w:val="en-US"/>
        </w:rPr>
        <w:t>antive right’.</w:t>
      </w:r>
      <w:r w:rsidR="008E05F3">
        <w:rPr>
          <w:rStyle w:val="FootnoteReference"/>
          <w:rFonts w:ascii="Times New Roman" w:eastAsiaTheme="minorHAnsi" w:hAnsi="Times New Roman"/>
          <w:lang w:val="en-US"/>
        </w:rPr>
        <w:footnoteReference w:id="76"/>
      </w:r>
      <w:bookmarkEnd w:id="27"/>
      <w:r w:rsidRPr="00323432">
        <w:rPr>
          <w:rFonts w:ascii="Times New Roman" w:eastAsiaTheme="minorHAnsi" w:hAnsi="Times New Roman"/>
          <w:lang w:val="en-US"/>
        </w:rPr>
        <w:t xml:space="preserve"> The rulemaking procedure is complex</w:t>
      </w:r>
      <w:r w:rsidR="008E05F3">
        <w:rPr>
          <w:rStyle w:val="FootnoteReference"/>
          <w:rFonts w:ascii="Times New Roman" w:eastAsiaTheme="minorHAnsi" w:hAnsi="Times New Roman"/>
          <w:lang w:val="en-US"/>
        </w:rPr>
        <w:footnoteReference w:id="77"/>
      </w:r>
      <w:r w:rsidRPr="00323432">
        <w:rPr>
          <w:rFonts w:ascii="Times New Roman" w:eastAsiaTheme="minorHAnsi" w:hAnsi="Times New Roman"/>
          <w:lang w:val="en-US"/>
        </w:rPr>
        <w:t xml:space="preserve"> and involves federal judges,</w:t>
      </w:r>
      <w:r w:rsidRPr="00323432">
        <w:rPr>
          <w:rFonts w:ascii="Times New Roman" w:hAnsi="Times New Roman"/>
          <w:lang w:val="en-US"/>
        </w:rPr>
        <w:t xml:space="preserve"> representatives from the practi</w:t>
      </w:r>
      <w:r w:rsidR="00FE5FE8">
        <w:rPr>
          <w:rFonts w:ascii="Times New Roman" w:hAnsi="Times New Roman"/>
          <w:lang w:val="en-US"/>
        </w:rPr>
        <w:t>s</w:t>
      </w:r>
      <w:r w:rsidRPr="00323432">
        <w:rPr>
          <w:rFonts w:ascii="Times New Roman" w:hAnsi="Times New Roman"/>
          <w:lang w:val="en-US"/>
        </w:rPr>
        <w:t>ing bar, academia, the federal Department of Justice, and the state courts (Advisory Committee members),</w:t>
      </w:r>
      <w:r w:rsidRPr="00323432">
        <w:rPr>
          <w:rFonts w:ascii="Times New Roman" w:eastAsiaTheme="minorHAnsi" w:hAnsi="Times New Roman"/>
          <w:lang w:val="en-US"/>
        </w:rPr>
        <w:t xml:space="preserve"> the Judicial Conference </w:t>
      </w:r>
      <w:r w:rsidRPr="00323432">
        <w:rPr>
          <w:rFonts w:ascii="Times New Roman" w:hAnsi="Times New Roman"/>
          <w:lang w:val="en-US"/>
        </w:rPr>
        <w:t>of the United States, the formal organi</w:t>
      </w:r>
      <w:r w:rsidR="00FE5FE8">
        <w:rPr>
          <w:rFonts w:ascii="Times New Roman" w:hAnsi="Times New Roman"/>
          <w:lang w:val="en-US"/>
        </w:rPr>
        <w:t>s</w:t>
      </w:r>
      <w:r w:rsidRPr="00323432">
        <w:rPr>
          <w:rFonts w:ascii="Times New Roman" w:hAnsi="Times New Roman"/>
          <w:lang w:val="en-US"/>
        </w:rPr>
        <w:t>ation of the federal judiciary, the United States Supreme Court and Congress.</w:t>
      </w:r>
      <w:r w:rsidR="003D40E1" w:rsidRPr="003D40E1">
        <w:rPr>
          <w:rStyle w:val="FootnoteReference"/>
          <w:rFonts w:ascii="Times New Roman" w:hAnsi="Times New Roman"/>
          <w:lang w:val="en-US"/>
        </w:rPr>
        <w:footnoteReference w:id="78"/>
      </w:r>
      <w:r w:rsidR="003D40E1" w:rsidRPr="003D40E1">
        <w:rPr>
          <w:rFonts w:ascii="Times New Roman" w:hAnsi="Times New Roman"/>
          <w:lang w:val="en-US"/>
        </w:rPr>
        <w:t xml:space="preserve"> </w:t>
      </w:r>
    </w:p>
    <w:p w:rsidR="00827DD4" w:rsidRPr="00447C64" w:rsidRDefault="00827DD4" w:rsidP="00361DD8">
      <w:pPr>
        <w:spacing w:line="360" w:lineRule="auto"/>
        <w:ind w:firstLine="397"/>
        <w:jc w:val="both"/>
        <w:rPr>
          <w:rFonts w:ascii="Times New Roman" w:eastAsiaTheme="minorHAnsi" w:hAnsi="Times New Roman"/>
          <w:lang w:val="en-US"/>
        </w:rPr>
      </w:pPr>
      <w:r w:rsidRPr="00447C64">
        <w:rPr>
          <w:rFonts w:ascii="Times New Roman" w:eastAsiaTheme="minorHAnsi" w:hAnsi="Times New Roman"/>
          <w:lang w:val="en-US"/>
        </w:rPr>
        <w:t xml:space="preserve">On the other hand, English civil courts and their role and powers within the </w:t>
      </w:r>
      <w:r w:rsidR="008F2E45">
        <w:rPr>
          <w:rFonts w:ascii="Times New Roman" w:eastAsiaTheme="minorHAnsi" w:hAnsi="Times New Roman"/>
          <w:lang w:val="en-US"/>
        </w:rPr>
        <w:t>s</w:t>
      </w:r>
      <w:r w:rsidRPr="00447C64">
        <w:rPr>
          <w:rFonts w:ascii="Times New Roman" w:eastAsiaTheme="minorHAnsi" w:hAnsi="Times New Roman"/>
          <w:lang w:val="en-US"/>
        </w:rPr>
        <w:t xml:space="preserve">tate are not </w:t>
      </w:r>
      <w:r w:rsidR="00A82DC6">
        <w:rPr>
          <w:rFonts w:ascii="Times New Roman" w:eastAsiaTheme="minorHAnsi" w:hAnsi="Times New Roman"/>
          <w:lang w:val="en-US"/>
        </w:rPr>
        <w:t>enshrined in a constitutional document</w:t>
      </w:r>
      <w:r w:rsidRPr="00447C64">
        <w:rPr>
          <w:rFonts w:ascii="Times New Roman" w:eastAsiaTheme="minorHAnsi" w:hAnsi="Times New Roman"/>
          <w:lang w:val="en-US"/>
        </w:rPr>
        <w:t xml:space="preserve">, but are </w:t>
      </w:r>
      <w:r w:rsidR="00A82DC6">
        <w:rPr>
          <w:rFonts w:ascii="Times New Roman" w:eastAsiaTheme="minorHAnsi" w:hAnsi="Times New Roman"/>
          <w:lang w:val="en-US"/>
        </w:rPr>
        <w:t xml:space="preserve">still </w:t>
      </w:r>
      <w:r w:rsidRPr="00447C64">
        <w:rPr>
          <w:rFonts w:ascii="Times New Roman" w:eastAsiaTheme="minorHAnsi" w:hAnsi="Times New Roman"/>
          <w:lang w:val="en-US"/>
        </w:rPr>
        <w:t>steeped in age-old constitutional conventions. The structural framework, ie the constitution, is notoriously hard to define, and at the very least unwritten.</w:t>
      </w:r>
      <w:r w:rsidRPr="00447C64">
        <w:rPr>
          <w:rStyle w:val="FootnoteReference"/>
          <w:rFonts w:ascii="Times New Roman" w:eastAsiaTheme="minorHAnsi" w:hAnsi="Times New Roman"/>
          <w:lang w:val="en-US"/>
        </w:rPr>
        <w:footnoteReference w:id="79"/>
      </w:r>
      <w:r w:rsidRPr="00447C64">
        <w:rPr>
          <w:rFonts w:ascii="Times New Roman" w:eastAsiaTheme="minorHAnsi" w:hAnsi="Times New Roman"/>
          <w:lang w:val="en-US"/>
        </w:rPr>
        <w:t xml:space="preserve"> The requirement of judicial independence, for example, was absent</w:t>
      </w:r>
      <w:r w:rsidRPr="00447C64">
        <w:rPr>
          <w:rStyle w:val="FootnoteReference"/>
          <w:rFonts w:ascii="Times New Roman" w:eastAsiaTheme="minorHAnsi" w:hAnsi="Times New Roman"/>
          <w:lang w:val="en-US"/>
        </w:rPr>
        <w:footnoteReference w:id="80"/>
      </w:r>
      <w:r w:rsidRPr="00447C64">
        <w:rPr>
          <w:rFonts w:ascii="Times New Roman" w:eastAsiaTheme="minorHAnsi" w:hAnsi="Times New Roman"/>
          <w:lang w:val="en-US"/>
        </w:rPr>
        <w:t xml:space="preserve"> in the domestic statute books until 2005, with the Constitutional Reform Act,</w:t>
      </w:r>
      <w:r w:rsidRPr="00447C64">
        <w:rPr>
          <w:rStyle w:val="FootnoteReference"/>
          <w:rFonts w:ascii="Times New Roman" w:eastAsiaTheme="minorHAnsi" w:hAnsi="Times New Roman"/>
          <w:lang w:val="en-US"/>
        </w:rPr>
        <w:footnoteReference w:id="81"/>
      </w:r>
      <w:r w:rsidRPr="00447C64">
        <w:rPr>
          <w:rFonts w:ascii="Times New Roman" w:eastAsiaTheme="minorHAnsi" w:hAnsi="Times New Roman"/>
          <w:lang w:val="en-US"/>
        </w:rPr>
        <w:t xml:space="preserve"> yet no-one would have seriously considered before then, or before the introduction of the Human Rights Act 1998,</w:t>
      </w:r>
      <w:r w:rsidRPr="00447C64">
        <w:rPr>
          <w:rStyle w:val="FootnoteReference"/>
          <w:rFonts w:ascii="Times New Roman" w:eastAsiaTheme="minorHAnsi" w:hAnsi="Times New Roman"/>
          <w:lang w:val="en-US"/>
        </w:rPr>
        <w:footnoteReference w:id="82"/>
      </w:r>
      <w:r w:rsidRPr="00447C64">
        <w:rPr>
          <w:rFonts w:ascii="Times New Roman" w:eastAsiaTheme="minorHAnsi" w:hAnsi="Times New Roman"/>
          <w:lang w:val="en-US"/>
        </w:rPr>
        <w:t xml:space="preserve"> that the English courts did not heed Western liberal due process traditions, including all aspects of public and private fair trial, such as the independence</w:t>
      </w:r>
      <w:r w:rsidRPr="00447C64">
        <w:rPr>
          <w:rStyle w:val="FootnoteReference"/>
          <w:rFonts w:ascii="Times New Roman" w:eastAsiaTheme="minorHAnsi" w:hAnsi="Times New Roman"/>
          <w:lang w:val="en-US"/>
        </w:rPr>
        <w:footnoteReference w:id="83"/>
      </w:r>
      <w:r w:rsidRPr="00447C64">
        <w:rPr>
          <w:rFonts w:ascii="Times New Roman" w:eastAsiaTheme="minorHAnsi" w:hAnsi="Times New Roman"/>
          <w:lang w:val="en-US"/>
        </w:rPr>
        <w:t xml:space="preserve"> and impartiality of the judiciary and time-honored rights of access to court and to be heard.</w:t>
      </w:r>
      <w:r w:rsidRPr="00447C64">
        <w:rPr>
          <w:rStyle w:val="FootnoteReference"/>
          <w:rFonts w:ascii="Times New Roman" w:eastAsiaTheme="minorHAnsi" w:hAnsi="Times New Roman"/>
          <w:lang w:val="en-US"/>
        </w:rPr>
        <w:footnoteReference w:id="84"/>
      </w:r>
      <w:r w:rsidRPr="00447C64">
        <w:rPr>
          <w:rFonts w:ascii="Times New Roman" w:eastAsiaTheme="minorHAnsi" w:hAnsi="Times New Roman"/>
          <w:lang w:val="en-US"/>
        </w:rPr>
        <w:t xml:space="preserve"> The structure, jurisdiction and day-to-day administration of the civil court system were eventually crystalli</w:t>
      </w:r>
      <w:r w:rsidR="00F41F0D">
        <w:rPr>
          <w:rFonts w:ascii="Times New Roman" w:eastAsiaTheme="minorHAnsi" w:hAnsi="Times New Roman"/>
          <w:lang w:val="en-US"/>
        </w:rPr>
        <w:t>s</w:t>
      </w:r>
      <w:r w:rsidRPr="00447C64">
        <w:rPr>
          <w:rFonts w:ascii="Times New Roman" w:eastAsiaTheme="minorHAnsi" w:hAnsi="Times New Roman"/>
          <w:lang w:val="en-US"/>
        </w:rPr>
        <w:t>ed and put on a statutory footing beginning with the 19</w:t>
      </w:r>
      <w:r w:rsidRPr="00447C64">
        <w:rPr>
          <w:rFonts w:ascii="Times New Roman" w:eastAsiaTheme="minorHAnsi" w:hAnsi="Times New Roman"/>
          <w:vertAlign w:val="superscript"/>
          <w:lang w:val="en-US"/>
        </w:rPr>
        <w:t>th</w:t>
      </w:r>
      <w:r w:rsidRPr="00447C64">
        <w:rPr>
          <w:rFonts w:ascii="Times New Roman" w:eastAsiaTheme="minorHAnsi" w:hAnsi="Times New Roman"/>
          <w:lang w:val="en-US"/>
        </w:rPr>
        <w:t xml:space="preserve"> century Judicature Acts. The rules of procedure, first originated in custom, then enshrined in statute law,</w:t>
      </w:r>
      <w:bookmarkStart w:id="28" w:name="_Ref232408172"/>
      <w:r w:rsidRPr="00447C64">
        <w:rPr>
          <w:rStyle w:val="FootnoteReference"/>
          <w:rFonts w:ascii="Times New Roman" w:eastAsiaTheme="minorHAnsi" w:hAnsi="Times New Roman"/>
          <w:lang w:val="en-US"/>
        </w:rPr>
        <w:footnoteReference w:id="85"/>
      </w:r>
      <w:bookmarkEnd w:id="28"/>
      <w:r w:rsidRPr="00447C64">
        <w:rPr>
          <w:rFonts w:ascii="Times New Roman" w:eastAsiaTheme="minorHAnsi" w:hAnsi="Times New Roman"/>
          <w:lang w:val="en-US"/>
        </w:rPr>
        <w:t xml:space="preserve"> are today made </w:t>
      </w:r>
      <w:r w:rsidR="00F41F0D">
        <w:rPr>
          <w:rFonts w:ascii="Times New Roman" w:eastAsiaTheme="minorHAnsi" w:hAnsi="Times New Roman"/>
          <w:lang w:val="en-US"/>
        </w:rPr>
        <w:t xml:space="preserve">and published in statutory instruments </w:t>
      </w:r>
      <w:r w:rsidRPr="00447C64">
        <w:rPr>
          <w:rFonts w:ascii="Times New Roman" w:eastAsiaTheme="minorHAnsi" w:hAnsi="Times New Roman"/>
          <w:lang w:val="en-US"/>
        </w:rPr>
        <w:t xml:space="preserve">by a Rules Committee, composed of mostly judges and a few representatives of the professions, whose authority is now conferred by the Civil Procedure Act 1997 sections 1 and 2. </w:t>
      </w:r>
    </w:p>
    <w:p w:rsidR="00827DD4" w:rsidRPr="00447C64" w:rsidRDefault="00827DD4" w:rsidP="00361DD8">
      <w:pPr>
        <w:spacing w:line="360" w:lineRule="auto"/>
        <w:ind w:firstLine="397"/>
        <w:jc w:val="both"/>
        <w:rPr>
          <w:rFonts w:ascii="Times New Roman" w:eastAsiaTheme="minorHAnsi" w:hAnsi="Times New Roman"/>
          <w:lang w:val="en-US"/>
        </w:rPr>
      </w:pPr>
      <w:r w:rsidRPr="00447C64">
        <w:rPr>
          <w:rFonts w:ascii="Times New Roman" w:eastAsiaTheme="minorHAnsi" w:hAnsi="Times New Roman"/>
          <w:lang w:val="en-US"/>
        </w:rPr>
        <w:t xml:space="preserve">Despite the differences in constitutional context, the procedural rules follow remarkably similar paths, especially with regards to the enforcement of process requirements. Both the English and the US Federal codes contain the </w:t>
      </w:r>
      <w:r w:rsidR="00F41F0D">
        <w:rPr>
          <w:rFonts w:ascii="Times New Roman" w:eastAsiaTheme="minorHAnsi" w:hAnsi="Times New Roman"/>
          <w:lang w:val="en-US"/>
        </w:rPr>
        <w:t>compliance</w:t>
      </w:r>
      <w:r w:rsidRPr="00447C64">
        <w:rPr>
          <w:rFonts w:ascii="Times New Roman" w:eastAsiaTheme="minorHAnsi" w:hAnsi="Times New Roman"/>
          <w:lang w:val="en-US"/>
        </w:rPr>
        <w:t xml:space="preserve"> rule discussed above, and in both systems the application of the rule to cases of non-compliance is subject to two countervailing philosophies</w:t>
      </w:r>
      <w:r w:rsidR="008F2E45">
        <w:rPr>
          <w:rFonts w:ascii="Times New Roman" w:eastAsiaTheme="minorHAnsi" w:hAnsi="Times New Roman"/>
          <w:lang w:val="en-US"/>
        </w:rPr>
        <w:t xml:space="preserve"> </w:t>
      </w:r>
      <w:r w:rsidRPr="00447C64">
        <w:rPr>
          <w:rFonts w:ascii="Times New Roman" w:eastAsiaTheme="minorHAnsi" w:hAnsi="Times New Roman"/>
          <w:lang w:val="en-US"/>
        </w:rPr>
        <w:t xml:space="preserve">of procedure. The first, which has been called the </w:t>
      </w:r>
      <w:r w:rsidR="00B20F5B">
        <w:rPr>
          <w:rFonts w:ascii="Times New Roman" w:eastAsiaTheme="minorHAnsi" w:hAnsi="Times New Roman"/>
          <w:lang w:val="en-US"/>
        </w:rPr>
        <w:t>‘</w:t>
      </w:r>
      <w:r w:rsidRPr="00447C64">
        <w:rPr>
          <w:rFonts w:ascii="Times New Roman" w:eastAsiaTheme="minorHAnsi" w:hAnsi="Times New Roman"/>
          <w:lang w:val="en-US"/>
        </w:rPr>
        <w:t>justice on the</w:t>
      </w:r>
      <w:r w:rsidR="00323432" w:rsidRPr="00323432">
        <w:rPr>
          <w:rFonts w:ascii="Times New Roman" w:eastAsiaTheme="minorHAnsi" w:hAnsi="Times New Roman"/>
          <w:lang w:val="en-US"/>
        </w:rPr>
        <w:t xml:space="preserve"> merits</w:t>
      </w:r>
      <w:r w:rsidR="00B20F5B">
        <w:rPr>
          <w:rFonts w:ascii="Times New Roman" w:eastAsiaTheme="minorHAnsi" w:hAnsi="Times New Roman"/>
          <w:lang w:val="en-US"/>
        </w:rPr>
        <w:t>’</w:t>
      </w:r>
      <w:r w:rsidR="00323432" w:rsidRPr="00323432">
        <w:rPr>
          <w:rFonts w:ascii="Times New Roman" w:eastAsiaTheme="minorHAnsi" w:hAnsi="Times New Roman"/>
          <w:lang w:val="en-US"/>
        </w:rPr>
        <w:t xml:space="preserve"> approach in England, </w:t>
      </w:r>
      <w:r w:rsidR="00B20F5B">
        <w:rPr>
          <w:rFonts w:ascii="Times New Roman" w:eastAsiaTheme="minorHAnsi" w:hAnsi="Times New Roman"/>
          <w:lang w:val="en-US"/>
        </w:rPr>
        <w:t>originally</w:t>
      </w:r>
      <w:r w:rsidR="00B20F5B" w:rsidRPr="00323432">
        <w:rPr>
          <w:rFonts w:ascii="Times New Roman" w:eastAsiaTheme="minorHAnsi" w:hAnsi="Times New Roman"/>
          <w:lang w:val="en-US"/>
        </w:rPr>
        <w:t xml:space="preserve"> </w:t>
      </w:r>
      <w:r w:rsidR="00323432" w:rsidRPr="00323432">
        <w:rPr>
          <w:rFonts w:ascii="Times New Roman" w:eastAsiaTheme="minorHAnsi" w:hAnsi="Times New Roman"/>
          <w:lang w:val="en-US"/>
        </w:rPr>
        <w:t>by Professor Zuckerman,</w:t>
      </w:r>
      <w:r w:rsidR="00B20F5B">
        <w:rPr>
          <w:rStyle w:val="FootnoteReference"/>
          <w:rFonts w:ascii="Times New Roman" w:eastAsiaTheme="minorHAnsi" w:hAnsi="Times New Roman"/>
          <w:lang w:val="en-US"/>
        </w:rPr>
        <w:footnoteReference w:id="86"/>
      </w:r>
      <w:r w:rsidR="00323432" w:rsidRPr="00323432">
        <w:rPr>
          <w:rFonts w:ascii="Times New Roman" w:eastAsiaTheme="minorHAnsi" w:hAnsi="Times New Roman"/>
          <w:lang w:val="en-US"/>
        </w:rPr>
        <w:t xml:space="preserve"> is characteri</w:t>
      </w:r>
      <w:r w:rsidR="00F41F0D">
        <w:rPr>
          <w:rFonts w:ascii="Times New Roman" w:eastAsiaTheme="minorHAnsi" w:hAnsi="Times New Roman"/>
          <w:lang w:val="en-US"/>
        </w:rPr>
        <w:t>s</w:t>
      </w:r>
      <w:r w:rsidR="00323432" w:rsidRPr="00323432">
        <w:rPr>
          <w:rFonts w:ascii="Times New Roman" w:eastAsiaTheme="minorHAnsi" w:hAnsi="Times New Roman"/>
          <w:lang w:val="en-US"/>
        </w:rPr>
        <w:t>ed historically in England by the rejection of the overly formalistic pre-1875 approach,</w:t>
      </w:r>
      <w:r w:rsidR="00F41F0D">
        <w:rPr>
          <w:rFonts w:ascii="Times New Roman" w:eastAsiaTheme="minorHAnsi" w:hAnsi="Times New Roman"/>
          <w:lang w:val="en-US"/>
        </w:rPr>
        <w:t xml:space="preserve"> the dicta of Bowen and Millett LLJ</w:t>
      </w:r>
      <w:r w:rsidR="00323432" w:rsidRPr="00323432">
        <w:rPr>
          <w:rFonts w:ascii="Times New Roman" w:eastAsiaTheme="minorHAnsi" w:hAnsi="Times New Roman"/>
          <w:lang w:val="en-US"/>
        </w:rPr>
        <w:t xml:space="preserve"> and the </w:t>
      </w:r>
      <w:r w:rsidR="00323432" w:rsidRPr="00323432">
        <w:rPr>
          <w:rFonts w:ascii="Times New Roman" w:eastAsiaTheme="minorHAnsi" w:hAnsi="Times New Roman"/>
          <w:i/>
          <w:lang w:val="en-US"/>
        </w:rPr>
        <w:t>Birkett v James</w:t>
      </w:r>
      <w:r w:rsidR="00323432" w:rsidRPr="00323432">
        <w:rPr>
          <w:rFonts w:ascii="Times New Roman" w:eastAsiaTheme="minorHAnsi" w:hAnsi="Times New Roman"/>
          <w:lang w:val="en-US"/>
        </w:rPr>
        <w:t xml:space="preserve"> tradition.</w:t>
      </w:r>
      <w:r w:rsidR="008E05F3">
        <w:rPr>
          <w:rStyle w:val="FootnoteReference"/>
          <w:rFonts w:ascii="Times New Roman" w:eastAsiaTheme="minorHAnsi" w:hAnsi="Times New Roman"/>
          <w:lang w:val="en-US"/>
        </w:rPr>
        <w:footnoteReference w:id="87"/>
      </w:r>
      <w:r w:rsidR="00323432" w:rsidRPr="00323432">
        <w:rPr>
          <w:rFonts w:ascii="Times New Roman" w:eastAsiaTheme="minorHAnsi" w:hAnsi="Times New Roman"/>
          <w:lang w:val="en-US"/>
        </w:rPr>
        <w:t xml:space="preserve">  In the USA, it is apparent in Justice Black’s dissent in </w:t>
      </w:r>
      <w:r w:rsidR="00323432" w:rsidRPr="00323432">
        <w:rPr>
          <w:rFonts w:ascii="Times New Roman" w:eastAsiaTheme="minorHAnsi" w:hAnsi="Times New Roman"/>
          <w:i/>
          <w:lang w:val="en-US"/>
        </w:rPr>
        <w:t>Link v Wabash</w:t>
      </w:r>
      <w:r w:rsidR="00323432" w:rsidRPr="00323432">
        <w:rPr>
          <w:rFonts w:ascii="Times New Roman" w:eastAsiaTheme="minorHAnsi" w:hAnsi="Times New Roman"/>
          <w:lang w:val="en-US"/>
        </w:rPr>
        <w:t xml:space="preserve"> and in more sophisticated form in the subsequent easing of the </w:t>
      </w:r>
      <w:r w:rsidR="0001388B">
        <w:rPr>
          <w:rFonts w:ascii="Times New Roman" w:eastAsiaTheme="minorHAnsi" w:hAnsi="Times New Roman"/>
          <w:lang w:val="en-US"/>
        </w:rPr>
        <w:t>‘</w:t>
      </w:r>
      <w:r w:rsidR="00323432" w:rsidRPr="00323432">
        <w:rPr>
          <w:rFonts w:ascii="Times New Roman" w:eastAsiaTheme="minorHAnsi" w:hAnsi="Times New Roman"/>
          <w:lang w:val="en-US"/>
        </w:rPr>
        <w:t>austere landscape</w:t>
      </w:r>
      <w:r w:rsidR="0001388B">
        <w:rPr>
          <w:rFonts w:ascii="Times New Roman" w:eastAsiaTheme="minorHAnsi" w:hAnsi="Times New Roman"/>
          <w:lang w:val="en-US"/>
        </w:rPr>
        <w:t>‘</w:t>
      </w:r>
      <w:r w:rsidR="0001388B" w:rsidRPr="00323432">
        <w:rPr>
          <w:rFonts w:ascii="Times New Roman" w:eastAsiaTheme="minorHAnsi" w:hAnsi="Times New Roman"/>
          <w:lang w:val="en-US"/>
        </w:rPr>
        <w:t xml:space="preserve"> </w:t>
      </w:r>
      <w:r w:rsidR="00323432" w:rsidRPr="00323432">
        <w:rPr>
          <w:rFonts w:ascii="Times New Roman" w:eastAsiaTheme="minorHAnsi" w:hAnsi="Times New Roman"/>
          <w:lang w:val="en-US"/>
        </w:rPr>
        <w:t xml:space="preserve">of that case and the application of fetters to the discretion granted in Rule 41(b) such as continuously contumacious conduct and potential harm to the defendant. This approach to the function of the courts and its rules is atomistic, in that it considers </w:t>
      </w:r>
      <w:r w:rsidR="0001388B">
        <w:rPr>
          <w:rFonts w:ascii="Times New Roman" w:eastAsiaTheme="minorHAnsi" w:hAnsi="Times New Roman"/>
          <w:lang w:val="en-US"/>
        </w:rPr>
        <w:t>‘</w:t>
      </w:r>
      <w:r w:rsidR="00323432" w:rsidRPr="00323432">
        <w:rPr>
          <w:rFonts w:ascii="Times New Roman" w:eastAsiaTheme="minorHAnsi" w:hAnsi="Times New Roman"/>
          <w:lang w:val="en-US"/>
        </w:rPr>
        <w:t>justice</w:t>
      </w:r>
      <w:r w:rsidR="0001388B">
        <w:rPr>
          <w:rFonts w:ascii="Times New Roman" w:eastAsiaTheme="minorHAnsi" w:hAnsi="Times New Roman"/>
          <w:lang w:val="en-US"/>
        </w:rPr>
        <w:t>’</w:t>
      </w:r>
      <w:r w:rsidR="00323432" w:rsidRPr="00323432">
        <w:rPr>
          <w:rFonts w:ascii="Times New Roman" w:eastAsiaTheme="minorHAnsi" w:hAnsi="Times New Roman"/>
          <w:lang w:val="en-US"/>
        </w:rPr>
        <w:t xml:space="preserve"> to be the resolution of the particular case and resolutely refuses to countenance any utilitarian limitation to be placed upon the court’s (</w:t>
      </w:r>
      <w:r w:rsidR="00731D6A">
        <w:rPr>
          <w:rFonts w:ascii="Times New Roman" w:eastAsiaTheme="minorHAnsi" w:hAnsi="Times New Roman"/>
          <w:lang w:val="en-US"/>
        </w:rPr>
        <w:t>s</w:t>
      </w:r>
      <w:r w:rsidR="00323432" w:rsidRPr="00323432">
        <w:rPr>
          <w:rFonts w:ascii="Times New Roman" w:eastAsiaTheme="minorHAnsi" w:hAnsi="Times New Roman"/>
          <w:lang w:val="en-US"/>
        </w:rPr>
        <w:t xml:space="preserve">tate’s) provision of that good. It is also idealistic – through it the judge sees herself as fulfilling a duty to the parties, </w:t>
      </w:r>
      <w:r w:rsidR="0001388B">
        <w:rPr>
          <w:rFonts w:ascii="Times New Roman" w:eastAsiaTheme="minorHAnsi" w:hAnsi="Times New Roman"/>
          <w:lang w:val="en-US"/>
        </w:rPr>
        <w:t>unconstrained</w:t>
      </w:r>
      <w:r w:rsidR="0001388B" w:rsidRPr="00323432">
        <w:rPr>
          <w:rFonts w:ascii="Times New Roman" w:eastAsiaTheme="minorHAnsi" w:hAnsi="Times New Roman"/>
          <w:lang w:val="en-US"/>
        </w:rPr>
        <w:t xml:space="preserve"> </w:t>
      </w:r>
      <w:r w:rsidR="00323432" w:rsidRPr="00323432">
        <w:rPr>
          <w:rFonts w:ascii="Times New Roman" w:eastAsiaTheme="minorHAnsi" w:hAnsi="Times New Roman"/>
          <w:lang w:val="en-US"/>
        </w:rPr>
        <w:t>by practical administrative considerations or even the parties’ own sabotaging behavio</w:t>
      </w:r>
      <w:r w:rsidR="0001388B">
        <w:rPr>
          <w:rFonts w:ascii="Times New Roman" w:eastAsiaTheme="minorHAnsi" w:hAnsi="Times New Roman"/>
          <w:lang w:val="en-US"/>
        </w:rPr>
        <w:t>u</w:t>
      </w:r>
      <w:r w:rsidR="00323432" w:rsidRPr="00323432">
        <w:rPr>
          <w:rFonts w:ascii="Times New Roman" w:eastAsiaTheme="minorHAnsi" w:hAnsi="Times New Roman"/>
          <w:lang w:val="en-US"/>
        </w:rPr>
        <w:t xml:space="preserve">r. </w:t>
      </w: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It may appear that the opposite viewpoint</w:t>
      </w:r>
      <w:r w:rsidR="00731D6A">
        <w:rPr>
          <w:rFonts w:ascii="Times New Roman" w:eastAsiaTheme="minorHAnsi" w:hAnsi="Times New Roman"/>
          <w:lang w:val="en-US"/>
        </w:rPr>
        <w:t xml:space="preserve"> (which I term ‘complex justice’)</w:t>
      </w:r>
      <w:r w:rsidRPr="00323432">
        <w:rPr>
          <w:rFonts w:ascii="Times New Roman" w:eastAsiaTheme="minorHAnsi" w:hAnsi="Times New Roman"/>
          <w:lang w:val="en-US"/>
        </w:rPr>
        <w:t xml:space="preserve"> seeks to arrogate to the judge or the court a position of superiority whereby it demands respect for itself and its rules rather than for any other reason. While some judicial statements</w:t>
      </w:r>
      <w:r w:rsidR="008E05F3">
        <w:rPr>
          <w:rStyle w:val="FootnoteReference"/>
          <w:rFonts w:ascii="Times New Roman" w:eastAsiaTheme="minorHAnsi" w:hAnsi="Times New Roman"/>
          <w:lang w:val="en-US"/>
        </w:rPr>
        <w:footnoteReference w:id="88"/>
      </w:r>
      <w:r w:rsidRPr="00323432">
        <w:rPr>
          <w:rFonts w:ascii="Times New Roman" w:eastAsiaTheme="minorHAnsi" w:hAnsi="Times New Roman"/>
          <w:lang w:val="en-US"/>
        </w:rPr>
        <w:t xml:space="preserve"> do give fuel to these criticisms, it is quite clear that even a broad principle of authority is not the essential rationale of rigorous applications of the rule.</w:t>
      </w:r>
      <w:r w:rsidR="008E05F3">
        <w:rPr>
          <w:rStyle w:val="FootnoteReference"/>
          <w:rFonts w:ascii="Times New Roman" w:eastAsiaTheme="minorHAnsi" w:hAnsi="Times New Roman"/>
          <w:lang w:val="en-US"/>
        </w:rPr>
        <w:footnoteReference w:id="89"/>
      </w:r>
      <w:r w:rsidRPr="00323432">
        <w:rPr>
          <w:rFonts w:ascii="Times New Roman" w:eastAsiaTheme="minorHAnsi" w:hAnsi="Times New Roman"/>
          <w:lang w:val="en-US"/>
        </w:rPr>
        <w:t xml:space="preserve"> The </w:t>
      </w:r>
      <w:r w:rsidR="00731D6A">
        <w:rPr>
          <w:rFonts w:ascii="Times New Roman" w:eastAsiaTheme="minorHAnsi" w:hAnsi="Times New Roman"/>
          <w:lang w:val="en-US"/>
        </w:rPr>
        <w:t xml:space="preserve">‘complex justice’ </w:t>
      </w:r>
      <w:r w:rsidRPr="00323432">
        <w:rPr>
          <w:rFonts w:ascii="Times New Roman" w:eastAsiaTheme="minorHAnsi" w:hAnsi="Times New Roman"/>
          <w:lang w:val="en-US"/>
        </w:rPr>
        <w:t>philosophy suggests just as strong an awareness,</w:t>
      </w:r>
      <w:r w:rsidR="008E05F3">
        <w:rPr>
          <w:rStyle w:val="FootnoteReference"/>
          <w:rFonts w:ascii="Times New Roman" w:eastAsiaTheme="minorHAnsi" w:hAnsi="Times New Roman"/>
          <w:lang w:val="en-US"/>
        </w:rPr>
        <w:footnoteReference w:id="90"/>
      </w:r>
      <w:r w:rsidRPr="00323432">
        <w:rPr>
          <w:rFonts w:ascii="Times New Roman" w:eastAsiaTheme="minorHAnsi" w:hAnsi="Times New Roman"/>
          <w:lang w:val="en-US"/>
        </w:rPr>
        <w:t xml:space="preserve"> both by theorists and judges, of their role as implementers of a higher policy to which they are beholden. This philosophy is relativist, in that it redefines </w:t>
      </w:r>
      <w:r w:rsidR="00731D6A">
        <w:rPr>
          <w:rFonts w:ascii="Times New Roman" w:eastAsiaTheme="minorHAnsi" w:hAnsi="Times New Roman"/>
          <w:lang w:val="en-US"/>
        </w:rPr>
        <w:t>‘</w:t>
      </w:r>
      <w:r w:rsidRPr="00323432">
        <w:rPr>
          <w:rFonts w:ascii="Times New Roman" w:eastAsiaTheme="minorHAnsi" w:hAnsi="Times New Roman"/>
          <w:lang w:val="en-US"/>
        </w:rPr>
        <w:t>justice</w:t>
      </w:r>
      <w:r w:rsidR="00731D6A">
        <w:rPr>
          <w:rFonts w:ascii="Times New Roman" w:eastAsiaTheme="minorHAnsi" w:hAnsi="Times New Roman"/>
          <w:lang w:val="en-US"/>
        </w:rPr>
        <w:t>’</w:t>
      </w:r>
      <w:r w:rsidRPr="00323432">
        <w:rPr>
          <w:rFonts w:ascii="Times New Roman" w:eastAsiaTheme="minorHAnsi" w:hAnsi="Times New Roman"/>
          <w:lang w:val="en-US"/>
        </w:rPr>
        <w:t xml:space="preserve"> as not an unlimited, private right that a litigant has vis-à-vis the court, but rather as a right of the community that each member should be given an opportunity to litigate fairly, considering that public resources are not unlimited and must be managed appropriately. This </w:t>
      </w:r>
      <w:r w:rsidR="0001388B">
        <w:rPr>
          <w:rFonts w:ascii="Times New Roman" w:eastAsiaTheme="minorHAnsi" w:hAnsi="Times New Roman"/>
          <w:lang w:val="en-US"/>
        </w:rPr>
        <w:t>u</w:t>
      </w:r>
      <w:r w:rsidRPr="00323432">
        <w:rPr>
          <w:rFonts w:ascii="Times New Roman" w:eastAsiaTheme="minorHAnsi" w:hAnsi="Times New Roman"/>
          <w:lang w:val="en-US"/>
        </w:rPr>
        <w:t xml:space="preserve">tilitarian approach sees </w:t>
      </w:r>
      <w:r w:rsidR="00731D6A">
        <w:rPr>
          <w:rFonts w:ascii="Times New Roman" w:eastAsiaTheme="minorHAnsi" w:hAnsi="Times New Roman"/>
          <w:lang w:val="en-US"/>
        </w:rPr>
        <w:t>‘</w:t>
      </w:r>
      <w:r w:rsidRPr="00323432">
        <w:rPr>
          <w:rFonts w:ascii="Times New Roman" w:eastAsiaTheme="minorHAnsi" w:hAnsi="Times New Roman"/>
          <w:lang w:val="en-US"/>
        </w:rPr>
        <w:t>justice</w:t>
      </w:r>
      <w:r w:rsidR="00731D6A">
        <w:rPr>
          <w:rFonts w:ascii="Times New Roman" w:eastAsiaTheme="minorHAnsi" w:hAnsi="Times New Roman"/>
          <w:lang w:val="en-US"/>
        </w:rPr>
        <w:t>’</w:t>
      </w:r>
      <w:r w:rsidRPr="00323432">
        <w:rPr>
          <w:rFonts w:ascii="Times New Roman" w:eastAsiaTheme="minorHAnsi" w:hAnsi="Times New Roman"/>
          <w:lang w:val="en-US"/>
        </w:rPr>
        <w:t xml:space="preserve"> redefined to include time and cost to the parties themselves, on the one hand, and </w:t>
      </w:r>
      <w:r w:rsidR="004B3012" w:rsidRPr="00323432">
        <w:rPr>
          <w:rFonts w:ascii="Times New Roman" w:eastAsiaTheme="minorHAnsi" w:hAnsi="Times New Roman"/>
          <w:lang w:val="en-US"/>
        </w:rPr>
        <w:t>contextuali</w:t>
      </w:r>
      <w:r w:rsidR="004B3012">
        <w:rPr>
          <w:rFonts w:ascii="Times New Roman" w:eastAsiaTheme="minorHAnsi" w:hAnsi="Times New Roman"/>
          <w:lang w:val="en-US"/>
        </w:rPr>
        <w:t>s</w:t>
      </w:r>
      <w:r w:rsidR="004B3012" w:rsidRPr="00323432">
        <w:rPr>
          <w:rFonts w:ascii="Times New Roman" w:eastAsiaTheme="minorHAnsi" w:hAnsi="Times New Roman"/>
          <w:lang w:val="en-US"/>
        </w:rPr>
        <w:t xml:space="preserve">ed </w:t>
      </w:r>
      <w:r w:rsidRPr="00323432">
        <w:rPr>
          <w:rFonts w:ascii="Times New Roman" w:eastAsiaTheme="minorHAnsi" w:hAnsi="Times New Roman"/>
          <w:lang w:val="en-US"/>
        </w:rPr>
        <w:t xml:space="preserve">to include consideration of external factors, such as the need to treat equally other potential users of limited judicial resources. </w:t>
      </w: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 xml:space="preserve">Both sides of the debate allow that an uncompromising application of their interpretation of </w:t>
      </w:r>
      <w:r w:rsidR="00731D6A">
        <w:rPr>
          <w:rFonts w:ascii="Times New Roman" w:eastAsiaTheme="minorHAnsi" w:hAnsi="Times New Roman"/>
          <w:lang w:val="en-US"/>
        </w:rPr>
        <w:t>‘</w:t>
      </w:r>
      <w:r w:rsidRPr="00323432">
        <w:rPr>
          <w:rFonts w:ascii="Times New Roman" w:eastAsiaTheme="minorHAnsi" w:hAnsi="Times New Roman"/>
          <w:lang w:val="en-US"/>
        </w:rPr>
        <w:t>justice</w:t>
      </w:r>
      <w:r w:rsidR="00731D6A">
        <w:rPr>
          <w:rFonts w:ascii="Times New Roman" w:eastAsiaTheme="minorHAnsi" w:hAnsi="Times New Roman"/>
          <w:lang w:val="en-US"/>
        </w:rPr>
        <w:t>’</w:t>
      </w:r>
      <w:r w:rsidRPr="00323432">
        <w:rPr>
          <w:rFonts w:ascii="Times New Roman" w:eastAsiaTheme="minorHAnsi" w:hAnsi="Times New Roman"/>
          <w:lang w:val="en-US"/>
        </w:rPr>
        <w:t xml:space="preserve"> will entail some collateral damage, or an acknowledged failure to satisfy some of the demands put upon the court: the </w:t>
      </w:r>
      <w:r w:rsidR="00731D6A">
        <w:rPr>
          <w:rFonts w:ascii="Times New Roman" w:eastAsiaTheme="minorHAnsi" w:hAnsi="Times New Roman"/>
          <w:lang w:val="en-US"/>
        </w:rPr>
        <w:t>‘</w:t>
      </w:r>
      <w:r w:rsidRPr="00323432">
        <w:rPr>
          <w:rFonts w:ascii="Times New Roman" w:eastAsiaTheme="minorHAnsi" w:hAnsi="Times New Roman"/>
          <w:lang w:val="en-US"/>
        </w:rPr>
        <w:t>justice on the merits</w:t>
      </w:r>
      <w:r w:rsidR="00731D6A">
        <w:rPr>
          <w:rFonts w:ascii="Times New Roman" w:eastAsiaTheme="minorHAnsi" w:hAnsi="Times New Roman"/>
          <w:lang w:val="en-US"/>
        </w:rPr>
        <w:t>’</w:t>
      </w:r>
      <w:r w:rsidRPr="00323432">
        <w:rPr>
          <w:rFonts w:ascii="Times New Roman" w:eastAsiaTheme="minorHAnsi" w:hAnsi="Times New Roman"/>
          <w:lang w:val="en-US"/>
        </w:rPr>
        <w:t xml:space="preserve"> camp accepts that there will be delays and costs to the opposing party (these are considered to be for the most part compensable in damages), to the court and to any other external litigants, who however are merely potential, and abstract. The </w:t>
      </w:r>
      <w:r w:rsidR="00731D6A">
        <w:rPr>
          <w:rFonts w:ascii="Times New Roman" w:eastAsiaTheme="minorHAnsi" w:hAnsi="Times New Roman"/>
          <w:lang w:val="en-US"/>
        </w:rPr>
        <w:t xml:space="preserve">‘complex </w:t>
      </w:r>
      <w:r w:rsidRPr="00323432">
        <w:rPr>
          <w:rFonts w:ascii="Times New Roman" w:eastAsiaTheme="minorHAnsi" w:hAnsi="Times New Roman"/>
          <w:lang w:val="en-US"/>
        </w:rPr>
        <w:t>justice</w:t>
      </w:r>
      <w:r w:rsidR="00731D6A">
        <w:rPr>
          <w:rFonts w:ascii="Times New Roman" w:eastAsiaTheme="minorHAnsi" w:hAnsi="Times New Roman"/>
          <w:lang w:val="en-US"/>
        </w:rPr>
        <w:t>’</w:t>
      </w:r>
      <w:r w:rsidRPr="00323432">
        <w:rPr>
          <w:rFonts w:ascii="Times New Roman" w:eastAsiaTheme="minorHAnsi" w:hAnsi="Times New Roman"/>
          <w:lang w:val="en-US"/>
        </w:rPr>
        <w:t xml:space="preserve"> camp coalesces both actual and potential litigants into a community, thus leveling their interests, and allows for situations where the present litigants may well be court barred and their options reduced, in view of the rights of access of other potential litigants. </w:t>
      </w:r>
      <w:r w:rsidR="00C52C75">
        <w:rPr>
          <w:rFonts w:ascii="Times New Roman" w:eastAsiaTheme="minorHAnsi" w:hAnsi="Times New Roman"/>
          <w:lang w:val="en-US"/>
        </w:rPr>
        <w:t>The danger of satellite litigation is mentioned by supporters of both philosophies</w:t>
      </w:r>
      <w:r w:rsidR="004B3012">
        <w:rPr>
          <w:rFonts w:ascii="Times New Roman" w:eastAsiaTheme="minorHAnsi" w:hAnsi="Times New Roman"/>
          <w:lang w:val="en-US"/>
        </w:rPr>
        <w:t>.</w:t>
      </w:r>
    </w:p>
    <w:p w:rsidR="004C43B3" w:rsidRDefault="00323432" w:rsidP="004C43B3">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The positions are strongly and honestly held by their adherents</w:t>
      </w:r>
      <w:r w:rsidR="004B3012">
        <w:rPr>
          <w:rFonts w:ascii="Times New Roman" w:eastAsiaTheme="minorHAnsi" w:hAnsi="Times New Roman"/>
          <w:lang w:val="en-US"/>
        </w:rPr>
        <w:t>.</w:t>
      </w:r>
      <w:r w:rsidR="004B3012" w:rsidRPr="00323432">
        <w:rPr>
          <w:rFonts w:ascii="Times New Roman" w:eastAsiaTheme="minorHAnsi" w:hAnsi="Times New Roman"/>
          <w:lang w:val="en-US"/>
        </w:rPr>
        <w:t xml:space="preserve"> </w:t>
      </w:r>
      <w:r w:rsidR="004B3012">
        <w:rPr>
          <w:rFonts w:ascii="Times New Roman" w:eastAsiaTheme="minorHAnsi" w:hAnsi="Times New Roman"/>
          <w:lang w:val="en-US"/>
        </w:rPr>
        <w:t>I</w:t>
      </w:r>
      <w:r w:rsidRPr="00323432">
        <w:rPr>
          <w:rFonts w:ascii="Times New Roman" w:eastAsiaTheme="minorHAnsi" w:hAnsi="Times New Roman"/>
          <w:lang w:val="en-US"/>
        </w:rPr>
        <w:t xml:space="preserve">t is not </w:t>
      </w:r>
      <w:r w:rsidR="004B3012">
        <w:rPr>
          <w:rFonts w:ascii="Times New Roman" w:eastAsiaTheme="minorHAnsi" w:hAnsi="Times New Roman"/>
          <w:lang w:val="en-US"/>
        </w:rPr>
        <w:t>the</w:t>
      </w:r>
      <w:r w:rsidRPr="00323432">
        <w:rPr>
          <w:rFonts w:ascii="Times New Roman" w:eastAsiaTheme="minorHAnsi" w:hAnsi="Times New Roman"/>
          <w:lang w:val="en-US"/>
        </w:rPr>
        <w:t xml:space="preserve"> purpose </w:t>
      </w:r>
      <w:r w:rsidR="004B3012">
        <w:rPr>
          <w:rFonts w:ascii="Times New Roman" w:eastAsiaTheme="minorHAnsi" w:hAnsi="Times New Roman"/>
          <w:lang w:val="en-US"/>
        </w:rPr>
        <w:t xml:space="preserve">of this paper </w:t>
      </w:r>
      <w:r w:rsidRPr="00323432">
        <w:rPr>
          <w:rFonts w:ascii="Times New Roman" w:eastAsiaTheme="minorHAnsi" w:hAnsi="Times New Roman"/>
          <w:lang w:val="en-US"/>
        </w:rPr>
        <w:t>to argue normatively for one or the other</w:t>
      </w:r>
      <w:r w:rsidR="00731D6A">
        <w:rPr>
          <w:rFonts w:ascii="Times New Roman" w:eastAsiaTheme="minorHAnsi" w:hAnsi="Times New Roman"/>
          <w:lang w:val="en-US"/>
        </w:rPr>
        <w:t>, as others have done</w:t>
      </w:r>
      <w:r w:rsidRPr="00323432">
        <w:rPr>
          <w:rFonts w:ascii="Times New Roman" w:eastAsiaTheme="minorHAnsi" w:hAnsi="Times New Roman"/>
          <w:lang w:val="en-US"/>
        </w:rPr>
        <w:t>.</w:t>
      </w:r>
      <w:r w:rsidR="00731D6A">
        <w:rPr>
          <w:rStyle w:val="FootnoteReference"/>
          <w:rFonts w:ascii="Times New Roman" w:eastAsiaTheme="minorHAnsi" w:hAnsi="Times New Roman"/>
          <w:lang w:val="en-US"/>
        </w:rPr>
        <w:footnoteReference w:id="91"/>
      </w:r>
      <w:r w:rsidRPr="00323432">
        <w:rPr>
          <w:rFonts w:ascii="Times New Roman" w:eastAsiaTheme="minorHAnsi" w:hAnsi="Times New Roman"/>
          <w:lang w:val="en-US"/>
        </w:rPr>
        <w:t xml:space="preserve"> </w:t>
      </w:r>
      <w:r w:rsidR="004B3012">
        <w:rPr>
          <w:rFonts w:ascii="Times New Roman" w:eastAsiaTheme="minorHAnsi" w:hAnsi="Times New Roman"/>
          <w:lang w:val="en-US"/>
        </w:rPr>
        <w:t xml:space="preserve">Instead, </w:t>
      </w:r>
      <w:r w:rsidR="004C43B3">
        <w:rPr>
          <w:rFonts w:ascii="Times New Roman" w:eastAsiaTheme="minorHAnsi" w:hAnsi="Times New Roman"/>
          <w:lang w:val="en-US"/>
        </w:rPr>
        <w:t>what I propos</w:t>
      </w:r>
      <w:r w:rsidR="008F2E45">
        <w:rPr>
          <w:rFonts w:ascii="Times New Roman" w:eastAsiaTheme="minorHAnsi" w:hAnsi="Times New Roman"/>
          <w:lang w:val="en-US"/>
        </w:rPr>
        <w:t>e to do is</w:t>
      </w:r>
      <w:r w:rsidR="004C43B3">
        <w:rPr>
          <w:rFonts w:ascii="Times New Roman" w:eastAsiaTheme="minorHAnsi" w:hAnsi="Times New Roman"/>
          <w:lang w:val="en-US"/>
        </w:rPr>
        <w:t xml:space="preserve"> address (and change) an even more pervasive ‘cultural belief’, that is, that the choice of philosophy is a matter for the individual conscience of the judge rather than the system itself. This argument requires consideration of several theoretical obstacles: firstly, </w:t>
      </w:r>
      <w:r w:rsidR="00A45654">
        <w:rPr>
          <w:rFonts w:ascii="Times New Roman" w:eastAsiaTheme="minorHAnsi" w:hAnsi="Times New Roman"/>
          <w:lang w:val="en-US"/>
        </w:rPr>
        <w:t xml:space="preserve">whether it is at all possible to pre-determine </w:t>
      </w:r>
      <w:r w:rsidR="004C43B3">
        <w:rPr>
          <w:rFonts w:ascii="Times New Roman" w:eastAsiaTheme="minorHAnsi" w:hAnsi="Times New Roman"/>
          <w:lang w:val="en-US"/>
        </w:rPr>
        <w:t>in the abstract the factors underpinning any choice of the decision</w:t>
      </w:r>
      <w:r w:rsidR="00005C46">
        <w:rPr>
          <w:rFonts w:ascii="Times New Roman" w:eastAsiaTheme="minorHAnsi" w:hAnsi="Times New Roman"/>
          <w:lang w:val="en-US"/>
        </w:rPr>
        <w:t>-</w:t>
      </w:r>
      <w:r w:rsidR="004C43B3">
        <w:rPr>
          <w:rFonts w:ascii="Times New Roman" w:eastAsiaTheme="minorHAnsi" w:hAnsi="Times New Roman"/>
          <w:lang w:val="en-US"/>
        </w:rPr>
        <w:t xml:space="preserve">maker; secondly, whether the </w:t>
      </w:r>
      <w:r w:rsidR="00005C46">
        <w:rPr>
          <w:rFonts w:ascii="Times New Roman" w:eastAsiaTheme="minorHAnsi" w:hAnsi="Times New Roman"/>
          <w:lang w:val="en-US"/>
        </w:rPr>
        <w:t>outcome of such constrained choice would be as good</w:t>
      </w:r>
      <w:r w:rsidR="008F2E45">
        <w:rPr>
          <w:rFonts w:ascii="Times New Roman" w:eastAsiaTheme="minorHAnsi" w:hAnsi="Times New Roman"/>
          <w:lang w:val="en-US"/>
        </w:rPr>
        <w:t xml:space="preserve"> as</w:t>
      </w:r>
      <w:r w:rsidR="00005C46">
        <w:rPr>
          <w:rFonts w:ascii="Times New Roman" w:eastAsiaTheme="minorHAnsi" w:hAnsi="Times New Roman"/>
          <w:lang w:val="en-US"/>
        </w:rPr>
        <w:t>, if not better</w:t>
      </w:r>
      <w:r w:rsidR="008F2E45">
        <w:rPr>
          <w:rFonts w:ascii="Times New Roman" w:eastAsiaTheme="minorHAnsi" w:hAnsi="Times New Roman"/>
          <w:lang w:val="en-US"/>
        </w:rPr>
        <w:t xml:space="preserve"> than,</w:t>
      </w:r>
      <w:r w:rsidR="00005C46">
        <w:rPr>
          <w:rFonts w:ascii="Times New Roman" w:eastAsiaTheme="minorHAnsi" w:hAnsi="Times New Roman"/>
          <w:lang w:val="en-US"/>
        </w:rPr>
        <w:t xml:space="preserve"> allowing unconstrained choice. These are</w:t>
      </w:r>
      <w:r w:rsidR="004C43B3">
        <w:rPr>
          <w:rFonts w:ascii="Times New Roman" w:eastAsiaTheme="minorHAnsi" w:hAnsi="Times New Roman"/>
          <w:lang w:val="en-US"/>
        </w:rPr>
        <w:t xml:space="preserve"> crucial issue</w:t>
      </w:r>
      <w:r w:rsidR="00005C46">
        <w:rPr>
          <w:rFonts w:ascii="Times New Roman" w:eastAsiaTheme="minorHAnsi" w:hAnsi="Times New Roman"/>
          <w:lang w:val="en-US"/>
        </w:rPr>
        <w:t>s</w:t>
      </w:r>
      <w:r w:rsidR="004C43B3">
        <w:rPr>
          <w:rFonts w:ascii="Times New Roman" w:eastAsiaTheme="minorHAnsi" w:hAnsi="Times New Roman"/>
          <w:lang w:val="en-US"/>
        </w:rPr>
        <w:t xml:space="preserve"> of legal formalism, and will be addressed in the following section. The actual claim for formalism with regards to civil procedure propounded here </w:t>
      </w:r>
      <w:r w:rsidR="00005C46">
        <w:rPr>
          <w:rFonts w:ascii="Times New Roman" w:eastAsiaTheme="minorHAnsi" w:hAnsi="Times New Roman"/>
          <w:lang w:val="en-US"/>
        </w:rPr>
        <w:t xml:space="preserve">is limited to the choice of general philosophy of procedure, rather than the removal of judicial discretion in all cases. </w:t>
      </w:r>
    </w:p>
    <w:p w:rsidR="00827DD4" w:rsidRPr="00447C64" w:rsidRDefault="00037C4C" w:rsidP="004C43B3">
      <w:pPr>
        <w:spacing w:line="360" w:lineRule="auto"/>
        <w:ind w:firstLine="397"/>
        <w:jc w:val="both"/>
        <w:rPr>
          <w:rFonts w:ascii="Times New Roman" w:eastAsiaTheme="minorHAnsi" w:hAnsi="Times New Roman"/>
          <w:lang w:val="en-US"/>
        </w:rPr>
      </w:pPr>
      <w:r>
        <w:rPr>
          <w:rFonts w:ascii="Times New Roman" w:eastAsiaTheme="minorHAnsi" w:hAnsi="Times New Roman"/>
          <w:lang w:val="en-US"/>
        </w:rPr>
        <w:t>If the above can be demonstrated, f</w:t>
      </w:r>
      <w:r w:rsidR="00323432" w:rsidRPr="00323432">
        <w:rPr>
          <w:rFonts w:ascii="Times New Roman" w:eastAsiaTheme="minorHAnsi" w:hAnsi="Times New Roman"/>
          <w:lang w:val="en-US"/>
        </w:rPr>
        <w:t>ormalism</w:t>
      </w:r>
      <w:r w:rsidR="00005C46">
        <w:rPr>
          <w:rFonts w:ascii="Times New Roman" w:eastAsiaTheme="minorHAnsi" w:hAnsi="Times New Roman"/>
          <w:lang w:val="en-US"/>
        </w:rPr>
        <w:t>,</w:t>
      </w:r>
      <w:r>
        <w:rPr>
          <w:rFonts w:ascii="Times New Roman" w:eastAsiaTheme="minorHAnsi" w:hAnsi="Times New Roman"/>
          <w:lang w:val="en-US"/>
        </w:rPr>
        <w:t xml:space="preserve"> </w:t>
      </w:r>
      <w:r w:rsidR="00323432" w:rsidRPr="00323432">
        <w:rPr>
          <w:rFonts w:ascii="Times New Roman" w:eastAsiaTheme="minorHAnsi" w:hAnsi="Times New Roman"/>
          <w:lang w:val="en-US"/>
        </w:rPr>
        <w:t>the limitation of judicial options in the interpretation of rules, may be rehabilitated in the discourse on civil procedure, in England and Wales at least</w:t>
      </w:r>
      <w:r w:rsidR="00A45654">
        <w:rPr>
          <w:rFonts w:ascii="Times New Roman" w:eastAsiaTheme="minorHAnsi" w:hAnsi="Times New Roman"/>
          <w:lang w:val="en-US"/>
        </w:rPr>
        <w:t xml:space="preserve">, where there is no </w:t>
      </w:r>
      <w:r w:rsidR="00C16308">
        <w:rPr>
          <w:rFonts w:ascii="Times New Roman" w:eastAsiaTheme="minorHAnsi" w:hAnsi="Times New Roman"/>
          <w:lang w:val="en-US"/>
        </w:rPr>
        <w:t>question of constitutional entrenchment.</w:t>
      </w:r>
      <w:r w:rsidR="00323432" w:rsidRPr="00323432">
        <w:rPr>
          <w:rFonts w:ascii="Times New Roman" w:eastAsiaTheme="minorHAnsi" w:hAnsi="Times New Roman"/>
          <w:lang w:val="en-US"/>
        </w:rPr>
        <w:t xml:space="preserve"> This would allow the rule-maker to elect one philosophy, state it in the rules, and be reasonably certain of it binding its addressees</w:t>
      </w:r>
      <w:r w:rsidR="00C16308">
        <w:rPr>
          <w:rFonts w:ascii="Times New Roman" w:eastAsiaTheme="minorHAnsi" w:hAnsi="Times New Roman"/>
          <w:lang w:val="en-US"/>
        </w:rPr>
        <w:t>, including the judiciary</w:t>
      </w:r>
      <w:r w:rsidR="00323432" w:rsidRPr="00323432">
        <w:rPr>
          <w:rFonts w:ascii="Times New Roman" w:eastAsiaTheme="minorHAnsi" w:hAnsi="Times New Roman"/>
          <w:lang w:val="en-US"/>
        </w:rPr>
        <w:t xml:space="preserve">. </w:t>
      </w:r>
      <w:r w:rsidR="00E05F29">
        <w:rPr>
          <w:rFonts w:ascii="Times New Roman" w:eastAsiaTheme="minorHAnsi" w:hAnsi="Times New Roman"/>
          <w:lang w:val="en-US"/>
        </w:rPr>
        <w:t xml:space="preserve">The debate over the precise wording of CPR 3.9 shows that commentators and rule-makers alike are aware of the importance of </w:t>
      </w:r>
      <w:r w:rsidR="00005C46">
        <w:rPr>
          <w:rFonts w:ascii="Times New Roman" w:eastAsiaTheme="minorHAnsi" w:hAnsi="Times New Roman"/>
          <w:lang w:val="en-US"/>
        </w:rPr>
        <w:t>express regulatory statements</w:t>
      </w:r>
      <w:r w:rsidR="00E05F29">
        <w:rPr>
          <w:rFonts w:ascii="Times New Roman" w:eastAsiaTheme="minorHAnsi" w:hAnsi="Times New Roman"/>
          <w:lang w:val="en-US"/>
        </w:rPr>
        <w:t xml:space="preserve">. The new version of CPR 3.9 may even be seen as implementing a choice of philosophies, in favour of rule compliance and efficiency. However, as long as there exists a subconscious, cultural opposition in the judiciary to considering the rules as binding on all litigation protagonists, any re-drafting, no matter how admirable, is subject to wilful misinterpretation. </w:t>
      </w:r>
    </w:p>
    <w:p w:rsidR="00827DD4" w:rsidRPr="00447C64" w:rsidRDefault="00827DD4" w:rsidP="00361DD8">
      <w:pPr>
        <w:spacing w:line="360" w:lineRule="auto"/>
        <w:ind w:firstLine="397"/>
        <w:jc w:val="both"/>
        <w:rPr>
          <w:rFonts w:ascii="Times New Roman" w:eastAsiaTheme="minorHAnsi" w:hAnsi="Times New Roman"/>
          <w:lang w:val="en-US"/>
        </w:rPr>
      </w:pPr>
    </w:p>
    <w:p w:rsidR="00827DD4" w:rsidRPr="002D2F48" w:rsidRDefault="002D2F48" w:rsidP="002D2F48">
      <w:pPr>
        <w:spacing w:line="360" w:lineRule="auto"/>
        <w:jc w:val="both"/>
        <w:rPr>
          <w:rFonts w:ascii="Times New Roman" w:eastAsiaTheme="minorHAnsi" w:hAnsi="Times New Roman"/>
          <w:lang w:val="en-US"/>
        </w:rPr>
      </w:pPr>
      <w:r w:rsidRPr="002D2F48">
        <w:rPr>
          <w:rFonts w:ascii="Times New Roman" w:eastAsiaTheme="minorHAnsi" w:hAnsi="Times New Roman"/>
          <w:lang w:val="en-US"/>
        </w:rPr>
        <w:t>7</w:t>
      </w:r>
      <w:r w:rsidR="00323432" w:rsidRPr="002D2F48">
        <w:rPr>
          <w:rFonts w:ascii="Times New Roman" w:eastAsiaTheme="minorHAnsi" w:hAnsi="Times New Roman"/>
          <w:lang w:val="en-US"/>
        </w:rPr>
        <w:t>. Should the rules be taken as meaning what they say?</w:t>
      </w:r>
    </w:p>
    <w:p w:rsidR="00827DD4" w:rsidRPr="00447C64" w:rsidRDefault="00827DD4" w:rsidP="00361DD8">
      <w:pPr>
        <w:spacing w:line="360" w:lineRule="auto"/>
        <w:ind w:firstLine="397"/>
        <w:jc w:val="both"/>
        <w:rPr>
          <w:rFonts w:ascii="Times New Roman" w:eastAsiaTheme="minorHAnsi" w:hAnsi="Times New Roman"/>
          <w:lang w:val="en-US"/>
        </w:rPr>
      </w:pPr>
    </w:p>
    <w:p w:rsidR="00827DD4" w:rsidRPr="00447C64" w:rsidRDefault="00005C46" w:rsidP="00361DD8">
      <w:pPr>
        <w:spacing w:line="360" w:lineRule="auto"/>
        <w:ind w:firstLine="397"/>
        <w:jc w:val="both"/>
        <w:rPr>
          <w:rFonts w:ascii="Times New Roman" w:eastAsiaTheme="minorHAnsi" w:hAnsi="Times New Roman"/>
          <w:lang w:val="en-US"/>
        </w:rPr>
      </w:pPr>
      <w:r>
        <w:rPr>
          <w:rFonts w:ascii="Times New Roman" w:eastAsiaTheme="minorHAnsi" w:hAnsi="Times New Roman"/>
          <w:lang w:val="en-US"/>
        </w:rPr>
        <w:t>F</w:t>
      </w:r>
      <w:r w:rsidR="00323432" w:rsidRPr="00323432">
        <w:rPr>
          <w:rFonts w:ascii="Times New Roman" w:eastAsiaTheme="minorHAnsi" w:hAnsi="Times New Roman"/>
          <w:lang w:val="en-US"/>
        </w:rPr>
        <w:t xml:space="preserve">ormalism is only applicable to the relationship between judges and rules. This is because I adopt – for the English position – the liberal reconstruction of the litigant as free to </w:t>
      </w:r>
      <w:r w:rsidR="00C16308">
        <w:rPr>
          <w:rFonts w:ascii="Times New Roman" w:eastAsiaTheme="minorHAnsi" w:hAnsi="Times New Roman"/>
          <w:lang w:val="en-US"/>
        </w:rPr>
        <w:t xml:space="preserve">choose to </w:t>
      </w:r>
      <w:r w:rsidR="00323432" w:rsidRPr="00323432">
        <w:rPr>
          <w:rFonts w:ascii="Times New Roman" w:eastAsiaTheme="minorHAnsi" w:hAnsi="Times New Roman"/>
          <w:lang w:val="en-US"/>
        </w:rPr>
        <w:t>engage in civil litigation.</w:t>
      </w:r>
      <w:r w:rsidR="008E05F3">
        <w:rPr>
          <w:rStyle w:val="FootnoteReference"/>
          <w:rFonts w:ascii="Times New Roman" w:eastAsiaTheme="minorHAnsi" w:hAnsi="Times New Roman"/>
          <w:lang w:val="en-US"/>
        </w:rPr>
        <w:footnoteReference w:id="92"/>
      </w:r>
      <w:r w:rsidR="00323432" w:rsidRPr="00323432">
        <w:rPr>
          <w:rFonts w:ascii="Times New Roman" w:eastAsiaTheme="minorHAnsi" w:hAnsi="Times New Roman"/>
          <w:lang w:val="en-US"/>
        </w:rPr>
        <w:t xml:space="preserve"> In addition, a formalist claim, even limited to some rules </w:t>
      </w:r>
      <w:r>
        <w:rPr>
          <w:rFonts w:ascii="Times New Roman" w:eastAsiaTheme="minorHAnsi" w:hAnsi="Times New Roman"/>
          <w:lang w:val="en-US"/>
        </w:rPr>
        <w:t>or even some general principles</w:t>
      </w:r>
      <w:r w:rsidR="00323432" w:rsidRPr="00323432">
        <w:rPr>
          <w:rFonts w:ascii="Times New Roman" w:eastAsiaTheme="minorHAnsi" w:hAnsi="Times New Roman"/>
          <w:lang w:val="en-US"/>
        </w:rPr>
        <w:t>, when applied to the field of civil procedural rules must take into account two special features of those rules: the fact that the decision</w:t>
      </w:r>
      <w:r w:rsidR="00C16308">
        <w:rPr>
          <w:rFonts w:ascii="Times New Roman" w:eastAsiaTheme="minorHAnsi" w:hAnsi="Times New Roman"/>
          <w:lang w:val="en-US"/>
        </w:rPr>
        <w:t>-</w:t>
      </w:r>
      <w:r w:rsidR="00323432" w:rsidRPr="00323432">
        <w:rPr>
          <w:rFonts w:ascii="Times New Roman" w:eastAsiaTheme="minorHAnsi" w:hAnsi="Times New Roman"/>
          <w:lang w:val="en-US"/>
        </w:rPr>
        <w:t>makers are also the rule</w:t>
      </w:r>
      <w:r w:rsidR="00C16308">
        <w:rPr>
          <w:rFonts w:ascii="Times New Roman" w:eastAsiaTheme="minorHAnsi" w:hAnsi="Times New Roman"/>
          <w:lang w:val="en-US"/>
        </w:rPr>
        <w:t>-</w:t>
      </w:r>
      <w:r w:rsidR="00323432" w:rsidRPr="00323432">
        <w:rPr>
          <w:rFonts w:ascii="Times New Roman" w:eastAsiaTheme="minorHAnsi" w:hAnsi="Times New Roman"/>
          <w:lang w:val="en-US"/>
        </w:rPr>
        <w:t>makers and the value-neutrality claimed for those rules. The first of these is merely of superficial appeal, and relatively easily dismissed. The second feature however is essential to a formalist claim.</w:t>
      </w:r>
      <w:r w:rsidR="00E05F29">
        <w:rPr>
          <w:rFonts w:ascii="Times New Roman" w:eastAsiaTheme="minorHAnsi" w:hAnsi="Times New Roman"/>
          <w:lang w:val="en-US"/>
        </w:rPr>
        <w:t xml:space="preserve"> Both will be discussed in</w:t>
      </w:r>
      <w:r>
        <w:rPr>
          <w:rFonts w:ascii="Times New Roman" w:eastAsiaTheme="minorHAnsi" w:hAnsi="Times New Roman"/>
          <w:lang w:val="en-US"/>
        </w:rPr>
        <w:t xml:space="preserve"> depth in</w:t>
      </w:r>
      <w:r w:rsidR="00E05F29">
        <w:rPr>
          <w:rFonts w:ascii="Times New Roman" w:eastAsiaTheme="minorHAnsi" w:hAnsi="Times New Roman"/>
          <w:lang w:val="en-US"/>
        </w:rPr>
        <w:t xml:space="preserve"> section </w:t>
      </w:r>
      <w:r w:rsidR="003B384E">
        <w:rPr>
          <w:rFonts w:ascii="Times New Roman" w:eastAsiaTheme="minorHAnsi" w:hAnsi="Times New Roman"/>
          <w:lang w:val="en-US"/>
        </w:rPr>
        <w:t>8</w:t>
      </w:r>
      <w:r w:rsidR="00E05F29">
        <w:rPr>
          <w:rFonts w:ascii="Times New Roman" w:eastAsiaTheme="minorHAnsi" w:hAnsi="Times New Roman"/>
          <w:lang w:val="en-US"/>
        </w:rPr>
        <w:t>.</w:t>
      </w:r>
    </w:p>
    <w:p w:rsidR="006B3C70" w:rsidRDefault="00323432" w:rsidP="006B3C70">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 xml:space="preserve">In relation to the </w:t>
      </w:r>
      <w:r w:rsidR="00EB29AC">
        <w:rPr>
          <w:rFonts w:ascii="Times New Roman" w:eastAsiaTheme="minorHAnsi" w:hAnsi="Times New Roman"/>
          <w:lang w:val="en-US"/>
        </w:rPr>
        <w:t xml:space="preserve">compliance </w:t>
      </w:r>
      <w:r w:rsidRPr="00323432">
        <w:rPr>
          <w:rFonts w:ascii="Times New Roman" w:eastAsiaTheme="minorHAnsi" w:hAnsi="Times New Roman"/>
          <w:lang w:val="en-US"/>
        </w:rPr>
        <w:t>rule, it is the individual judge, who in England is also</w:t>
      </w:r>
      <w:r w:rsidR="008E05F3">
        <w:rPr>
          <w:rStyle w:val="FootnoteReference"/>
          <w:rFonts w:ascii="Times New Roman" w:eastAsiaTheme="minorHAnsi" w:hAnsi="Times New Roman"/>
          <w:lang w:val="en-US"/>
        </w:rPr>
        <w:footnoteReference w:id="93"/>
      </w:r>
      <w:r w:rsidRPr="00323432">
        <w:rPr>
          <w:rFonts w:ascii="Times New Roman" w:eastAsiaTheme="minorHAnsi" w:hAnsi="Times New Roman"/>
          <w:lang w:val="en-US"/>
        </w:rPr>
        <w:t xml:space="preserve"> the trier of facts, who has the power to either exercise discretion in dismissing a case where the litigant has breached the rules or an order of the court (US version) or exercise discretion to allow that same litigant to avoid the automatic consequences of that breach (English version). </w:t>
      </w:r>
      <w:r w:rsidR="007B7C56">
        <w:rPr>
          <w:rFonts w:ascii="Times New Roman" w:eastAsiaTheme="minorHAnsi" w:hAnsi="Times New Roman"/>
          <w:lang w:val="en-US"/>
        </w:rPr>
        <w:t>As has been seen, there is already a formal difference in the two systems, and a superficial formalist approach could merely point to the difference in drafting to suggest that a</w:t>
      </w:r>
      <w:r w:rsidRPr="00323432">
        <w:rPr>
          <w:rFonts w:ascii="Times New Roman" w:eastAsiaTheme="minorHAnsi" w:hAnsi="Times New Roman"/>
          <w:lang w:val="en-US"/>
        </w:rPr>
        <w:t xml:space="preserve"> hypothetical judge </w:t>
      </w:r>
      <w:r w:rsidR="007B7C56">
        <w:rPr>
          <w:rFonts w:ascii="Times New Roman" w:eastAsiaTheme="minorHAnsi" w:hAnsi="Times New Roman"/>
          <w:lang w:val="en-US"/>
        </w:rPr>
        <w:t xml:space="preserve">would </w:t>
      </w:r>
      <w:r w:rsidRPr="00323432">
        <w:rPr>
          <w:rFonts w:ascii="Times New Roman" w:eastAsiaTheme="minorHAnsi" w:hAnsi="Times New Roman"/>
          <w:lang w:val="en-US"/>
        </w:rPr>
        <w:t xml:space="preserve">have to consider that what is couched as a positive, as opposed to a negative, exercise of discretion is </w:t>
      </w:r>
      <w:r w:rsidR="00005C46">
        <w:rPr>
          <w:rFonts w:ascii="Times New Roman" w:eastAsiaTheme="minorHAnsi" w:hAnsi="Times New Roman"/>
          <w:lang w:val="en-US"/>
        </w:rPr>
        <w:t>‘</w:t>
      </w:r>
      <w:r w:rsidRPr="00323432">
        <w:rPr>
          <w:rFonts w:ascii="Times New Roman" w:eastAsiaTheme="minorHAnsi" w:hAnsi="Times New Roman"/>
          <w:lang w:val="en-US"/>
        </w:rPr>
        <w:t>different</w:t>
      </w:r>
      <w:r w:rsidR="00005C46">
        <w:rPr>
          <w:rFonts w:ascii="Times New Roman" w:eastAsiaTheme="minorHAnsi" w:hAnsi="Times New Roman"/>
          <w:lang w:val="en-US"/>
        </w:rPr>
        <w:t>’</w:t>
      </w:r>
      <w:r w:rsidR="00E05F29">
        <w:rPr>
          <w:rFonts w:ascii="Times New Roman" w:eastAsiaTheme="minorHAnsi" w:hAnsi="Times New Roman"/>
          <w:lang w:val="en-US"/>
        </w:rPr>
        <w:t xml:space="preserve"> and therefore constraining</w:t>
      </w:r>
      <w:r w:rsidR="007B7C56">
        <w:rPr>
          <w:rFonts w:ascii="Times New Roman" w:eastAsiaTheme="minorHAnsi" w:hAnsi="Times New Roman"/>
          <w:lang w:val="en-US"/>
        </w:rPr>
        <w:t>.</w:t>
      </w:r>
      <w:r w:rsidRPr="00323432">
        <w:rPr>
          <w:rFonts w:ascii="Times New Roman" w:eastAsiaTheme="minorHAnsi" w:hAnsi="Times New Roman"/>
          <w:lang w:val="en-US"/>
        </w:rPr>
        <w:t xml:space="preserve"> Clearly, there is scope for accepting an argument </w:t>
      </w:r>
      <w:r w:rsidRPr="00323432">
        <w:rPr>
          <w:rFonts w:ascii="Times New Roman" w:eastAsiaTheme="minorHAnsi" w:hAnsi="Times New Roman"/>
          <w:i/>
          <w:lang w:val="en-US"/>
        </w:rPr>
        <w:t>a contrario</w:t>
      </w:r>
      <w:r w:rsidRPr="00323432">
        <w:rPr>
          <w:rFonts w:ascii="Times New Roman" w:eastAsiaTheme="minorHAnsi" w:hAnsi="Times New Roman"/>
          <w:lang w:val="en-US"/>
        </w:rPr>
        <w:t xml:space="preserve"> or an argument about the rule</w:t>
      </w:r>
      <w:r w:rsidR="007B7C56">
        <w:rPr>
          <w:rFonts w:ascii="Times New Roman" w:eastAsiaTheme="minorHAnsi" w:hAnsi="Times New Roman"/>
          <w:lang w:val="en-US"/>
        </w:rPr>
        <w:t>-</w:t>
      </w:r>
      <w:r w:rsidRPr="00323432">
        <w:rPr>
          <w:rFonts w:ascii="Times New Roman" w:eastAsiaTheme="minorHAnsi" w:hAnsi="Times New Roman"/>
          <w:lang w:val="en-US"/>
        </w:rPr>
        <w:t>maker not legislating in vain: she wo</w:t>
      </w:r>
      <w:r w:rsidR="003B384E">
        <w:rPr>
          <w:rFonts w:ascii="Times New Roman" w:eastAsiaTheme="minorHAnsi" w:hAnsi="Times New Roman"/>
          <w:lang w:val="en-US"/>
        </w:rPr>
        <w:t xml:space="preserve">uld not have bothered to change or </w:t>
      </w:r>
      <w:r w:rsidRPr="00323432">
        <w:rPr>
          <w:rFonts w:ascii="Times New Roman" w:eastAsiaTheme="minorHAnsi" w:hAnsi="Times New Roman"/>
          <w:lang w:val="en-US"/>
        </w:rPr>
        <w:t xml:space="preserve">write the rule as it is if she could have done it in a simpler fashion. At the very least the post-1998 English version ought to be interpreted as disapproving of the practice following from the previous version, which is </w:t>
      </w:r>
      <w:r w:rsidR="00C11EE0">
        <w:rPr>
          <w:rFonts w:ascii="Times New Roman" w:eastAsiaTheme="minorHAnsi" w:hAnsi="Times New Roman"/>
          <w:lang w:val="en-US"/>
        </w:rPr>
        <w:t>similar to the version</w:t>
      </w:r>
      <w:r w:rsidR="00E05F29" w:rsidRPr="00323432">
        <w:rPr>
          <w:rFonts w:ascii="Times New Roman" w:eastAsiaTheme="minorHAnsi" w:hAnsi="Times New Roman"/>
          <w:lang w:val="en-US"/>
        </w:rPr>
        <w:t xml:space="preserve"> </w:t>
      </w:r>
      <w:r w:rsidRPr="00323432">
        <w:rPr>
          <w:rFonts w:ascii="Times New Roman" w:eastAsiaTheme="minorHAnsi" w:hAnsi="Times New Roman"/>
          <w:lang w:val="en-US"/>
        </w:rPr>
        <w:t>to be found in the US Fed. R. Civ. P. On the face of it – even when discounting context and history as irrelevant – there must be a difference, perhaps a difference in the policy objectives to be pursued.</w:t>
      </w:r>
      <w:r w:rsidR="006B3C70">
        <w:rPr>
          <w:rFonts w:ascii="Times New Roman" w:eastAsiaTheme="minorHAnsi" w:hAnsi="Times New Roman"/>
          <w:lang w:val="en-US"/>
        </w:rPr>
        <w:t xml:space="preserve"> </w:t>
      </w:r>
      <w:r w:rsidRPr="00323432">
        <w:rPr>
          <w:rFonts w:ascii="Times New Roman" w:eastAsiaTheme="minorHAnsi" w:hAnsi="Times New Roman"/>
          <w:lang w:val="en-US"/>
        </w:rPr>
        <w:t>If there is a difference, and it is accepted that drafters wished to make one, this is a formalist approach itself</w:t>
      </w:r>
      <w:r w:rsidR="006B3C70">
        <w:rPr>
          <w:rFonts w:ascii="Times New Roman" w:eastAsiaTheme="minorHAnsi" w:hAnsi="Times New Roman"/>
          <w:lang w:val="en-US"/>
        </w:rPr>
        <w:t>, albeit superficial insofar as it still requires interpretation by reference to external principles of interpretation.</w:t>
      </w:r>
    </w:p>
    <w:p w:rsidR="00827DD4" w:rsidRPr="00447C64" w:rsidRDefault="0049798F" w:rsidP="00531BC0">
      <w:pPr>
        <w:spacing w:line="360" w:lineRule="auto"/>
        <w:ind w:firstLine="397"/>
        <w:jc w:val="both"/>
        <w:rPr>
          <w:rFonts w:ascii="Times New Roman" w:eastAsiaTheme="minorHAnsi" w:hAnsi="Times New Roman"/>
          <w:lang w:val="en-US"/>
        </w:rPr>
      </w:pPr>
      <w:r>
        <w:rPr>
          <w:rFonts w:ascii="Times New Roman" w:eastAsiaTheme="minorHAnsi" w:hAnsi="Times New Roman"/>
          <w:lang w:val="en-US"/>
        </w:rPr>
        <w:t>However, what is attempted here is a reconstruction of the whole system of</w:t>
      </w:r>
      <w:r w:rsidR="00C11EE0">
        <w:rPr>
          <w:rFonts w:ascii="Times New Roman" w:eastAsiaTheme="minorHAnsi" w:hAnsi="Times New Roman"/>
          <w:lang w:val="en-US"/>
        </w:rPr>
        <w:t xml:space="preserve"> procedural rules as formal</w:t>
      </w:r>
      <w:r>
        <w:rPr>
          <w:rFonts w:ascii="Times New Roman" w:eastAsiaTheme="minorHAnsi" w:hAnsi="Times New Roman"/>
          <w:lang w:val="en-US"/>
        </w:rPr>
        <w:t xml:space="preserve">, </w:t>
      </w:r>
      <w:r w:rsidR="00566F89">
        <w:rPr>
          <w:rFonts w:ascii="Times New Roman" w:eastAsiaTheme="minorHAnsi" w:hAnsi="Times New Roman"/>
          <w:lang w:val="en-US"/>
        </w:rPr>
        <w:t>where</w:t>
      </w:r>
      <w:r>
        <w:rPr>
          <w:rFonts w:ascii="Times New Roman" w:eastAsiaTheme="minorHAnsi" w:hAnsi="Times New Roman"/>
          <w:lang w:val="en-US"/>
        </w:rPr>
        <w:t xml:space="preserve"> </w:t>
      </w:r>
      <w:r w:rsidR="00C11EE0">
        <w:rPr>
          <w:rFonts w:ascii="Times New Roman" w:eastAsiaTheme="minorHAnsi" w:hAnsi="Times New Roman"/>
          <w:lang w:val="en-US"/>
        </w:rPr>
        <w:t>even the</w:t>
      </w:r>
      <w:r w:rsidR="00566F89">
        <w:rPr>
          <w:rFonts w:ascii="Times New Roman" w:eastAsiaTheme="minorHAnsi" w:hAnsi="Times New Roman"/>
          <w:lang w:val="en-US"/>
        </w:rPr>
        <w:t xml:space="preserve"> </w:t>
      </w:r>
      <w:r>
        <w:rPr>
          <w:rFonts w:ascii="Times New Roman" w:eastAsiaTheme="minorHAnsi" w:hAnsi="Times New Roman"/>
          <w:lang w:val="en-US"/>
        </w:rPr>
        <w:t xml:space="preserve">external factors </w:t>
      </w:r>
      <w:r w:rsidR="00566F89">
        <w:rPr>
          <w:rFonts w:ascii="Times New Roman" w:eastAsiaTheme="minorHAnsi" w:hAnsi="Times New Roman"/>
          <w:lang w:val="en-US"/>
        </w:rPr>
        <w:t>that may be taken into account when exercising the court’s function are prescribed</w:t>
      </w:r>
      <w:r w:rsidR="00C11EE0">
        <w:rPr>
          <w:rFonts w:ascii="Times New Roman" w:eastAsiaTheme="minorHAnsi" w:hAnsi="Times New Roman"/>
          <w:lang w:val="en-US"/>
        </w:rPr>
        <w:t xml:space="preserve"> and </w:t>
      </w:r>
      <w:r w:rsidR="00566F89">
        <w:rPr>
          <w:rFonts w:ascii="Times New Roman" w:eastAsiaTheme="minorHAnsi" w:hAnsi="Times New Roman"/>
          <w:lang w:val="en-US"/>
        </w:rPr>
        <w:t>the choice of the decision-maker is constrained. While the claim may be grandiloquent, in the present instance it would mer</w:t>
      </w:r>
      <w:r w:rsidR="00C11EE0">
        <w:rPr>
          <w:rFonts w:ascii="Times New Roman" w:eastAsiaTheme="minorHAnsi" w:hAnsi="Times New Roman"/>
          <w:lang w:val="en-US"/>
        </w:rPr>
        <w:t>ely apply to a binary choice, ie</w:t>
      </w:r>
      <w:r w:rsidR="00566F89">
        <w:rPr>
          <w:rFonts w:ascii="Times New Roman" w:eastAsiaTheme="minorHAnsi" w:hAnsi="Times New Roman"/>
          <w:lang w:val="en-US"/>
        </w:rPr>
        <w:t xml:space="preserve"> to ban one philosophy of procedure and proclaim the other. </w:t>
      </w:r>
      <w:r w:rsidR="00037C4C">
        <w:rPr>
          <w:rFonts w:ascii="Times New Roman" w:eastAsiaTheme="minorHAnsi" w:hAnsi="Times New Roman"/>
          <w:lang w:val="en-US"/>
        </w:rPr>
        <w:t xml:space="preserve">This </w:t>
      </w:r>
      <w:r w:rsidR="00005C46">
        <w:rPr>
          <w:rFonts w:ascii="Times New Roman" w:eastAsiaTheme="minorHAnsi" w:hAnsi="Times New Roman"/>
          <w:lang w:val="en-US"/>
        </w:rPr>
        <w:t>requires</w:t>
      </w:r>
      <w:r w:rsidR="00531BC0">
        <w:rPr>
          <w:rFonts w:ascii="Times New Roman" w:eastAsiaTheme="minorHAnsi" w:hAnsi="Times New Roman"/>
          <w:lang w:val="en-US"/>
        </w:rPr>
        <w:t xml:space="preserve"> the removal of the histori</w:t>
      </w:r>
      <w:r w:rsidR="00C11EE0">
        <w:rPr>
          <w:rFonts w:ascii="Times New Roman" w:eastAsiaTheme="minorHAnsi" w:hAnsi="Times New Roman"/>
          <w:lang w:val="en-US"/>
        </w:rPr>
        <w:t>cally negative connotations of formalism</w:t>
      </w:r>
      <w:r w:rsidR="00531BC0">
        <w:rPr>
          <w:rFonts w:ascii="Times New Roman" w:eastAsiaTheme="minorHAnsi" w:hAnsi="Times New Roman"/>
          <w:lang w:val="en-US"/>
        </w:rPr>
        <w:t xml:space="preserve">, </w:t>
      </w:r>
      <w:r w:rsidR="00005C46">
        <w:rPr>
          <w:rFonts w:ascii="Times New Roman" w:eastAsiaTheme="minorHAnsi" w:hAnsi="Times New Roman"/>
          <w:lang w:val="en-US"/>
        </w:rPr>
        <w:t>but also</w:t>
      </w:r>
      <w:r>
        <w:rPr>
          <w:rFonts w:ascii="Times New Roman" w:eastAsiaTheme="minorHAnsi" w:hAnsi="Times New Roman"/>
          <w:lang w:val="en-US"/>
        </w:rPr>
        <w:t xml:space="preserve"> honesty about the claims that can be made about formalism in general</w:t>
      </w:r>
      <w:r w:rsidR="00323432" w:rsidRPr="00323432">
        <w:rPr>
          <w:rFonts w:ascii="Times New Roman" w:eastAsiaTheme="minorHAnsi" w:hAnsi="Times New Roman"/>
          <w:lang w:val="en-US"/>
        </w:rPr>
        <w:t>.</w:t>
      </w:r>
    </w:p>
    <w:p w:rsidR="00B21C81" w:rsidRDefault="00323432" w:rsidP="00361DD8">
      <w:pPr>
        <w:spacing w:line="360" w:lineRule="auto"/>
        <w:ind w:firstLine="397"/>
        <w:jc w:val="both"/>
        <w:rPr>
          <w:rFonts w:ascii="Times New Roman" w:hAnsi="Times New Roman"/>
        </w:rPr>
      </w:pPr>
      <w:r w:rsidRPr="00323432">
        <w:rPr>
          <w:rFonts w:ascii="Times New Roman" w:eastAsiaTheme="minorHAnsi" w:hAnsi="Times New Roman"/>
          <w:lang w:val="en-US"/>
        </w:rPr>
        <w:t xml:space="preserve">The first </w:t>
      </w:r>
      <w:r w:rsidR="00037C4C">
        <w:rPr>
          <w:rFonts w:ascii="Times New Roman" w:eastAsiaTheme="minorHAnsi" w:hAnsi="Times New Roman"/>
          <w:lang w:val="en-US"/>
        </w:rPr>
        <w:t xml:space="preserve">issue </w:t>
      </w:r>
      <w:r w:rsidRPr="00323432">
        <w:rPr>
          <w:rFonts w:ascii="Times New Roman" w:eastAsiaTheme="minorHAnsi" w:hAnsi="Times New Roman"/>
          <w:lang w:val="en-US"/>
        </w:rPr>
        <w:t xml:space="preserve">is the utility itself of the </w:t>
      </w:r>
      <w:r w:rsidR="00037C4C">
        <w:rPr>
          <w:rFonts w:ascii="Times New Roman" w:eastAsiaTheme="minorHAnsi" w:hAnsi="Times New Roman"/>
          <w:lang w:val="en-US"/>
        </w:rPr>
        <w:t xml:space="preserve">formalist </w:t>
      </w:r>
      <w:r w:rsidRPr="00323432">
        <w:rPr>
          <w:rFonts w:ascii="Times New Roman" w:eastAsiaTheme="minorHAnsi" w:hAnsi="Times New Roman"/>
          <w:lang w:val="en-US"/>
        </w:rPr>
        <w:t xml:space="preserve">label: Schlag has suggested that both </w:t>
      </w:r>
      <w:r w:rsidR="006B3C70">
        <w:rPr>
          <w:rFonts w:ascii="Times New Roman" w:eastAsiaTheme="minorHAnsi" w:hAnsi="Times New Roman"/>
          <w:lang w:val="en-US"/>
        </w:rPr>
        <w:t xml:space="preserve">pure </w:t>
      </w:r>
      <w:r w:rsidRPr="00323432">
        <w:rPr>
          <w:rFonts w:ascii="Times New Roman" w:eastAsiaTheme="minorHAnsi" w:hAnsi="Times New Roman"/>
          <w:lang w:val="en-US"/>
        </w:rPr>
        <w:t xml:space="preserve">formalism and </w:t>
      </w:r>
      <w:r w:rsidR="006B3C70">
        <w:rPr>
          <w:rFonts w:ascii="Times New Roman" w:eastAsiaTheme="minorHAnsi" w:hAnsi="Times New Roman"/>
          <w:lang w:val="en-US"/>
        </w:rPr>
        <w:t xml:space="preserve">pure </w:t>
      </w:r>
      <w:r w:rsidRPr="00323432">
        <w:rPr>
          <w:rFonts w:ascii="Times New Roman" w:eastAsiaTheme="minorHAnsi" w:hAnsi="Times New Roman"/>
          <w:lang w:val="en-US"/>
        </w:rPr>
        <w:t>realism are impossible,</w:t>
      </w:r>
      <w:r w:rsidR="008E05F3">
        <w:rPr>
          <w:rStyle w:val="FootnoteReference"/>
          <w:rFonts w:ascii="Times New Roman" w:eastAsiaTheme="minorHAnsi" w:hAnsi="Times New Roman"/>
          <w:lang w:val="en-US"/>
        </w:rPr>
        <w:footnoteReference w:id="94"/>
      </w:r>
      <w:r w:rsidRPr="00323432">
        <w:rPr>
          <w:rFonts w:ascii="Times New Roman" w:eastAsiaTheme="minorHAnsi" w:hAnsi="Times New Roman"/>
          <w:lang w:val="en-US"/>
        </w:rPr>
        <w:t xml:space="preserve"> but even he acknowledges</w:t>
      </w:r>
      <w:r w:rsidR="002D2F48">
        <w:rPr>
          <w:rFonts w:ascii="Times New Roman" w:eastAsiaTheme="minorHAnsi" w:hAnsi="Times New Roman"/>
          <w:lang w:val="en-US"/>
        </w:rPr>
        <w:t xml:space="preserve"> that, tired as the debate is, ‘</w:t>
      </w:r>
      <w:r w:rsidRPr="00323432">
        <w:rPr>
          <w:rFonts w:ascii="Times New Roman" w:eastAsiaTheme="minorHAnsi" w:hAnsi="Times New Roman"/>
          <w:lang w:val="en-US"/>
        </w:rPr>
        <w:t>none of the moves [efforts to resolve disputes between formalist and realist argumentation] is a killer argument.</w:t>
      </w:r>
      <w:r w:rsidR="002D2F48">
        <w:rPr>
          <w:rFonts w:ascii="Times New Roman" w:eastAsiaTheme="minorHAnsi" w:hAnsi="Times New Roman"/>
          <w:lang w:val="en-US"/>
        </w:rPr>
        <w:t>’</w:t>
      </w:r>
      <w:r w:rsidR="008E05F3">
        <w:rPr>
          <w:rStyle w:val="FootnoteReference"/>
          <w:rFonts w:ascii="Times New Roman" w:eastAsiaTheme="minorHAnsi" w:hAnsi="Times New Roman"/>
          <w:lang w:val="en-US"/>
        </w:rPr>
        <w:footnoteReference w:id="95"/>
      </w:r>
      <w:r w:rsidR="00F262D6">
        <w:rPr>
          <w:rFonts w:ascii="Times New Roman" w:eastAsiaTheme="minorHAnsi" w:hAnsi="Times New Roman"/>
          <w:lang w:val="en-US"/>
        </w:rPr>
        <w:t xml:space="preserve"> Accepting that ‘pure’ formalism is impossible, however, is no bar from seeking to use some form of ‘practical’ formalism.</w:t>
      </w:r>
      <w:r w:rsidRPr="00323432">
        <w:rPr>
          <w:rFonts w:ascii="Times New Roman" w:eastAsiaTheme="minorHAnsi" w:hAnsi="Times New Roman"/>
          <w:lang w:val="en-US"/>
        </w:rPr>
        <w:t xml:space="preserve"> </w:t>
      </w:r>
      <w:r w:rsidRPr="00323432">
        <w:rPr>
          <w:rFonts w:ascii="Times New Roman" w:hAnsi="Times New Roman"/>
        </w:rPr>
        <w:t>As Schauer demonstrated, not only is it possible to use language that has a more or less universally accepted meaning,</w:t>
      </w:r>
      <w:bookmarkStart w:id="29" w:name="_Ref232401941"/>
      <w:r w:rsidR="008E05F3">
        <w:rPr>
          <w:rStyle w:val="FootnoteReference"/>
          <w:rFonts w:ascii="Times New Roman" w:hAnsi="Times New Roman"/>
        </w:rPr>
        <w:footnoteReference w:id="96"/>
      </w:r>
      <w:bookmarkEnd w:id="29"/>
      <w:r w:rsidRPr="00323432">
        <w:rPr>
          <w:rFonts w:ascii="Times New Roman" w:hAnsi="Times New Roman"/>
        </w:rPr>
        <w:t xml:space="preserve"> but it is also possible for </w:t>
      </w:r>
      <w:r w:rsidR="00AF1232">
        <w:rPr>
          <w:rFonts w:ascii="Times New Roman" w:hAnsi="Times New Roman"/>
        </w:rPr>
        <w:t xml:space="preserve">some </w:t>
      </w:r>
      <w:r w:rsidRPr="00323432">
        <w:rPr>
          <w:rFonts w:ascii="Times New Roman" w:hAnsi="Times New Roman"/>
        </w:rPr>
        <w:t>rules to constrain the decision</w:t>
      </w:r>
      <w:r w:rsidR="00531BC0">
        <w:rPr>
          <w:rFonts w:ascii="Times New Roman" w:hAnsi="Times New Roman"/>
        </w:rPr>
        <w:t>-</w:t>
      </w:r>
      <w:r w:rsidRPr="00323432">
        <w:rPr>
          <w:rFonts w:ascii="Times New Roman" w:hAnsi="Times New Roman"/>
        </w:rPr>
        <w:t>maker’s choice</w:t>
      </w:r>
      <w:r w:rsidR="00AF1232">
        <w:rPr>
          <w:rFonts w:ascii="Times New Roman" w:hAnsi="Times New Roman"/>
        </w:rPr>
        <w:t xml:space="preserve"> to some extent</w:t>
      </w:r>
      <w:r w:rsidRPr="00323432">
        <w:rPr>
          <w:rFonts w:ascii="Times New Roman" w:hAnsi="Times New Roman"/>
        </w:rPr>
        <w:t xml:space="preserve">. As he puts it, </w:t>
      </w:r>
    </w:p>
    <w:p w:rsidR="00B21C81" w:rsidRDefault="00323432" w:rsidP="00B21C81">
      <w:pPr>
        <w:ind w:left="284" w:right="284" w:firstLine="397"/>
        <w:jc w:val="both"/>
        <w:rPr>
          <w:rFonts w:ascii="Times New Roman" w:hAnsi="Times New Roman"/>
        </w:rPr>
      </w:pPr>
      <w:r w:rsidRPr="00323432">
        <w:rPr>
          <w:rFonts w:ascii="Times New Roman" w:hAnsi="Times New Roman"/>
        </w:rPr>
        <w:t>as a descriptive and conceptual matter, rules can generate determinate outcomes; … those outcomes may diverge from what some decisionmakers think ought to be done; and … some decisionmakers will follow the external mandates rather than their own best particularistic judgment.</w:t>
      </w:r>
      <w:r w:rsidR="008E05F3">
        <w:rPr>
          <w:rStyle w:val="FootnoteReference"/>
          <w:rFonts w:ascii="Times New Roman" w:hAnsi="Times New Roman"/>
        </w:rPr>
        <w:footnoteReference w:id="97"/>
      </w:r>
    </w:p>
    <w:p w:rsidR="00B21C81" w:rsidRDefault="00323432" w:rsidP="00B21C81">
      <w:pPr>
        <w:ind w:left="284" w:right="284" w:firstLine="397"/>
        <w:jc w:val="both"/>
        <w:rPr>
          <w:rFonts w:ascii="Times New Roman" w:hAnsi="Times New Roman"/>
        </w:rPr>
      </w:pPr>
      <w:r w:rsidRPr="00323432">
        <w:rPr>
          <w:rFonts w:ascii="Times New Roman" w:hAnsi="Times New Roman"/>
        </w:rPr>
        <w:t xml:space="preserve"> </w:t>
      </w:r>
    </w:p>
    <w:p w:rsidR="00827DD4" w:rsidRPr="00447C64" w:rsidRDefault="00323432" w:rsidP="00361DD8">
      <w:pPr>
        <w:spacing w:line="360" w:lineRule="auto"/>
        <w:ind w:firstLine="397"/>
        <w:jc w:val="both"/>
        <w:rPr>
          <w:rFonts w:ascii="Times New Roman" w:hAnsi="Times New Roman"/>
        </w:rPr>
      </w:pPr>
      <w:r w:rsidRPr="00323432">
        <w:rPr>
          <w:rFonts w:ascii="Times New Roman" w:hAnsi="Times New Roman"/>
        </w:rPr>
        <w:t xml:space="preserve">What is important in his work is that the issue of formalism is defined as a </w:t>
      </w:r>
      <w:r w:rsidR="00531BC0">
        <w:rPr>
          <w:rFonts w:ascii="Times New Roman" w:hAnsi="Times New Roman"/>
        </w:rPr>
        <w:t>denial</w:t>
      </w:r>
      <w:r w:rsidR="00B21C81">
        <w:rPr>
          <w:rFonts w:ascii="Times New Roman" w:hAnsi="Times New Roman"/>
        </w:rPr>
        <w:t xml:space="preserve"> of choice: ‘</w:t>
      </w:r>
      <w:r w:rsidRPr="00323432">
        <w:rPr>
          <w:rFonts w:ascii="Times New Roman" w:hAnsi="Times New Roman"/>
        </w:rPr>
        <w:t>rules… exclude from consideration factors that a decisionmaker unconstrained by those rules would take into account.</w:t>
      </w:r>
      <w:r w:rsidR="00B21C81">
        <w:rPr>
          <w:rFonts w:ascii="Times New Roman" w:hAnsi="Times New Roman"/>
        </w:rPr>
        <w:t>’</w:t>
      </w:r>
      <w:r w:rsidR="008E05F3">
        <w:rPr>
          <w:rStyle w:val="FootnoteReference"/>
          <w:rFonts w:ascii="Times New Roman" w:hAnsi="Times New Roman"/>
        </w:rPr>
        <w:footnoteReference w:id="98"/>
      </w:r>
      <w:r w:rsidRPr="00323432">
        <w:rPr>
          <w:rFonts w:ascii="Times New Roman" w:hAnsi="Times New Roman"/>
        </w:rPr>
        <w:t xml:space="preserve"> Despite the very different theoretical bases, this is not dissimilar to considering one of the functions of formalities as having a behavio</w:t>
      </w:r>
      <w:r w:rsidR="00531BC0">
        <w:rPr>
          <w:rFonts w:ascii="Times New Roman" w:hAnsi="Times New Roman"/>
        </w:rPr>
        <w:t>u</w:t>
      </w:r>
      <w:r w:rsidRPr="00323432">
        <w:rPr>
          <w:rFonts w:ascii="Times New Roman" w:hAnsi="Times New Roman"/>
        </w:rPr>
        <w:t>r-modification function,</w:t>
      </w:r>
      <w:r w:rsidR="008E05F3">
        <w:rPr>
          <w:rStyle w:val="FootnoteReference"/>
          <w:rFonts w:ascii="Times New Roman" w:hAnsi="Times New Roman"/>
        </w:rPr>
        <w:footnoteReference w:id="99"/>
      </w:r>
      <w:r w:rsidRPr="00323432">
        <w:rPr>
          <w:rFonts w:ascii="Times New Roman" w:hAnsi="Times New Roman"/>
        </w:rPr>
        <w:t xml:space="preserve"> if one is considering the behavio</w:t>
      </w:r>
      <w:r w:rsidR="00531BC0">
        <w:rPr>
          <w:rFonts w:ascii="Times New Roman" w:hAnsi="Times New Roman"/>
        </w:rPr>
        <w:t>u</w:t>
      </w:r>
      <w:r w:rsidRPr="00323432">
        <w:rPr>
          <w:rFonts w:ascii="Times New Roman" w:hAnsi="Times New Roman"/>
        </w:rPr>
        <w:t>r in question to be that of the decision</w:t>
      </w:r>
      <w:r w:rsidR="00531BC0">
        <w:rPr>
          <w:rFonts w:ascii="Times New Roman" w:hAnsi="Times New Roman"/>
        </w:rPr>
        <w:t>-</w:t>
      </w:r>
      <w:r w:rsidRPr="00323432">
        <w:rPr>
          <w:rFonts w:ascii="Times New Roman" w:hAnsi="Times New Roman"/>
        </w:rPr>
        <w:t>maker herself. The main consequence of adopting a formalist approach therefore is that it provides a means for preventing a decision</w:t>
      </w:r>
      <w:r w:rsidR="00531BC0">
        <w:rPr>
          <w:rFonts w:ascii="Times New Roman" w:hAnsi="Times New Roman"/>
        </w:rPr>
        <w:t>-</w:t>
      </w:r>
      <w:r w:rsidRPr="00323432">
        <w:rPr>
          <w:rFonts w:ascii="Times New Roman" w:hAnsi="Times New Roman"/>
        </w:rPr>
        <w:t xml:space="preserve">maker from taking into account any additional factor that is not permitted in the rule itself. This </w:t>
      </w:r>
      <w:r w:rsidR="00F262D6">
        <w:rPr>
          <w:rFonts w:ascii="Times New Roman" w:hAnsi="Times New Roman"/>
        </w:rPr>
        <w:t>must be</w:t>
      </w:r>
      <w:r w:rsidRPr="00323432">
        <w:rPr>
          <w:rFonts w:ascii="Times New Roman" w:hAnsi="Times New Roman"/>
        </w:rPr>
        <w:t xml:space="preserve"> easier when the choice is binary – as </w:t>
      </w:r>
      <w:r w:rsidR="00F262D6">
        <w:rPr>
          <w:rFonts w:ascii="Times New Roman" w:hAnsi="Times New Roman"/>
        </w:rPr>
        <w:t xml:space="preserve">between </w:t>
      </w:r>
      <w:r w:rsidRPr="00323432">
        <w:rPr>
          <w:rFonts w:ascii="Times New Roman" w:hAnsi="Times New Roman"/>
        </w:rPr>
        <w:t xml:space="preserve">the </w:t>
      </w:r>
      <w:r w:rsidR="00AF1232">
        <w:rPr>
          <w:rFonts w:ascii="Times New Roman" w:hAnsi="Times New Roman"/>
        </w:rPr>
        <w:t>‘</w:t>
      </w:r>
      <w:r w:rsidRPr="00323432">
        <w:rPr>
          <w:rFonts w:ascii="Times New Roman" w:hAnsi="Times New Roman"/>
        </w:rPr>
        <w:t>philosophies of justice</w:t>
      </w:r>
      <w:r w:rsidR="00AF1232">
        <w:rPr>
          <w:rFonts w:ascii="Times New Roman" w:hAnsi="Times New Roman"/>
        </w:rPr>
        <w:t>’</w:t>
      </w:r>
      <w:r w:rsidR="00F262D6" w:rsidRPr="00323432">
        <w:rPr>
          <w:rFonts w:ascii="Times New Roman" w:hAnsi="Times New Roman"/>
        </w:rPr>
        <w:t xml:space="preserve"> </w:t>
      </w:r>
      <w:r w:rsidRPr="00323432">
        <w:rPr>
          <w:rFonts w:ascii="Times New Roman" w:hAnsi="Times New Roman"/>
        </w:rPr>
        <w:t>identified above.</w:t>
      </w:r>
    </w:p>
    <w:p w:rsidR="00827DD4" w:rsidRPr="00447C64" w:rsidRDefault="00F262D6" w:rsidP="00B12AD3">
      <w:pPr>
        <w:spacing w:line="360" w:lineRule="auto"/>
        <w:ind w:firstLine="397"/>
        <w:jc w:val="both"/>
        <w:rPr>
          <w:rFonts w:ascii="Times New Roman" w:hAnsi="Times New Roman"/>
        </w:rPr>
      </w:pPr>
      <w:r>
        <w:rPr>
          <w:rFonts w:ascii="Times New Roman" w:hAnsi="Times New Roman"/>
        </w:rPr>
        <w:t xml:space="preserve">Schauer proceeds to admit that a </w:t>
      </w:r>
      <w:r w:rsidR="00323432" w:rsidRPr="00323432">
        <w:rPr>
          <w:rFonts w:ascii="Times New Roman" w:hAnsi="Times New Roman"/>
        </w:rPr>
        <w:t xml:space="preserve">constraint of choice </w:t>
      </w:r>
      <w:r>
        <w:rPr>
          <w:rFonts w:ascii="Times New Roman" w:hAnsi="Times New Roman"/>
        </w:rPr>
        <w:t xml:space="preserve">may not </w:t>
      </w:r>
      <w:r w:rsidR="00323432" w:rsidRPr="00323432">
        <w:rPr>
          <w:rFonts w:ascii="Times New Roman" w:hAnsi="Times New Roman"/>
        </w:rPr>
        <w:t>necessarily</w:t>
      </w:r>
      <w:r>
        <w:rPr>
          <w:rFonts w:ascii="Times New Roman" w:hAnsi="Times New Roman"/>
        </w:rPr>
        <w:t xml:space="preserve"> be</w:t>
      </w:r>
      <w:r w:rsidR="00323432" w:rsidRPr="00323432">
        <w:rPr>
          <w:rFonts w:ascii="Times New Roman" w:hAnsi="Times New Roman"/>
        </w:rPr>
        <w:t xml:space="preserve"> A Good Thing. It carries heavy consequences: in exchange for predictability or certainty, rules </w:t>
      </w:r>
    </w:p>
    <w:p w:rsidR="00827DD4" w:rsidRPr="00447C64" w:rsidRDefault="00323432" w:rsidP="00361DD8">
      <w:pPr>
        <w:ind w:left="284" w:right="284" w:firstLine="397"/>
        <w:jc w:val="both"/>
        <w:rPr>
          <w:rFonts w:ascii="Times New Roman" w:hAnsi="Times New Roman"/>
        </w:rPr>
      </w:pPr>
      <w:r w:rsidRPr="00323432">
        <w:rPr>
          <w:rFonts w:ascii="Times New Roman" w:hAnsi="Times New Roman"/>
        </w:rPr>
        <w:t xml:space="preserve">get in the way. … Rules doom decisionmaking to mediocrity by mandating the inaccessibility of excellence …  that could possibly </w:t>
      </w:r>
      <w:r w:rsidRPr="00323432">
        <w:rPr>
          <w:rFonts w:ascii="Times New Roman" w:hAnsi="Times New Roman"/>
          <w:color w:val="000000"/>
          <w:szCs w:val="20"/>
          <w:lang w:val="en-US"/>
        </w:rPr>
        <w:t>emerge</w:t>
      </w:r>
      <w:r w:rsidRPr="00323432">
        <w:rPr>
          <w:rFonts w:ascii="Times New Roman" w:hAnsi="Times New Roman"/>
        </w:rPr>
        <w:t xml:space="preserve"> from allowing the decisionmaker free access to all potential features: …  a rule-bound decisionmaker, precluded from taking into account [other features], can never do better but can do worse than a decisionmaker seeking the optimal result for a case through a rule free decision; … to stabilize… is to give up some of the possibility of improvement in exchange for guarding against t</w:t>
      </w:r>
      <w:r w:rsidR="004E292A">
        <w:rPr>
          <w:rFonts w:ascii="Times New Roman" w:hAnsi="Times New Roman"/>
        </w:rPr>
        <w:t xml:space="preserve">he possibility of disaster... </w:t>
      </w:r>
      <w:r w:rsidRPr="00323432">
        <w:rPr>
          <w:rFonts w:ascii="Times New Roman" w:hAnsi="Times New Roman"/>
        </w:rPr>
        <w:t>we must therefore decide the extent to which we are willing to disable good decisionmakers in order simultaneously to disable bad ones.</w:t>
      </w:r>
      <w:r w:rsidR="008E05F3">
        <w:rPr>
          <w:rStyle w:val="FootnoteReference"/>
          <w:rFonts w:ascii="Times New Roman" w:hAnsi="Times New Roman"/>
        </w:rPr>
        <w:footnoteReference w:id="100"/>
      </w:r>
    </w:p>
    <w:p w:rsidR="00827DD4" w:rsidRPr="00447C64" w:rsidRDefault="00827DD4" w:rsidP="00361DD8">
      <w:pPr>
        <w:spacing w:line="360" w:lineRule="auto"/>
        <w:ind w:firstLine="397"/>
        <w:jc w:val="both"/>
        <w:rPr>
          <w:rFonts w:ascii="Times New Roman" w:eastAsiaTheme="minorHAnsi" w:hAnsi="Times New Roman"/>
          <w:lang w:val="en-US"/>
        </w:rPr>
      </w:pPr>
    </w:p>
    <w:p w:rsidR="0006060C" w:rsidRDefault="00323432" w:rsidP="000A0AB5">
      <w:pPr>
        <w:spacing w:line="360" w:lineRule="auto"/>
        <w:ind w:firstLine="397"/>
        <w:jc w:val="both"/>
        <w:rPr>
          <w:rFonts w:ascii="Times New Roman" w:hAnsi="Times New Roman"/>
        </w:rPr>
      </w:pPr>
      <w:r w:rsidRPr="00323432">
        <w:rPr>
          <w:rFonts w:ascii="Times New Roman" w:hAnsi="Times New Roman"/>
        </w:rPr>
        <w:t xml:space="preserve">On a general level, this </w:t>
      </w:r>
      <w:r w:rsidR="00531BC0">
        <w:rPr>
          <w:rFonts w:ascii="Times New Roman" w:hAnsi="Times New Roman"/>
        </w:rPr>
        <w:t xml:space="preserve">appears to be a </w:t>
      </w:r>
      <w:r w:rsidR="00102083">
        <w:rPr>
          <w:rFonts w:ascii="Times New Roman" w:hAnsi="Times New Roman"/>
        </w:rPr>
        <w:t>‘</w:t>
      </w:r>
      <w:r w:rsidRPr="00323432">
        <w:rPr>
          <w:rFonts w:ascii="Times New Roman" w:hAnsi="Times New Roman"/>
        </w:rPr>
        <w:t>worst case scenario</w:t>
      </w:r>
      <w:r w:rsidR="00102083">
        <w:rPr>
          <w:rFonts w:ascii="Times New Roman" w:hAnsi="Times New Roman"/>
        </w:rPr>
        <w:t>’</w:t>
      </w:r>
      <w:r w:rsidRPr="00323432">
        <w:rPr>
          <w:rFonts w:ascii="Times New Roman" w:hAnsi="Times New Roman"/>
        </w:rPr>
        <w:t xml:space="preserve"> approach. In an ideal world, there would be no need to constrain decision-making because the decision makers themselves would be able to reach the best decision possible, and in that ideal world, the best answer is within reach of human endeavour.</w:t>
      </w:r>
      <w:r w:rsidR="00102083">
        <w:rPr>
          <w:rFonts w:ascii="Times New Roman" w:hAnsi="Times New Roman"/>
        </w:rPr>
        <w:t xml:space="preserve"> </w:t>
      </w:r>
      <w:r w:rsidR="00E90B10">
        <w:rPr>
          <w:rFonts w:ascii="Times New Roman" w:hAnsi="Times New Roman"/>
        </w:rPr>
        <w:t xml:space="preserve">In </w:t>
      </w:r>
      <w:r w:rsidR="00102083">
        <w:rPr>
          <w:rFonts w:ascii="Times New Roman" w:hAnsi="Times New Roman"/>
        </w:rPr>
        <w:t>Schauer’</w:t>
      </w:r>
      <w:r w:rsidR="00E90B10">
        <w:rPr>
          <w:rFonts w:ascii="Times New Roman" w:hAnsi="Times New Roman"/>
        </w:rPr>
        <w:t xml:space="preserve">s view, formalism </w:t>
      </w:r>
      <w:r w:rsidR="00102083">
        <w:rPr>
          <w:rFonts w:ascii="Times New Roman" w:hAnsi="Times New Roman"/>
        </w:rPr>
        <w:t>works because it prevents bad decisions, but does not foster the ‘best’ decision-making.</w:t>
      </w:r>
      <w:r w:rsidR="00E90B10">
        <w:rPr>
          <w:rFonts w:ascii="Times New Roman" w:hAnsi="Times New Roman"/>
        </w:rPr>
        <w:t xml:space="preserve"> In this sense, it allows a certain amount of mediocrity in order to achieve consistency, certainty and orthodoxy.</w:t>
      </w:r>
      <w:r w:rsidR="00102083">
        <w:rPr>
          <w:rFonts w:ascii="Times New Roman" w:hAnsi="Times New Roman"/>
        </w:rPr>
        <w:t xml:space="preserve"> </w:t>
      </w:r>
      <w:r w:rsidR="00531BC0">
        <w:rPr>
          <w:rFonts w:ascii="Times New Roman" w:hAnsi="Times New Roman"/>
        </w:rPr>
        <w:t>However,</w:t>
      </w:r>
      <w:r w:rsidR="00102083">
        <w:rPr>
          <w:rFonts w:ascii="Times New Roman" w:hAnsi="Times New Roman"/>
        </w:rPr>
        <w:t xml:space="preserve"> there are more recent suggestions that in reality the limitation of factors that may be taken into account when taking a decision may improve the quality of the outcome, rather than, at best, preventing it from degenerating.</w:t>
      </w:r>
      <w:r w:rsidR="00531BC0">
        <w:rPr>
          <w:rFonts w:ascii="Times New Roman" w:hAnsi="Times New Roman"/>
        </w:rPr>
        <w:t xml:space="preserve"> </w:t>
      </w:r>
      <w:r w:rsidR="00102083">
        <w:rPr>
          <w:rFonts w:ascii="Times New Roman" w:hAnsi="Times New Roman"/>
        </w:rPr>
        <w:t>T</w:t>
      </w:r>
      <w:r w:rsidR="0006060C">
        <w:rPr>
          <w:rFonts w:ascii="Times New Roman" w:hAnsi="Times New Roman"/>
        </w:rPr>
        <w:t xml:space="preserve">oo much choice </w:t>
      </w:r>
      <w:r w:rsidR="00102083">
        <w:rPr>
          <w:rFonts w:ascii="Times New Roman" w:hAnsi="Times New Roman"/>
        </w:rPr>
        <w:t xml:space="preserve">may </w:t>
      </w:r>
      <w:r w:rsidR="005A54BE">
        <w:rPr>
          <w:rFonts w:ascii="Times New Roman" w:hAnsi="Times New Roman"/>
        </w:rPr>
        <w:t xml:space="preserve">not necessarily </w:t>
      </w:r>
      <w:r w:rsidR="00102083">
        <w:rPr>
          <w:rFonts w:ascii="Times New Roman" w:hAnsi="Times New Roman"/>
        </w:rPr>
        <w:t xml:space="preserve">be </w:t>
      </w:r>
      <w:r w:rsidR="005A54BE">
        <w:rPr>
          <w:rFonts w:ascii="Times New Roman" w:hAnsi="Times New Roman"/>
        </w:rPr>
        <w:t>good</w:t>
      </w:r>
      <w:r w:rsidR="00102083">
        <w:rPr>
          <w:rFonts w:ascii="Times New Roman" w:hAnsi="Times New Roman"/>
        </w:rPr>
        <w:t>,</w:t>
      </w:r>
      <w:r w:rsidR="005A54BE">
        <w:rPr>
          <w:rFonts w:ascii="Times New Roman" w:hAnsi="Times New Roman"/>
        </w:rPr>
        <w:t xml:space="preserve"> either</w:t>
      </w:r>
      <w:r w:rsidR="0006060C">
        <w:rPr>
          <w:rFonts w:ascii="Times New Roman" w:hAnsi="Times New Roman"/>
        </w:rPr>
        <w:t>. Levy,</w:t>
      </w:r>
      <w:r w:rsidR="0006060C">
        <w:rPr>
          <w:rStyle w:val="FootnoteReference"/>
          <w:rFonts w:ascii="Times New Roman" w:hAnsi="Times New Roman"/>
        </w:rPr>
        <w:footnoteReference w:id="101"/>
      </w:r>
      <w:r w:rsidR="0006060C">
        <w:rPr>
          <w:rFonts w:ascii="Times New Roman" w:hAnsi="Times New Roman"/>
        </w:rPr>
        <w:t xml:space="preserve"> in critiquing the old and the new versions of CPR 3.9, </w:t>
      </w:r>
      <w:r w:rsidR="00706492">
        <w:rPr>
          <w:rFonts w:ascii="Times New Roman" w:hAnsi="Times New Roman"/>
        </w:rPr>
        <w:t xml:space="preserve">applies some recent developments of experimental psychology and </w:t>
      </w:r>
      <w:r w:rsidR="0006060C">
        <w:rPr>
          <w:rFonts w:ascii="Times New Roman" w:hAnsi="Times New Roman"/>
        </w:rPr>
        <w:t xml:space="preserve">points to the </w:t>
      </w:r>
      <w:r w:rsidR="00102083">
        <w:rPr>
          <w:rFonts w:ascii="Times New Roman" w:hAnsi="Times New Roman"/>
        </w:rPr>
        <w:t>‘factor overload’</w:t>
      </w:r>
      <w:r w:rsidR="0006060C">
        <w:rPr>
          <w:rFonts w:ascii="Times New Roman" w:hAnsi="Times New Roman"/>
        </w:rPr>
        <w:t xml:space="preserve"> inherent in the old version </w:t>
      </w:r>
      <w:r w:rsidR="00102083">
        <w:rPr>
          <w:rFonts w:ascii="Times New Roman" w:hAnsi="Times New Roman"/>
        </w:rPr>
        <w:t>of the rule</w:t>
      </w:r>
      <w:r w:rsidR="007B3DF4">
        <w:rPr>
          <w:rFonts w:ascii="Times New Roman" w:hAnsi="Times New Roman"/>
        </w:rPr>
        <w:t>.</w:t>
      </w:r>
      <w:r w:rsidR="00706492">
        <w:rPr>
          <w:rStyle w:val="FootnoteReference"/>
          <w:rFonts w:ascii="Times New Roman" w:hAnsi="Times New Roman"/>
        </w:rPr>
        <w:footnoteReference w:id="102"/>
      </w:r>
      <w:r w:rsidR="007B3DF4">
        <w:rPr>
          <w:rFonts w:ascii="Times New Roman" w:hAnsi="Times New Roman"/>
        </w:rPr>
        <w:t xml:space="preserve"> </w:t>
      </w:r>
      <w:r w:rsidR="00102083">
        <w:rPr>
          <w:rFonts w:ascii="Times New Roman" w:hAnsi="Times New Roman"/>
        </w:rPr>
        <w:t xml:space="preserve">She concludes that an </w:t>
      </w:r>
      <w:r w:rsidR="007B3DF4">
        <w:rPr>
          <w:rFonts w:ascii="Times New Roman" w:hAnsi="Times New Roman"/>
        </w:rPr>
        <w:t xml:space="preserve">increase in complexity and </w:t>
      </w:r>
      <w:r w:rsidR="005A54BE">
        <w:rPr>
          <w:rFonts w:ascii="Times New Roman" w:hAnsi="Times New Roman"/>
        </w:rPr>
        <w:t xml:space="preserve">the provision of </w:t>
      </w:r>
      <w:r w:rsidR="007B3DF4">
        <w:rPr>
          <w:rFonts w:ascii="Times New Roman" w:hAnsi="Times New Roman"/>
        </w:rPr>
        <w:t>additional factors add little to the quality of the decision,</w:t>
      </w:r>
      <w:r w:rsidR="00706492">
        <w:rPr>
          <w:rFonts w:ascii="Times New Roman" w:hAnsi="Times New Roman"/>
        </w:rPr>
        <w:t xml:space="preserve"> and render the process inefficient.</w:t>
      </w:r>
      <w:r w:rsidR="0006060C">
        <w:rPr>
          <w:rFonts w:ascii="Times New Roman" w:hAnsi="Times New Roman"/>
        </w:rPr>
        <w:t xml:space="preserve"> </w:t>
      </w:r>
      <w:r w:rsidR="000A0AB5">
        <w:rPr>
          <w:rFonts w:ascii="Times New Roman" w:hAnsi="Times New Roman"/>
        </w:rPr>
        <w:t xml:space="preserve">On the other hand, </w:t>
      </w:r>
      <w:r w:rsidR="0006060C">
        <w:rPr>
          <w:rFonts w:ascii="Times New Roman" w:hAnsi="Times New Roman"/>
        </w:rPr>
        <w:t>merely reducing the number of factors</w:t>
      </w:r>
      <w:r w:rsidR="000A0AB5">
        <w:rPr>
          <w:rFonts w:ascii="Times New Roman" w:hAnsi="Times New Roman"/>
        </w:rPr>
        <w:t xml:space="preserve"> (as in the current version of the rule)</w:t>
      </w:r>
      <w:r w:rsidR="0006060C">
        <w:rPr>
          <w:rFonts w:ascii="Times New Roman" w:hAnsi="Times New Roman"/>
        </w:rPr>
        <w:t xml:space="preserve"> does not aid decision-m</w:t>
      </w:r>
      <w:r w:rsidR="000A0AB5">
        <w:rPr>
          <w:rFonts w:ascii="Times New Roman" w:hAnsi="Times New Roman"/>
        </w:rPr>
        <w:t xml:space="preserve">aking if the </w:t>
      </w:r>
      <w:r w:rsidR="00706492">
        <w:rPr>
          <w:rFonts w:ascii="Times New Roman" w:hAnsi="Times New Roman"/>
        </w:rPr>
        <w:t>n</w:t>
      </w:r>
      <w:r w:rsidR="00B21C81">
        <w:rPr>
          <w:rFonts w:ascii="Times New Roman" w:hAnsi="Times New Roman"/>
        </w:rPr>
        <w:t>ew factors are ‘</w:t>
      </w:r>
      <w:r w:rsidR="00706492">
        <w:rPr>
          <w:rFonts w:ascii="Times New Roman" w:hAnsi="Times New Roman"/>
        </w:rPr>
        <w:t>not simpler, lack clear guidance and are</w:t>
      </w:r>
      <w:r w:rsidR="00B21C81">
        <w:rPr>
          <w:rFonts w:ascii="Times New Roman" w:hAnsi="Times New Roman"/>
        </w:rPr>
        <w:t xml:space="preserve"> non-exhaustive’</w:t>
      </w:r>
      <w:r w:rsidR="00706492">
        <w:rPr>
          <w:rFonts w:ascii="Times New Roman" w:hAnsi="Times New Roman"/>
        </w:rPr>
        <w:t>.</w:t>
      </w:r>
      <w:r w:rsidR="00706492">
        <w:rPr>
          <w:rStyle w:val="FootnoteReference"/>
          <w:rFonts w:ascii="Times New Roman" w:hAnsi="Times New Roman"/>
        </w:rPr>
        <w:footnoteReference w:id="103"/>
      </w:r>
      <w:r w:rsidR="00994ED2">
        <w:rPr>
          <w:rFonts w:ascii="Times New Roman" w:hAnsi="Times New Roman"/>
        </w:rPr>
        <w:t xml:space="preserve"> Thus, if formalism consists in restricting the decision-maker’s choices, as long as it is clear and exhaustive (as a binary choice between philosophies must necessarily be), it may even lead to better, rather than just not-worse, outcomes.</w:t>
      </w:r>
    </w:p>
    <w:p w:rsidR="00827DD4" w:rsidRPr="00447C64" w:rsidRDefault="00323432" w:rsidP="00361DD8">
      <w:pPr>
        <w:spacing w:line="360" w:lineRule="auto"/>
        <w:ind w:firstLine="397"/>
        <w:jc w:val="both"/>
        <w:rPr>
          <w:rFonts w:ascii="Times New Roman" w:hAnsi="Times New Roman"/>
        </w:rPr>
      </w:pPr>
      <w:r w:rsidRPr="00323432">
        <w:rPr>
          <w:rFonts w:ascii="Times New Roman" w:hAnsi="Times New Roman"/>
        </w:rPr>
        <w:t xml:space="preserve"> On the other hand, formalism is not to be confused with a strict adherence to a rigid literalist interpretation. There may be overlaps between the two, and the latter may be used in order to pursue the former, but they are not </w:t>
      </w:r>
      <w:r w:rsidR="00666F86">
        <w:rPr>
          <w:rFonts w:ascii="Times New Roman" w:hAnsi="Times New Roman"/>
        </w:rPr>
        <w:t>i</w:t>
      </w:r>
      <w:r w:rsidRPr="00323432">
        <w:rPr>
          <w:rFonts w:ascii="Times New Roman" w:hAnsi="Times New Roman"/>
        </w:rPr>
        <w:t xml:space="preserve">ndistinguishable. For example, the use of the word </w:t>
      </w:r>
      <w:r w:rsidR="00AF1232">
        <w:rPr>
          <w:rFonts w:ascii="Times New Roman" w:hAnsi="Times New Roman"/>
        </w:rPr>
        <w:t>‘</w:t>
      </w:r>
      <w:r w:rsidRPr="00323432">
        <w:rPr>
          <w:rFonts w:ascii="Times New Roman" w:hAnsi="Times New Roman"/>
        </w:rPr>
        <w:t>may</w:t>
      </w:r>
      <w:r w:rsidR="00AF1232">
        <w:rPr>
          <w:rFonts w:ascii="Times New Roman" w:hAnsi="Times New Roman"/>
        </w:rPr>
        <w:t>’</w:t>
      </w:r>
      <w:r w:rsidRPr="00323432">
        <w:rPr>
          <w:rFonts w:ascii="Times New Roman" w:hAnsi="Times New Roman"/>
        </w:rPr>
        <w:t xml:space="preserve"> or </w:t>
      </w:r>
      <w:r w:rsidR="00AF1232">
        <w:rPr>
          <w:rFonts w:ascii="Times New Roman" w:hAnsi="Times New Roman"/>
        </w:rPr>
        <w:t>‘</w:t>
      </w:r>
      <w:r w:rsidRPr="00323432">
        <w:rPr>
          <w:rFonts w:ascii="Times New Roman" w:hAnsi="Times New Roman"/>
        </w:rPr>
        <w:t>discretion</w:t>
      </w:r>
      <w:r w:rsidR="00AF1232">
        <w:rPr>
          <w:rFonts w:ascii="Times New Roman" w:hAnsi="Times New Roman"/>
        </w:rPr>
        <w:t>’</w:t>
      </w:r>
      <w:r w:rsidRPr="00323432">
        <w:rPr>
          <w:rFonts w:ascii="Times New Roman" w:hAnsi="Times New Roman"/>
        </w:rPr>
        <w:t xml:space="preserve"> in a rule – specifically the rules here taken into consideration – does not necessarily imply that the decision, as to whether to exercise the discretion, is entirely free and unconstrained, as a purely grammatical reading would </w:t>
      </w:r>
      <w:r w:rsidR="00994ED2">
        <w:rPr>
          <w:rFonts w:ascii="Times New Roman" w:hAnsi="Times New Roman"/>
        </w:rPr>
        <w:t>indicate</w:t>
      </w:r>
      <w:r w:rsidRPr="00323432">
        <w:rPr>
          <w:rFonts w:ascii="Times New Roman" w:hAnsi="Times New Roman"/>
        </w:rPr>
        <w:t>.</w:t>
      </w:r>
      <w:r w:rsidR="008E05F3">
        <w:rPr>
          <w:rStyle w:val="FootnoteReference"/>
          <w:rFonts w:ascii="Times New Roman" w:hAnsi="Times New Roman"/>
        </w:rPr>
        <w:footnoteReference w:id="104"/>
      </w:r>
      <w:r w:rsidRPr="00323432">
        <w:rPr>
          <w:rFonts w:ascii="Times New Roman" w:hAnsi="Times New Roman"/>
        </w:rPr>
        <w:t xml:space="preserve"> With regards to the exercise of discretion in case management decisions, for example, the Australian High Court in a recent, important case</w:t>
      </w:r>
      <w:r w:rsidR="008E05F3">
        <w:rPr>
          <w:rStyle w:val="FootnoteReference"/>
          <w:rFonts w:ascii="Times New Roman" w:hAnsi="Times New Roman"/>
        </w:rPr>
        <w:footnoteReference w:id="105"/>
      </w:r>
      <w:r w:rsidRPr="00323432">
        <w:rPr>
          <w:rFonts w:ascii="Times New Roman" w:hAnsi="Times New Roman"/>
        </w:rPr>
        <w:t xml:space="preserve"> influential beyond its shores, has highlighted the importance of the context, primarily the regulatory and </w:t>
      </w:r>
      <w:r w:rsidR="00994ED2">
        <w:rPr>
          <w:rFonts w:ascii="Times New Roman" w:hAnsi="Times New Roman"/>
        </w:rPr>
        <w:t>‘</w:t>
      </w:r>
      <w:r w:rsidRPr="00323432">
        <w:rPr>
          <w:rFonts w:ascii="Times New Roman" w:hAnsi="Times New Roman"/>
        </w:rPr>
        <w:t>systemic</w:t>
      </w:r>
      <w:r w:rsidR="00994ED2">
        <w:rPr>
          <w:rFonts w:ascii="Times New Roman" w:hAnsi="Times New Roman"/>
        </w:rPr>
        <w:t>’</w:t>
      </w:r>
      <w:r w:rsidRPr="00323432">
        <w:rPr>
          <w:rFonts w:ascii="Times New Roman" w:hAnsi="Times New Roman"/>
        </w:rPr>
        <w:t xml:space="preserve"> context in which the discretion is to be exercised. As a commentator wrote,</w:t>
      </w:r>
    </w:p>
    <w:p w:rsidR="00827DD4" w:rsidRPr="00447C64" w:rsidRDefault="003D40E1" w:rsidP="00361DD8">
      <w:pPr>
        <w:ind w:left="284" w:right="284" w:firstLine="397"/>
        <w:jc w:val="both"/>
        <w:rPr>
          <w:rFonts w:ascii="Times New Roman" w:eastAsiaTheme="minorHAnsi" w:hAnsi="Times New Roman" w:cs="Verdana"/>
          <w:color w:val="044797"/>
          <w:szCs w:val="22"/>
          <w:lang w:val="en-US"/>
        </w:rPr>
      </w:pPr>
      <w:r w:rsidRPr="003D40E1">
        <w:rPr>
          <w:rFonts w:ascii="Times New Roman" w:eastAsiaTheme="minorHAnsi" w:hAnsi="Times New Roman"/>
          <w:lang w:val="en-US"/>
        </w:rPr>
        <w:t xml:space="preserve"> </w:t>
      </w:r>
      <w:r w:rsidR="0076086F">
        <w:rPr>
          <w:rFonts w:ascii="Times New Roman" w:eastAsiaTheme="minorHAnsi" w:hAnsi="Times New Roman" w:cs="Verdana"/>
          <w:szCs w:val="26"/>
          <w:lang w:val="en-US"/>
        </w:rPr>
        <w:t>[a]</w:t>
      </w:r>
      <w:r w:rsidR="0076086F" w:rsidRPr="003D40E1">
        <w:rPr>
          <w:rFonts w:ascii="Times New Roman" w:eastAsiaTheme="minorHAnsi" w:hAnsi="Times New Roman" w:cs="Verdana"/>
          <w:szCs w:val="26"/>
          <w:lang w:val="en-US"/>
        </w:rPr>
        <w:t xml:space="preserve"> </w:t>
      </w:r>
      <w:r w:rsidRPr="003D40E1">
        <w:rPr>
          <w:rFonts w:ascii="Times New Roman" w:eastAsiaTheme="minorHAnsi" w:hAnsi="Times New Roman" w:cs="Verdana"/>
          <w:szCs w:val="26"/>
          <w:lang w:val="en-US"/>
        </w:rPr>
        <w:t xml:space="preserve">discretion, as the High </w:t>
      </w:r>
      <w:r w:rsidRPr="003D40E1">
        <w:rPr>
          <w:rFonts w:ascii="Times New Roman" w:hAnsi="Times New Roman"/>
        </w:rPr>
        <w:t>Court</w:t>
      </w:r>
      <w:r w:rsidRPr="003D40E1">
        <w:rPr>
          <w:rFonts w:ascii="Times New Roman" w:eastAsiaTheme="minorHAnsi" w:hAnsi="Times New Roman" w:cs="Verdana"/>
          <w:szCs w:val="26"/>
          <w:lang w:val="en-US"/>
        </w:rPr>
        <w:t xml:space="preserve"> explained in </w:t>
      </w:r>
      <w:r w:rsidRPr="003D40E1">
        <w:rPr>
          <w:rFonts w:ascii="Times New Roman" w:eastAsiaTheme="minorHAnsi" w:hAnsi="Times New Roman" w:cs="Verdana"/>
          <w:i/>
          <w:iCs/>
          <w:szCs w:val="26"/>
          <w:lang w:val="en-US"/>
        </w:rPr>
        <w:t>Aon Risk Services Australia Ltd v Australian National University,</w:t>
      </w:r>
      <w:r w:rsidRPr="003D40E1">
        <w:rPr>
          <w:rFonts w:ascii="Times New Roman" w:eastAsiaTheme="minorHAnsi" w:hAnsi="Times New Roman" w:cs="Verdana"/>
          <w:szCs w:val="26"/>
          <w:lang w:val="en-US"/>
        </w:rPr>
        <w:t xml:space="preserve"> is a decision-making process where no single rule or principle mandates a particular decision or result. Subject to the general purposes for which a discretion is created, the decision-maker is free to choose the decision from a range of possibilities. … a discretionary power confers on the decision-maker a latitude of individual choices, but not such that the discretion is left at large. It is confined by matters that the court may or must take into account in reaching its decision. A discretion must be exercised in the context of the purpose for which it was created. The authority that creates a discretion defines the purpose of the discretion.</w:t>
      </w:r>
      <w:r w:rsidR="008E05F3">
        <w:rPr>
          <w:rStyle w:val="FootnoteReference"/>
          <w:rFonts w:ascii="Times New Roman" w:eastAsiaTheme="minorHAnsi" w:hAnsi="Times New Roman"/>
          <w:lang w:val="en-US"/>
        </w:rPr>
        <w:footnoteReference w:id="106"/>
      </w:r>
    </w:p>
    <w:p w:rsidR="00827DD4" w:rsidRPr="00447C64" w:rsidRDefault="00827DD4" w:rsidP="00361DD8">
      <w:pPr>
        <w:spacing w:line="360" w:lineRule="auto"/>
        <w:ind w:firstLine="397"/>
        <w:jc w:val="both"/>
        <w:rPr>
          <w:rFonts w:ascii="Times New Roman" w:eastAsiaTheme="minorHAnsi" w:hAnsi="Times New Roman" w:cs="Verdana"/>
          <w:color w:val="044797"/>
          <w:szCs w:val="20"/>
          <w:lang w:val="en-US"/>
        </w:rPr>
      </w:pP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hAnsi="Times New Roman"/>
        </w:rPr>
        <w:t xml:space="preserve">If the purpose for which the discretion was created is made clear, it is therefore arguable that the constraint of judicial choice, feature of formalism, </w:t>
      </w:r>
      <w:r w:rsidR="00DE7CAF">
        <w:rPr>
          <w:rFonts w:ascii="Times New Roman" w:hAnsi="Times New Roman"/>
        </w:rPr>
        <w:t xml:space="preserve">can act </w:t>
      </w:r>
      <w:r w:rsidRPr="00323432">
        <w:rPr>
          <w:rFonts w:ascii="Times New Roman" w:hAnsi="Times New Roman"/>
        </w:rPr>
        <w:t>at the level of the purpose, or philosophy of procedure, rather than at the level of the rule. The extensive satellite litigation concerning the pre-2013 version of CPR 3.9, for example, and in particular the much critici</w:t>
      </w:r>
      <w:r w:rsidR="00DE7CAF">
        <w:rPr>
          <w:rFonts w:ascii="Times New Roman" w:hAnsi="Times New Roman"/>
        </w:rPr>
        <w:t>s</w:t>
      </w:r>
      <w:r w:rsidRPr="00323432">
        <w:rPr>
          <w:rFonts w:ascii="Times New Roman" w:hAnsi="Times New Roman"/>
        </w:rPr>
        <w:t xml:space="preserve">ed </w:t>
      </w:r>
      <w:r w:rsidR="00DE7CAF">
        <w:rPr>
          <w:rFonts w:ascii="Times New Roman" w:hAnsi="Times New Roman"/>
        </w:rPr>
        <w:t>‘</w:t>
      </w:r>
      <w:r w:rsidRPr="00323432">
        <w:rPr>
          <w:rFonts w:ascii="Times New Roman" w:hAnsi="Times New Roman"/>
        </w:rPr>
        <w:t>tick-box</w:t>
      </w:r>
      <w:r w:rsidR="00B21C81">
        <w:rPr>
          <w:rFonts w:ascii="Times New Roman" w:hAnsi="Times New Roman"/>
        </w:rPr>
        <w:t>’</w:t>
      </w:r>
      <w:r w:rsidR="00DE7CAF" w:rsidRPr="00323432">
        <w:rPr>
          <w:rFonts w:ascii="Times New Roman" w:hAnsi="Times New Roman"/>
        </w:rPr>
        <w:t xml:space="preserve"> </w:t>
      </w:r>
      <w:r w:rsidRPr="00323432">
        <w:rPr>
          <w:rFonts w:ascii="Times New Roman" w:hAnsi="Times New Roman"/>
        </w:rPr>
        <w:t>approach to the factors to take into consideration</w:t>
      </w:r>
      <w:r w:rsidR="00DE7CAF">
        <w:rPr>
          <w:rFonts w:ascii="Times New Roman" w:hAnsi="Times New Roman"/>
        </w:rPr>
        <w:t>,</w:t>
      </w:r>
      <w:r w:rsidR="008E05F3">
        <w:rPr>
          <w:rStyle w:val="FootnoteReference"/>
          <w:rFonts w:ascii="Times New Roman" w:hAnsi="Times New Roman"/>
        </w:rPr>
        <w:footnoteReference w:id="107"/>
      </w:r>
      <w:r w:rsidRPr="00323432">
        <w:rPr>
          <w:rFonts w:ascii="Times New Roman" w:hAnsi="Times New Roman"/>
        </w:rPr>
        <w:t xml:space="preserve"> demonstrates that apparently constraining language, without a clear commitment to being constrained, does not suffice for the chosen philosophy to apply. </w:t>
      </w:r>
      <w:r w:rsidRPr="00323432">
        <w:rPr>
          <w:rFonts w:ascii="Times New Roman" w:eastAsiaTheme="minorHAnsi" w:hAnsi="Times New Roman"/>
          <w:lang w:val="en-US"/>
        </w:rPr>
        <w:t xml:space="preserve">In the binary landscape between philosophies of procedure, a formalist approach would infuse the rule with binding force sufficient to prevent the use of explicitly disapplied general principles, without by necessity requiring a slavish attention to literary standard and grammatical minima. </w:t>
      </w:r>
    </w:p>
    <w:p w:rsidR="00827DD4" w:rsidRPr="00447C64" w:rsidRDefault="00827DD4" w:rsidP="00361DD8">
      <w:pPr>
        <w:spacing w:line="360" w:lineRule="auto"/>
        <w:ind w:firstLine="397"/>
        <w:jc w:val="both"/>
        <w:rPr>
          <w:rFonts w:ascii="Times New Roman" w:hAnsi="Times New Roman"/>
        </w:rPr>
      </w:pPr>
    </w:p>
    <w:p w:rsidR="00827DD4" w:rsidRPr="00B21C81" w:rsidRDefault="00B21C81" w:rsidP="00B21C81">
      <w:pPr>
        <w:spacing w:line="360" w:lineRule="auto"/>
        <w:jc w:val="both"/>
        <w:rPr>
          <w:rFonts w:ascii="Times New Roman" w:hAnsi="Times New Roman"/>
        </w:rPr>
      </w:pPr>
      <w:r w:rsidRPr="00B21C81">
        <w:rPr>
          <w:rFonts w:ascii="Times New Roman" w:hAnsi="Times New Roman"/>
        </w:rPr>
        <w:t>8</w:t>
      </w:r>
      <w:r w:rsidR="00323432" w:rsidRPr="00B21C81">
        <w:rPr>
          <w:rFonts w:ascii="Times New Roman" w:hAnsi="Times New Roman"/>
        </w:rPr>
        <w:t>. Rulemaking : are judges the masters or the servants of the rules?</w:t>
      </w:r>
    </w:p>
    <w:p w:rsidR="00827DD4" w:rsidRPr="00447C64" w:rsidRDefault="00827DD4" w:rsidP="00361DD8">
      <w:pPr>
        <w:spacing w:line="360" w:lineRule="auto"/>
        <w:ind w:firstLine="397"/>
        <w:jc w:val="both"/>
        <w:rPr>
          <w:rFonts w:ascii="Times New Roman" w:eastAsiaTheme="minorHAnsi" w:hAnsi="Times New Roman"/>
          <w:lang w:val="en-US"/>
        </w:rPr>
      </w:pP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Of the many possible obstacles to the recognition of a (limited) formalist approach in civil procedure, two are of particular interest in the context of the exclusionary</w:t>
      </w:r>
      <w:r w:rsidR="0076086F">
        <w:rPr>
          <w:rFonts w:ascii="Times New Roman" w:eastAsiaTheme="minorHAnsi" w:hAnsi="Times New Roman"/>
          <w:lang w:val="en-US"/>
        </w:rPr>
        <w:t xml:space="preserve"> procedural</w:t>
      </w:r>
      <w:r w:rsidR="00E264A5">
        <w:rPr>
          <w:rFonts w:ascii="Times New Roman" w:eastAsiaTheme="minorHAnsi" w:hAnsi="Times New Roman"/>
          <w:lang w:val="en-US"/>
        </w:rPr>
        <w:t xml:space="preserve"> compliance</w:t>
      </w:r>
      <w:r w:rsidRPr="00323432">
        <w:rPr>
          <w:rFonts w:ascii="Times New Roman" w:eastAsiaTheme="minorHAnsi" w:hAnsi="Times New Roman"/>
          <w:lang w:val="en-US"/>
        </w:rPr>
        <w:t xml:space="preserve"> rules. The first is due to the difficulty in identifying the very source of the </w:t>
      </w:r>
      <w:r w:rsidR="0076086F">
        <w:rPr>
          <w:rFonts w:ascii="Times New Roman" w:eastAsiaTheme="minorHAnsi" w:hAnsi="Times New Roman"/>
          <w:lang w:val="en-US"/>
        </w:rPr>
        <w:t>‘</w:t>
      </w:r>
      <w:r w:rsidRPr="00323432">
        <w:rPr>
          <w:rFonts w:ascii="Times New Roman" w:eastAsiaTheme="minorHAnsi" w:hAnsi="Times New Roman"/>
          <w:lang w:val="en-US"/>
        </w:rPr>
        <w:t>rule</w:t>
      </w:r>
      <w:r w:rsidR="0076086F">
        <w:rPr>
          <w:rFonts w:ascii="Times New Roman" w:eastAsiaTheme="minorHAnsi" w:hAnsi="Times New Roman"/>
          <w:lang w:val="en-US"/>
        </w:rPr>
        <w:t>’</w:t>
      </w:r>
      <w:r w:rsidRPr="00323432">
        <w:rPr>
          <w:rFonts w:ascii="Times New Roman" w:eastAsiaTheme="minorHAnsi" w:hAnsi="Times New Roman"/>
          <w:lang w:val="en-US"/>
        </w:rPr>
        <w:t xml:space="preserve"> at hand: not only are the judiciaries, in England and in the USA, intimately connected with, some might say entirely responsible for, the creation of the rules themselves, but in some dicta, the power to strike out for non-compliance appears to pre</w:t>
      </w:r>
      <w:r w:rsidR="00CE7D6F">
        <w:rPr>
          <w:rFonts w:ascii="Times New Roman" w:eastAsiaTheme="minorHAnsi" w:hAnsi="Times New Roman"/>
          <w:lang w:val="en-US"/>
        </w:rPr>
        <w:t xml:space="preserve">date </w:t>
      </w:r>
      <w:r w:rsidRPr="00323432">
        <w:rPr>
          <w:rFonts w:ascii="Times New Roman" w:eastAsiaTheme="minorHAnsi" w:hAnsi="Times New Roman"/>
          <w:lang w:val="en-US"/>
        </w:rPr>
        <w:t xml:space="preserve">the rule itself, in the guise of </w:t>
      </w:r>
      <w:r w:rsidR="0076086F">
        <w:rPr>
          <w:rFonts w:ascii="Times New Roman" w:eastAsiaTheme="minorHAnsi" w:hAnsi="Times New Roman"/>
          <w:lang w:val="en-US"/>
        </w:rPr>
        <w:t>‘</w:t>
      </w:r>
      <w:r w:rsidRPr="00323432">
        <w:rPr>
          <w:rFonts w:ascii="Times New Roman" w:eastAsiaTheme="minorHAnsi" w:hAnsi="Times New Roman"/>
          <w:lang w:val="en-US"/>
        </w:rPr>
        <w:t>inherent power</w:t>
      </w:r>
      <w:r w:rsidR="0076086F">
        <w:rPr>
          <w:rFonts w:ascii="Times New Roman" w:eastAsiaTheme="minorHAnsi" w:hAnsi="Times New Roman"/>
          <w:lang w:val="en-US"/>
        </w:rPr>
        <w:t>’</w:t>
      </w:r>
      <w:r w:rsidRPr="00323432">
        <w:rPr>
          <w:rFonts w:ascii="Times New Roman" w:eastAsiaTheme="minorHAnsi" w:hAnsi="Times New Roman"/>
          <w:lang w:val="en-US"/>
        </w:rPr>
        <w:t xml:space="preserve"> of the court to </w:t>
      </w:r>
      <w:r w:rsidR="0076086F">
        <w:rPr>
          <w:rFonts w:ascii="Times New Roman" w:eastAsiaTheme="minorHAnsi" w:hAnsi="Times New Roman"/>
          <w:lang w:val="en-US"/>
        </w:rPr>
        <w:t>‘</w:t>
      </w:r>
      <w:r w:rsidRPr="00323432">
        <w:rPr>
          <w:rFonts w:ascii="Times New Roman" w:eastAsiaTheme="minorHAnsi" w:hAnsi="Times New Roman"/>
          <w:lang w:val="en-US"/>
        </w:rPr>
        <w:t>regulate its own process</w:t>
      </w:r>
      <w:r w:rsidR="0076086F">
        <w:rPr>
          <w:rFonts w:ascii="Times New Roman" w:eastAsiaTheme="minorHAnsi" w:hAnsi="Times New Roman"/>
          <w:lang w:val="en-US"/>
        </w:rPr>
        <w:t>’</w:t>
      </w:r>
      <w:r w:rsidRPr="00323432">
        <w:rPr>
          <w:rFonts w:ascii="Times New Roman" w:eastAsiaTheme="minorHAnsi" w:hAnsi="Times New Roman"/>
          <w:lang w:val="en-US"/>
        </w:rPr>
        <w:t xml:space="preserve">. </w:t>
      </w:r>
      <w:r w:rsidR="009C2570">
        <w:rPr>
          <w:rFonts w:ascii="Times New Roman" w:eastAsiaTheme="minorHAnsi" w:hAnsi="Times New Roman"/>
          <w:lang w:val="en-US"/>
        </w:rPr>
        <w:t>The second concerns the scope of rules of procedure.</w:t>
      </w: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The history of the Rules Enabling Act 1934</w:t>
      </w:r>
      <w:r w:rsidR="008E05F3">
        <w:rPr>
          <w:rStyle w:val="FootnoteReference"/>
          <w:rFonts w:ascii="Times New Roman" w:eastAsiaTheme="minorHAnsi" w:hAnsi="Times New Roman"/>
          <w:lang w:val="en-US"/>
        </w:rPr>
        <w:footnoteReference w:id="108"/>
      </w:r>
      <w:r w:rsidRPr="00323432">
        <w:rPr>
          <w:rFonts w:ascii="Times New Roman" w:eastAsiaTheme="minorHAnsi" w:hAnsi="Times New Roman"/>
          <w:lang w:val="en-US"/>
        </w:rPr>
        <w:t xml:space="preserve"> in American federal procedure is well documented, but the details and limits, not to mention the very nature, of the rulemaking power itself are quite controversial. There appears to be a certain degree of agreement that the 1934 Act constitutes a delegation, by Congress to federal courts, of its legislative power over procedure.</w:t>
      </w:r>
      <w:r w:rsidR="008E05F3">
        <w:rPr>
          <w:rStyle w:val="FootnoteReference"/>
          <w:rFonts w:ascii="Times New Roman" w:eastAsiaTheme="minorHAnsi" w:hAnsi="Times New Roman"/>
          <w:lang w:val="en-US"/>
        </w:rPr>
        <w:footnoteReference w:id="109"/>
      </w:r>
      <w:r w:rsidRPr="00323432">
        <w:rPr>
          <w:rFonts w:ascii="Times New Roman" w:eastAsiaTheme="minorHAnsi" w:hAnsi="Times New Roman"/>
          <w:lang w:val="en-US"/>
        </w:rPr>
        <w:t xml:space="preserve"> It would further appear that, while the rule-making power under the Rules Enabling Act 1934 is concerned with prospective rules of general appli</w:t>
      </w:r>
      <w:r w:rsidR="001E1B3F">
        <w:rPr>
          <w:rFonts w:ascii="Times New Roman" w:eastAsiaTheme="minorHAnsi" w:hAnsi="Times New Roman"/>
          <w:lang w:val="en-US"/>
        </w:rPr>
        <w:t>cation, the courts maintain an ‘</w:t>
      </w:r>
      <w:r w:rsidRPr="00323432">
        <w:rPr>
          <w:rFonts w:ascii="Times New Roman" w:eastAsiaTheme="minorHAnsi" w:hAnsi="Times New Roman"/>
          <w:lang w:val="en-US"/>
        </w:rPr>
        <w:t>inherent power to manage their own business.</w:t>
      </w:r>
      <w:r w:rsidR="001E1B3F">
        <w:rPr>
          <w:rFonts w:ascii="Times New Roman" w:eastAsiaTheme="minorHAnsi" w:hAnsi="Times New Roman"/>
          <w:lang w:val="en-US"/>
        </w:rPr>
        <w:t>’</w:t>
      </w:r>
      <w:r w:rsidR="008E05F3">
        <w:rPr>
          <w:rStyle w:val="FootnoteReference"/>
          <w:rFonts w:ascii="Times New Roman" w:eastAsiaTheme="minorHAnsi" w:hAnsi="Times New Roman"/>
          <w:lang w:val="en-US"/>
        </w:rPr>
        <w:footnoteReference w:id="110"/>
      </w:r>
      <w:r w:rsidRPr="00323432">
        <w:rPr>
          <w:rFonts w:ascii="Times New Roman" w:eastAsiaTheme="minorHAnsi" w:hAnsi="Times New Roman"/>
          <w:lang w:val="en-US"/>
        </w:rPr>
        <w:t xml:space="preserve"> The description of the extent of the inherent powers</w:t>
      </w:r>
      <w:r w:rsidR="001E1B3F">
        <w:rPr>
          <w:rFonts w:ascii="Times New Roman" w:eastAsiaTheme="minorHAnsi" w:hAnsi="Times New Roman"/>
          <w:lang w:val="en-US"/>
        </w:rPr>
        <w:t xml:space="preserve"> is, variably, a power that is ‘</w:t>
      </w:r>
      <w:r w:rsidRPr="00323432">
        <w:rPr>
          <w:rFonts w:ascii="Times New Roman" w:eastAsiaTheme="minorHAnsi" w:hAnsi="Times New Roman"/>
          <w:lang w:val="en-US"/>
        </w:rPr>
        <w:t>necessar</w:t>
      </w:r>
      <w:r w:rsidR="001E1B3F">
        <w:rPr>
          <w:rFonts w:ascii="Times New Roman" w:eastAsiaTheme="minorHAnsi" w:hAnsi="Times New Roman"/>
          <w:lang w:val="en-US"/>
        </w:rPr>
        <w:t>y to the exercise of all others’ or to ‘</w:t>
      </w:r>
      <w:r w:rsidRPr="00323432">
        <w:rPr>
          <w:rFonts w:ascii="Times New Roman" w:eastAsiaTheme="minorHAnsi" w:hAnsi="Times New Roman"/>
          <w:lang w:val="en-US"/>
        </w:rPr>
        <w:t xml:space="preserve">provide themselves with appropriate instruments required for </w:t>
      </w:r>
      <w:r w:rsidR="001E1B3F">
        <w:rPr>
          <w:rFonts w:ascii="Times New Roman" w:eastAsiaTheme="minorHAnsi" w:hAnsi="Times New Roman"/>
          <w:lang w:val="en-US"/>
        </w:rPr>
        <w:t>the performance of their duties’</w:t>
      </w:r>
      <w:r w:rsidRPr="00323432">
        <w:rPr>
          <w:rFonts w:ascii="Times New Roman" w:eastAsiaTheme="minorHAnsi" w:hAnsi="Times New Roman"/>
          <w:lang w:val="en-US"/>
        </w:rPr>
        <w:t>.</w:t>
      </w:r>
      <w:r w:rsidR="008E05F3">
        <w:rPr>
          <w:rStyle w:val="FootnoteReference"/>
          <w:rFonts w:ascii="Times New Roman" w:eastAsiaTheme="minorHAnsi" w:hAnsi="Times New Roman"/>
          <w:lang w:val="en-US"/>
        </w:rPr>
        <w:footnoteReference w:id="111"/>
      </w:r>
      <w:r w:rsidRPr="00323432">
        <w:rPr>
          <w:rFonts w:ascii="Times New Roman" w:eastAsiaTheme="minorHAnsi" w:hAnsi="Times New Roman"/>
          <w:lang w:val="en-US"/>
        </w:rPr>
        <w:t xml:space="preserve"> As we have seen, one of the arguments underscoring the current application of Rule 41(b) is that the power to dismiss the claim is not exhausted by the rule itself, but is a function of the (underlying, parallel) inherent power.</w:t>
      </w:r>
      <w:r w:rsidR="008E05F3">
        <w:rPr>
          <w:rStyle w:val="FootnoteReference"/>
          <w:rFonts w:ascii="Times New Roman" w:eastAsiaTheme="minorHAnsi" w:hAnsi="Times New Roman"/>
          <w:lang w:val="en-US"/>
        </w:rPr>
        <w:footnoteReference w:id="112"/>
      </w:r>
      <w:r w:rsidRPr="00323432">
        <w:rPr>
          <w:rFonts w:ascii="Times New Roman" w:eastAsiaTheme="minorHAnsi" w:hAnsi="Times New Roman"/>
          <w:lang w:val="en-US"/>
        </w:rPr>
        <w:t xml:space="preserve"> </w:t>
      </w: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 xml:space="preserve">In England and Wales, the rules of court are made pursuant to powers </w:t>
      </w:r>
      <w:r w:rsidR="001E1B3F">
        <w:rPr>
          <w:rFonts w:ascii="Times New Roman" w:eastAsiaTheme="minorHAnsi" w:hAnsi="Times New Roman"/>
          <w:lang w:val="en-US"/>
        </w:rPr>
        <w:t>conferred by Act of Parliament ‘</w:t>
      </w:r>
      <w:r w:rsidRPr="00323432">
        <w:rPr>
          <w:rFonts w:ascii="Times New Roman" w:eastAsiaTheme="minorHAnsi" w:hAnsi="Times New Roman"/>
          <w:lang w:val="en-US"/>
        </w:rPr>
        <w:t>for the purposes of regulating and prescribing the practice and procedure to be followed in the respective</w:t>
      </w:r>
      <w:r w:rsidR="001E1B3F">
        <w:rPr>
          <w:rFonts w:ascii="Times New Roman" w:eastAsiaTheme="minorHAnsi" w:hAnsi="Times New Roman"/>
          <w:lang w:val="en-US"/>
        </w:rPr>
        <w:t xml:space="preserve"> courts’</w:t>
      </w:r>
      <w:r w:rsidRPr="00323432">
        <w:rPr>
          <w:rFonts w:ascii="Times New Roman" w:eastAsiaTheme="minorHAnsi" w:hAnsi="Times New Roman"/>
          <w:lang w:val="en-US"/>
        </w:rPr>
        <w:t>.</w:t>
      </w:r>
      <w:r w:rsidR="008E05F3">
        <w:rPr>
          <w:rStyle w:val="FootnoteReference"/>
          <w:rFonts w:ascii="Times New Roman" w:eastAsiaTheme="minorHAnsi" w:hAnsi="Times New Roman"/>
          <w:lang w:val="en-US"/>
        </w:rPr>
        <w:footnoteReference w:id="113"/>
      </w:r>
      <w:r w:rsidRPr="00323432">
        <w:rPr>
          <w:rFonts w:ascii="Times New Roman" w:eastAsiaTheme="minorHAnsi" w:hAnsi="Times New Roman"/>
          <w:lang w:val="en-US"/>
        </w:rPr>
        <w:t xml:space="preserve"> Sir Jack Jacob clearly defines them as subordinate legislation, which may be held to be </w:t>
      </w:r>
      <w:r w:rsidRPr="00323432">
        <w:rPr>
          <w:rFonts w:ascii="Times New Roman" w:eastAsiaTheme="minorHAnsi" w:hAnsi="Times New Roman"/>
          <w:i/>
          <w:lang w:val="en-US"/>
        </w:rPr>
        <w:t>ultra vires</w:t>
      </w:r>
      <w:r w:rsidRPr="00323432">
        <w:rPr>
          <w:rFonts w:ascii="Times New Roman" w:eastAsiaTheme="minorHAnsi" w:hAnsi="Times New Roman"/>
          <w:lang w:val="en-US"/>
        </w:rPr>
        <w:t xml:space="preserve"> if the rulemaking authority exceeds its own statutory powers,</w:t>
      </w:r>
      <w:r w:rsidR="008E05F3">
        <w:rPr>
          <w:rStyle w:val="FootnoteReference"/>
          <w:rFonts w:ascii="Times New Roman" w:eastAsiaTheme="minorHAnsi" w:hAnsi="Times New Roman"/>
          <w:lang w:val="en-US"/>
        </w:rPr>
        <w:footnoteReference w:id="114"/>
      </w:r>
      <w:r w:rsidRPr="00323432">
        <w:rPr>
          <w:rFonts w:ascii="Times New Roman" w:eastAsiaTheme="minorHAnsi" w:hAnsi="Times New Roman"/>
          <w:lang w:val="en-US"/>
        </w:rPr>
        <w:t xml:space="preserve"> and as judge-made since the Rules Committee, from 1833 when the power was first conferred</w:t>
      </w:r>
      <w:r w:rsidR="008E05F3">
        <w:rPr>
          <w:rStyle w:val="FootnoteReference"/>
          <w:rFonts w:ascii="Times New Roman" w:eastAsiaTheme="minorHAnsi" w:hAnsi="Times New Roman"/>
          <w:lang w:val="en-US"/>
        </w:rPr>
        <w:footnoteReference w:id="115"/>
      </w:r>
      <w:r w:rsidRPr="00323432">
        <w:rPr>
          <w:rFonts w:ascii="Times New Roman" w:eastAsiaTheme="minorHAnsi" w:hAnsi="Times New Roman"/>
          <w:lang w:val="en-US"/>
        </w:rPr>
        <w:t xml:space="preserve"> to today,</w:t>
      </w:r>
      <w:r w:rsidR="008E05F3">
        <w:rPr>
          <w:rStyle w:val="FootnoteReference"/>
          <w:rFonts w:ascii="Times New Roman" w:eastAsiaTheme="minorHAnsi" w:hAnsi="Times New Roman"/>
          <w:lang w:val="en-US"/>
        </w:rPr>
        <w:footnoteReference w:id="116"/>
      </w:r>
      <w:r w:rsidRPr="00323432">
        <w:rPr>
          <w:rFonts w:ascii="Times New Roman" w:eastAsiaTheme="minorHAnsi" w:hAnsi="Times New Roman"/>
          <w:lang w:val="en-US"/>
        </w:rPr>
        <w:t xml:space="preserve"> is composed mostly of judicial office-holders. English courts also retain a certain amount of inherent power, or </w:t>
      </w:r>
      <w:r w:rsidR="00B476CA">
        <w:rPr>
          <w:rFonts w:ascii="Times New Roman" w:eastAsiaTheme="minorHAnsi" w:hAnsi="Times New Roman"/>
          <w:lang w:val="en-US"/>
        </w:rPr>
        <w:t>‘</w:t>
      </w:r>
      <w:r w:rsidRPr="00323432">
        <w:rPr>
          <w:rFonts w:ascii="Times New Roman" w:eastAsiaTheme="minorHAnsi" w:hAnsi="Times New Roman"/>
          <w:lang w:val="en-US"/>
        </w:rPr>
        <w:t>inherent jurisdiction</w:t>
      </w:r>
      <w:r w:rsidR="00B476CA">
        <w:rPr>
          <w:rFonts w:ascii="Times New Roman" w:eastAsiaTheme="minorHAnsi" w:hAnsi="Times New Roman"/>
          <w:lang w:val="en-US"/>
        </w:rPr>
        <w:t>’</w:t>
      </w:r>
      <w:r w:rsidR="004E292A">
        <w:rPr>
          <w:rFonts w:ascii="Times New Roman" w:eastAsiaTheme="minorHAnsi" w:hAnsi="Times New Roman"/>
          <w:lang w:val="en-US"/>
        </w:rPr>
        <w:t>,</w:t>
      </w:r>
      <w:r w:rsidRPr="00323432">
        <w:rPr>
          <w:rFonts w:ascii="Times New Roman" w:eastAsiaTheme="minorHAnsi" w:hAnsi="Times New Roman"/>
          <w:lang w:val="en-US"/>
        </w:rPr>
        <w:t xml:space="preserve"> which derives from </w:t>
      </w:r>
    </w:p>
    <w:p w:rsidR="00827DD4" w:rsidRPr="00447C64" w:rsidRDefault="00323432" w:rsidP="00361DD8">
      <w:pPr>
        <w:ind w:left="284" w:right="284" w:firstLine="397"/>
        <w:jc w:val="both"/>
        <w:rPr>
          <w:rFonts w:ascii="Times New Roman" w:eastAsiaTheme="minorHAnsi" w:hAnsi="Times New Roman"/>
          <w:lang w:val="en-US"/>
        </w:rPr>
      </w:pPr>
      <w:r w:rsidRPr="00323432">
        <w:rPr>
          <w:rFonts w:ascii="Times New Roman" w:eastAsiaTheme="minorHAnsi" w:hAnsi="Times New Roman"/>
          <w:lang w:val="en-US"/>
        </w:rPr>
        <w:t xml:space="preserve">the very nature of the court as a court of law… the essential character of the a court of law necessarily involves that it should be invested </w:t>
      </w:r>
      <w:r w:rsidRPr="00323432">
        <w:rPr>
          <w:rFonts w:ascii="Times New Roman" w:eastAsiaTheme="minorHAnsi" w:hAnsi="Times New Roman" w:cs="Verdana"/>
          <w:szCs w:val="26"/>
          <w:lang w:val="en-US"/>
        </w:rPr>
        <w:t>with</w:t>
      </w:r>
      <w:r w:rsidRPr="00323432">
        <w:rPr>
          <w:rFonts w:ascii="Times New Roman" w:eastAsiaTheme="minorHAnsi" w:hAnsi="Times New Roman"/>
          <w:lang w:val="en-US"/>
        </w:rPr>
        <w:t xml:space="preserve"> the power to maintain its authority, to control and regulate its process and to prevent its process from being abused or obstructed.</w:t>
      </w:r>
      <w:r w:rsidR="008E05F3">
        <w:rPr>
          <w:rStyle w:val="FootnoteReference"/>
          <w:rFonts w:ascii="Times New Roman" w:eastAsiaTheme="minorHAnsi" w:hAnsi="Times New Roman"/>
          <w:lang w:val="en-US"/>
        </w:rPr>
        <w:footnoteReference w:id="117"/>
      </w:r>
    </w:p>
    <w:p w:rsidR="00827DD4" w:rsidRPr="00447C64" w:rsidRDefault="00827DD4" w:rsidP="00361DD8">
      <w:pPr>
        <w:spacing w:line="360" w:lineRule="auto"/>
        <w:ind w:firstLine="397"/>
        <w:jc w:val="both"/>
        <w:rPr>
          <w:rFonts w:ascii="Times New Roman" w:eastAsiaTheme="minorHAnsi" w:hAnsi="Times New Roman"/>
          <w:lang w:val="en-US"/>
        </w:rPr>
      </w:pP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The most common instance of use of the court’s inherent jurisdiction is the exercise of punitive and coercive powers for contempt.</w:t>
      </w:r>
      <w:r w:rsidR="008E05F3">
        <w:rPr>
          <w:rStyle w:val="FootnoteReference"/>
          <w:rFonts w:ascii="Times New Roman" w:eastAsiaTheme="minorHAnsi" w:hAnsi="Times New Roman"/>
          <w:lang w:val="en-US"/>
        </w:rPr>
        <w:footnoteReference w:id="118"/>
      </w:r>
      <w:r w:rsidRPr="00323432">
        <w:rPr>
          <w:rFonts w:ascii="Times New Roman" w:eastAsiaTheme="minorHAnsi" w:hAnsi="Times New Roman"/>
          <w:lang w:val="en-US"/>
        </w:rPr>
        <w:t xml:space="preserve"> </w:t>
      </w: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Clearly, the extent to which rules of court in general, and specifically the exclusionary rule/sanction for non-compliance, can be made to exert a constraining force on the judge’s choice</w:t>
      </w:r>
      <w:r w:rsidR="00922BB5">
        <w:rPr>
          <w:rFonts w:ascii="Times New Roman" w:eastAsiaTheme="minorHAnsi" w:hAnsi="Times New Roman"/>
          <w:lang w:val="en-US"/>
        </w:rPr>
        <w:t xml:space="preserve"> (or whether the constraint must be imposed from a superior source of law)</w:t>
      </w:r>
      <w:r w:rsidRPr="00323432">
        <w:rPr>
          <w:rFonts w:ascii="Times New Roman" w:eastAsiaTheme="minorHAnsi" w:hAnsi="Times New Roman"/>
          <w:lang w:val="en-US"/>
        </w:rPr>
        <w:t xml:space="preserve"> depends on whether the norm itself is within or without her power </w:t>
      </w:r>
      <w:r w:rsidRPr="00323432">
        <w:rPr>
          <w:rFonts w:ascii="Times New Roman" w:eastAsiaTheme="minorHAnsi" w:hAnsi="Times New Roman"/>
          <w:i/>
          <w:lang w:val="en-US"/>
        </w:rPr>
        <w:t>qua</w:t>
      </w:r>
      <w:r w:rsidRPr="00323432">
        <w:rPr>
          <w:rFonts w:ascii="Times New Roman" w:eastAsiaTheme="minorHAnsi" w:hAnsi="Times New Roman"/>
          <w:lang w:val="en-US"/>
        </w:rPr>
        <w:t xml:space="preserve"> court. Where the power to sanction non-compliance (or dispense with the sanction) issues directly from the very nature of the court, rather than from a rule, there is no sense in trying to guide that power through potentially binding rule, and the formalist claim for these rules must fail. The position is unclear in the US in general,</w:t>
      </w:r>
      <w:r w:rsidR="008E05F3">
        <w:rPr>
          <w:rStyle w:val="FootnoteReference"/>
          <w:rFonts w:ascii="Times New Roman" w:eastAsiaTheme="minorHAnsi" w:hAnsi="Times New Roman"/>
          <w:lang w:val="en-US"/>
        </w:rPr>
        <w:footnoteReference w:id="119"/>
      </w:r>
      <w:r w:rsidRPr="00323432">
        <w:rPr>
          <w:rFonts w:ascii="Times New Roman" w:eastAsiaTheme="minorHAnsi" w:hAnsi="Times New Roman"/>
          <w:lang w:val="en-US"/>
        </w:rPr>
        <w:t xml:space="preserve"> although there seems little </w:t>
      </w:r>
      <w:r w:rsidR="00986849">
        <w:rPr>
          <w:rFonts w:ascii="Times New Roman" w:eastAsiaTheme="minorHAnsi" w:hAnsi="Times New Roman"/>
          <w:lang w:val="en-US"/>
        </w:rPr>
        <w:t>support</w:t>
      </w:r>
      <w:r w:rsidR="00986849" w:rsidRPr="00323432">
        <w:rPr>
          <w:rFonts w:ascii="Times New Roman" w:eastAsiaTheme="minorHAnsi" w:hAnsi="Times New Roman"/>
          <w:lang w:val="en-US"/>
        </w:rPr>
        <w:t xml:space="preserve"> </w:t>
      </w:r>
      <w:r w:rsidRPr="00323432">
        <w:rPr>
          <w:rFonts w:ascii="Times New Roman" w:eastAsiaTheme="minorHAnsi" w:hAnsi="Times New Roman"/>
          <w:lang w:val="en-US"/>
        </w:rPr>
        <w:t>for the idea that rulemaking displaced inherent power in the specific context of involuntary dismissal.</w:t>
      </w:r>
      <w:r w:rsidR="008E05F3">
        <w:rPr>
          <w:rStyle w:val="FootnoteReference"/>
          <w:rFonts w:ascii="Times New Roman" w:eastAsiaTheme="minorHAnsi" w:hAnsi="Times New Roman"/>
          <w:lang w:val="en-US"/>
        </w:rPr>
        <w:footnoteReference w:id="120"/>
      </w:r>
      <w:r w:rsidRPr="00323432">
        <w:rPr>
          <w:rFonts w:ascii="Times New Roman" w:eastAsiaTheme="minorHAnsi" w:hAnsi="Times New Roman"/>
          <w:lang w:val="en-US"/>
        </w:rPr>
        <w:t xml:space="preserve"> However, in England, at the very least where abuse of process is not engaged, in Jacob’s canonical definition, inherent j</w:t>
      </w:r>
      <w:r w:rsidR="001E1B3F">
        <w:rPr>
          <w:rFonts w:ascii="Times New Roman" w:eastAsiaTheme="minorHAnsi" w:hAnsi="Times New Roman"/>
          <w:lang w:val="en-US"/>
        </w:rPr>
        <w:t>urisdiction of the court ‘</w:t>
      </w:r>
      <w:r w:rsidRPr="00323432">
        <w:rPr>
          <w:rFonts w:ascii="Times New Roman" w:eastAsiaTheme="minorHAnsi" w:hAnsi="Times New Roman"/>
          <w:lang w:val="en-US"/>
        </w:rPr>
        <w:t>is not to be confused with the exercise of discretionary judicial powers,</w:t>
      </w:r>
      <w:r w:rsidR="001E1B3F">
        <w:rPr>
          <w:rFonts w:ascii="Times New Roman" w:eastAsiaTheme="minorHAnsi" w:hAnsi="Times New Roman"/>
          <w:lang w:val="en-US"/>
        </w:rPr>
        <w:t>’</w:t>
      </w:r>
      <w:r w:rsidR="00B476CA">
        <w:rPr>
          <w:rStyle w:val="FootnoteReference"/>
          <w:rFonts w:ascii="Times New Roman" w:eastAsiaTheme="minorHAnsi" w:hAnsi="Times New Roman"/>
          <w:lang w:val="en-US"/>
        </w:rPr>
        <w:footnoteReference w:id="121"/>
      </w:r>
      <w:r w:rsidRPr="00323432">
        <w:rPr>
          <w:rFonts w:ascii="Times New Roman" w:eastAsiaTheme="minorHAnsi" w:hAnsi="Times New Roman"/>
          <w:lang w:val="en-US"/>
        </w:rPr>
        <w:t xml:space="preserve"> of which surely the power to dispense with automatic sanctions is one.</w:t>
      </w:r>
    </w:p>
    <w:p w:rsidR="00827DD4" w:rsidRPr="00447C64" w:rsidRDefault="00323432" w:rsidP="00361DD8">
      <w:pPr>
        <w:spacing w:line="360" w:lineRule="auto"/>
        <w:ind w:firstLine="397"/>
        <w:jc w:val="both"/>
        <w:rPr>
          <w:rFonts w:ascii="Times New Roman" w:eastAsiaTheme="minorHAnsi" w:hAnsi="Times New Roman"/>
          <w:lang w:val="en-US"/>
        </w:rPr>
      </w:pPr>
      <w:r w:rsidRPr="00323432">
        <w:rPr>
          <w:rFonts w:ascii="Times New Roman" w:eastAsiaTheme="minorHAnsi" w:hAnsi="Times New Roman"/>
          <w:lang w:val="en-US"/>
        </w:rPr>
        <w:t xml:space="preserve">Having disposed of the question of inherent power, there remains, though much attenuated, the question whether judicial rule-making equals judicial mastership of rules so that a formalist claim for those rules would necessarily fail. The point can be dismissed summarily. Indeed, to the extent that the rules of court are laid down prospectively, and through a predetermined process by a group whose composition is determined statutorily, rather than on a case-by-case basis, it is legitimate to expect them to be binding on the individual judge, </w:t>
      </w:r>
      <w:r w:rsidR="00CC2CF7">
        <w:rPr>
          <w:rFonts w:ascii="Times New Roman" w:eastAsiaTheme="minorHAnsi" w:hAnsi="Times New Roman"/>
          <w:lang w:val="en-US"/>
        </w:rPr>
        <w:t xml:space="preserve">even though she </w:t>
      </w:r>
      <w:r w:rsidRPr="00323432">
        <w:rPr>
          <w:rFonts w:ascii="Times New Roman" w:eastAsiaTheme="minorHAnsi" w:hAnsi="Times New Roman"/>
          <w:lang w:val="en-US"/>
        </w:rPr>
        <w:t xml:space="preserve">could – in the right conditions – be a member of the rulemaking authority. Even if the content of the rules of court is determined by the individual members of the rule-making Committee, the authority to make those rules, coming as it does in an acknowledged source of law to which the rule-maker is subject (Act of Congress/Parliament) must also include a duty to abide by those rules for the future, until and unless they are changed through the same process. </w:t>
      </w:r>
      <w:r w:rsidR="00CC2CF7">
        <w:rPr>
          <w:rFonts w:ascii="Times New Roman" w:eastAsiaTheme="minorHAnsi" w:hAnsi="Times New Roman"/>
          <w:lang w:val="en-US"/>
        </w:rPr>
        <w:t>T</w:t>
      </w:r>
      <w:r w:rsidRPr="00323432">
        <w:rPr>
          <w:rFonts w:ascii="Times New Roman" w:eastAsiaTheme="minorHAnsi" w:hAnsi="Times New Roman"/>
          <w:lang w:val="en-US"/>
        </w:rPr>
        <w:t xml:space="preserve">he process through which the rules are created detaches them from the individuals who were part of the authority, by analogy with parliamentary procedure, and thus enables those rules to be </w:t>
      </w:r>
      <w:r w:rsidR="00AF1232">
        <w:rPr>
          <w:rFonts w:ascii="Times New Roman" w:eastAsiaTheme="minorHAnsi" w:hAnsi="Times New Roman"/>
          <w:lang w:val="en-US"/>
        </w:rPr>
        <w:t>‘</w:t>
      </w:r>
      <w:r w:rsidRPr="00323432">
        <w:rPr>
          <w:rFonts w:ascii="Times New Roman" w:eastAsiaTheme="minorHAnsi" w:hAnsi="Times New Roman"/>
          <w:lang w:val="en-US"/>
        </w:rPr>
        <w:t>superior</w:t>
      </w:r>
      <w:r w:rsidR="00AF1232">
        <w:rPr>
          <w:rFonts w:ascii="Times New Roman" w:eastAsiaTheme="minorHAnsi" w:hAnsi="Times New Roman"/>
          <w:lang w:val="en-US"/>
        </w:rPr>
        <w:t>’</w:t>
      </w:r>
      <w:r w:rsidRPr="00323432">
        <w:rPr>
          <w:rFonts w:ascii="Times New Roman" w:eastAsiaTheme="minorHAnsi" w:hAnsi="Times New Roman"/>
          <w:lang w:val="en-US"/>
        </w:rPr>
        <w:t xml:space="preserve"> and </w:t>
      </w:r>
      <w:r w:rsidR="00AF1232">
        <w:rPr>
          <w:rFonts w:ascii="Times New Roman" w:eastAsiaTheme="minorHAnsi" w:hAnsi="Times New Roman"/>
          <w:lang w:val="en-US"/>
        </w:rPr>
        <w:t>‘</w:t>
      </w:r>
      <w:r w:rsidRPr="00323432">
        <w:rPr>
          <w:rFonts w:ascii="Times New Roman" w:eastAsiaTheme="minorHAnsi" w:hAnsi="Times New Roman"/>
          <w:lang w:val="en-US"/>
        </w:rPr>
        <w:t>binding</w:t>
      </w:r>
      <w:r w:rsidR="00AF1232">
        <w:rPr>
          <w:rFonts w:ascii="Times New Roman" w:eastAsiaTheme="minorHAnsi" w:hAnsi="Times New Roman"/>
          <w:lang w:val="en-US"/>
        </w:rPr>
        <w:t>’</w:t>
      </w:r>
      <w:r w:rsidRPr="00323432">
        <w:rPr>
          <w:rFonts w:ascii="Times New Roman" w:eastAsiaTheme="minorHAnsi" w:hAnsi="Times New Roman"/>
          <w:lang w:val="en-US"/>
        </w:rPr>
        <w:t xml:space="preserve"> on the individual judge. </w:t>
      </w:r>
    </w:p>
    <w:p w:rsidR="00827DD4" w:rsidRPr="00447C64" w:rsidRDefault="009C2570" w:rsidP="00361DD8">
      <w:pPr>
        <w:spacing w:line="360" w:lineRule="auto"/>
        <w:ind w:firstLine="397"/>
        <w:jc w:val="both"/>
        <w:rPr>
          <w:rFonts w:ascii="Times New Roman" w:eastAsiaTheme="minorHAnsi" w:hAnsi="Times New Roman"/>
          <w:lang w:val="en-US"/>
        </w:rPr>
      </w:pPr>
      <w:r>
        <w:rPr>
          <w:rFonts w:ascii="Times New Roman" w:eastAsiaTheme="minorHAnsi" w:hAnsi="Times New Roman"/>
          <w:lang w:val="en-US"/>
        </w:rPr>
        <w:t>A</w:t>
      </w:r>
      <w:r w:rsidR="00323432" w:rsidRPr="00323432">
        <w:rPr>
          <w:rFonts w:ascii="Times New Roman" w:eastAsiaTheme="minorHAnsi" w:hAnsi="Times New Roman"/>
          <w:lang w:val="en-US"/>
        </w:rPr>
        <w:t xml:space="preserve">nother potential problem – better adverted to in the American literature – for the rehabilitation of formalism in civil procedure concerns the scope of the rules themselves. </w:t>
      </w:r>
      <w:r w:rsidR="00A558EC">
        <w:rPr>
          <w:rFonts w:ascii="Times New Roman" w:eastAsiaTheme="minorHAnsi" w:hAnsi="Times New Roman"/>
          <w:lang w:val="en-US"/>
        </w:rPr>
        <w:t>It is usual to make a</w:t>
      </w:r>
      <w:r w:rsidR="00323432" w:rsidRPr="00323432">
        <w:rPr>
          <w:rFonts w:ascii="Times New Roman" w:eastAsiaTheme="minorHAnsi" w:hAnsi="Times New Roman"/>
          <w:lang w:val="en-US"/>
        </w:rPr>
        <w:t xml:space="preserve"> correlation between the recognition/attribution of procedural rule-making power to the judiciary and</w:t>
      </w:r>
      <w:r w:rsidR="00A558EC">
        <w:rPr>
          <w:rFonts w:ascii="Times New Roman" w:eastAsiaTheme="minorHAnsi" w:hAnsi="Times New Roman"/>
          <w:lang w:val="en-US"/>
        </w:rPr>
        <w:t xml:space="preserve"> procedure that is</w:t>
      </w:r>
      <w:r w:rsidR="00323432" w:rsidRPr="00323432">
        <w:rPr>
          <w:rFonts w:ascii="Times New Roman" w:eastAsiaTheme="minorHAnsi" w:hAnsi="Times New Roman"/>
          <w:lang w:val="en-US"/>
        </w:rPr>
        <w:t xml:space="preserve"> value-neutral, trans-substantive, non-infringing on substantive law.</w:t>
      </w:r>
      <w:r w:rsidR="008E05F3">
        <w:rPr>
          <w:rStyle w:val="FootnoteReference"/>
          <w:rFonts w:ascii="Times New Roman" w:eastAsiaTheme="minorHAnsi" w:hAnsi="Times New Roman"/>
          <w:lang w:val="en-US"/>
        </w:rPr>
        <w:footnoteReference w:id="122"/>
      </w:r>
      <w:r w:rsidR="00323432" w:rsidRPr="00323432">
        <w:rPr>
          <w:rFonts w:ascii="Times New Roman" w:eastAsiaTheme="minorHAnsi" w:hAnsi="Times New Roman"/>
          <w:lang w:val="en-US"/>
        </w:rPr>
        <w:t xml:space="preserve"> In no way as explicitly as in the US, the correlation can also be made in England: extensive judicial rulemaking power, through the failed experiment of the 1833 Hilary Rules,</w:t>
      </w:r>
      <w:r w:rsidR="008E05F3">
        <w:rPr>
          <w:rStyle w:val="FootnoteReference"/>
          <w:rFonts w:ascii="Times New Roman" w:eastAsiaTheme="minorHAnsi" w:hAnsi="Times New Roman"/>
          <w:lang w:val="en-US"/>
        </w:rPr>
        <w:footnoteReference w:id="123"/>
      </w:r>
      <w:r w:rsidR="00323432" w:rsidRPr="00323432">
        <w:rPr>
          <w:rFonts w:ascii="Times New Roman" w:eastAsiaTheme="minorHAnsi" w:hAnsi="Times New Roman"/>
          <w:lang w:val="en-US"/>
        </w:rPr>
        <w:t xml:space="preserve"> comes at the same time as the definit</w:t>
      </w:r>
      <w:r w:rsidR="00C35950">
        <w:rPr>
          <w:rFonts w:ascii="Times New Roman" w:eastAsiaTheme="minorHAnsi" w:hAnsi="Times New Roman"/>
          <w:lang w:val="en-US"/>
        </w:rPr>
        <w:t>iv</w:t>
      </w:r>
      <w:r w:rsidR="00323432" w:rsidRPr="00323432">
        <w:rPr>
          <w:rFonts w:ascii="Times New Roman" w:eastAsiaTheme="minorHAnsi" w:hAnsi="Times New Roman"/>
          <w:lang w:val="en-US"/>
        </w:rPr>
        <w:t xml:space="preserve">e separation between substance and </w:t>
      </w:r>
      <w:r w:rsidR="00535A36">
        <w:rPr>
          <w:rFonts w:ascii="Times New Roman" w:eastAsiaTheme="minorHAnsi" w:hAnsi="Times New Roman"/>
          <w:lang w:val="en-US"/>
        </w:rPr>
        <w:t>‘</w:t>
      </w:r>
      <w:r w:rsidR="00323432" w:rsidRPr="00323432">
        <w:rPr>
          <w:rFonts w:ascii="Times New Roman" w:eastAsiaTheme="minorHAnsi" w:hAnsi="Times New Roman"/>
          <w:lang w:val="en-US"/>
        </w:rPr>
        <w:t>pure</w:t>
      </w:r>
      <w:r w:rsidR="00535A36">
        <w:rPr>
          <w:rFonts w:ascii="Times New Roman" w:eastAsiaTheme="minorHAnsi" w:hAnsi="Times New Roman"/>
          <w:lang w:val="en-US"/>
        </w:rPr>
        <w:t>’</w:t>
      </w:r>
      <w:r w:rsidR="00323432" w:rsidRPr="00323432">
        <w:rPr>
          <w:rFonts w:ascii="Times New Roman" w:eastAsiaTheme="minorHAnsi" w:hAnsi="Times New Roman"/>
          <w:lang w:val="en-US"/>
        </w:rPr>
        <w:t xml:space="preserve"> procedure with the abandonment of the forms of action in 1875.</w:t>
      </w:r>
      <w:r w:rsidR="008E05F3">
        <w:rPr>
          <w:rStyle w:val="FootnoteReference"/>
          <w:rFonts w:ascii="Times New Roman" w:eastAsiaTheme="minorHAnsi" w:hAnsi="Times New Roman"/>
          <w:lang w:val="en-US"/>
        </w:rPr>
        <w:footnoteReference w:id="124"/>
      </w:r>
      <w:r w:rsidR="00323432" w:rsidRPr="00323432">
        <w:rPr>
          <w:rFonts w:ascii="Times New Roman" w:eastAsiaTheme="minorHAnsi" w:hAnsi="Times New Roman"/>
          <w:lang w:val="en-US"/>
        </w:rPr>
        <w:t xml:space="preserve"> </w:t>
      </w:r>
      <w:r w:rsidR="00C35950">
        <w:rPr>
          <w:rFonts w:ascii="Times New Roman" w:eastAsiaTheme="minorHAnsi" w:hAnsi="Times New Roman"/>
          <w:lang w:val="en-US"/>
        </w:rPr>
        <w:t>While there is little academic work</w:t>
      </w:r>
      <w:r w:rsidR="00323432" w:rsidRPr="00323432">
        <w:rPr>
          <w:rFonts w:ascii="Times New Roman" w:eastAsiaTheme="minorHAnsi" w:hAnsi="Times New Roman"/>
          <w:lang w:val="en-US"/>
        </w:rPr>
        <w:t xml:space="preserve"> in England on the matter,</w:t>
      </w:r>
      <w:r w:rsidR="008E05F3">
        <w:rPr>
          <w:rStyle w:val="FootnoteReference"/>
          <w:rFonts w:ascii="Times New Roman" w:eastAsiaTheme="minorHAnsi" w:hAnsi="Times New Roman"/>
          <w:lang w:val="en-US"/>
        </w:rPr>
        <w:footnoteReference w:id="125"/>
      </w:r>
      <w:r w:rsidR="00323432" w:rsidRPr="00323432">
        <w:rPr>
          <w:rFonts w:ascii="Times New Roman" w:eastAsiaTheme="minorHAnsi" w:hAnsi="Times New Roman"/>
          <w:lang w:val="en-US"/>
        </w:rPr>
        <w:t xml:space="preserve"> </w:t>
      </w:r>
      <w:r w:rsidR="00C35950">
        <w:rPr>
          <w:rFonts w:ascii="Times New Roman" w:eastAsiaTheme="minorHAnsi" w:hAnsi="Times New Roman"/>
          <w:lang w:val="en-US"/>
        </w:rPr>
        <w:t xml:space="preserve">in </w:t>
      </w:r>
      <w:r w:rsidR="00323432" w:rsidRPr="00323432">
        <w:rPr>
          <w:rFonts w:ascii="Times New Roman" w:eastAsiaTheme="minorHAnsi" w:hAnsi="Times New Roman"/>
          <w:lang w:val="en-US"/>
        </w:rPr>
        <w:t>America</w:t>
      </w:r>
      <w:r w:rsidR="00BD4653">
        <w:rPr>
          <w:rFonts w:ascii="Times New Roman" w:eastAsiaTheme="minorHAnsi" w:hAnsi="Times New Roman"/>
          <w:lang w:val="en-US"/>
        </w:rPr>
        <w:t xml:space="preserve"> there has been a broad debate</w:t>
      </w:r>
      <w:r w:rsidR="00C35950">
        <w:rPr>
          <w:rFonts w:ascii="Times New Roman" w:eastAsiaTheme="minorHAnsi" w:hAnsi="Times New Roman"/>
          <w:lang w:val="en-US"/>
        </w:rPr>
        <w:t xml:space="preserve"> </w:t>
      </w:r>
      <w:r w:rsidR="00323432" w:rsidRPr="00323432">
        <w:rPr>
          <w:rFonts w:ascii="Times New Roman" w:eastAsiaTheme="minorHAnsi" w:hAnsi="Times New Roman"/>
          <w:lang w:val="en-US"/>
        </w:rPr>
        <w:t xml:space="preserve">on the continued validity of the trans-substantive claim for civil procedure rules. One does not need to be a hard-line realist to identify the actual or potential risk of </w:t>
      </w:r>
      <w:r w:rsidR="00AF1232">
        <w:rPr>
          <w:rFonts w:ascii="Times New Roman" w:eastAsiaTheme="minorHAnsi" w:hAnsi="Times New Roman"/>
          <w:lang w:val="en-US"/>
        </w:rPr>
        <w:t>‘</w:t>
      </w:r>
      <w:r w:rsidR="00323432" w:rsidRPr="00323432">
        <w:rPr>
          <w:rFonts w:ascii="Times New Roman" w:eastAsiaTheme="minorHAnsi" w:hAnsi="Times New Roman"/>
          <w:lang w:val="en-US"/>
        </w:rPr>
        <w:t>hiding behind</w:t>
      </w:r>
      <w:r w:rsidR="00AF1232">
        <w:rPr>
          <w:rFonts w:ascii="Times New Roman" w:eastAsiaTheme="minorHAnsi" w:hAnsi="Times New Roman"/>
          <w:lang w:val="en-US"/>
        </w:rPr>
        <w:t>’</w:t>
      </w:r>
      <w:r w:rsidR="00323432" w:rsidRPr="00323432">
        <w:rPr>
          <w:rFonts w:ascii="Times New Roman" w:eastAsiaTheme="minorHAnsi" w:hAnsi="Times New Roman"/>
          <w:lang w:val="en-US"/>
        </w:rPr>
        <w:t xml:space="preserve"> apparently trans-substantive rules to apply whichever fundamental agenda a judge has.</w:t>
      </w:r>
      <w:r w:rsidR="008E05F3">
        <w:rPr>
          <w:rStyle w:val="FootnoteReference"/>
          <w:rFonts w:ascii="Times New Roman" w:eastAsiaTheme="minorHAnsi" w:hAnsi="Times New Roman"/>
          <w:lang w:val="en-US"/>
        </w:rPr>
        <w:footnoteReference w:id="126"/>
      </w:r>
      <w:r w:rsidR="00323432" w:rsidRPr="00323432">
        <w:rPr>
          <w:rFonts w:ascii="Times New Roman" w:eastAsiaTheme="minorHAnsi" w:hAnsi="Times New Roman"/>
          <w:lang w:val="en-US"/>
        </w:rPr>
        <w:t xml:space="preserve"> A formalist approach to procedure – even if only to the strictures and sanctions, rather than to the content rules such as pleading or discovery – may increase the risk of ignoring those very concerns and indeed, entrench their unappeti</w:t>
      </w:r>
      <w:r w:rsidR="0000785A">
        <w:rPr>
          <w:rFonts w:ascii="Times New Roman" w:eastAsiaTheme="minorHAnsi" w:hAnsi="Times New Roman"/>
          <w:lang w:val="en-US"/>
        </w:rPr>
        <w:t>s</w:t>
      </w:r>
      <w:r w:rsidR="00323432" w:rsidRPr="00323432">
        <w:rPr>
          <w:rFonts w:ascii="Times New Roman" w:eastAsiaTheme="minorHAnsi" w:hAnsi="Times New Roman"/>
          <w:lang w:val="en-US"/>
        </w:rPr>
        <w:t xml:space="preserve">ing consequences. Clearly, this objection has a broader application to any formalist analysis, and its usefulness lies in providing a salutary dose of humility for any such claim.  </w:t>
      </w:r>
    </w:p>
    <w:p w:rsidR="00827DD4" w:rsidRPr="00447C64" w:rsidRDefault="00827DD4" w:rsidP="00361DD8">
      <w:pPr>
        <w:spacing w:line="360" w:lineRule="auto"/>
        <w:ind w:firstLine="397"/>
        <w:jc w:val="both"/>
        <w:rPr>
          <w:rFonts w:ascii="Times New Roman" w:eastAsiaTheme="minorHAnsi" w:hAnsi="Times New Roman"/>
          <w:lang w:val="en-US"/>
        </w:rPr>
      </w:pPr>
    </w:p>
    <w:p w:rsidR="00827DD4" w:rsidRPr="004E292A" w:rsidRDefault="004E292A" w:rsidP="00361DD8">
      <w:pPr>
        <w:spacing w:line="360" w:lineRule="auto"/>
        <w:ind w:firstLine="397"/>
        <w:jc w:val="both"/>
        <w:rPr>
          <w:rFonts w:ascii="Times New Roman" w:hAnsi="Times New Roman"/>
        </w:rPr>
      </w:pPr>
      <w:r w:rsidRPr="004E292A">
        <w:rPr>
          <w:rFonts w:ascii="Times New Roman" w:hAnsi="Times New Roman"/>
        </w:rPr>
        <w:t>9</w:t>
      </w:r>
      <w:r w:rsidR="00323432" w:rsidRPr="004E292A">
        <w:rPr>
          <w:rFonts w:ascii="Times New Roman" w:hAnsi="Times New Roman"/>
        </w:rPr>
        <w:t>. Conclusion</w:t>
      </w:r>
    </w:p>
    <w:p w:rsidR="00827DD4" w:rsidRPr="00447C64" w:rsidRDefault="00827DD4" w:rsidP="00361DD8">
      <w:pPr>
        <w:spacing w:line="360" w:lineRule="auto"/>
        <w:ind w:firstLine="397"/>
        <w:jc w:val="both"/>
        <w:rPr>
          <w:rFonts w:ascii="Times New Roman" w:hAnsi="Times New Roman"/>
        </w:rPr>
      </w:pPr>
    </w:p>
    <w:p w:rsidR="00827DD4" w:rsidRPr="00447C64" w:rsidRDefault="00323432" w:rsidP="00361DD8">
      <w:pPr>
        <w:spacing w:line="360" w:lineRule="auto"/>
        <w:ind w:firstLine="397"/>
        <w:jc w:val="both"/>
        <w:rPr>
          <w:rFonts w:ascii="Times New Roman" w:hAnsi="Times New Roman"/>
          <w:u w:val="single"/>
          <w:lang w:val="en-US"/>
        </w:rPr>
      </w:pPr>
      <w:r w:rsidRPr="00323432">
        <w:rPr>
          <w:rFonts w:ascii="Times New Roman" w:hAnsi="Times New Roman"/>
        </w:rPr>
        <w:t>Formality</w:t>
      </w:r>
      <w:r w:rsidR="00A6528B">
        <w:rPr>
          <w:rFonts w:ascii="Times New Roman" w:hAnsi="Times New Roman"/>
        </w:rPr>
        <w:t xml:space="preserve"> </w:t>
      </w:r>
      <w:r w:rsidRPr="00323432">
        <w:rPr>
          <w:rFonts w:ascii="Times New Roman" w:hAnsi="Times New Roman"/>
        </w:rPr>
        <w:t>is essentially associated with the rules of procedure</w:t>
      </w:r>
      <w:r w:rsidR="00A07F7E">
        <w:rPr>
          <w:rFonts w:ascii="Times New Roman" w:hAnsi="Times New Roman"/>
        </w:rPr>
        <w:t>.</w:t>
      </w:r>
      <w:r w:rsidRPr="00323432">
        <w:rPr>
          <w:rFonts w:ascii="Times New Roman" w:hAnsi="Times New Roman"/>
        </w:rPr>
        <w:t xml:space="preserve"> As a reaction to the specificity of the old forms of action, in England modern rules of civil procedure were designed to be applicable to any civil substantive dispute, irrespective of field, policies and parties. They are operative, not teleological, in that their objective, to reach a final substantive decision about who is right and who is wrong, is generic but empty of content, apart from the equality and right to be heard minima ingrained in </w:t>
      </w:r>
      <w:r w:rsidR="00A07F7E">
        <w:rPr>
          <w:rFonts w:ascii="Times New Roman" w:hAnsi="Times New Roman"/>
        </w:rPr>
        <w:t>f</w:t>
      </w:r>
      <w:r w:rsidRPr="00323432">
        <w:rPr>
          <w:rFonts w:ascii="Times New Roman" w:hAnsi="Times New Roman"/>
        </w:rPr>
        <w:t xml:space="preserve">air </w:t>
      </w:r>
      <w:r w:rsidR="00A07F7E">
        <w:rPr>
          <w:rFonts w:ascii="Times New Roman" w:hAnsi="Times New Roman"/>
        </w:rPr>
        <w:t>t</w:t>
      </w:r>
      <w:r w:rsidR="00A07F7E" w:rsidRPr="00323432">
        <w:rPr>
          <w:rFonts w:ascii="Times New Roman" w:hAnsi="Times New Roman"/>
        </w:rPr>
        <w:t>rial</w:t>
      </w:r>
      <w:r w:rsidRPr="00323432">
        <w:rPr>
          <w:rFonts w:ascii="Times New Roman" w:hAnsi="Times New Roman"/>
        </w:rPr>
        <w:t xml:space="preserve"> requirements. The court’s rules merely ensure that the ultimate product of legislative, adjudicative or coercive power (an authoritative determination of the law applicable to specific facts) is legitimate, but they do not necessarily provide a directed content to that product. They are </w:t>
      </w:r>
      <w:r w:rsidR="00A07F7E">
        <w:rPr>
          <w:rFonts w:ascii="Times New Roman" w:hAnsi="Times New Roman"/>
        </w:rPr>
        <w:t xml:space="preserve">today </w:t>
      </w:r>
      <w:r w:rsidRPr="00323432">
        <w:rPr>
          <w:rFonts w:ascii="Times New Roman" w:hAnsi="Times New Roman"/>
        </w:rPr>
        <w:t xml:space="preserve">considered </w:t>
      </w:r>
      <w:r w:rsidR="00A07F7E">
        <w:rPr>
          <w:rFonts w:ascii="Times New Roman" w:hAnsi="Times New Roman"/>
        </w:rPr>
        <w:t>’</w:t>
      </w:r>
      <w:r w:rsidRPr="00323432">
        <w:rPr>
          <w:rFonts w:ascii="Times New Roman" w:hAnsi="Times New Roman"/>
        </w:rPr>
        <w:t>handmaidens</w:t>
      </w:r>
      <w:r w:rsidR="00D43B4E">
        <w:rPr>
          <w:rFonts w:ascii="Times New Roman" w:hAnsi="Times New Roman"/>
        </w:rPr>
        <w:t>’</w:t>
      </w:r>
      <w:r w:rsidR="00A07F7E" w:rsidRPr="00323432">
        <w:rPr>
          <w:rFonts w:ascii="Times New Roman" w:hAnsi="Times New Roman"/>
        </w:rPr>
        <w:t xml:space="preserve"> </w:t>
      </w:r>
      <w:r w:rsidRPr="00323432">
        <w:rPr>
          <w:rFonts w:ascii="Times New Roman" w:hAnsi="Times New Roman"/>
        </w:rPr>
        <w:t xml:space="preserve">to substantive law and as such should be noticed as little as possible, and certainly not applied to obstruct or prevent the product from being produced. At best, these rules can be critiqued insofar as they lead to a </w:t>
      </w:r>
      <w:r w:rsidR="00A07F7E">
        <w:rPr>
          <w:rFonts w:ascii="Times New Roman" w:hAnsi="Times New Roman"/>
        </w:rPr>
        <w:t>‘</w:t>
      </w:r>
      <w:r w:rsidRPr="00323432">
        <w:rPr>
          <w:rFonts w:ascii="Times New Roman" w:hAnsi="Times New Roman"/>
        </w:rPr>
        <w:t>better</w:t>
      </w:r>
      <w:r w:rsidR="00A07F7E">
        <w:rPr>
          <w:rFonts w:ascii="Times New Roman" w:hAnsi="Times New Roman"/>
        </w:rPr>
        <w:t>’</w:t>
      </w:r>
      <w:r w:rsidRPr="00323432">
        <w:rPr>
          <w:rFonts w:ascii="Times New Roman" w:hAnsi="Times New Roman"/>
        </w:rPr>
        <w:t xml:space="preserve"> or </w:t>
      </w:r>
      <w:r w:rsidR="00A07F7E">
        <w:rPr>
          <w:rFonts w:ascii="Times New Roman" w:hAnsi="Times New Roman"/>
        </w:rPr>
        <w:t>‘</w:t>
      </w:r>
      <w:r w:rsidRPr="00323432">
        <w:rPr>
          <w:rFonts w:ascii="Times New Roman" w:hAnsi="Times New Roman"/>
        </w:rPr>
        <w:t>worse</w:t>
      </w:r>
      <w:r w:rsidR="00D43B4E">
        <w:rPr>
          <w:rFonts w:ascii="Times New Roman" w:hAnsi="Times New Roman"/>
        </w:rPr>
        <w:t>’</w:t>
      </w:r>
      <w:r w:rsidR="00A07F7E" w:rsidRPr="00323432">
        <w:rPr>
          <w:rFonts w:ascii="Times New Roman" w:hAnsi="Times New Roman"/>
        </w:rPr>
        <w:t xml:space="preserve"> </w:t>
      </w:r>
      <w:r w:rsidRPr="00323432">
        <w:rPr>
          <w:rFonts w:ascii="Times New Roman" w:hAnsi="Times New Roman"/>
        </w:rPr>
        <w:t>outcome.</w:t>
      </w:r>
    </w:p>
    <w:p w:rsidR="00827DD4" w:rsidRPr="00447C64" w:rsidRDefault="00A73B7C" w:rsidP="00361DD8">
      <w:pPr>
        <w:spacing w:line="360" w:lineRule="auto"/>
        <w:ind w:firstLine="397"/>
        <w:jc w:val="both"/>
        <w:rPr>
          <w:rFonts w:ascii="Times New Roman" w:hAnsi="Times New Roman"/>
        </w:rPr>
      </w:pPr>
      <w:r w:rsidRPr="00A73B7C">
        <w:rPr>
          <w:rFonts w:ascii="Times New Roman" w:hAnsi="Times New Roman"/>
        </w:rPr>
        <w:t xml:space="preserve">A principled approach to the legitimacy and rationales of sanctions for non-compliance with rules of civil procedure, starting from a comparative study of the </w:t>
      </w:r>
      <w:r w:rsidR="0000785A">
        <w:rPr>
          <w:rFonts w:ascii="Times New Roman" w:hAnsi="Times New Roman"/>
        </w:rPr>
        <w:t>exclusionary compliance</w:t>
      </w:r>
      <w:r w:rsidR="003D40E1" w:rsidRPr="003D40E1">
        <w:rPr>
          <w:rFonts w:ascii="Times New Roman" w:hAnsi="Times New Roman"/>
        </w:rPr>
        <w:t xml:space="preserve"> rule (dismissal of the action for non-compliance with rules or orders of the court) in the US Federal Rules of Civil Procedure and in the English CPR elicits some </w:t>
      </w:r>
      <w:r w:rsidR="00A6528B">
        <w:rPr>
          <w:rFonts w:ascii="Times New Roman" w:hAnsi="Times New Roman"/>
        </w:rPr>
        <w:t>interesting observations</w:t>
      </w:r>
      <w:r w:rsidR="003D40E1" w:rsidRPr="003D40E1">
        <w:rPr>
          <w:rFonts w:ascii="Times New Roman" w:hAnsi="Times New Roman"/>
        </w:rPr>
        <w:t>. In these two cognate but constitutionally very different systems, we find a similar expression of the need to ensure compliance with rules and court orders, but in differing forms. In the US system the court has an active discretion to sanction non</w:t>
      </w:r>
      <w:r w:rsidR="00A07F7E">
        <w:rPr>
          <w:rFonts w:ascii="Times New Roman" w:hAnsi="Times New Roman"/>
        </w:rPr>
        <w:t>-</w:t>
      </w:r>
      <w:r w:rsidRPr="00A73B7C">
        <w:rPr>
          <w:rFonts w:ascii="Times New Roman" w:hAnsi="Times New Roman"/>
        </w:rPr>
        <w:t>compliance, while in England, post-1998, the court may only be approached after automatic effects of non</w:t>
      </w:r>
      <w:r w:rsidR="00A07F7E">
        <w:rPr>
          <w:rFonts w:ascii="Times New Roman" w:hAnsi="Times New Roman"/>
        </w:rPr>
        <w:t>-</w:t>
      </w:r>
      <w:r w:rsidRPr="00A73B7C">
        <w:rPr>
          <w:rFonts w:ascii="Times New Roman" w:hAnsi="Times New Roman"/>
        </w:rPr>
        <w:t xml:space="preserve">compliance have taken place or will necessarily arise, and it has a discretion merely to remove its effects. The American rule has undergone very few legislative modifications and has not been the object of much specific debate (while similar rules, but specific to particular fields such as discovery or the attorney’s duty of care, have proved much more controversial); the English practice has been the object of intense jurisprudential and legislative activity in the past 140 years, has undergone constant refinement and review, and has caused intense academic debate. Yet, the arguments, factors to be considered when exercising discretion, even terminology, which appear in the two systems’ literature are surprisingly similar and point towards the judiciary’s tortured relationship with the rule. </w:t>
      </w:r>
      <w:r w:rsidR="00A07F7E">
        <w:rPr>
          <w:rFonts w:ascii="Times New Roman" w:hAnsi="Times New Roman"/>
        </w:rPr>
        <w:t>What has become apparent is that in applying the rule, judges in reality apply one of two contra</w:t>
      </w:r>
      <w:r w:rsidR="00D43B4E">
        <w:rPr>
          <w:rFonts w:ascii="Times New Roman" w:hAnsi="Times New Roman"/>
        </w:rPr>
        <w:t>sting guiding philosophies, which</w:t>
      </w:r>
      <w:r w:rsidR="00A07F7E">
        <w:rPr>
          <w:rFonts w:ascii="Times New Roman" w:hAnsi="Times New Roman"/>
        </w:rPr>
        <w:t xml:space="preserve"> have no basis in statutory prescription but merely in the judges’ own </w:t>
      </w:r>
      <w:r w:rsidR="00A6528B">
        <w:rPr>
          <w:rFonts w:ascii="Times New Roman" w:hAnsi="Times New Roman"/>
        </w:rPr>
        <w:t xml:space="preserve">subjective, </w:t>
      </w:r>
      <w:r w:rsidR="00A07F7E">
        <w:rPr>
          <w:rFonts w:ascii="Times New Roman" w:hAnsi="Times New Roman"/>
        </w:rPr>
        <w:t>ethical and intellectual perception of their role and functions.</w:t>
      </w:r>
      <w:r w:rsidR="00932B27">
        <w:rPr>
          <w:rFonts w:ascii="Times New Roman" w:hAnsi="Times New Roman"/>
        </w:rPr>
        <w:t xml:space="preserve"> This leads to tensions within each system, with a tendency for procedural litigation to balloon in the search for a ‘sympathetic’ judge and, in England at least, for costs to increase.</w:t>
      </w:r>
    </w:p>
    <w:p w:rsidR="00827DD4" w:rsidRPr="00447C64" w:rsidRDefault="00932B27" w:rsidP="00361DD8">
      <w:pPr>
        <w:spacing w:line="360" w:lineRule="auto"/>
        <w:ind w:firstLine="397"/>
        <w:jc w:val="both"/>
        <w:rPr>
          <w:rFonts w:ascii="Times New Roman" w:hAnsi="Times New Roman"/>
        </w:rPr>
      </w:pPr>
      <w:r>
        <w:rPr>
          <w:rFonts w:ascii="Times New Roman" w:hAnsi="Times New Roman"/>
        </w:rPr>
        <w:t>While there are suggestive hints in the recent reforms in</w:t>
      </w:r>
      <w:r w:rsidR="007B1A21">
        <w:rPr>
          <w:rFonts w:ascii="Times New Roman" w:hAnsi="Times New Roman"/>
        </w:rPr>
        <w:t xml:space="preserve"> England of wh</w:t>
      </w:r>
      <w:r w:rsidR="00765A52">
        <w:rPr>
          <w:rFonts w:ascii="Times New Roman" w:hAnsi="Times New Roman"/>
        </w:rPr>
        <w:t>ich of the two philosophies attracts the</w:t>
      </w:r>
      <w:r w:rsidR="007B1A21">
        <w:rPr>
          <w:rFonts w:ascii="Times New Roman" w:hAnsi="Times New Roman"/>
        </w:rPr>
        <w:t xml:space="preserve"> rulemaker’s</w:t>
      </w:r>
      <w:r>
        <w:rPr>
          <w:rFonts w:ascii="Times New Roman" w:hAnsi="Times New Roman"/>
        </w:rPr>
        <w:t xml:space="preserve"> preferences</w:t>
      </w:r>
      <w:r w:rsidR="007B1A21">
        <w:rPr>
          <w:rFonts w:ascii="Times New Roman" w:hAnsi="Times New Roman"/>
        </w:rPr>
        <w:t>,</w:t>
      </w:r>
      <w:r>
        <w:rPr>
          <w:rStyle w:val="FootnoteReference"/>
          <w:rFonts w:ascii="Times New Roman" w:hAnsi="Times New Roman"/>
        </w:rPr>
        <w:footnoteReference w:id="127"/>
      </w:r>
      <w:r>
        <w:rPr>
          <w:rFonts w:ascii="Times New Roman" w:hAnsi="Times New Roman"/>
        </w:rPr>
        <w:t xml:space="preserve"> </w:t>
      </w:r>
      <w:r w:rsidR="007B1A21">
        <w:rPr>
          <w:rFonts w:ascii="Times New Roman" w:hAnsi="Times New Roman"/>
        </w:rPr>
        <w:t xml:space="preserve">factors such as the secondary status of procedural law and its </w:t>
      </w:r>
      <w:r w:rsidR="00765A52">
        <w:rPr>
          <w:rFonts w:ascii="Times New Roman" w:hAnsi="Times New Roman"/>
        </w:rPr>
        <w:t>judicial origin, as well as a historical suspicion of ‘formalism’</w:t>
      </w:r>
      <w:r w:rsidR="007B1A21">
        <w:rPr>
          <w:rFonts w:ascii="Times New Roman" w:hAnsi="Times New Roman"/>
        </w:rPr>
        <w:t xml:space="preserve">, have </w:t>
      </w:r>
      <w:r w:rsidR="00765A52">
        <w:rPr>
          <w:rFonts w:ascii="Times New Roman" w:hAnsi="Times New Roman"/>
        </w:rPr>
        <w:t>contributed to a culture where judges see themselves as free to adopt whichever philosophy they prefer</w:t>
      </w:r>
      <w:r w:rsidR="007B1A21">
        <w:rPr>
          <w:rFonts w:ascii="Times New Roman" w:hAnsi="Times New Roman"/>
        </w:rPr>
        <w:t xml:space="preserve">. </w:t>
      </w:r>
      <w:r w:rsidR="00A73B7C" w:rsidRPr="00A73B7C">
        <w:rPr>
          <w:rFonts w:ascii="Times New Roman" w:hAnsi="Times New Roman"/>
        </w:rPr>
        <w:t xml:space="preserve">I have suggested </w:t>
      </w:r>
      <w:r w:rsidR="00765A52">
        <w:rPr>
          <w:rFonts w:ascii="Times New Roman" w:hAnsi="Times New Roman"/>
        </w:rPr>
        <w:t>that this is inopportune for practical reasons, such as uncertainty and its attendant risk of satellite ligation; and that it does not necessarily flow from judicial rule-making or, in England, the ‘inherent jurisdiction’ of the court.</w:t>
      </w:r>
      <w:r w:rsidR="003A2A44">
        <w:rPr>
          <w:rFonts w:ascii="Times New Roman" w:hAnsi="Times New Roman"/>
        </w:rPr>
        <w:t xml:space="preserve"> I have sought to demonstrate that </w:t>
      </w:r>
      <w:r w:rsidR="00765A52">
        <w:rPr>
          <w:rFonts w:ascii="Times New Roman" w:hAnsi="Times New Roman"/>
        </w:rPr>
        <w:t xml:space="preserve">procedural </w:t>
      </w:r>
      <w:r w:rsidR="003A2A44">
        <w:rPr>
          <w:rFonts w:ascii="Times New Roman" w:hAnsi="Times New Roman"/>
        </w:rPr>
        <w:t xml:space="preserve">rules can and ought to be considered binding upon the judiciary themselves, and </w:t>
      </w:r>
      <w:r w:rsidR="00765A52">
        <w:rPr>
          <w:rFonts w:ascii="Times New Roman" w:hAnsi="Times New Roman"/>
        </w:rPr>
        <w:t xml:space="preserve">in particular that </w:t>
      </w:r>
      <w:r w:rsidR="003A2A44">
        <w:rPr>
          <w:rFonts w:ascii="Times New Roman" w:hAnsi="Times New Roman"/>
        </w:rPr>
        <w:t>a clear constraint as to which philosophy is adequate ought to be stated</w:t>
      </w:r>
      <w:r w:rsidR="00765A52">
        <w:rPr>
          <w:rFonts w:ascii="Times New Roman" w:hAnsi="Times New Roman"/>
        </w:rPr>
        <w:t xml:space="preserve"> in such rules</w:t>
      </w:r>
      <w:r w:rsidR="003A2A44">
        <w:rPr>
          <w:rFonts w:ascii="Times New Roman" w:hAnsi="Times New Roman"/>
        </w:rPr>
        <w:t>.</w:t>
      </w:r>
      <w:r w:rsidR="00A73B7C" w:rsidRPr="00A73B7C">
        <w:rPr>
          <w:rFonts w:ascii="Times New Roman" w:hAnsi="Times New Roman"/>
        </w:rPr>
        <w:t xml:space="preserve"> </w:t>
      </w:r>
      <w:r w:rsidR="00765A52">
        <w:rPr>
          <w:rFonts w:ascii="Times New Roman" w:hAnsi="Times New Roman"/>
        </w:rPr>
        <w:t xml:space="preserve">A </w:t>
      </w:r>
      <w:r w:rsidR="00323432" w:rsidRPr="00323432">
        <w:rPr>
          <w:rFonts w:ascii="Times New Roman" w:hAnsi="Times New Roman"/>
        </w:rPr>
        <w:t xml:space="preserve">formalist approach to </w:t>
      </w:r>
      <w:r w:rsidR="00765A52">
        <w:rPr>
          <w:rFonts w:ascii="Times New Roman" w:hAnsi="Times New Roman"/>
        </w:rPr>
        <w:t>the</w:t>
      </w:r>
      <w:r w:rsidR="00765A52" w:rsidRPr="00323432">
        <w:rPr>
          <w:rFonts w:ascii="Times New Roman" w:hAnsi="Times New Roman"/>
        </w:rPr>
        <w:t xml:space="preserve"> </w:t>
      </w:r>
      <w:r w:rsidR="00323432" w:rsidRPr="00323432">
        <w:rPr>
          <w:rFonts w:ascii="Times New Roman" w:hAnsi="Times New Roman"/>
        </w:rPr>
        <w:t>rules</w:t>
      </w:r>
      <w:r w:rsidR="00765A52">
        <w:rPr>
          <w:rFonts w:ascii="Times New Roman" w:hAnsi="Times New Roman"/>
        </w:rPr>
        <w:t xml:space="preserve"> of court</w:t>
      </w:r>
      <w:r w:rsidR="00323432" w:rsidRPr="00323432">
        <w:rPr>
          <w:rFonts w:ascii="Times New Roman" w:hAnsi="Times New Roman"/>
        </w:rPr>
        <w:t xml:space="preserve"> would not require a rigidly textualist reading of the rule itself, as demonstrated by the conventional mechanisms of fettering discretion. </w:t>
      </w:r>
    </w:p>
    <w:p w:rsidR="006869B8" w:rsidRPr="00447C64" w:rsidRDefault="006869B8" w:rsidP="00361DD8">
      <w:pPr>
        <w:ind w:firstLine="397"/>
        <w:rPr>
          <w:rFonts w:ascii="Times New Roman" w:hAnsi="Times New Roman"/>
        </w:rPr>
      </w:pPr>
    </w:p>
    <w:sectPr w:rsidR="006869B8" w:rsidRPr="00447C64" w:rsidSect="006869B8">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B4E" w:rsidRDefault="00D43B4E">
      <w:r>
        <w:separator/>
      </w:r>
    </w:p>
  </w:endnote>
  <w:endnote w:type="continuationSeparator" w:id="0">
    <w:p w:rsidR="00D43B4E" w:rsidRDefault="00D43B4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B4E" w:rsidRDefault="00D43B4E">
      <w:r>
        <w:separator/>
      </w:r>
    </w:p>
  </w:footnote>
  <w:footnote w:type="continuationSeparator" w:id="0">
    <w:p w:rsidR="00D43B4E" w:rsidRDefault="00D43B4E">
      <w:r>
        <w:continuationSeparator/>
      </w:r>
    </w:p>
  </w:footnote>
  <w:footnote w:id="1">
    <w:p w:rsidR="00D43B4E" w:rsidRPr="000B0213" w:rsidRDefault="00D43B4E" w:rsidP="00B01F9A">
      <w:pPr>
        <w:pStyle w:val="FootnoteText"/>
        <w:rPr>
          <w:rFonts w:ascii="Times New Roman" w:hAnsi="Times New Roman"/>
          <w:sz w:val="20"/>
        </w:rPr>
      </w:pPr>
      <w:r w:rsidRPr="00124983">
        <w:rPr>
          <w:rStyle w:val="FootnoteReference"/>
          <w:rFonts w:ascii="Times New Roman" w:hAnsi="Times New Roman"/>
          <w:sz w:val="20"/>
        </w:rPr>
        <w:t>*</w:t>
      </w:r>
      <w:r w:rsidRPr="00124983">
        <w:rPr>
          <w:rFonts w:ascii="Times New Roman" w:hAnsi="Times New Roman"/>
          <w:sz w:val="20"/>
        </w:rPr>
        <w:t xml:space="preserve"> School of Law, University of Leicester</w:t>
      </w:r>
      <w:r>
        <w:rPr>
          <w:rFonts w:ascii="Times New Roman" w:hAnsi="Times New Roman"/>
          <w:sz w:val="20"/>
        </w:rPr>
        <w:t>, carla.crifo@le.ac.uk</w:t>
      </w:r>
      <w:r w:rsidRPr="00124983">
        <w:rPr>
          <w:rFonts w:ascii="Times New Roman" w:hAnsi="Times New Roman"/>
          <w:sz w:val="20"/>
        </w:rPr>
        <w:t xml:space="preserve">. The research for this article was carried out during a semester’s Visiting Fellowship at Northeastern University School of Law, Boston, with support and funding from the Italy/US Fulbright Commission, the Leverhulme Trust and the University of Leicester. Grateful thanks are owed to Professor Stephen Subrin for his insights, to colleagues at Leicester and Warwick Universities for astute comments, and to the anonymous peer reviewers. All errors remain my own. </w:t>
      </w:r>
    </w:p>
  </w:footnote>
  <w:footnote w:id="2">
    <w:p w:rsidR="00D43B4E" w:rsidRDefault="00D43B4E">
      <w:pPr>
        <w:pStyle w:val="FootnoteText"/>
      </w:pPr>
      <w:r w:rsidRPr="00330636">
        <w:rPr>
          <w:rStyle w:val="FootnoteReference"/>
          <w:rFonts w:ascii="Times New Roman" w:hAnsi="Times New Roman"/>
          <w:sz w:val="20"/>
        </w:rPr>
        <w:footnoteRef/>
      </w:r>
      <w:r w:rsidRPr="00330636">
        <w:rPr>
          <w:rFonts w:ascii="Times New Roman" w:hAnsi="Times New Roman"/>
          <w:sz w:val="20"/>
        </w:rPr>
        <w:t xml:space="preserve"> </w:t>
      </w:r>
      <w:r>
        <w:rPr>
          <w:rFonts w:ascii="Times New Roman" w:hAnsi="Times New Roman"/>
          <w:sz w:val="20"/>
        </w:rPr>
        <w:t>W</w:t>
      </w:r>
      <w:r w:rsidRPr="003D40E1" w:rsidDel="00D37947">
        <w:rPr>
          <w:rFonts w:ascii="Times New Roman" w:hAnsi="Times New Roman"/>
          <w:sz w:val="20"/>
        </w:rPr>
        <w:t>B</w:t>
      </w:r>
      <w:r w:rsidRPr="008C20C8" w:rsidDel="00D37947">
        <w:rPr>
          <w:rFonts w:ascii="Times New Roman" w:hAnsi="Times New Roman"/>
          <w:sz w:val="20"/>
        </w:rPr>
        <w:t xml:space="preserve"> Odgers, </w:t>
      </w:r>
      <w:r w:rsidDel="00D37947">
        <w:rPr>
          <w:rFonts w:ascii="Times New Roman" w:hAnsi="Times New Roman"/>
          <w:sz w:val="20"/>
        </w:rPr>
        <w:t>‘</w:t>
      </w:r>
      <w:r w:rsidRPr="003D40E1" w:rsidDel="00D37947">
        <w:rPr>
          <w:rFonts w:ascii="Times New Roman" w:hAnsi="Times New Roman"/>
          <w:sz w:val="20"/>
        </w:rPr>
        <w:t>Changes in procedure and in the law of evidence</w:t>
      </w:r>
      <w:r w:rsidDel="00D37947">
        <w:rPr>
          <w:rFonts w:ascii="Times New Roman" w:hAnsi="Times New Roman"/>
          <w:sz w:val="20"/>
        </w:rPr>
        <w:t>’</w:t>
      </w:r>
      <w:r w:rsidRPr="003D40E1" w:rsidDel="00D37947">
        <w:rPr>
          <w:rFonts w:ascii="Times New Roman" w:hAnsi="Times New Roman"/>
          <w:sz w:val="20"/>
        </w:rPr>
        <w:t>,</w:t>
      </w:r>
      <w:r w:rsidRPr="008C20C8" w:rsidDel="00D37947">
        <w:rPr>
          <w:rFonts w:ascii="Times New Roman" w:hAnsi="Times New Roman"/>
          <w:sz w:val="20"/>
        </w:rPr>
        <w:t xml:space="preserve"> </w:t>
      </w:r>
      <w:r w:rsidRPr="003D40E1" w:rsidDel="00D37947">
        <w:rPr>
          <w:rFonts w:ascii="Times New Roman" w:hAnsi="Times New Roman"/>
          <w:sz w:val="20"/>
        </w:rPr>
        <w:t>in</w:t>
      </w:r>
      <w:r w:rsidRPr="008C20C8" w:rsidDel="00D37947">
        <w:rPr>
          <w:rFonts w:ascii="Times New Roman" w:hAnsi="Times New Roman"/>
          <w:sz w:val="20"/>
        </w:rPr>
        <w:t xml:space="preserve"> </w:t>
      </w:r>
      <w:r>
        <w:rPr>
          <w:rFonts w:ascii="Times New Roman" w:hAnsi="Times New Roman"/>
          <w:sz w:val="20"/>
        </w:rPr>
        <w:t xml:space="preserve">The Council of Legal Education, </w:t>
      </w:r>
      <w:r w:rsidRPr="00B01F9A" w:rsidDel="00D37947">
        <w:rPr>
          <w:rFonts w:ascii="Times New Roman" w:hAnsi="Times New Roman"/>
          <w:i/>
          <w:caps/>
          <w:sz w:val="20"/>
        </w:rPr>
        <w:t>a C</w:t>
      </w:r>
      <w:r w:rsidRPr="00B01F9A" w:rsidDel="00D37947">
        <w:rPr>
          <w:rFonts w:ascii="Times New Roman" w:hAnsi="Times New Roman"/>
          <w:i/>
          <w:sz w:val="20"/>
        </w:rPr>
        <w:t>entury</w:t>
      </w:r>
      <w:r w:rsidRPr="00B01F9A" w:rsidDel="00D37947">
        <w:rPr>
          <w:rFonts w:ascii="Times New Roman" w:hAnsi="Times New Roman"/>
          <w:i/>
          <w:caps/>
          <w:sz w:val="20"/>
        </w:rPr>
        <w:t xml:space="preserve"> </w:t>
      </w:r>
      <w:r w:rsidRPr="00B01F9A" w:rsidDel="00D37947">
        <w:rPr>
          <w:rFonts w:ascii="Times New Roman" w:hAnsi="Times New Roman"/>
          <w:i/>
          <w:sz w:val="20"/>
        </w:rPr>
        <w:t xml:space="preserve">of Law Reform: Twelve Lectures </w:t>
      </w:r>
      <w:r>
        <w:rPr>
          <w:rFonts w:ascii="Times New Roman" w:hAnsi="Times New Roman"/>
          <w:sz w:val="20"/>
        </w:rPr>
        <w:t>(MacMillan 1901)</w:t>
      </w:r>
      <w:r w:rsidRPr="008C20C8" w:rsidDel="00D37947">
        <w:rPr>
          <w:rFonts w:ascii="Times New Roman" w:hAnsi="Times New Roman"/>
          <w:sz w:val="20"/>
        </w:rPr>
        <w:t>.</w:t>
      </w:r>
    </w:p>
  </w:footnote>
  <w:footnote w:id="3">
    <w:p w:rsidR="00D43B4E" w:rsidRPr="008C20C8" w:rsidRDefault="00D43B4E" w:rsidP="00444053">
      <w:pPr>
        <w:pStyle w:val="FootnoteText"/>
        <w:rPr>
          <w:rFonts w:ascii="Times New Roman" w:hAnsi="Times New Roman"/>
          <w:sz w:val="20"/>
        </w:rPr>
      </w:pPr>
      <w:r w:rsidRPr="003D40E1">
        <w:rPr>
          <w:rStyle w:val="FootnoteReference"/>
          <w:rFonts w:ascii="Times New Roman" w:hAnsi="Times New Roman"/>
          <w:sz w:val="20"/>
        </w:rPr>
        <w:footnoteRef/>
      </w:r>
      <w:r>
        <w:rPr>
          <w:rFonts w:ascii="Times New Roman" w:hAnsi="Times New Roman"/>
          <w:sz w:val="20"/>
        </w:rPr>
        <w:t xml:space="preserve"> J</w:t>
      </w:r>
      <w:r w:rsidRPr="003D40E1">
        <w:rPr>
          <w:rFonts w:ascii="Times New Roman" w:hAnsi="Times New Roman"/>
          <w:sz w:val="20"/>
        </w:rPr>
        <w:t xml:space="preserve"> Bentham</w:t>
      </w:r>
      <w:r w:rsidRPr="008C20C8">
        <w:rPr>
          <w:rFonts w:ascii="Times New Roman" w:hAnsi="Times New Roman"/>
          <w:sz w:val="20"/>
        </w:rPr>
        <w:t>, ‘</w:t>
      </w:r>
      <w:r w:rsidRPr="003D40E1">
        <w:rPr>
          <w:rFonts w:ascii="Times New Roman" w:hAnsi="Times New Roman"/>
          <w:sz w:val="20"/>
        </w:rPr>
        <w:t>Scotch Reform</w:t>
      </w:r>
      <w:r w:rsidRPr="008C20C8">
        <w:rPr>
          <w:rFonts w:ascii="Times New Roman" w:hAnsi="Times New Roman"/>
          <w:sz w:val="20"/>
        </w:rPr>
        <w:t xml:space="preserve">’ in J Bowring (ed), </w:t>
      </w:r>
      <w:r w:rsidRPr="00B01F9A">
        <w:rPr>
          <w:rFonts w:ascii="Times New Roman" w:hAnsi="Times New Roman"/>
          <w:i/>
          <w:sz w:val="20"/>
        </w:rPr>
        <w:t>The Works Of Jeremy Bentham</w:t>
      </w:r>
      <w:r w:rsidRPr="00224735">
        <w:rPr>
          <w:rFonts w:ascii="Times New Roman" w:hAnsi="Times New Roman"/>
          <w:sz w:val="20"/>
        </w:rPr>
        <w:t>,</w:t>
      </w:r>
      <w:r w:rsidRPr="00B01F9A">
        <w:rPr>
          <w:rFonts w:ascii="Times New Roman" w:hAnsi="Times New Roman"/>
          <w:i/>
          <w:sz w:val="20"/>
        </w:rPr>
        <w:t xml:space="preserve"> </w:t>
      </w:r>
      <w:r>
        <w:rPr>
          <w:rFonts w:ascii="Times New Roman" w:hAnsi="Times New Roman"/>
          <w:sz w:val="20"/>
        </w:rPr>
        <w:t>vol</w:t>
      </w:r>
      <w:r w:rsidRPr="008C20C8">
        <w:rPr>
          <w:rFonts w:ascii="Times New Roman" w:hAnsi="Times New Roman"/>
          <w:sz w:val="20"/>
        </w:rPr>
        <w:t xml:space="preserve"> 5 (</w:t>
      </w:r>
      <w:r>
        <w:rPr>
          <w:rFonts w:ascii="Times New Roman" w:hAnsi="Times New Roman"/>
          <w:sz w:val="20"/>
        </w:rPr>
        <w:t>Edinburgh 1843)</w:t>
      </w:r>
      <w:r w:rsidRPr="008C20C8">
        <w:rPr>
          <w:rFonts w:ascii="Times New Roman" w:hAnsi="Times New Roman"/>
          <w:sz w:val="20"/>
        </w:rPr>
        <w:t xml:space="preserve"> 5: for a comment, see AJ Draper,</w:t>
      </w:r>
      <w:r w:rsidRPr="008C20C8">
        <w:rPr>
          <w:rFonts w:ascii="Times New Roman" w:hAnsi="Times New Roman"/>
          <w:i/>
          <w:sz w:val="20"/>
        </w:rPr>
        <w:t xml:space="preserve"> </w:t>
      </w:r>
      <w:r>
        <w:rPr>
          <w:rFonts w:ascii="Times New Roman" w:hAnsi="Times New Roman"/>
          <w:sz w:val="20"/>
        </w:rPr>
        <w:t>‘ “</w:t>
      </w:r>
      <w:r w:rsidRPr="003D40E1">
        <w:rPr>
          <w:rFonts w:ascii="Times New Roman" w:hAnsi="Times New Roman"/>
          <w:bCs/>
          <w:sz w:val="20"/>
        </w:rPr>
        <w:t>Corruptions In the Administration of Justice</w:t>
      </w:r>
      <w:r>
        <w:rPr>
          <w:rFonts w:ascii="Times New Roman" w:hAnsi="Times New Roman"/>
          <w:bCs/>
          <w:sz w:val="20"/>
        </w:rPr>
        <w:t>”</w:t>
      </w:r>
      <w:r w:rsidRPr="003D40E1">
        <w:rPr>
          <w:rFonts w:ascii="Times New Roman" w:hAnsi="Times New Roman"/>
          <w:bCs/>
          <w:sz w:val="20"/>
        </w:rPr>
        <w:t>: Bentham’s Critique of Civil Procedure, 1806-1811</w:t>
      </w:r>
      <w:r w:rsidRPr="008C20C8">
        <w:rPr>
          <w:rFonts w:ascii="Times New Roman" w:hAnsi="Times New Roman"/>
          <w:bCs/>
          <w:sz w:val="20"/>
        </w:rPr>
        <w:t xml:space="preserve">’ </w:t>
      </w:r>
      <w:r w:rsidRPr="008C20C8">
        <w:rPr>
          <w:rFonts w:ascii="Times New Roman" w:hAnsi="Times New Roman"/>
          <w:sz w:val="20"/>
        </w:rPr>
        <w:t>(2004)</w:t>
      </w:r>
      <w:r>
        <w:rPr>
          <w:rFonts w:ascii="Times New Roman" w:hAnsi="Times New Roman"/>
          <w:sz w:val="20"/>
        </w:rPr>
        <w:t xml:space="preserve"> </w:t>
      </w:r>
      <w:r w:rsidRPr="008C20C8">
        <w:rPr>
          <w:rFonts w:ascii="Times New Roman" w:hAnsi="Times New Roman"/>
          <w:bCs/>
          <w:sz w:val="20"/>
        </w:rPr>
        <w:t xml:space="preserve">7 </w:t>
      </w:r>
      <w:r w:rsidRPr="008C20C8">
        <w:rPr>
          <w:rFonts w:ascii="Times New Roman" w:hAnsi="Times New Roman"/>
          <w:sz w:val="20"/>
        </w:rPr>
        <w:t xml:space="preserve">Journal of Bentham Studies </w:t>
      </w:r>
      <w:r>
        <w:rPr>
          <w:rFonts w:ascii="Times New Roman" w:hAnsi="Times New Roman"/>
          <w:sz w:val="20"/>
        </w:rPr>
        <w:t>&lt;</w:t>
      </w:r>
      <w:r w:rsidRPr="00224735">
        <w:rPr>
          <w:rFonts w:ascii="Times New Roman" w:hAnsi="Times New Roman"/>
          <w:sz w:val="20"/>
          <w:szCs w:val="20"/>
        </w:rPr>
        <w:t>http://www.ucl.ac.uk/Bentham-Projec</w:t>
      </w:r>
      <w:r w:rsidRPr="00224735">
        <w:rPr>
          <w:rFonts w:ascii="Times New Roman" w:hAnsi="Times New Roman"/>
          <w:sz w:val="20"/>
          <w:szCs w:val="20"/>
        </w:rPr>
        <w:t>t</w:t>
      </w:r>
      <w:r w:rsidRPr="00224735">
        <w:rPr>
          <w:rFonts w:ascii="Times New Roman" w:hAnsi="Times New Roman"/>
          <w:sz w:val="20"/>
          <w:szCs w:val="20"/>
        </w:rPr>
        <w:t>/journals/journal_of_bentham_studies</w:t>
      </w:r>
      <w:r w:rsidRPr="00224735">
        <w:rPr>
          <w:rStyle w:val="Hyperlink"/>
          <w:rFonts w:ascii="Times New Roman" w:hAnsi="Times New Roman"/>
          <w:sz w:val="20"/>
          <w:szCs w:val="20"/>
          <w:u w:val="none"/>
        </w:rPr>
        <w:t>&gt;</w:t>
      </w:r>
      <w:r>
        <w:rPr>
          <w:rFonts w:ascii="Times New Roman" w:hAnsi="Times New Roman"/>
          <w:sz w:val="20"/>
        </w:rPr>
        <w:t xml:space="preserve"> accessed 18 July 2013;</w:t>
      </w:r>
      <w:r w:rsidRPr="008C20C8">
        <w:rPr>
          <w:rFonts w:ascii="Times New Roman" w:hAnsi="Times New Roman"/>
          <w:sz w:val="20"/>
        </w:rPr>
        <w:t xml:space="preserve"> GJ Postema, ‘</w:t>
      </w:r>
      <w:r w:rsidRPr="003D40E1">
        <w:rPr>
          <w:rFonts w:ascii="Times New Roman" w:hAnsi="Times New Roman"/>
          <w:sz w:val="20"/>
        </w:rPr>
        <w:t>The Principle of Utility and the Law of Procedure: Bentham’s Theory of Adjudication</w:t>
      </w:r>
      <w:r w:rsidRPr="008C20C8">
        <w:rPr>
          <w:rFonts w:ascii="Times New Roman" w:hAnsi="Times New Roman"/>
          <w:sz w:val="20"/>
        </w:rPr>
        <w:t>’ (1977)</w:t>
      </w:r>
      <w:r>
        <w:rPr>
          <w:rFonts w:ascii="Times New Roman" w:hAnsi="Times New Roman"/>
          <w:sz w:val="20"/>
        </w:rPr>
        <w:t xml:space="preserve"> </w:t>
      </w:r>
      <w:r w:rsidRPr="008C20C8">
        <w:rPr>
          <w:rFonts w:ascii="Times New Roman" w:hAnsi="Times New Roman"/>
          <w:sz w:val="20"/>
        </w:rPr>
        <w:t xml:space="preserve">11 </w:t>
      </w:r>
      <w:r w:rsidRPr="003D40E1">
        <w:rPr>
          <w:rFonts w:ascii="Times New Roman" w:hAnsi="Times New Roman"/>
          <w:sz w:val="20"/>
        </w:rPr>
        <w:t xml:space="preserve">Ga </w:t>
      </w:r>
      <w:r w:rsidRPr="008C20C8">
        <w:rPr>
          <w:rFonts w:ascii="Times New Roman" w:hAnsi="Times New Roman"/>
          <w:sz w:val="20"/>
        </w:rPr>
        <w:t>L</w:t>
      </w:r>
      <w:r w:rsidRPr="003D40E1">
        <w:rPr>
          <w:rFonts w:ascii="Times New Roman" w:hAnsi="Times New Roman"/>
          <w:sz w:val="20"/>
        </w:rPr>
        <w:t xml:space="preserve"> Rev</w:t>
      </w:r>
      <w:r w:rsidRPr="008C20C8">
        <w:rPr>
          <w:rFonts w:ascii="Times New Roman" w:hAnsi="Times New Roman"/>
          <w:smallCaps/>
          <w:sz w:val="20"/>
        </w:rPr>
        <w:t xml:space="preserve"> </w:t>
      </w:r>
      <w:r w:rsidRPr="008C20C8">
        <w:rPr>
          <w:rFonts w:ascii="Times New Roman" w:hAnsi="Times New Roman"/>
          <w:sz w:val="20"/>
        </w:rPr>
        <w:t xml:space="preserve">1393. </w:t>
      </w:r>
    </w:p>
  </w:footnote>
  <w:footnote w:id="4">
    <w:p w:rsidR="00D43B4E" w:rsidRPr="008C20C8" w:rsidRDefault="00D43B4E" w:rsidP="009F7143">
      <w:pPr>
        <w:pStyle w:val="FootnoteText"/>
        <w:rPr>
          <w:rFonts w:ascii="Times New Roman" w:hAnsi="Times New Roman"/>
          <w:sz w:val="20"/>
        </w:rPr>
      </w:pPr>
      <w:r w:rsidRPr="003D40E1">
        <w:rPr>
          <w:rStyle w:val="FootnoteReference"/>
          <w:rFonts w:ascii="Times New Roman" w:hAnsi="Times New Roman"/>
          <w:sz w:val="20"/>
        </w:rPr>
        <w:footnoteRef/>
      </w:r>
      <w:r w:rsidRPr="003D40E1">
        <w:rPr>
          <w:rFonts w:ascii="Times New Roman" w:hAnsi="Times New Roman"/>
          <w:sz w:val="20"/>
        </w:rPr>
        <w:t xml:space="preserve"> </w:t>
      </w:r>
      <w:r w:rsidRPr="008C20C8">
        <w:rPr>
          <w:rFonts w:ascii="Times New Roman" w:hAnsi="Times New Roman"/>
          <w:sz w:val="20"/>
        </w:rPr>
        <w:t>Draper (n 2) 14-15.</w:t>
      </w:r>
    </w:p>
  </w:footnote>
  <w:footnote w:id="5">
    <w:p w:rsidR="00D43B4E" w:rsidRDefault="00D43B4E">
      <w:pPr>
        <w:pStyle w:val="FootnoteText"/>
      </w:pPr>
      <w:r>
        <w:rPr>
          <w:rStyle w:val="FootnoteReference"/>
        </w:rPr>
        <w:footnoteRef/>
      </w:r>
      <w:r>
        <w:t xml:space="preserve"> </w:t>
      </w:r>
      <w:r w:rsidRPr="008C20C8">
        <w:rPr>
          <w:rFonts w:ascii="Times New Roman" w:hAnsi="Times New Roman"/>
          <w:sz w:val="20"/>
        </w:rPr>
        <w:t>HLA</w:t>
      </w:r>
      <w:r w:rsidRPr="003D40E1">
        <w:rPr>
          <w:rFonts w:ascii="Times New Roman" w:hAnsi="Times New Roman"/>
          <w:sz w:val="20"/>
        </w:rPr>
        <w:t xml:space="preserve"> Hart, </w:t>
      </w:r>
      <w:r w:rsidRPr="00224735">
        <w:rPr>
          <w:rFonts w:ascii="Times New Roman" w:hAnsi="Times New Roman"/>
          <w:i/>
          <w:sz w:val="20"/>
        </w:rPr>
        <w:t xml:space="preserve">The Concept of Law </w:t>
      </w:r>
      <w:r w:rsidRPr="008C20C8">
        <w:rPr>
          <w:rFonts w:ascii="Times New Roman" w:hAnsi="Times New Roman"/>
          <w:sz w:val="20"/>
        </w:rPr>
        <w:t>(2</w:t>
      </w:r>
      <w:r w:rsidRPr="00224735">
        <w:rPr>
          <w:rFonts w:ascii="Times New Roman" w:hAnsi="Times New Roman"/>
          <w:sz w:val="20"/>
        </w:rPr>
        <w:t>nd</w:t>
      </w:r>
      <w:r w:rsidRPr="008C20C8">
        <w:rPr>
          <w:rFonts w:ascii="Times New Roman" w:hAnsi="Times New Roman"/>
          <w:sz w:val="20"/>
        </w:rPr>
        <w:t xml:space="preserve"> ed</w:t>
      </w:r>
      <w:r>
        <w:rPr>
          <w:rFonts w:ascii="Times New Roman" w:hAnsi="Times New Roman"/>
          <w:sz w:val="20"/>
        </w:rPr>
        <w:t xml:space="preserve">n, </w:t>
      </w:r>
      <w:r w:rsidRPr="008C20C8">
        <w:rPr>
          <w:rFonts w:ascii="Times New Roman" w:hAnsi="Times New Roman"/>
          <w:sz w:val="20"/>
        </w:rPr>
        <w:t>OUP 199</w:t>
      </w:r>
      <w:r>
        <w:rPr>
          <w:rFonts w:ascii="Times New Roman" w:hAnsi="Times New Roman"/>
          <w:sz w:val="20"/>
        </w:rPr>
        <w:t>4</w:t>
      </w:r>
      <w:r w:rsidRPr="008C20C8">
        <w:rPr>
          <w:rFonts w:ascii="Times New Roman" w:hAnsi="Times New Roman"/>
          <w:sz w:val="20"/>
        </w:rPr>
        <w:t>)</w:t>
      </w:r>
      <w:r>
        <w:rPr>
          <w:rFonts w:ascii="Times New Roman" w:hAnsi="Times New Roman"/>
          <w:sz w:val="20"/>
        </w:rPr>
        <w:t xml:space="preserve"> 97.</w:t>
      </w:r>
    </w:p>
  </w:footnote>
  <w:footnote w:id="6">
    <w:p w:rsidR="00D43B4E" w:rsidRPr="00224735" w:rsidRDefault="00D43B4E">
      <w:pPr>
        <w:pStyle w:val="FootnoteText"/>
        <w:rPr>
          <w:rFonts w:ascii="Times New Roman" w:hAnsi="Times New Roman"/>
          <w:sz w:val="20"/>
        </w:rPr>
      </w:pPr>
      <w:r w:rsidRPr="00224735">
        <w:rPr>
          <w:rStyle w:val="FootnoteReference"/>
          <w:rFonts w:ascii="Times New Roman" w:hAnsi="Times New Roman"/>
          <w:sz w:val="20"/>
        </w:rPr>
        <w:footnoteRef/>
      </w:r>
      <w:r w:rsidRPr="00224735">
        <w:rPr>
          <w:rFonts w:ascii="Times New Roman" w:hAnsi="Times New Roman"/>
          <w:sz w:val="20"/>
        </w:rPr>
        <w:t xml:space="preserve"> </w:t>
      </w:r>
      <w:r>
        <w:rPr>
          <w:rFonts w:ascii="Times New Roman" w:hAnsi="Times New Roman"/>
          <w:sz w:val="20"/>
        </w:rPr>
        <w:t>i</w:t>
      </w:r>
      <w:r w:rsidRPr="00224735">
        <w:rPr>
          <w:rFonts w:ascii="Times New Roman" w:hAnsi="Times New Roman"/>
          <w:sz w:val="20"/>
        </w:rPr>
        <w:t>bid.</w:t>
      </w:r>
    </w:p>
  </w:footnote>
  <w:footnote w:id="7">
    <w:p w:rsidR="00D43B4E" w:rsidRPr="008C20C8" w:rsidRDefault="00D43B4E" w:rsidP="00444053">
      <w:pPr>
        <w:pStyle w:val="FootnoteText"/>
        <w:rPr>
          <w:rFonts w:ascii="Times New Roman" w:hAnsi="Times New Roman"/>
          <w:sz w:val="20"/>
        </w:rPr>
      </w:pPr>
      <w:r w:rsidRPr="003D40E1">
        <w:rPr>
          <w:rStyle w:val="FootnoteReference"/>
          <w:rFonts w:ascii="Times New Roman" w:hAnsi="Times New Roman"/>
          <w:sz w:val="20"/>
        </w:rPr>
        <w:footnoteRef/>
      </w:r>
      <w:r w:rsidRPr="003D40E1">
        <w:rPr>
          <w:rFonts w:ascii="Times New Roman" w:hAnsi="Times New Roman"/>
          <w:sz w:val="20"/>
        </w:rPr>
        <w:t xml:space="preserve"> </w:t>
      </w:r>
      <w:r>
        <w:rPr>
          <w:rFonts w:ascii="Times New Roman" w:hAnsi="Times New Roman"/>
          <w:sz w:val="20"/>
        </w:rPr>
        <w:t>ibid</w:t>
      </w:r>
      <w:r w:rsidRPr="008C20C8">
        <w:rPr>
          <w:rFonts w:ascii="Times New Roman" w:hAnsi="Times New Roman"/>
          <w:sz w:val="20"/>
        </w:rPr>
        <w:t>.</w:t>
      </w:r>
    </w:p>
  </w:footnote>
  <w:footnote w:id="8">
    <w:p w:rsidR="00D43B4E" w:rsidRPr="008C20C8" w:rsidRDefault="00D43B4E" w:rsidP="00827DD4">
      <w:pPr>
        <w:pStyle w:val="FootnoteText"/>
        <w:rPr>
          <w:rFonts w:ascii="Times New Roman" w:hAnsi="Times New Roman"/>
          <w:sz w:val="20"/>
        </w:rPr>
      </w:pPr>
      <w:r>
        <w:rPr>
          <w:rStyle w:val="FootnoteReference"/>
          <w:rFonts w:ascii="Times New Roman" w:hAnsi="Times New Roman"/>
          <w:sz w:val="20"/>
          <w:szCs w:val="20"/>
        </w:rPr>
        <w:footnoteRef/>
      </w:r>
      <w:r w:rsidRPr="003D40E1">
        <w:rPr>
          <w:rFonts w:ascii="Times New Roman" w:hAnsi="Times New Roman"/>
          <w:sz w:val="20"/>
        </w:rPr>
        <w:t xml:space="preserve"> Eg, participatory governance, process legitimacy, process peacefulness, respect for human dignity, personal privacy, consensualism, procedural fairness, the procedural rule of law, procedural rationality, and timeliness and finality:  RS Summers, ‘Evaluating and Improving Legal Processes – a Plea for “Process Values”</w:t>
      </w:r>
      <w:r w:rsidRPr="008C20C8">
        <w:rPr>
          <w:rFonts w:ascii="Times New Roman" w:hAnsi="Times New Roman"/>
          <w:sz w:val="20"/>
        </w:rPr>
        <w:t>’</w:t>
      </w:r>
      <w:r w:rsidRPr="00224735">
        <w:rPr>
          <w:rFonts w:ascii="Times New Roman" w:hAnsi="Times New Roman"/>
          <w:sz w:val="20"/>
        </w:rPr>
        <w:t xml:space="preserve"> </w:t>
      </w:r>
      <w:r>
        <w:rPr>
          <w:rFonts w:ascii="Times New Roman" w:hAnsi="Times New Roman"/>
          <w:sz w:val="20"/>
        </w:rPr>
        <w:t>(1974-75)</w:t>
      </w:r>
      <w:r w:rsidRPr="008C20C8">
        <w:rPr>
          <w:rFonts w:ascii="Times New Roman" w:hAnsi="Times New Roman"/>
          <w:sz w:val="20"/>
        </w:rPr>
        <w:t xml:space="preserve"> 60 Cornell L Rev 1</w:t>
      </w:r>
      <w:r>
        <w:rPr>
          <w:rFonts w:ascii="Times New Roman" w:hAnsi="Times New Roman"/>
          <w:sz w:val="20"/>
        </w:rPr>
        <w:t>.</w:t>
      </w:r>
      <w:r w:rsidRPr="008C20C8">
        <w:rPr>
          <w:rFonts w:ascii="Times New Roman" w:hAnsi="Times New Roman"/>
          <w:sz w:val="20"/>
        </w:rPr>
        <w:t xml:space="preserve"> </w:t>
      </w:r>
    </w:p>
  </w:footnote>
  <w:footnote w:id="9">
    <w:p w:rsidR="00D43B4E" w:rsidRPr="004E15EC" w:rsidRDefault="00D43B4E">
      <w:pPr>
        <w:pStyle w:val="FootnoteText"/>
        <w:rPr>
          <w:rFonts w:ascii="Times New Roman" w:hAnsi="Times New Roman"/>
          <w:sz w:val="20"/>
        </w:rPr>
      </w:pPr>
      <w:r>
        <w:rPr>
          <w:rStyle w:val="FootnoteReference"/>
        </w:rPr>
        <w:footnoteRef/>
      </w:r>
      <w:r>
        <w:t xml:space="preserve"> </w:t>
      </w:r>
      <w:r w:rsidRPr="004E15EC">
        <w:rPr>
          <w:rFonts w:ascii="Times New Roman" w:hAnsi="Times New Roman"/>
          <w:sz w:val="20"/>
        </w:rPr>
        <w:t xml:space="preserve">As evidenced recently in the transnational </w:t>
      </w:r>
      <w:r w:rsidRPr="004E15EC">
        <w:rPr>
          <w:rFonts w:ascii="Times New Roman" w:hAnsi="Times New Roman"/>
          <w:i/>
          <w:sz w:val="20"/>
        </w:rPr>
        <w:t xml:space="preserve">Gambazzi </w:t>
      </w:r>
      <w:r w:rsidRPr="004E15EC">
        <w:rPr>
          <w:rFonts w:ascii="Times New Roman" w:hAnsi="Times New Roman"/>
          <w:sz w:val="20"/>
        </w:rPr>
        <w:t xml:space="preserve">saga: </w:t>
      </w:r>
      <w:r w:rsidRPr="00224735">
        <w:rPr>
          <w:rFonts w:ascii="Times New Roman" w:hAnsi="Times New Roman"/>
          <w:i/>
          <w:sz w:val="20"/>
        </w:rPr>
        <w:t>Can</w:t>
      </w:r>
      <w:r>
        <w:rPr>
          <w:rFonts w:ascii="Times New Roman" w:hAnsi="Times New Roman"/>
          <w:i/>
          <w:sz w:val="20"/>
        </w:rPr>
        <w:t xml:space="preserve">ada Trust Co v Stolzenberg (No </w:t>
      </w:r>
      <w:r w:rsidRPr="00224735">
        <w:rPr>
          <w:rFonts w:ascii="Times New Roman" w:hAnsi="Times New Roman"/>
          <w:i/>
          <w:sz w:val="20"/>
        </w:rPr>
        <w:t xml:space="preserve">2) </w:t>
      </w:r>
      <w:r w:rsidRPr="004E15EC">
        <w:rPr>
          <w:rFonts w:ascii="Times New Roman" w:hAnsi="Times New Roman"/>
          <w:sz w:val="20"/>
        </w:rPr>
        <w:t xml:space="preserve">(Mareva Injunction), The Times, </w:t>
      </w:r>
      <w:r>
        <w:rPr>
          <w:rFonts w:ascii="Times New Roman" w:hAnsi="Times New Roman"/>
          <w:sz w:val="20"/>
        </w:rPr>
        <w:t xml:space="preserve">10 </w:t>
      </w:r>
      <w:r w:rsidRPr="004E15EC">
        <w:rPr>
          <w:rFonts w:ascii="Times New Roman" w:hAnsi="Times New Roman"/>
          <w:sz w:val="20"/>
        </w:rPr>
        <w:t>November 19</w:t>
      </w:r>
      <w:r>
        <w:rPr>
          <w:rFonts w:ascii="Times New Roman" w:hAnsi="Times New Roman"/>
          <w:sz w:val="20"/>
        </w:rPr>
        <w:t xml:space="preserve">97 (ChD); </w:t>
      </w:r>
      <w:r w:rsidRPr="00224735">
        <w:rPr>
          <w:rFonts w:ascii="Times New Roman" w:hAnsi="Times New Roman"/>
          <w:i/>
          <w:sz w:val="20"/>
        </w:rPr>
        <w:t xml:space="preserve">CIBC Mellon Trust Co v Stolzenberg </w:t>
      </w:r>
      <w:r w:rsidRPr="004E15EC">
        <w:rPr>
          <w:rFonts w:ascii="Times New Roman" w:hAnsi="Times New Roman"/>
          <w:sz w:val="20"/>
        </w:rPr>
        <w:t>(Sanctions: Non-compliance) [2004] EWCA Civ 827, and in the European Court of Justice</w:t>
      </w:r>
      <w:r>
        <w:rPr>
          <w:rFonts w:ascii="Times New Roman" w:hAnsi="Times New Roman"/>
          <w:sz w:val="20"/>
        </w:rPr>
        <w:t>,</w:t>
      </w:r>
      <w:r w:rsidRPr="004E15EC">
        <w:rPr>
          <w:rFonts w:ascii="Times New Roman" w:hAnsi="Times New Roman"/>
          <w:sz w:val="20"/>
        </w:rPr>
        <w:t xml:space="preserve"> </w:t>
      </w:r>
      <w:r>
        <w:rPr>
          <w:rFonts w:ascii="Times New Roman" w:hAnsi="Times New Roman"/>
          <w:sz w:val="20"/>
        </w:rPr>
        <w:t>Case C-</w:t>
      </w:r>
      <w:r w:rsidRPr="004E15EC">
        <w:rPr>
          <w:rFonts w:ascii="Times New Roman" w:hAnsi="Times New Roman"/>
          <w:sz w:val="20"/>
        </w:rPr>
        <w:t>394/07</w:t>
      </w:r>
      <w:r>
        <w:rPr>
          <w:rFonts w:ascii="Times New Roman" w:hAnsi="Times New Roman"/>
          <w:sz w:val="20"/>
        </w:rPr>
        <w:t xml:space="preserve"> </w:t>
      </w:r>
      <w:r>
        <w:rPr>
          <w:rFonts w:ascii="Times New Roman" w:hAnsi="Times New Roman"/>
          <w:i/>
          <w:sz w:val="20"/>
        </w:rPr>
        <w:t>Gambazzi v Daimler</w:t>
      </w:r>
      <w:r w:rsidRPr="00224735">
        <w:rPr>
          <w:rFonts w:ascii="Times New Roman" w:hAnsi="Times New Roman"/>
          <w:i/>
          <w:sz w:val="20"/>
        </w:rPr>
        <w:t>Chrysler</w:t>
      </w:r>
      <w:r>
        <w:rPr>
          <w:rFonts w:ascii="Times New Roman" w:hAnsi="Times New Roman"/>
          <w:i/>
          <w:sz w:val="20"/>
        </w:rPr>
        <w:t xml:space="preserve"> Canada Inc., CIBC Mellon Trust</w:t>
      </w:r>
      <w:r w:rsidRPr="004E15EC">
        <w:rPr>
          <w:rFonts w:ascii="Times New Roman" w:hAnsi="Times New Roman"/>
          <w:sz w:val="20"/>
        </w:rPr>
        <w:t xml:space="preserve"> </w:t>
      </w:r>
      <w:r>
        <w:rPr>
          <w:rFonts w:ascii="Times New Roman" w:hAnsi="Times New Roman"/>
          <w:sz w:val="20"/>
        </w:rPr>
        <w:t>[</w:t>
      </w:r>
      <w:r w:rsidRPr="004E15EC">
        <w:rPr>
          <w:rFonts w:ascii="Times New Roman" w:hAnsi="Times New Roman"/>
          <w:sz w:val="20"/>
        </w:rPr>
        <w:t>2009</w:t>
      </w:r>
      <w:r>
        <w:rPr>
          <w:rFonts w:ascii="Times New Roman" w:hAnsi="Times New Roman"/>
          <w:sz w:val="20"/>
        </w:rPr>
        <w:t>] ECR</w:t>
      </w:r>
      <w:r w:rsidRPr="004E15EC">
        <w:rPr>
          <w:rFonts w:ascii="Times New Roman" w:hAnsi="Times New Roman"/>
          <w:sz w:val="20"/>
        </w:rPr>
        <w:t xml:space="preserve"> I-02563.</w:t>
      </w:r>
    </w:p>
  </w:footnote>
  <w:footnote w:id="10">
    <w:p w:rsidR="00D43B4E" w:rsidRPr="004E15EC" w:rsidRDefault="00D43B4E">
      <w:pPr>
        <w:pStyle w:val="FootnoteText"/>
        <w:rPr>
          <w:rFonts w:ascii="Times New Roman" w:hAnsi="Times New Roman"/>
          <w:sz w:val="20"/>
        </w:rPr>
      </w:pPr>
      <w:r w:rsidRPr="004E15EC">
        <w:rPr>
          <w:rStyle w:val="FootnoteReference"/>
          <w:rFonts w:ascii="Times New Roman" w:hAnsi="Times New Roman"/>
          <w:sz w:val="20"/>
        </w:rPr>
        <w:footnoteRef/>
      </w:r>
      <w:r>
        <w:rPr>
          <w:rFonts w:ascii="Times New Roman" w:hAnsi="Times New Roman"/>
          <w:sz w:val="20"/>
        </w:rPr>
        <w:t xml:space="preserve"> In the English system – CPR r</w:t>
      </w:r>
      <w:r w:rsidRPr="004E15EC">
        <w:rPr>
          <w:rFonts w:ascii="Times New Roman" w:hAnsi="Times New Roman"/>
          <w:sz w:val="20"/>
        </w:rPr>
        <w:t xml:space="preserve"> 3.5, CPR 12 – and in the US Federal Rules of Civil Procedure – Rule 41(b), Rule 55.</w:t>
      </w:r>
    </w:p>
  </w:footnote>
  <w:footnote w:id="11">
    <w:p w:rsidR="00D43B4E" w:rsidRPr="008C20C8" w:rsidRDefault="00D43B4E" w:rsidP="0031749A">
      <w:pPr>
        <w:pStyle w:val="FootnoteText"/>
        <w:rPr>
          <w:rFonts w:ascii="Times New Roman" w:hAnsi="Times New Roman"/>
          <w:sz w:val="20"/>
        </w:rPr>
      </w:pPr>
      <w:r w:rsidRPr="008C20C8">
        <w:rPr>
          <w:rStyle w:val="FootnoteReference"/>
          <w:rFonts w:ascii="Times New Roman" w:hAnsi="Times New Roman"/>
          <w:sz w:val="20"/>
          <w:szCs w:val="20"/>
        </w:rPr>
        <w:footnoteRef/>
      </w:r>
      <w:r w:rsidRPr="008C20C8">
        <w:rPr>
          <w:rFonts w:ascii="Times New Roman" w:hAnsi="Times New Roman"/>
          <w:sz w:val="20"/>
        </w:rPr>
        <w:t xml:space="preserve"> SB Burbank, ‘</w:t>
      </w:r>
      <w:r w:rsidRPr="003D40E1">
        <w:rPr>
          <w:rFonts w:ascii="Times New Roman" w:hAnsi="Times New Roman"/>
          <w:sz w:val="20"/>
        </w:rPr>
        <w:t>The Transformation of American Civil Procedure: the Example of Rule 11</w:t>
      </w:r>
      <w:r w:rsidRPr="008C20C8">
        <w:rPr>
          <w:rFonts w:ascii="Times New Roman" w:hAnsi="Times New Roman"/>
          <w:sz w:val="20"/>
        </w:rPr>
        <w:t xml:space="preserve">’ </w:t>
      </w:r>
      <w:r w:rsidRPr="008C20C8">
        <w:rPr>
          <w:rFonts w:ascii="Times New Roman" w:hAnsi="Times New Roman" w:cs="Helvetica"/>
          <w:sz w:val="20"/>
          <w:lang w:val="en-US"/>
        </w:rPr>
        <w:t>(1989)</w:t>
      </w:r>
      <w:r>
        <w:rPr>
          <w:rFonts w:ascii="Times New Roman" w:hAnsi="Times New Roman" w:cs="Helvetica"/>
          <w:sz w:val="20"/>
          <w:lang w:val="en-US"/>
        </w:rPr>
        <w:t xml:space="preserve"> </w:t>
      </w:r>
      <w:r w:rsidRPr="008C20C8">
        <w:rPr>
          <w:rFonts w:ascii="Times New Roman" w:hAnsi="Times New Roman"/>
          <w:sz w:val="20"/>
        </w:rPr>
        <w:t xml:space="preserve">137 </w:t>
      </w:r>
      <w:r w:rsidRPr="008C20C8">
        <w:rPr>
          <w:rFonts w:ascii="Times New Roman" w:hAnsi="Times New Roman" w:cs="Helvetica"/>
          <w:sz w:val="20"/>
          <w:lang w:val="en-US"/>
        </w:rPr>
        <w:t>U Pa L Rev 1925, 1932.</w:t>
      </w:r>
    </w:p>
  </w:footnote>
  <w:footnote w:id="12">
    <w:p w:rsidR="00D43B4E" w:rsidRPr="008C20C8" w:rsidRDefault="00D43B4E">
      <w:pPr>
        <w:pStyle w:val="FootnoteText"/>
        <w:rPr>
          <w:rFonts w:ascii="Times New Roman" w:hAnsi="Times New Roman"/>
          <w:sz w:val="20"/>
        </w:rPr>
      </w:pPr>
      <w:r w:rsidRPr="003D40E1">
        <w:rPr>
          <w:rStyle w:val="FootnoteReference"/>
          <w:rFonts w:ascii="Times New Roman" w:hAnsi="Times New Roman"/>
          <w:sz w:val="20"/>
        </w:rPr>
        <w:footnoteRef/>
      </w:r>
      <w:r w:rsidRPr="003D40E1">
        <w:rPr>
          <w:rFonts w:ascii="Times New Roman" w:hAnsi="Times New Roman"/>
          <w:sz w:val="20"/>
        </w:rPr>
        <w:t xml:space="preserve"> Of Hartian ‘rules of recognition’</w:t>
      </w:r>
      <w:r>
        <w:rPr>
          <w:rFonts w:ascii="Times New Roman" w:hAnsi="Times New Roman"/>
          <w:sz w:val="20"/>
        </w:rPr>
        <w:t>; see below section 8</w:t>
      </w:r>
      <w:r w:rsidRPr="003D40E1">
        <w:rPr>
          <w:rFonts w:ascii="Times New Roman" w:hAnsi="Times New Roman"/>
          <w:sz w:val="20"/>
        </w:rPr>
        <w:t>.</w:t>
      </w:r>
    </w:p>
  </w:footnote>
  <w:footnote w:id="13">
    <w:p w:rsidR="00D43B4E" w:rsidRPr="008C20C8" w:rsidRDefault="00D43B4E" w:rsidP="00447C64">
      <w:pPr>
        <w:pStyle w:val="FootnoteText"/>
        <w:rPr>
          <w:rFonts w:ascii="Times New Roman" w:hAnsi="Times New Roman"/>
          <w:sz w:val="20"/>
        </w:rPr>
      </w:pPr>
      <w:r w:rsidRPr="003D40E1">
        <w:rPr>
          <w:rStyle w:val="FootnoteReference"/>
          <w:rFonts w:ascii="Times New Roman" w:hAnsi="Times New Roman"/>
          <w:sz w:val="20"/>
        </w:rPr>
        <w:footnoteRef/>
      </w:r>
      <w:r w:rsidRPr="003D40E1">
        <w:rPr>
          <w:rFonts w:ascii="Times New Roman" w:hAnsi="Times New Roman"/>
          <w:sz w:val="20"/>
        </w:rPr>
        <w:t xml:space="preserve"> </w:t>
      </w:r>
      <w:r w:rsidRPr="008C20C8">
        <w:rPr>
          <w:rFonts w:ascii="Times New Roman" w:eastAsiaTheme="minorHAnsi" w:hAnsi="Times New Roman" w:cs="Arial"/>
          <w:bCs/>
          <w:sz w:val="20"/>
          <w:lang w:val="en-US"/>
        </w:rPr>
        <w:t>SN</w:t>
      </w:r>
      <w:r w:rsidRPr="008C20C8">
        <w:rPr>
          <w:rFonts w:ascii="Times New Roman" w:eastAsiaTheme="minorHAnsi" w:hAnsi="Times New Roman" w:cs="Arial"/>
          <w:sz w:val="20"/>
          <w:lang w:val="en-US"/>
        </w:rPr>
        <w:t xml:space="preserve"> </w:t>
      </w:r>
      <w:r w:rsidRPr="008C20C8">
        <w:rPr>
          <w:rFonts w:ascii="Times New Roman" w:eastAsiaTheme="minorHAnsi" w:hAnsi="Times New Roman" w:cs="Arial"/>
          <w:bCs/>
          <w:sz w:val="20"/>
          <w:lang w:val="en-US"/>
        </w:rPr>
        <w:t>Subrin</w:t>
      </w:r>
      <w:r w:rsidRPr="008C20C8">
        <w:rPr>
          <w:rFonts w:ascii="Times New Roman" w:eastAsiaTheme="minorHAnsi" w:hAnsi="Times New Roman" w:cs="Arial"/>
          <w:sz w:val="20"/>
          <w:lang w:val="en-US"/>
        </w:rPr>
        <w:t>, ‘</w:t>
      </w:r>
      <w:r w:rsidRPr="003D40E1">
        <w:rPr>
          <w:rFonts w:ascii="Times New Roman" w:eastAsiaTheme="minorHAnsi" w:hAnsi="Times New Roman" w:cs="Arial"/>
          <w:sz w:val="20"/>
          <w:lang w:val="en-US"/>
        </w:rPr>
        <w:t>How Equity Conquered Common Law: The Federal Rules of Civil Procedure in Historical Perspective</w:t>
      </w:r>
      <w:r w:rsidRPr="008C20C8">
        <w:rPr>
          <w:rFonts w:ascii="Times New Roman" w:eastAsiaTheme="minorHAnsi" w:hAnsi="Times New Roman" w:cs="Arial"/>
          <w:sz w:val="20"/>
          <w:lang w:val="en-US"/>
        </w:rPr>
        <w:t>’ (1987)</w:t>
      </w:r>
      <w:r>
        <w:rPr>
          <w:rFonts w:ascii="Times New Roman" w:eastAsiaTheme="minorHAnsi" w:hAnsi="Times New Roman" w:cs="Arial"/>
          <w:sz w:val="20"/>
          <w:lang w:val="en-US"/>
        </w:rPr>
        <w:t xml:space="preserve"> </w:t>
      </w:r>
      <w:r w:rsidRPr="008C20C8">
        <w:rPr>
          <w:rFonts w:ascii="Times New Roman" w:eastAsiaTheme="minorHAnsi" w:hAnsi="Times New Roman" w:cs="Arial"/>
          <w:sz w:val="20"/>
          <w:lang w:val="en-US"/>
        </w:rPr>
        <w:t>135 U Pa L</w:t>
      </w:r>
      <w:r w:rsidRPr="003D40E1">
        <w:rPr>
          <w:rFonts w:ascii="Times New Roman" w:eastAsiaTheme="minorHAnsi" w:hAnsi="Times New Roman" w:cs="Arial"/>
          <w:sz w:val="20"/>
          <w:lang w:val="en-US"/>
        </w:rPr>
        <w:t xml:space="preserve"> Rev</w:t>
      </w:r>
      <w:r w:rsidRPr="008C20C8">
        <w:rPr>
          <w:rFonts w:ascii="Times New Roman" w:eastAsiaTheme="minorHAnsi" w:hAnsi="Times New Roman" w:cs="Arial"/>
          <w:sz w:val="20"/>
          <w:lang w:val="en-US"/>
        </w:rPr>
        <w:t xml:space="preserve"> 909.</w:t>
      </w:r>
    </w:p>
  </w:footnote>
  <w:footnote w:id="14">
    <w:p w:rsidR="00D43B4E" w:rsidRPr="008C20C8" w:rsidRDefault="00D43B4E" w:rsidP="00447C64">
      <w:pPr>
        <w:pStyle w:val="FootnoteText"/>
        <w:rPr>
          <w:rFonts w:ascii="Times New Roman" w:hAnsi="Times New Roman"/>
          <w:sz w:val="20"/>
        </w:rPr>
      </w:pPr>
      <w:r w:rsidRPr="008C20C8">
        <w:rPr>
          <w:rStyle w:val="FootnoteReference"/>
          <w:rFonts w:ascii="Times New Roman" w:hAnsi="Times New Roman"/>
          <w:sz w:val="20"/>
        </w:rPr>
        <w:footnoteRef/>
      </w:r>
      <w:r>
        <w:rPr>
          <w:rFonts w:ascii="Times New Roman" w:hAnsi="Times New Roman"/>
          <w:sz w:val="20"/>
        </w:rPr>
        <w:t xml:space="preserve"> i</w:t>
      </w:r>
      <w:r w:rsidRPr="008C20C8">
        <w:rPr>
          <w:rFonts w:ascii="Times New Roman" w:hAnsi="Times New Roman"/>
          <w:sz w:val="20"/>
        </w:rPr>
        <w:t>bid.</w:t>
      </w:r>
    </w:p>
  </w:footnote>
  <w:footnote w:id="15">
    <w:p w:rsidR="00D43B4E" w:rsidRPr="008C20C8" w:rsidRDefault="00D43B4E" w:rsidP="00447C6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T</w:t>
      </w:r>
      <w:r w:rsidRPr="008C20C8">
        <w:rPr>
          <w:rFonts w:ascii="Times New Roman" w:hAnsi="Times New Roman"/>
          <w:sz w:val="20"/>
        </w:rPr>
        <w:t xml:space="preserve">o use Mirjan Damaška’s categories: </w:t>
      </w:r>
      <w:r w:rsidRPr="003D40E1">
        <w:rPr>
          <w:rFonts w:ascii="Times New Roman" w:hAnsi="Times New Roman"/>
          <w:sz w:val="20"/>
        </w:rPr>
        <w:t>M</w:t>
      </w:r>
      <w:r w:rsidRPr="008C20C8">
        <w:rPr>
          <w:rFonts w:ascii="Times New Roman" w:hAnsi="Times New Roman"/>
          <w:sz w:val="20"/>
        </w:rPr>
        <w:t>R</w:t>
      </w:r>
      <w:r w:rsidRPr="003D40E1">
        <w:rPr>
          <w:rFonts w:ascii="Times New Roman" w:hAnsi="Times New Roman"/>
          <w:sz w:val="20"/>
        </w:rPr>
        <w:t xml:space="preserve"> Damaška,</w:t>
      </w:r>
      <w:r w:rsidRPr="003D40E1">
        <w:rPr>
          <w:rFonts w:ascii="Times New Roman" w:hAnsi="Times New Roman"/>
          <w:i/>
          <w:sz w:val="20"/>
        </w:rPr>
        <w:t xml:space="preserve"> </w:t>
      </w:r>
      <w:r w:rsidRPr="00330636">
        <w:rPr>
          <w:rFonts w:ascii="Times New Roman" w:hAnsi="Times New Roman"/>
          <w:i/>
          <w:sz w:val="20"/>
        </w:rPr>
        <w:t xml:space="preserve">The Faces of Justice and State Authority </w:t>
      </w:r>
      <w:r>
        <w:rPr>
          <w:rFonts w:ascii="Times New Roman" w:hAnsi="Times New Roman"/>
          <w:sz w:val="20"/>
        </w:rPr>
        <w:t>(Yale University Press 1986), in particular</w:t>
      </w:r>
      <w:r w:rsidRPr="008C20C8">
        <w:rPr>
          <w:rFonts w:ascii="Times New Roman" w:hAnsi="Times New Roman"/>
          <w:sz w:val="20"/>
        </w:rPr>
        <w:t xml:space="preserve"> 64. </w:t>
      </w:r>
    </w:p>
  </w:footnote>
  <w:footnote w:id="16">
    <w:p w:rsidR="00D43B4E" w:rsidRPr="008C20C8" w:rsidRDefault="00D43B4E">
      <w:pPr>
        <w:pStyle w:val="FootnoteText"/>
        <w:rPr>
          <w:rFonts w:ascii="Times New Roman" w:hAnsi="Times New Roman"/>
          <w:sz w:val="20"/>
        </w:rPr>
      </w:pPr>
      <w:r w:rsidRPr="003D40E1">
        <w:rPr>
          <w:rStyle w:val="FootnoteReference"/>
          <w:rFonts w:ascii="Times New Roman" w:hAnsi="Times New Roman"/>
          <w:sz w:val="20"/>
        </w:rPr>
        <w:footnoteRef/>
      </w:r>
      <w:r w:rsidRPr="003D40E1">
        <w:rPr>
          <w:rFonts w:ascii="Times New Roman" w:hAnsi="Times New Roman"/>
          <w:sz w:val="20"/>
        </w:rPr>
        <w:t xml:space="preserve"> Such as those concerning disclosure and attorney behaviour, see below</w:t>
      </w:r>
      <w:r>
        <w:rPr>
          <w:rFonts w:ascii="Times New Roman" w:hAnsi="Times New Roman"/>
          <w:sz w:val="20"/>
        </w:rPr>
        <w:t xml:space="preserve"> section 4</w:t>
      </w:r>
      <w:r w:rsidRPr="003D40E1">
        <w:rPr>
          <w:rFonts w:ascii="Times New Roman" w:hAnsi="Times New Roman"/>
          <w:sz w:val="20"/>
        </w:rPr>
        <w:t>.</w:t>
      </w:r>
    </w:p>
  </w:footnote>
  <w:footnote w:id="17">
    <w:p w:rsidR="00D43B4E" w:rsidRPr="008C20C8" w:rsidRDefault="00D43B4E" w:rsidP="00827DD4">
      <w:pPr>
        <w:pStyle w:val="FootnoteText"/>
        <w:rPr>
          <w:rFonts w:ascii="Times New Roman" w:hAnsi="Times New Roman"/>
          <w:sz w:val="20"/>
        </w:rPr>
      </w:pPr>
      <w:r>
        <w:rPr>
          <w:rStyle w:val="FootnoteReference"/>
          <w:rFonts w:ascii="Times New Roman" w:hAnsi="Times New Roman"/>
          <w:sz w:val="20"/>
        </w:rPr>
        <w:footnoteRef/>
      </w:r>
      <w:r w:rsidRPr="003D40E1">
        <w:rPr>
          <w:rFonts w:ascii="Times New Roman" w:hAnsi="Times New Roman"/>
          <w:sz w:val="20"/>
        </w:rPr>
        <w:t xml:space="preserve"> Eg, how to object to a claim may require a special document or </w:t>
      </w:r>
      <w:r>
        <w:rPr>
          <w:rFonts w:ascii="Times New Roman" w:hAnsi="Times New Roman"/>
          <w:sz w:val="20"/>
        </w:rPr>
        <w:t>‘</w:t>
      </w:r>
      <w:r w:rsidRPr="008C20C8">
        <w:rPr>
          <w:rFonts w:ascii="Times New Roman" w:hAnsi="Times New Roman"/>
          <w:sz w:val="20"/>
        </w:rPr>
        <w:t>anything that is fit for purpose</w:t>
      </w:r>
      <w:r>
        <w:rPr>
          <w:rFonts w:ascii="Times New Roman" w:hAnsi="Times New Roman"/>
          <w:sz w:val="20"/>
        </w:rPr>
        <w:t>’</w:t>
      </w:r>
      <w:r w:rsidRPr="008C20C8">
        <w:rPr>
          <w:rFonts w:ascii="Times New Roman" w:hAnsi="Times New Roman"/>
          <w:sz w:val="20"/>
        </w:rPr>
        <w:t>; the content of a claim may be directed to be as detailed or as open-ended as possible.</w:t>
      </w:r>
    </w:p>
  </w:footnote>
  <w:footnote w:id="18">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L</w:t>
      </w:r>
      <w:r>
        <w:rPr>
          <w:rFonts w:ascii="Times New Roman" w:hAnsi="Times New Roman"/>
          <w:sz w:val="20"/>
        </w:rPr>
        <w:t>L</w:t>
      </w:r>
      <w:r w:rsidRPr="008C20C8">
        <w:rPr>
          <w:rFonts w:ascii="Times New Roman" w:hAnsi="Times New Roman"/>
          <w:sz w:val="20"/>
        </w:rPr>
        <w:t xml:space="preserve"> Fuller, </w:t>
      </w:r>
      <w:r>
        <w:rPr>
          <w:rFonts w:ascii="Times New Roman" w:hAnsi="Times New Roman"/>
          <w:sz w:val="20"/>
        </w:rPr>
        <w:t>‘</w:t>
      </w:r>
      <w:r w:rsidRPr="003D40E1">
        <w:rPr>
          <w:rFonts w:ascii="Times New Roman" w:hAnsi="Times New Roman"/>
          <w:sz w:val="20"/>
        </w:rPr>
        <w:t>Consideration and Form</w:t>
      </w:r>
      <w:r>
        <w:rPr>
          <w:rFonts w:ascii="Times New Roman" w:hAnsi="Times New Roman"/>
          <w:sz w:val="20"/>
        </w:rPr>
        <w:t>’</w:t>
      </w:r>
      <w:r w:rsidRPr="008C20C8">
        <w:rPr>
          <w:rFonts w:ascii="Times New Roman" w:hAnsi="Times New Roman"/>
          <w:sz w:val="20"/>
        </w:rPr>
        <w:t xml:space="preserve"> (1941</w:t>
      </w:r>
      <w:r>
        <w:rPr>
          <w:rFonts w:ascii="Times New Roman" w:hAnsi="Times New Roman"/>
          <w:sz w:val="20"/>
        </w:rPr>
        <w:t>)</w:t>
      </w:r>
      <w:r w:rsidRPr="008C20C8">
        <w:rPr>
          <w:rFonts w:ascii="Times New Roman" w:hAnsi="Times New Roman"/>
          <w:sz w:val="20"/>
        </w:rPr>
        <w:t xml:space="preserve"> 41 </w:t>
      </w:r>
      <w:r w:rsidRPr="003D40E1">
        <w:rPr>
          <w:rFonts w:ascii="Times New Roman" w:hAnsi="Times New Roman"/>
          <w:sz w:val="20"/>
        </w:rPr>
        <w:t>Colum L Rev</w:t>
      </w:r>
      <w:r w:rsidRPr="0045481E">
        <w:rPr>
          <w:rFonts w:ascii="Times New Roman" w:hAnsi="Times New Roman"/>
          <w:sz w:val="20"/>
        </w:rPr>
        <w:t xml:space="preserve"> </w:t>
      </w:r>
      <w:r w:rsidRPr="008C20C8">
        <w:rPr>
          <w:rFonts w:ascii="Times New Roman" w:hAnsi="Times New Roman"/>
          <w:sz w:val="20"/>
        </w:rPr>
        <w:t>799</w:t>
      </w:r>
      <w:r>
        <w:rPr>
          <w:rFonts w:ascii="Times New Roman" w:hAnsi="Times New Roman"/>
          <w:sz w:val="20"/>
        </w:rPr>
        <w:t>;</w:t>
      </w:r>
      <w:r w:rsidRPr="008C20C8">
        <w:rPr>
          <w:rFonts w:ascii="Times New Roman" w:hAnsi="Times New Roman"/>
          <w:sz w:val="20"/>
        </w:rPr>
        <w:t xml:space="preserve"> D Kennedy, </w:t>
      </w:r>
      <w:r>
        <w:rPr>
          <w:rFonts w:ascii="Times New Roman" w:hAnsi="Times New Roman"/>
          <w:sz w:val="20"/>
        </w:rPr>
        <w:t>‘</w:t>
      </w:r>
      <w:r w:rsidRPr="003D40E1">
        <w:rPr>
          <w:rFonts w:ascii="Times New Roman" w:hAnsi="Times New Roman"/>
          <w:sz w:val="20"/>
        </w:rPr>
        <w:t>Form and Substance in Private Law Adjudication</w:t>
      </w:r>
      <w:r>
        <w:rPr>
          <w:rFonts w:ascii="Times New Roman" w:hAnsi="Times New Roman"/>
          <w:sz w:val="20"/>
        </w:rPr>
        <w:t>’</w:t>
      </w:r>
      <w:r w:rsidRPr="008C20C8">
        <w:rPr>
          <w:rFonts w:ascii="Times New Roman" w:hAnsi="Times New Roman"/>
          <w:sz w:val="20"/>
        </w:rPr>
        <w:t xml:space="preserve"> (1975-1976)</w:t>
      </w:r>
      <w:r>
        <w:rPr>
          <w:rFonts w:ascii="Times New Roman" w:hAnsi="Times New Roman"/>
          <w:sz w:val="20"/>
        </w:rPr>
        <w:t xml:space="preserve"> </w:t>
      </w:r>
      <w:r w:rsidRPr="008C20C8">
        <w:rPr>
          <w:rFonts w:ascii="Times New Roman" w:hAnsi="Times New Roman"/>
          <w:sz w:val="20"/>
        </w:rPr>
        <w:t xml:space="preserve">89 </w:t>
      </w:r>
      <w:r w:rsidRPr="003D40E1">
        <w:rPr>
          <w:rFonts w:ascii="Times New Roman" w:hAnsi="Times New Roman"/>
          <w:sz w:val="20"/>
        </w:rPr>
        <w:t>Harv L Rev</w:t>
      </w:r>
      <w:r w:rsidRPr="0045481E">
        <w:rPr>
          <w:rFonts w:ascii="Times New Roman" w:hAnsi="Times New Roman"/>
          <w:sz w:val="20"/>
        </w:rPr>
        <w:t xml:space="preserve"> </w:t>
      </w:r>
      <w:r w:rsidRPr="008C20C8">
        <w:rPr>
          <w:rFonts w:ascii="Times New Roman" w:hAnsi="Times New Roman"/>
          <w:sz w:val="20"/>
        </w:rPr>
        <w:t>1685.</w:t>
      </w:r>
    </w:p>
  </w:footnote>
  <w:footnote w:id="19">
    <w:p w:rsidR="00D43B4E" w:rsidRPr="00330636" w:rsidRDefault="00D43B4E">
      <w:pPr>
        <w:pStyle w:val="FootnoteText"/>
        <w:rPr>
          <w:rFonts w:ascii="Times New Roman" w:hAnsi="Times New Roman"/>
          <w:sz w:val="20"/>
        </w:rPr>
      </w:pPr>
      <w:r w:rsidRPr="00330636">
        <w:rPr>
          <w:rStyle w:val="FootnoteReference"/>
          <w:rFonts w:ascii="Times New Roman" w:hAnsi="Times New Roman"/>
          <w:sz w:val="20"/>
        </w:rPr>
        <w:footnoteRef/>
      </w:r>
      <w:r w:rsidRPr="00330636">
        <w:rPr>
          <w:rFonts w:ascii="Times New Roman" w:hAnsi="Times New Roman"/>
          <w:sz w:val="20"/>
        </w:rPr>
        <w:t xml:space="preserve"> Fuller (n 1</w:t>
      </w:r>
      <w:r>
        <w:rPr>
          <w:rFonts w:ascii="Times New Roman" w:hAnsi="Times New Roman"/>
          <w:sz w:val="20"/>
        </w:rPr>
        <w:t>7</w:t>
      </w:r>
      <w:r w:rsidRPr="00330636">
        <w:rPr>
          <w:rFonts w:ascii="Times New Roman" w:hAnsi="Times New Roman"/>
          <w:sz w:val="20"/>
        </w:rPr>
        <w:t>) 801.</w:t>
      </w:r>
    </w:p>
  </w:footnote>
  <w:footnote w:id="20">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A</w:t>
      </w:r>
      <w:r w:rsidRPr="003D40E1">
        <w:rPr>
          <w:rFonts w:ascii="Times New Roman" w:hAnsi="Times New Roman"/>
          <w:sz w:val="20"/>
        </w:rPr>
        <w:t xml:space="preserve"> Zuckerman, </w:t>
      </w:r>
      <w:r w:rsidRPr="00330636">
        <w:rPr>
          <w:rFonts w:ascii="Times New Roman" w:hAnsi="Times New Roman"/>
          <w:i/>
          <w:sz w:val="20"/>
        </w:rPr>
        <w:t xml:space="preserve">Zuckerman on Civil Procedure </w:t>
      </w:r>
      <w:r w:rsidRPr="008C20C8">
        <w:rPr>
          <w:rFonts w:ascii="Times New Roman" w:hAnsi="Times New Roman"/>
          <w:sz w:val="20"/>
        </w:rPr>
        <w:t>(</w:t>
      </w:r>
      <w:r>
        <w:rPr>
          <w:rFonts w:ascii="Times New Roman" w:hAnsi="Times New Roman"/>
          <w:sz w:val="20"/>
        </w:rPr>
        <w:t>2</w:t>
      </w:r>
      <w:r w:rsidRPr="00007B05">
        <w:rPr>
          <w:rFonts w:ascii="Times New Roman" w:hAnsi="Times New Roman"/>
          <w:sz w:val="20"/>
        </w:rPr>
        <w:t>nd</w:t>
      </w:r>
      <w:r>
        <w:rPr>
          <w:rFonts w:ascii="Times New Roman" w:hAnsi="Times New Roman"/>
          <w:sz w:val="20"/>
        </w:rPr>
        <w:t xml:space="preserve"> edn, </w:t>
      </w:r>
      <w:r w:rsidRPr="008C20C8">
        <w:rPr>
          <w:rFonts w:ascii="Times New Roman" w:hAnsi="Times New Roman"/>
          <w:sz w:val="20"/>
        </w:rPr>
        <w:t>Sweet</w:t>
      </w:r>
      <w:r>
        <w:rPr>
          <w:rFonts w:ascii="Times New Roman" w:hAnsi="Times New Roman"/>
          <w:sz w:val="20"/>
        </w:rPr>
        <w:t xml:space="preserve"> </w:t>
      </w:r>
      <w:r w:rsidRPr="008C20C8">
        <w:rPr>
          <w:rFonts w:ascii="Times New Roman" w:hAnsi="Times New Roman"/>
          <w:sz w:val="20"/>
        </w:rPr>
        <w:t>&amp;</w:t>
      </w:r>
      <w:r>
        <w:rPr>
          <w:rFonts w:ascii="Times New Roman" w:hAnsi="Times New Roman"/>
          <w:sz w:val="20"/>
        </w:rPr>
        <w:t xml:space="preserve"> </w:t>
      </w:r>
      <w:r w:rsidRPr="008C20C8">
        <w:rPr>
          <w:rFonts w:ascii="Times New Roman" w:hAnsi="Times New Roman"/>
          <w:sz w:val="20"/>
        </w:rPr>
        <w:t>Maxwell 2006) 397-401</w:t>
      </w:r>
      <w:r>
        <w:rPr>
          <w:rFonts w:ascii="Times New Roman" w:hAnsi="Times New Roman"/>
          <w:sz w:val="20"/>
        </w:rPr>
        <w:t>.</w:t>
      </w:r>
      <w:r w:rsidRPr="008C20C8">
        <w:rPr>
          <w:rFonts w:ascii="Times New Roman" w:hAnsi="Times New Roman"/>
          <w:sz w:val="20"/>
        </w:rPr>
        <w:t>This vision of civil litigation is arguable</w:t>
      </w:r>
      <w:r>
        <w:rPr>
          <w:rFonts w:ascii="Times New Roman" w:hAnsi="Times New Roman"/>
          <w:sz w:val="20"/>
        </w:rPr>
        <w:t>.</w:t>
      </w:r>
      <w:r w:rsidRPr="008C20C8">
        <w:rPr>
          <w:rFonts w:ascii="Times New Roman" w:hAnsi="Times New Roman"/>
          <w:sz w:val="20"/>
        </w:rPr>
        <w:t xml:space="preserve"> </w:t>
      </w:r>
      <w:r>
        <w:rPr>
          <w:rFonts w:ascii="Times New Roman" w:hAnsi="Times New Roman"/>
          <w:sz w:val="20"/>
        </w:rPr>
        <w:t xml:space="preserve">It is however beyond the scope of the present paper to dispute it. </w:t>
      </w:r>
    </w:p>
  </w:footnote>
  <w:footnote w:id="21">
    <w:p w:rsidR="00D43B4E" w:rsidRPr="008C20C8" w:rsidRDefault="00D43B4E" w:rsidP="009665D1">
      <w:pPr>
        <w:pStyle w:val="FootnoteText"/>
        <w:rPr>
          <w:rFonts w:ascii="Times New Roman" w:hAnsi="Times New Roman"/>
          <w:sz w:val="20"/>
        </w:rPr>
      </w:pPr>
      <w:r w:rsidRPr="003D40E1">
        <w:rPr>
          <w:rStyle w:val="FootnoteReference"/>
          <w:rFonts w:ascii="Times New Roman" w:hAnsi="Times New Roman"/>
          <w:sz w:val="20"/>
        </w:rPr>
        <w:footnoteRef/>
      </w:r>
      <w:r w:rsidRPr="003D40E1">
        <w:rPr>
          <w:rFonts w:ascii="Times New Roman" w:hAnsi="Times New Roman"/>
          <w:sz w:val="20"/>
        </w:rPr>
        <w:t xml:space="preserve"> </w:t>
      </w:r>
      <w:r>
        <w:rPr>
          <w:rFonts w:ascii="Times New Roman" w:hAnsi="Times New Roman"/>
          <w:sz w:val="20"/>
        </w:rPr>
        <w:t xml:space="preserve">A </w:t>
      </w:r>
      <w:r w:rsidRPr="009665D1">
        <w:rPr>
          <w:rFonts w:ascii="Times New Roman" w:hAnsi="Times New Roman"/>
          <w:sz w:val="20"/>
        </w:rPr>
        <w:t>Zuckerman</w:t>
      </w:r>
      <w:r w:rsidRPr="008C20C8">
        <w:rPr>
          <w:rFonts w:ascii="Times New Roman" w:hAnsi="Times New Roman"/>
          <w:sz w:val="20"/>
        </w:rPr>
        <w:t xml:space="preserve">, </w:t>
      </w:r>
      <w:r>
        <w:rPr>
          <w:rFonts w:ascii="Times New Roman" w:hAnsi="Times New Roman"/>
          <w:sz w:val="20"/>
        </w:rPr>
        <w:t>‘</w:t>
      </w:r>
      <w:r w:rsidRPr="003D40E1">
        <w:rPr>
          <w:rFonts w:ascii="Times New Roman" w:eastAsia="Times New Roman" w:hAnsi="Times New Roman"/>
          <w:bCs/>
          <w:sz w:val="20"/>
          <w:szCs w:val="20"/>
          <w:lang w:eastAsia="en-GB"/>
        </w:rPr>
        <w:t>Must a fraudulent litigant be allowed to think: if the fraud is successful, I will gain much; if it is not, I will still recover my legitimate claim?</w:t>
      </w:r>
      <w:r>
        <w:rPr>
          <w:rFonts w:ascii="Times New Roman" w:eastAsia="Times New Roman" w:hAnsi="Times New Roman"/>
          <w:bCs/>
          <w:sz w:val="20"/>
          <w:szCs w:val="20"/>
          <w:lang w:eastAsia="en-GB"/>
        </w:rPr>
        <w:t>’</w:t>
      </w:r>
      <w:r w:rsidRPr="003D40E1">
        <w:rPr>
          <w:rFonts w:ascii="Times New Roman" w:eastAsia="Times New Roman" w:hAnsi="Times New Roman"/>
          <w:bCs/>
          <w:sz w:val="20"/>
          <w:szCs w:val="20"/>
          <w:lang w:eastAsia="en-GB"/>
        </w:rPr>
        <w:t xml:space="preserve"> </w:t>
      </w:r>
      <w:r w:rsidRPr="008C20C8">
        <w:rPr>
          <w:rFonts w:ascii="Times New Roman" w:eastAsia="Times New Roman" w:hAnsi="Times New Roman"/>
          <w:sz w:val="20"/>
          <w:szCs w:val="20"/>
          <w:lang w:eastAsia="en-GB"/>
        </w:rPr>
        <w:t>(2011)</w:t>
      </w:r>
      <w:r>
        <w:rPr>
          <w:rFonts w:ascii="Times New Roman" w:eastAsia="Times New Roman" w:hAnsi="Times New Roman"/>
          <w:sz w:val="20"/>
          <w:szCs w:val="20"/>
          <w:lang w:eastAsia="en-GB"/>
        </w:rPr>
        <w:t xml:space="preserve"> </w:t>
      </w:r>
      <w:r w:rsidRPr="008C20C8">
        <w:rPr>
          <w:rFonts w:ascii="Times New Roman" w:eastAsia="Times New Roman" w:hAnsi="Times New Roman"/>
          <w:sz w:val="20"/>
          <w:szCs w:val="20"/>
          <w:lang w:eastAsia="en-GB"/>
        </w:rPr>
        <w:t xml:space="preserve">30 </w:t>
      </w:r>
      <w:r w:rsidRPr="008C20C8">
        <w:rPr>
          <w:rFonts w:ascii="Times New Roman" w:eastAsia="Times New Roman" w:hAnsi="Times New Roman"/>
          <w:smallCaps/>
          <w:sz w:val="20"/>
          <w:szCs w:val="20"/>
          <w:lang w:eastAsia="en-GB"/>
        </w:rPr>
        <w:t>C</w:t>
      </w:r>
      <w:r>
        <w:rPr>
          <w:rFonts w:ascii="Times New Roman" w:eastAsia="Times New Roman" w:hAnsi="Times New Roman"/>
          <w:smallCaps/>
          <w:sz w:val="20"/>
          <w:szCs w:val="20"/>
          <w:lang w:eastAsia="en-GB"/>
        </w:rPr>
        <w:t>JQ</w:t>
      </w:r>
      <w:r w:rsidRPr="008C20C8">
        <w:rPr>
          <w:rFonts w:ascii="Times New Roman" w:eastAsia="Times New Roman" w:hAnsi="Times New Roman"/>
          <w:sz w:val="20"/>
          <w:szCs w:val="20"/>
          <w:lang w:eastAsia="en-GB"/>
        </w:rPr>
        <w:t xml:space="preserve"> 1, 10.</w:t>
      </w:r>
    </w:p>
  </w:footnote>
  <w:footnote w:id="22">
    <w:p w:rsidR="00D43B4E" w:rsidRDefault="00D43B4E">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J</w:t>
      </w:r>
      <w:r>
        <w:rPr>
          <w:rFonts w:ascii="Times New Roman" w:hAnsi="Times New Roman"/>
          <w:sz w:val="20"/>
        </w:rPr>
        <w:t>A</w:t>
      </w:r>
      <w:r w:rsidRPr="008C20C8">
        <w:rPr>
          <w:rFonts w:ascii="Times New Roman" w:hAnsi="Times New Roman"/>
          <w:sz w:val="20"/>
        </w:rPr>
        <w:t xml:space="preserve"> Jolowicz, </w:t>
      </w:r>
      <w:r>
        <w:rPr>
          <w:rFonts w:ascii="Times New Roman" w:hAnsi="Times New Roman"/>
          <w:sz w:val="20"/>
        </w:rPr>
        <w:t>‘</w:t>
      </w:r>
      <w:r w:rsidRPr="009C1C6B">
        <w:rPr>
          <w:rFonts w:ascii="Times New Roman" w:eastAsia="Times New Roman" w:hAnsi="Times New Roman"/>
          <w:bCs/>
          <w:sz w:val="20"/>
          <w:szCs w:val="20"/>
          <w:lang w:eastAsia="en-GB"/>
        </w:rPr>
        <w:t>On</w:t>
      </w:r>
      <w:r w:rsidRPr="003D40E1">
        <w:rPr>
          <w:rFonts w:ascii="Times New Roman" w:hAnsi="Times New Roman"/>
          <w:sz w:val="20"/>
        </w:rPr>
        <w:t xml:space="preserve"> the Nature and Purposes of Civil Procedural Law</w:t>
      </w:r>
      <w:r>
        <w:rPr>
          <w:rFonts w:ascii="Times New Roman" w:hAnsi="Times New Roman"/>
          <w:sz w:val="20"/>
        </w:rPr>
        <w:t>’</w:t>
      </w:r>
      <w:r w:rsidRPr="008C20C8">
        <w:rPr>
          <w:rFonts w:ascii="Times New Roman" w:hAnsi="Times New Roman"/>
          <w:sz w:val="20"/>
        </w:rPr>
        <w:t xml:space="preserve"> in </w:t>
      </w:r>
      <w:r w:rsidRPr="003D40E1">
        <w:rPr>
          <w:rFonts w:ascii="Times New Roman" w:hAnsi="Times New Roman"/>
          <w:sz w:val="20"/>
        </w:rPr>
        <w:t>J</w:t>
      </w:r>
      <w:r>
        <w:rPr>
          <w:rFonts w:ascii="Times New Roman" w:hAnsi="Times New Roman"/>
          <w:sz w:val="20"/>
        </w:rPr>
        <w:t>A</w:t>
      </w:r>
      <w:r w:rsidRPr="003D40E1">
        <w:rPr>
          <w:rFonts w:ascii="Times New Roman" w:hAnsi="Times New Roman"/>
          <w:sz w:val="20"/>
        </w:rPr>
        <w:t xml:space="preserve"> Jolowicz, </w:t>
      </w:r>
      <w:r w:rsidRPr="00330636">
        <w:rPr>
          <w:rFonts w:ascii="Times New Roman" w:hAnsi="Times New Roman"/>
          <w:i/>
          <w:sz w:val="20"/>
        </w:rPr>
        <w:t>On Civil Procedure</w:t>
      </w:r>
      <w:r w:rsidRPr="00676844">
        <w:rPr>
          <w:rFonts w:ascii="Times New Roman" w:hAnsi="Times New Roman"/>
          <w:sz w:val="20"/>
        </w:rPr>
        <w:t xml:space="preserve"> </w:t>
      </w:r>
      <w:r w:rsidRPr="008C20C8">
        <w:rPr>
          <w:rFonts w:ascii="Times New Roman" w:hAnsi="Times New Roman"/>
          <w:sz w:val="20"/>
        </w:rPr>
        <w:t>(C</w:t>
      </w:r>
      <w:r>
        <w:rPr>
          <w:rFonts w:ascii="Times New Roman" w:hAnsi="Times New Roman"/>
          <w:sz w:val="20"/>
        </w:rPr>
        <w:t>UP</w:t>
      </w:r>
      <w:r w:rsidRPr="008C20C8">
        <w:rPr>
          <w:rFonts w:ascii="Times New Roman" w:hAnsi="Times New Roman"/>
          <w:sz w:val="20"/>
        </w:rPr>
        <w:t xml:space="preserve"> 2000) 68.</w:t>
      </w:r>
    </w:p>
  </w:footnote>
  <w:footnote w:id="23">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 xml:space="preserve">Zuckerman (n </w:t>
      </w:r>
      <w:r>
        <w:rPr>
          <w:rFonts w:ascii="Times New Roman" w:hAnsi="Times New Roman"/>
          <w:smallCaps/>
          <w:sz w:val="20"/>
        </w:rPr>
        <w:t>19</w:t>
      </w:r>
      <w:r>
        <w:rPr>
          <w:rFonts w:ascii="Times New Roman" w:hAnsi="Times New Roman"/>
          <w:sz w:val="20"/>
        </w:rPr>
        <w:t>)</w:t>
      </w:r>
      <w:r w:rsidRPr="008C20C8">
        <w:rPr>
          <w:rFonts w:ascii="Times New Roman" w:hAnsi="Times New Roman"/>
          <w:smallCaps/>
          <w:sz w:val="20"/>
        </w:rPr>
        <w:t xml:space="preserve"> 401</w:t>
      </w:r>
      <w:r w:rsidRPr="008C20C8">
        <w:rPr>
          <w:rFonts w:ascii="Times New Roman" w:hAnsi="Times New Roman"/>
          <w:sz w:val="20"/>
        </w:rPr>
        <w:t>.</w:t>
      </w:r>
    </w:p>
  </w:footnote>
  <w:footnote w:id="24">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w:t>
      </w:r>
      <w:r w:rsidRPr="008C20C8">
        <w:rPr>
          <w:rFonts w:ascii="Times New Roman" w:hAnsi="Times New Roman"/>
          <w:sz w:val="20"/>
        </w:rPr>
        <w:t xml:space="preserve">[F]ormalities … </w:t>
      </w:r>
      <w:r w:rsidRPr="008C20C8">
        <w:rPr>
          <w:rFonts w:ascii="Times New Roman" w:hAnsi="Times New Roman"/>
          <w:sz w:val="20"/>
          <w:szCs w:val="22"/>
        </w:rPr>
        <w:t>operate through the contradiction of private intentions</w:t>
      </w:r>
      <w:r>
        <w:rPr>
          <w:rFonts w:ascii="Times New Roman" w:hAnsi="Times New Roman"/>
          <w:sz w:val="20"/>
          <w:szCs w:val="22"/>
        </w:rPr>
        <w:t>’</w:t>
      </w:r>
      <w:r w:rsidRPr="008C20C8">
        <w:rPr>
          <w:rFonts w:ascii="Times New Roman" w:hAnsi="Times New Roman"/>
          <w:sz w:val="20"/>
          <w:szCs w:val="22"/>
        </w:rPr>
        <w:t xml:space="preserve">: </w:t>
      </w:r>
      <w:r w:rsidRPr="008C20C8">
        <w:rPr>
          <w:rFonts w:ascii="Times New Roman" w:hAnsi="Times New Roman"/>
          <w:sz w:val="20"/>
        </w:rPr>
        <w:t>Kennedy</w:t>
      </w:r>
      <w:r>
        <w:rPr>
          <w:rFonts w:ascii="Times New Roman" w:hAnsi="Times New Roman"/>
          <w:sz w:val="20"/>
        </w:rPr>
        <w:t xml:space="preserve"> </w:t>
      </w:r>
      <w:r w:rsidRPr="003D40E1">
        <w:rPr>
          <w:rFonts w:ascii="Times New Roman" w:hAnsi="Times New Roman"/>
          <w:sz w:val="20"/>
        </w:rPr>
        <w:t>(</w:t>
      </w:r>
      <w:r w:rsidRPr="008C20C8">
        <w:rPr>
          <w:rFonts w:ascii="Times New Roman" w:hAnsi="Times New Roman"/>
          <w:sz w:val="20"/>
        </w:rPr>
        <w:t>n</w:t>
      </w:r>
      <w:r>
        <w:rPr>
          <w:rFonts w:ascii="Times New Roman" w:hAnsi="Times New Roman"/>
          <w:sz w:val="20"/>
        </w:rPr>
        <w:t xml:space="preserve"> 17)</w:t>
      </w:r>
      <w:r w:rsidRPr="008C20C8">
        <w:rPr>
          <w:rFonts w:ascii="Times New Roman" w:hAnsi="Times New Roman"/>
          <w:sz w:val="20"/>
        </w:rPr>
        <w:t>, 1692.</w:t>
      </w:r>
    </w:p>
  </w:footnote>
  <w:footnote w:id="25">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szCs w:val="20"/>
        </w:rPr>
        <w:footnoteRef/>
      </w:r>
      <w:r w:rsidRPr="008C20C8">
        <w:rPr>
          <w:rFonts w:ascii="Times New Roman" w:hAnsi="Times New Roman"/>
          <w:sz w:val="20"/>
        </w:rPr>
        <w:t xml:space="preserve"> The Supreme Court did not consider this rule to be exhaustive; in </w:t>
      </w:r>
      <w:r w:rsidRPr="005C5BD1">
        <w:rPr>
          <w:rFonts w:ascii="Times New Roman" w:hAnsi="Times New Roman"/>
          <w:i/>
          <w:sz w:val="20"/>
        </w:rPr>
        <w:t>Chambers v NASCO</w:t>
      </w:r>
      <w:r w:rsidRPr="008C20C8">
        <w:rPr>
          <w:rFonts w:ascii="Times New Roman" w:hAnsi="Times New Roman"/>
          <w:sz w:val="20"/>
        </w:rPr>
        <w:t xml:space="preserve"> </w:t>
      </w:r>
      <w:r>
        <w:rPr>
          <w:rStyle w:val="informationalsmall"/>
          <w:rFonts w:ascii="Times New Roman" w:hAnsi="Times New Roman"/>
          <w:sz w:val="20"/>
          <w:szCs w:val="20"/>
        </w:rPr>
        <w:t>501 US 32</w:t>
      </w:r>
      <w:r w:rsidRPr="008C20C8">
        <w:rPr>
          <w:rStyle w:val="informationalsmall"/>
          <w:rFonts w:ascii="Times New Roman" w:hAnsi="Times New Roman"/>
          <w:sz w:val="20"/>
          <w:szCs w:val="20"/>
        </w:rPr>
        <w:t xml:space="preserve"> </w:t>
      </w:r>
      <w:r>
        <w:rPr>
          <w:rStyle w:val="informationalsmall"/>
          <w:rFonts w:ascii="Times New Roman" w:hAnsi="Times New Roman"/>
          <w:sz w:val="20"/>
          <w:szCs w:val="20"/>
        </w:rPr>
        <w:t>(</w:t>
      </w:r>
      <w:r w:rsidRPr="008C20C8">
        <w:rPr>
          <w:rStyle w:val="informationalsmall"/>
          <w:rFonts w:ascii="Times New Roman" w:hAnsi="Times New Roman"/>
          <w:sz w:val="20"/>
          <w:szCs w:val="20"/>
        </w:rPr>
        <w:t>1991</w:t>
      </w:r>
      <w:r>
        <w:rPr>
          <w:rStyle w:val="informationalsmall"/>
          <w:rFonts w:ascii="Times New Roman" w:hAnsi="Times New Roman"/>
          <w:sz w:val="20"/>
          <w:szCs w:val="20"/>
        </w:rPr>
        <w:t>)</w:t>
      </w:r>
      <w:r w:rsidRPr="008C20C8">
        <w:rPr>
          <w:rStyle w:val="informationalsmall"/>
          <w:rFonts w:ascii="Times New Roman" w:hAnsi="Times New Roman"/>
          <w:sz w:val="20"/>
          <w:szCs w:val="20"/>
        </w:rPr>
        <w:t xml:space="preserve"> it considered that </w:t>
      </w:r>
      <w:r w:rsidRPr="008C20C8">
        <w:rPr>
          <w:rFonts w:ascii="Times New Roman" w:hAnsi="Times New Roman"/>
          <w:sz w:val="20"/>
        </w:rPr>
        <w:t xml:space="preserve">it had inherent power to sanction bad-faith conduct which was an abuse of process. </w:t>
      </w:r>
      <w:r w:rsidRPr="008C20C8">
        <w:rPr>
          <w:rFonts w:ascii="Times New Roman" w:eastAsiaTheme="minorHAnsi" w:hAnsi="Times New Roman" w:cs="Times"/>
          <w:bCs/>
          <w:sz w:val="20"/>
          <w:lang w:val="en-US"/>
        </w:rPr>
        <w:t xml:space="preserve">In England, </w:t>
      </w:r>
      <w:r>
        <w:rPr>
          <w:rFonts w:ascii="Times New Roman" w:eastAsiaTheme="minorHAnsi" w:hAnsi="Times New Roman" w:cs="Times"/>
          <w:bCs/>
          <w:sz w:val="20"/>
          <w:lang w:val="en-US"/>
        </w:rPr>
        <w:t>the kind of behaviour it referred to</w:t>
      </w:r>
      <w:r w:rsidRPr="008C20C8">
        <w:rPr>
          <w:rFonts w:ascii="Times New Roman" w:eastAsiaTheme="minorHAnsi" w:hAnsi="Times New Roman" w:cs="Times"/>
          <w:bCs/>
          <w:sz w:val="20"/>
          <w:lang w:val="en-US"/>
        </w:rPr>
        <w:t xml:space="preserve"> would be dealt with under the procedures for vexatious litigants: CPR 2.3, CPR 3.11, Practice Direction 3C.</w:t>
      </w:r>
    </w:p>
  </w:footnote>
  <w:footnote w:id="26">
    <w:p w:rsidR="00D43B4E" w:rsidRDefault="00D43B4E">
      <w:pPr>
        <w:pStyle w:val="FootnoteText"/>
        <w:rPr>
          <w:rFonts w:ascii="Times New Roman" w:hAnsi="Times New Roman" w:cs="Courier"/>
          <w:sz w:val="20"/>
          <w:lang w:val="en-US"/>
        </w:rPr>
      </w:pPr>
      <w:r w:rsidRPr="008C20C8">
        <w:rPr>
          <w:rStyle w:val="FootnoteReference"/>
          <w:rFonts w:ascii="Times New Roman" w:hAnsi="Times New Roman"/>
          <w:sz w:val="20"/>
          <w:szCs w:val="20"/>
        </w:rPr>
        <w:footnoteRef/>
      </w:r>
      <w:r w:rsidRPr="008C20C8">
        <w:rPr>
          <w:rFonts w:ascii="Times New Roman" w:hAnsi="Times New Roman"/>
          <w:sz w:val="20"/>
        </w:rPr>
        <w:t xml:space="preserve"> See, on Rule 37(b): M </w:t>
      </w:r>
      <w:r w:rsidRPr="008C20C8">
        <w:rPr>
          <w:rFonts w:ascii="Times New Roman" w:hAnsi="Times New Roman" w:cs="Courier"/>
          <w:sz w:val="20"/>
          <w:lang w:val="en-US"/>
        </w:rPr>
        <w:t xml:space="preserve">Rosenberg, </w:t>
      </w:r>
      <w:r>
        <w:rPr>
          <w:rFonts w:ascii="Times New Roman" w:hAnsi="Times New Roman" w:cs="Courier"/>
          <w:sz w:val="20"/>
          <w:lang w:val="en-US"/>
        </w:rPr>
        <w:t>‘</w:t>
      </w:r>
      <w:r w:rsidRPr="003D40E1">
        <w:rPr>
          <w:rFonts w:ascii="Times New Roman" w:hAnsi="Times New Roman" w:cs="Courier"/>
          <w:sz w:val="20"/>
          <w:lang w:val="en-US"/>
        </w:rPr>
        <w:t>Sanctions to Effectuate Pretrial Discovery</w:t>
      </w:r>
      <w:r>
        <w:rPr>
          <w:rFonts w:ascii="Times New Roman" w:hAnsi="Times New Roman" w:cs="Courier"/>
          <w:sz w:val="20"/>
          <w:lang w:val="en-US"/>
        </w:rPr>
        <w:t>’</w:t>
      </w:r>
      <w:r w:rsidRPr="008C20C8">
        <w:rPr>
          <w:rFonts w:ascii="Times New Roman" w:hAnsi="Times New Roman" w:cs="Courier"/>
          <w:sz w:val="20"/>
          <w:lang w:val="en-US"/>
        </w:rPr>
        <w:t xml:space="preserve"> (1958)</w:t>
      </w:r>
      <w:r>
        <w:rPr>
          <w:rFonts w:ascii="Times New Roman" w:hAnsi="Times New Roman" w:cs="Courier"/>
          <w:sz w:val="20"/>
          <w:lang w:val="en-US"/>
        </w:rPr>
        <w:t xml:space="preserve"> </w:t>
      </w:r>
      <w:r w:rsidRPr="008C20C8">
        <w:rPr>
          <w:rFonts w:ascii="Times New Roman" w:hAnsi="Times New Roman" w:cs="Courier"/>
          <w:sz w:val="20"/>
          <w:lang w:val="en-US"/>
        </w:rPr>
        <w:t xml:space="preserve">58 </w:t>
      </w:r>
      <w:r w:rsidRPr="003D40E1">
        <w:rPr>
          <w:rFonts w:ascii="Times New Roman" w:hAnsi="Times New Roman" w:cs="Courier"/>
          <w:sz w:val="20"/>
          <w:lang w:val="en-US"/>
        </w:rPr>
        <w:t xml:space="preserve">Colum L Rev </w:t>
      </w:r>
      <w:r w:rsidRPr="008C20C8">
        <w:rPr>
          <w:rFonts w:ascii="Times New Roman" w:hAnsi="Times New Roman" w:cs="Courier"/>
          <w:sz w:val="20"/>
          <w:lang w:val="en-US"/>
        </w:rPr>
        <w:t>480</w:t>
      </w:r>
      <w:r>
        <w:rPr>
          <w:rFonts w:ascii="Times New Roman" w:hAnsi="Times New Roman" w:cs="Courier"/>
          <w:sz w:val="20"/>
          <w:lang w:val="en-US"/>
        </w:rPr>
        <w:t>;</w:t>
      </w:r>
      <w:r w:rsidRPr="008C20C8">
        <w:rPr>
          <w:rFonts w:ascii="Times New Roman" w:hAnsi="Times New Roman" w:cs="Courier"/>
          <w:sz w:val="20"/>
          <w:lang w:val="en-US"/>
        </w:rPr>
        <w:t xml:space="preserve"> SB Burbank, </w:t>
      </w:r>
      <w:r>
        <w:rPr>
          <w:rFonts w:ascii="Times New Roman" w:hAnsi="Times New Roman" w:cs="Courier"/>
          <w:sz w:val="20"/>
          <w:lang w:val="en-US"/>
        </w:rPr>
        <w:t>‘</w:t>
      </w:r>
      <w:r w:rsidRPr="003D40E1">
        <w:rPr>
          <w:rFonts w:ascii="Times New Roman" w:hAnsi="Times New Roman" w:cs="Courier"/>
          <w:sz w:val="20"/>
          <w:lang w:val="en-US"/>
        </w:rPr>
        <w:t>Sanctions In The Proposed Amendments To The Federal Rules Of Civil Procedure: Some Questions About Power</w:t>
      </w:r>
      <w:r>
        <w:rPr>
          <w:rFonts w:ascii="Times New Roman" w:hAnsi="Times New Roman" w:cs="Courier"/>
          <w:sz w:val="20"/>
          <w:lang w:val="en-US"/>
        </w:rPr>
        <w:t>’</w:t>
      </w:r>
      <w:r w:rsidRPr="008C20C8">
        <w:rPr>
          <w:rFonts w:ascii="Times New Roman" w:hAnsi="Times New Roman" w:cs="Courier"/>
          <w:sz w:val="20"/>
          <w:lang w:val="en-US"/>
        </w:rPr>
        <w:t xml:space="preserve"> (1983)</w:t>
      </w:r>
      <w:r>
        <w:rPr>
          <w:rFonts w:ascii="Times New Roman" w:hAnsi="Times New Roman" w:cs="Courier"/>
          <w:sz w:val="20"/>
          <w:lang w:val="en-US"/>
        </w:rPr>
        <w:t xml:space="preserve"> </w:t>
      </w:r>
      <w:r w:rsidRPr="008C20C8">
        <w:rPr>
          <w:rFonts w:ascii="Times New Roman" w:hAnsi="Times New Roman" w:cs="Courier"/>
          <w:sz w:val="20"/>
          <w:lang w:val="en-US"/>
        </w:rPr>
        <w:t xml:space="preserve">11 </w:t>
      </w:r>
      <w:r w:rsidRPr="003D40E1">
        <w:rPr>
          <w:rFonts w:ascii="Times New Roman" w:hAnsi="Times New Roman" w:cs="Courier"/>
          <w:sz w:val="20"/>
          <w:lang w:val="en-US"/>
        </w:rPr>
        <w:t xml:space="preserve">Hofstra L Rev </w:t>
      </w:r>
      <w:r w:rsidRPr="008C20C8">
        <w:rPr>
          <w:rFonts w:ascii="Times New Roman" w:hAnsi="Times New Roman" w:cs="Courier"/>
          <w:sz w:val="20"/>
          <w:lang w:val="en-US"/>
        </w:rPr>
        <w:t>997</w:t>
      </w:r>
      <w:r>
        <w:rPr>
          <w:rFonts w:ascii="Times New Roman" w:hAnsi="Times New Roman" w:cs="Courier"/>
          <w:sz w:val="20"/>
          <w:lang w:val="en-US"/>
        </w:rPr>
        <w:t>,</w:t>
      </w:r>
      <w:r w:rsidRPr="008C20C8">
        <w:rPr>
          <w:rFonts w:ascii="Times New Roman" w:hAnsi="Times New Roman" w:cs="Courier"/>
          <w:sz w:val="20"/>
          <w:lang w:val="en-US"/>
        </w:rPr>
        <w:t xml:space="preserve"> 1009.  </w:t>
      </w:r>
    </w:p>
  </w:footnote>
  <w:footnote w:id="27">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szCs w:val="20"/>
        </w:rPr>
        <w:footnoteRef/>
      </w:r>
      <w:r w:rsidRPr="008C20C8">
        <w:rPr>
          <w:rFonts w:ascii="Times New Roman" w:hAnsi="Times New Roman"/>
          <w:sz w:val="20"/>
        </w:rPr>
        <w:t xml:space="preserve"> Eg in </w:t>
      </w:r>
      <w:r w:rsidRPr="005C5BD1">
        <w:rPr>
          <w:rFonts w:ascii="Times New Roman" w:hAnsi="Times New Roman"/>
          <w:i/>
          <w:sz w:val="20"/>
        </w:rPr>
        <w:t xml:space="preserve">Roadway Express Inc. v Piper </w:t>
      </w:r>
      <w:r w:rsidRPr="008C20C8">
        <w:rPr>
          <w:rFonts w:ascii="Times New Roman" w:hAnsi="Times New Roman"/>
          <w:sz w:val="20"/>
        </w:rPr>
        <w:t>447 US 752</w:t>
      </w:r>
      <w:r>
        <w:rPr>
          <w:rFonts w:ascii="Times New Roman" w:hAnsi="Times New Roman"/>
          <w:sz w:val="20"/>
        </w:rPr>
        <w:t xml:space="preserve"> (1980)</w:t>
      </w:r>
      <w:r w:rsidRPr="008C20C8">
        <w:rPr>
          <w:rFonts w:ascii="Times New Roman" w:hAnsi="Times New Roman"/>
          <w:sz w:val="20"/>
        </w:rPr>
        <w:t>, an application of Rule 37(b)</w:t>
      </w:r>
      <w:r>
        <w:rPr>
          <w:rFonts w:ascii="Times New Roman" w:hAnsi="Times New Roman"/>
          <w:sz w:val="20"/>
        </w:rPr>
        <w:t>:</w:t>
      </w:r>
      <w:r w:rsidRPr="008C20C8" w:rsidDel="00263E79">
        <w:rPr>
          <w:rFonts w:ascii="Times New Roman" w:hAnsi="Times New Roman"/>
          <w:sz w:val="20"/>
        </w:rPr>
        <w:t xml:space="preserve"> </w:t>
      </w:r>
      <w:r>
        <w:rPr>
          <w:rFonts w:ascii="Times New Roman" w:hAnsi="Times New Roman"/>
          <w:sz w:val="20"/>
        </w:rPr>
        <w:t>the ‘</w:t>
      </w:r>
      <w:r w:rsidRPr="008C20C8">
        <w:rPr>
          <w:rFonts w:ascii="Times New Roman" w:hAnsi="Times New Roman"/>
          <w:sz w:val="20"/>
        </w:rPr>
        <w:t>district court could not use its inherent power to impose attorneys fees without complying with due process</w:t>
      </w:r>
      <w:r>
        <w:rPr>
          <w:rFonts w:ascii="Times New Roman" w:hAnsi="Times New Roman"/>
          <w:sz w:val="20"/>
        </w:rPr>
        <w:t>’</w:t>
      </w:r>
      <w:r w:rsidRPr="008C20C8">
        <w:rPr>
          <w:rFonts w:ascii="Times New Roman" w:hAnsi="Times New Roman"/>
          <w:sz w:val="20"/>
        </w:rPr>
        <w:t xml:space="preserve">: 767. See JJ Janatka, </w:t>
      </w:r>
      <w:r>
        <w:rPr>
          <w:rFonts w:ascii="Times New Roman" w:hAnsi="Times New Roman"/>
          <w:sz w:val="20"/>
        </w:rPr>
        <w:t>‘</w:t>
      </w:r>
      <w:r w:rsidRPr="003D40E1">
        <w:rPr>
          <w:rFonts w:ascii="Times New Roman" w:eastAsiaTheme="minorHAnsi" w:hAnsi="Times New Roman" w:cs="Helvetica"/>
          <w:sz w:val="20"/>
          <w:lang w:val="en-US"/>
        </w:rPr>
        <w:t>The Inherent Power: An Obscure Doctrine Confronts Due Process</w:t>
      </w:r>
      <w:r>
        <w:rPr>
          <w:rFonts w:ascii="Times New Roman" w:eastAsiaTheme="minorHAnsi" w:hAnsi="Times New Roman" w:cs="Helvetica"/>
          <w:sz w:val="20"/>
          <w:lang w:val="en-US"/>
        </w:rPr>
        <w:t>’</w:t>
      </w:r>
      <w:r w:rsidRPr="008C20C8">
        <w:rPr>
          <w:rFonts w:ascii="Times New Roman" w:eastAsiaTheme="minorHAnsi" w:hAnsi="Times New Roman" w:cs="Helvetica"/>
          <w:sz w:val="20"/>
          <w:lang w:val="en-US"/>
        </w:rPr>
        <w:t xml:space="preserve"> (1987)</w:t>
      </w:r>
      <w:r>
        <w:rPr>
          <w:rFonts w:ascii="Times New Roman" w:eastAsiaTheme="minorHAnsi" w:hAnsi="Times New Roman" w:cs="Helvetica"/>
          <w:sz w:val="20"/>
          <w:lang w:val="en-US"/>
        </w:rPr>
        <w:t xml:space="preserve"> </w:t>
      </w:r>
      <w:r w:rsidRPr="008C20C8">
        <w:rPr>
          <w:rFonts w:ascii="Times New Roman" w:eastAsiaTheme="minorHAnsi" w:hAnsi="Times New Roman" w:cs="Helvetica"/>
          <w:sz w:val="20"/>
          <w:lang w:val="en-US"/>
        </w:rPr>
        <w:t xml:space="preserve">65 </w:t>
      </w:r>
      <w:r w:rsidRPr="003D40E1">
        <w:rPr>
          <w:rFonts w:ascii="Times New Roman" w:eastAsiaTheme="minorHAnsi" w:hAnsi="Times New Roman" w:cs="Helvetica"/>
          <w:sz w:val="20"/>
          <w:lang w:val="en-US"/>
        </w:rPr>
        <w:t>Wash ULQ</w:t>
      </w:r>
      <w:r w:rsidRPr="008C20C8">
        <w:rPr>
          <w:rFonts w:ascii="Times New Roman" w:eastAsiaTheme="minorHAnsi" w:hAnsi="Times New Roman" w:cs="Helvetica"/>
          <w:sz w:val="20"/>
          <w:lang w:val="en-US"/>
        </w:rPr>
        <w:t xml:space="preserve"> 429</w:t>
      </w:r>
      <w:r w:rsidRPr="008C20C8">
        <w:rPr>
          <w:rFonts w:ascii="Times New Roman" w:hAnsi="Times New Roman"/>
          <w:sz w:val="20"/>
        </w:rPr>
        <w:t>.</w:t>
      </w:r>
    </w:p>
  </w:footnote>
  <w:footnote w:id="28">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szCs w:val="20"/>
        </w:rPr>
        <w:footnoteRef/>
      </w:r>
      <w:r w:rsidRPr="008C20C8">
        <w:rPr>
          <w:rFonts w:ascii="Times New Roman" w:hAnsi="Times New Roman"/>
          <w:sz w:val="20"/>
        </w:rPr>
        <w:t xml:space="preserve"> </w:t>
      </w:r>
      <w:r w:rsidRPr="005C5BD1">
        <w:rPr>
          <w:rFonts w:ascii="Times New Roman" w:eastAsiaTheme="minorHAnsi" w:hAnsi="Times New Roman" w:cs="Times"/>
          <w:i/>
          <w:iCs/>
          <w:sz w:val="20"/>
          <w:lang w:val="en-US"/>
        </w:rPr>
        <w:t>Alyeska Pipeline Service Co. v Wilderness Society</w:t>
      </w:r>
      <w:r w:rsidRPr="008C20C8">
        <w:rPr>
          <w:rFonts w:ascii="Times New Roman" w:eastAsiaTheme="minorHAnsi" w:hAnsi="Times New Roman" w:cs="Times"/>
          <w:i/>
          <w:iCs/>
          <w:sz w:val="20"/>
          <w:lang w:val="en-US"/>
        </w:rPr>
        <w:t xml:space="preserve"> </w:t>
      </w:r>
      <w:r w:rsidRPr="008C20C8">
        <w:rPr>
          <w:rFonts w:ascii="Times New Roman" w:eastAsiaTheme="minorHAnsi" w:hAnsi="Times New Roman" w:cs="Times"/>
          <w:sz w:val="20"/>
          <w:lang w:val="en-US"/>
        </w:rPr>
        <w:t>421 US 240</w:t>
      </w:r>
      <w:r>
        <w:rPr>
          <w:rFonts w:ascii="Times New Roman" w:eastAsiaTheme="minorHAnsi" w:hAnsi="Times New Roman" w:cs="Times"/>
          <w:sz w:val="20"/>
          <w:lang w:val="en-US"/>
        </w:rPr>
        <w:t>, 259 (1975)</w:t>
      </w:r>
      <w:r w:rsidRPr="008C20C8">
        <w:rPr>
          <w:rFonts w:ascii="Times New Roman" w:eastAsiaTheme="minorHAnsi" w:hAnsi="Times New Roman" w:cs="Times"/>
          <w:sz w:val="20"/>
          <w:lang w:val="en-US"/>
        </w:rPr>
        <w:t xml:space="preserve">; see also </w:t>
      </w:r>
      <w:r w:rsidRPr="008C20C8">
        <w:rPr>
          <w:rFonts w:ascii="Times New Roman" w:hAnsi="Times New Roman"/>
          <w:sz w:val="20"/>
        </w:rPr>
        <w:t>H</w:t>
      </w:r>
      <w:r>
        <w:rPr>
          <w:rFonts w:ascii="Times New Roman" w:hAnsi="Times New Roman"/>
          <w:sz w:val="20"/>
        </w:rPr>
        <w:t>M</w:t>
      </w:r>
      <w:r w:rsidRPr="008C20C8">
        <w:rPr>
          <w:rFonts w:ascii="Times New Roman" w:hAnsi="Times New Roman"/>
          <w:sz w:val="20"/>
        </w:rPr>
        <w:t xml:space="preserve"> Kritzer, </w:t>
      </w:r>
      <w:r>
        <w:rPr>
          <w:rFonts w:ascii="Times New Roman" w:hAnsi="Times New Roman"/>
          <w:sz w:val="20"/>
        </w:rPr>
        <w:t>‘</w:t>
      </w:r>
      <w:r w:rsidRPr="003D40E1">
        <w:rPr>
          <w:rFonts w:ascii="Times New Roman" w:eastAsiaTheme="minorHAnsi" w:hAnsi="Times New Roman" w:cs="Trebuchet MS"/>
          <w:bCs/>
          <w:sz w:val="20"/>
          <w:szCs w:val="30"/>
          <w:lang w:val="en-US"/>
        </w:rPr>
        <w:t>Fee regimes and the cost of civil justice</w:t>
      </w:r>
      <w:r>
        <w:rPr>
          <w:rFonts w:ascii="Times New Roman" w:eastAsiaTheme="minorHAnsi" w:hAnsi="Times New Roman" w:cs="Trebuchet MS"/>
          <w:bCs/>
          <w:sz w:val="20"/>
          <w:szCs w:val="30"/>
          <w:lang w:val="en-US"/>
        </w:rPr>
        <w:t>’</w:t>
      </w:r>
      <w:r w:rsidRPr="008C20C8">
        <w:rPr>
          <w:rFonts w:ascii="Times New Roman" w:eastAsiaTheme="minorHAnsi" w:hAnsi="Times New Roman" w:cs="Trebuchet MS"/>
          <w:bCs/>
          <w:sz w:val="20"/>
          <w:szCs w:val="30"/>
          <w:lang w:val="en-US"/>
        </w:rPr>
        <w:t xml:space="preserve"> </w:t>
      </w:r>
      <w:r w:rsidRPr="008C20C8">
        <w:rPr>
          <w:rFonts w:ascii="Times New Roman" w:eastAsiaTheme="minorHAnsi" w:hAnsi="Times New Roman" w:cs="Verdana"/>
          <w:sz w:val="20"/>
          <w:szCs w:val="26"/>
          <w:lang w:val="en-US"/>
        </w:rPr>
        <w:t>(2009)</w:t>
      </w:r>
      <w:r>
        <w:rPr>
          <w:rFonts w:ascii="Times New Roman" w:eastAsiaTheme="minorHAnsi" w:hAnsi="Times New Roman" w:cs="Verdana"/>
          <w:sz w:val="20"/>
          <w:szCs w:val="26"/>
          <w:lang w:val="en-US"/>
        </w:rPr>
        <w:t xml:space="preserve"> </w:t>
      </w:r>
      <w:r w:rsidRPr="008C20C8">
        <w:rPr>
          <w:rFonts w:ascii="Times New Roman" w:eastAsiaTheme="minorHAnsi" w:hAnsi="Times New Roman" w:cs="Trebuchet MS"/>
          <w:bCs/>
          <w:sz w:val="20"/>
          <w:szCs w:val="30"/>
          <w:lang w:val="en-US"/>
        </w:rPr>
        <w:t xml:space="preserve">28 </w:t>
      </w:r>
      <w:r w:rsidRPr="008C20C8">
        <w:rPr>
          <w:rFonts w:ascii="Times New Roman" w:eastAsiaTheme="minorHAnsi" w:hAnsi="Times New Roman" w:cs="Verdana"/>
          <w:smallCaps/>
          <w:sz w:val="20"/>
          <w:szCs w:val="26"/>
          <w:lang w:val="en-US"/>
        </w:rPr>
        <w:t>CJQ</w:t>
      </w:r>
      <w:r w:rsidRPr="008C20C8">
        <w:rPr>
          <w:rFonts w:ascii="Times New Roman" w:eastAsiaTheme="minorHAnsi" w:hAnsi="Times New Roman" w:cs="Verdana"/>
          <w:sz w:val="20"/>
          <w:szCs w:val="26"/>
          <w:lang w:val="en-US"/>
        </w:rPr>
        <w:t xml:space="preserve"> 344</w:t>
      </w:r>
      <w:r w:rsidRPr="008C20C8">
        <w:rPr>
          <w:rFonts w:ascii="Times New Roman" w:hAnsi="Times New Roman"/>
          <w:sz w:val="20"/>
        </w:rPr>
        <w:t xml:space="preserve">. American </w:t>
      </w:r>
      <w:r>
        <w:rPr>
          <w:rFonts w:ascii="Times New Roman" w:hAnsi="Times New Roman"/>
          <w:sz w:val="20"/>
        </w:rPr>
        <w:t xml:space="preserve">regulatory practice depends on </w:t>
      </w:r>
      <w:r w:rsidRPr="008C20C8">
        <w:rPr>
          <w:rFonts w:ascii="Times New Roman" w:hAnsi="Times New Roman"/>
          <w:sz w:val="20"/>
        </w:rPr>
        <w:t>private enforcement (</w:t>
      </w:r>
      <w:r w:rsidRPr="008C20C8">
        <w:rPr>
          <w:rFonts w:ascii="Times New Roman" w:eastAsiaTheme="minorHAnsi" w:hAnsi="Times New Roman" w:cs="Verdana"/>
          <w:sz w:val="20"/>
          <w:lang w:val="en-US"/>
        </w:rPr>
        <w:t>M</w:t>
      </w:r>
      <w:r>
        <w:rPr>
          <w:rFonts w:ascii="Times New Roman" w:eastAsiaTheme="minorHAnsi" w:hAnsi="Times New Roman" w:cs="Verdana"/>
          <w:sz w:val="20"/>
          <w:lang w:val="en-US"/>
        </w:rPr>
        <w:t xml:space="preserve"> </w:t>
      </w:r>
      <w:r w:rsidRPr="008C20C8">
        <w:rPr>
          <w:rFonts w:ascii="Times New Roman" w:eastAsiaTheme="minorHAnsi" w:hAnsi="Times New Roman" w:cs="Verdana"/>
          <w:sz w:val="20"/>
          <w:lang w:val="en-US"/>
        </w:rPr>
        <w:t xml:space="preserve">Gilles and GB Friedman, </w:t>
      </w:r>
      <w:r>
        <w:rPr>
          <w:rFonts w:ascii="Times New Roman" w:eastAsiaTheme="minorHAnsi" w:hAnsi="Times New Roman" w:cs="Verdana"/>
          <w:sz w:val="20"/>
          <w:lang w:val="en-US"/>
        </w:rPr>
        <w:t>‘</w:t>
      </w:r>
      <w:r w:rsidRPr="008C20C8">
        <w:rPr>
          <w:rFonts w:ascii="Times New Roman" w:eastAsiaTheme="minorHAnsi" w:hAnsi="Times New Roman" w:cs="Verdana"/>
          <w:sz w:val="20"/>
          <w:lang w:val="en-US"/>
        </w:rPr>
        <w:t>Exploding the Class Action Agency Costs Myth: The Social Utility of Entrepreneurial Lawyers</w:t>
      </w:r>
      <w:r>
        <w:rPr>
          <w:rFonts w:ascii="Times New Roman" w:eastAsiaTheme="minorHAnsi" w:hAnsi="Times New Roman" w:cs="Verdana"/>
          <w:sz w:val="20"/>
          <w:lang w:val="en-US"/>
        </w:rPr>
        <w:t>‘</w:t>
      </w:r>
      <w:r w:rsidRPr="008C20C8">
        <w:rPr>
          <w:rFonts w:ascii="Times New Roman" w:eastAsiaTheme="minorHAnsi" w:hAnsi="Times New Roman" w:cs="Verdana"/>
          <w:sz w:val="20"/>
          <w:lang w:val="en-US"/>
        </w:rPr>
        <w:t>(2006)</w:t>
      </w:r>
      <w:r>
        <w:rPr>
          <w:rFonts w:ascii="Times New Roman" w:eastAsiaTheme="minorHAnsi" w:hAnsi="Times New Roman" w:cs="Verdana"/>
          <w:sz w:val="20"/>
          <w:lang w:val="en-US"/>
        </w:rPr>
        <w:t xml:space="preserve"> </w:t>
      </w:r>
      <w:r w:rsidRPr="008C20C8">
        <w:rPr>
          <w:rFonts w:ascii="Times New Roman" w:eastAsiaTheme="minorHAnsi" w:hAnsi="Times New Roman" w:cs="Verdana"/>
          <w:sz w:val="20"/>
          <w:lang w:val="en-US"/>
        </w:rPr>
        <w:t xml:space="preserve">155 </w:t>
      </w:r>
      <w:r w:rsidRPr="003D40E1">
        <w:rPr>
          <w:rFonts w:ascii="Times New Roman" w:eastAsiaTheme="minorHAnsi" w:hAnsi="Times New Roman" w:cs="Verdana"/>
          <w:sz w:val="20"/>
          <w:lang w:val="en-US"/>
        </w:rPr>
        <w:t>U Pa L Rev</w:t>
      </w:r>
      <w:r w:rsidRPr="00263E79">
        <w:rPr>
          <w:rFonts w:ascii="Times New Roman" w:eastAsiaTheme="minorHAnsi" w:hAnsi="Times New Roman" w:cs="Verdana"/>
          <w:sz w:val="20"/>
          <w:lang w:val="en-US"/>
        </w:rPr>
        <w:t xml:space="preserve"> </w:t>
      </w:r>
      <w:r w:rsidRPr="008C20C8">
        <w:rPr>
          <w:rFonts w:ascii="Times New Roman" w:eastAsiaTheme="minorHAnsi" w:hAnsi="Times New Roman" w:cs="Verdana"/>
          <w:sz w:val="20"/>
          <w:lang w:val="en-US"/>
        </w:rPr>
        <w:t>105, 102</w:t>
      </w:r>
      <w:r w:rsidRPr="008C20C8">
        <w:rPr>
          <w:rFonts w:ascii="Times New Roman" w:hAnsi="Times New Roman"/>
          <w:sz w:val="20"/>
        </w:rPr>
        <w:t>), which relies on risk-taking and inventive lawyers</w:t>
      </w:r>
      <w:r>
        <w:rPr>
          <w:rFonts w:ascii="Times New Roman" w:hAnsi="Times New Roman"/>
          <w:sz w:val="20"/>
        </w:rPr>
        <w:t>; thus policing and sanctioning their behaviour, beyond the statutory power in 28 USC §</w:t>
      </w:r>
      <w:r w:rsidRPr="008C20C8">
        <w:rPr>
          <w:rFonts w:ascii="Times New Roman" w:hAnsi="Times New Roman"/>
          <w:sz w:val="20"/>
        </w:rPr>
        <w:t>1927</w:t>
      </w:r>
      <w:r>
        <w:rPr>
          <w:rFonts w:ascii="Times New Roman" w:hAnsi="Times New Roman"/>
          <w:sz w:val="20"/>
        </w:rPr>
        <w:t xml:space="preserve">, can have (un)intended consequences on </w:t>
      </w:r>
      <w:r w:rsidRPr="008C20C8">
        <w:rPr>
          <w:rFonts w:ascii="Times New Roman" w:hAnsi="Times New Roman"/>
          <w:sz w:val="20"/>
        </w:rPr>
        <w:t xml:space="preserve">the system of private enforcement and deterrence of corporate/state malpractice. </w:t>
      </w:r>
    </w:p>
  </w:footnote>
  <w:footnote w:id="29">
    <w:p w:rsidR="00D43B4E" w:rsidRPr="008C20C8" w:rsidRDefault="00D43B4E" w:rsidP="00716CEE">
      <w:pPr>
        <w:pStyle w:val="FootnoteText"/>
        <w:rPr>
          <w:rFonts w:ascii="Times New Roman" w:hAnsi="Times New Roman"/>
          <w:sz w:val="20"/>
        </w:rPr>
      </w:pPr>
      <w:r w:rsidRPr="003D40E1">
        <w:rPr>
          <w:rStyle w:val="FootnoteReference"/>
          <w:rFonts w:ascii="Times New Roman" w:hAnsi="Times New Roman"/>
          <w:sz w:val="20"/>
        </w:rPr>
        <w:footnoteRef/>
      </w:r>
      <w:r w:rsidRPr="003D40E1">
        <w:rPr>
          <w:rFonts w:ascii="Times New Roman" w:hAnsi="Times New Roman"/>
          <w:sz w:val="20"/>
        </w:rPr>
        <w:t xml:space="preserve"> </w:t>
      </w:r>
      <w:r>
        <w:rPr>
          <w:rFonts w:ascii="Times New Roman" w:hAnsi="Times New Roman"/>
          <w:sz w:val="20"/>
        </w:rPr>
        <w:t>SN Subrin et al</w:t>
      </w:r>
      <w:r w:rsidRPr="003D40E1">
        <w:rPr>
          <w:rFonts w:ascii="Times New Roman" w:hAnsi="Times New Roman"/>
          <w:sz w:val="20"/>
        </w:rPr>
        <w:t xml:space="preserve">, </w:t>
      </w:r>
      <w:r w:rsidRPr="005C5BD1">
        <w:rPr>
          <w:rFonts w:ascii="Times New Roman" w:hAnsi="Times New Roman"/>
          <w:i/>
          <w:sz w:val="20"/>
        </w:rPr>
        <w:t>Civil Procedure: Doctrine, Practice and Context</w:t>
      </w:r>
      <w:r w:rsidRPr="005C5BD1">
        <w:rPr>
          <w:rFonts w:ascii="Times New Roman" w:hAnsi="Times New Roman"/>
          <w:i/>
          <w:smallCaps/>
          <w:sz w:val="20"/>
        </w:rPr>
        <w:t xml:space="preserve"> </w:t>
      </w:r>
      <w:r>
        <w:rPr>
          <w:rFonts w:ascii="Times New Roman" w:hAnsi="Times New Roman"/>
          <w:smallCaps/>
          <w:sz w:val="20"/>
        </w:rPr>
        <w:t xml:space="preserve"> </w:t>
      </w:r>
      <w:r w:rsidRPr="008C20C8">
        <w:rPr>
          <w:rFonts w:ascii="Times New Roman" w:hAnsi="Times New Roman"/>
          <w:smallCaps/>
          <w:sz w:val="20"/>
        </w:rPr>
        <w:t>(</w:t>
      </w:r>
      <w:r>
        <w:rPr>
          <w:rFonts w:ascii="Times New Roman" w:hAnsi="Times New Roman"/>
          <w:sz w:val="20"/>
        </w:rPr>
        <w:t>WoltersKluwer</w:t>
      </w:r>
      <w:r w:rsidRPr="008C20C8">
        <w:rPr>
          <w:rFonts w:ascii="Times New Roman" w:hAnsi="Times New Roman"/>
          <w:sz w:val="20"/>
        </w:rPr>
        <w:t xml:space="preserve"> 2008</w:t>
      </w:r>
      <w:r>
        <w:rPr>
          <w:rFonts w:ascii="Times New Roman" w:hAnsi="Times New Roman"/>
          <w:sz w:val="20"/>
        </w:rPr>
        <w:t>) 503;</w:t>
      </w:r>
      <w:r w:rsidRPr="008C20C8">
        <w:rPr>
          <w:rFonts w:ascii="Times New Roman" w:hAnsi="Times New Roman"/>
          <w:sz w:val="20"/>
        </w:rPr>
        <w:t xml:space="preserve"> </w:t>
      </w:r>
      <w:r w:rsidRPr="003D40E1">
        <w:rPr>
          <w:rFonts w:ascii="Times New Roman" w:hAnsi="Times New Roman" w:cs="Times"/>
          <w:sz w:val="20"/>
          <w:szCs w:val="52"/>
          <w:lang w:val="en-US"/>
        </w:rPr>
        <w:t xml:space="preserve">J Friedenthal et al, </w:t>
      </w:r>
      <w:r w:rsidRPr="005C5BD1">
        <w:rPr>
          <w:rFonts w:ascii="Times New Roman" w:hAnsi="Times New Roman" w:cs="Times"/>
          <w:i/>
          <w:sz w:val="20"/>
          <w:szCs w:val="52"/>
          <w:lang w:val="en-US"/>
        </w:rPr>
        <w:t xml:space="preserve">Friedenthal, Kane and Miller's Civil Procedure </w:t>
      </w:r>
      <w:r w:rsidRPr="003D40E1">
        <w:rPr>
          <w:rFonts w:ascii="Times New Roman" w:hAnsi="Times New Roman" w:cs="Times"/>
          <w:sz w:val="20"/>
          <w:szCs w:val="52"/>
          <w:lang w:val="en-US"/>
        </w:rPr>
        <w:t>(</w:t>
      </w:r>
      <w:r w:rsidRPr="008C20C8">
        <w:rPr>
          <w:rFonts w:ascii="Times New Roman" w:hAnsi="Times New Roman" w:cs="Times"/>
          <w:sz w:val="20"/>
          <w:szCs w:val="52"/>
          <w:lang w:val="en-US"/>
        </w:rPr>
        <w:t>4</w:t>
      </w:r>
      <w:r w:rsidRPr="005C5BD1">
        <w:rPr>
          <w:rFonts w:ascii="Times New Roman" w:hAnsi="Times New Roman" w:cs="Times"/>
          <w:sz w:val="20"/>
          <w:szCs w:val="52"/>
          <w:lang w:val="en-US"/>
        </w:rPr>
        <w:t>th</w:t>
      </w:r>
      <w:r w:rsidRPr="008C20C8">
        <w:rPr>
          <w:rFonts w:ascii="Times New Roman" w:hAnsi="Times New Roman" w:cs="Times"/>
          <w:sz w:val="20"/>
          <w:szCs w:val="52"/>
          <w:lang w:val="en-US"/>
        </w:rPr>
        <w:t xml:space="preserve"> </w:t>
      </w:r>
      <w:r>
        <w:rPr>
          <w:rFonts w:ascii="Times New Roman" w:hAnsi="Times New Roman" w:cs="Times"/>
          <w:sz w:val="20"/>
          <w:szCs w:val="52"/>
          <w:lang w:val="en-US"/>
        </w:rPr>
        <w:t xml:space="preserve">edn, </w:t>
      </w:r>
      <w:r w:rsidRPr="008C20C8">
        <w:rPr>
          <w:rFonts w:ascii="Times New Roman" w:hAnsi="Times New Roman" w:cs="Times"/>
          <w:sz w:val="20"/>
          <w:szCs w:val="52"/>
          <w:lang w:val="en-US"/>
        </w:rPr>
        <w:t>West</w:t>
      </w:r>
      <w:r w:rsidRPr="008C20C8">
        <w:rPr>
          <w:rFonts w:ascii="Times New Roman" w:hAnsi="Times New Roman" w:cs="Times"/>
          <w:smallCaps/>
          <w:sz w:val="20"/>
          <w:szCs w:val="52"/>
          <w:lang w:val="en-US"/>
        </w:rPr>
        <w:t xml:space="preserve"> 2005) </w:t>
      </w:r>
      <w:r w:rsidRPr="008C20C8">
        <w:rPr>
          <w:rFonts w:ascii="Times New Roman" w:hAnsi="Times New Roman" w:cs="Times"/>
          <w:sz w:val="20"/>
          <w:szCs w:val="52"/>
          <w:lang w:val="en-US"/>
        </w:rPr>
        <w:t>486, for an example of the first approach.</w:t>
      </w:r>
    </w:p>
  </w:footnote>
  <w:footnote w:id="30">
    <w:p w:rsidR="00D43B4E" w:rsidRPr="008C20C8" w:rsidRDefault="00D43B4E" w:rsidP="00716CEE">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The case has warranted very few direct commentaries: Note, </w:t>
      </w:r>
      <w:r>
        <w:rPr>
          <w:rFonts w:ascii="Times New Roman" w:hAnsi="Times New Roman"/>
          <w:sz w:val="20"/>
        </w:rPr>
        <w:t>‘</w:t>
      </w:r>
      <w:r w:rsidRPr="003D40E1">
        <w:rPr>
          <w:rFonts w:ascii="Times New Roman" w:hAnsi="Times New Roman"/>
          <w:sz w:val="20"/>
          <w:lang w:val="en-US"/>
        </w:rPr>
        <w:t>Dismissal for Failure to Attend a Pretrial Conference and the Use of Sanctions at Preparatory Stages of Litigation</w:t>
      </w:r>
      <w:r>
        <w:rPr>
          <w:rFonts w:ascii="Times New Roman" w:hAnsi="Times New Roman"/>
          <w:sz w:val="20"/>
          <w:lang w:val="en-US"/>
        </w:rPr>
        <w:t>’</w:t>
      </w:r>
      <w:r w:rsidRPr="008C20C8">
        <w:rPr>
          <w:rFonts w:ascii="Times New Roman" w:hAnsi="Times New Roman"/>
          <w:i/>
          <w:sz w:val="20"/>
          <w:lang w:val="en-US"/>
        </w:rPr>
        <w:t xml:space="preserve"> </w:t>
      </w:r>
      <w:r w:rsidRPr="008C20C8">
        <w:rPr>
          <w:rFonts w:ascii="Times New Roman" w:hAnsi="Times New Roman"/>
          <w:sz w:val="20"/>
          <w:lang w:val="en-US"/>
        </w:rPr>
        <w:t>(1962-1963)</w:t>
      </w:r>
      <w:r>
        <w:rPr>
          <w:rFonts w:ascii="Times New Roman" w:hAnsi="Times New Roman"/>
          <w:sz w:val="20"/>
          <w:lang w:val="en-US"/>
        </w:rPr>
        <w:t xml:space="preserve"> </w:t>
      </w:r>
      <w:r w:rsidRPr="008C20C8">
        <w:rPr>
          <w:rFonts w:ascii="Times New Roman" w:hAnsi="Times New Roman"/>
          <w:sz w:val="20"/>
          <w:lang w:val="en-US"/>
        </w:rPr>
        <w:t>72</w:t>
      </w:r>
      <w:r w:rsidRPr="005A12F6">
        <w:rPr>
          <w:rFonts w:ascii="Times New Roman" w:hAnsi="Times New Roman"/>
          <w:sz w:val="20"/>
          <w:lang w:val="en-US"/>
        </w:rPr>
        <w:t xml:space="preserve"> </w:t>
      </w:r>
      <w:r w:rsidRPr="003D40E1">
        <w:rPr>
          <w:rFonts w:ascii="Times New Roman" w:hAnsi="Times New Roman"/>
          <w:sz w:val="20"/>
          <w:lang w:val="en-US"/>
        </w:rPr>
        <w:t>Yale LJ</w:t>
      </w:r>
      <w:r w:rsidRPr="008C20C8">
        <w:rPr>
          <w:rFonts w:ascii="Times New Roman" w:hAnsi="Times New Roman"/>
          <w:sz w:val="20"/>
          <w:lang w:val="en-US"/>
        </w:rPr>
        <w:t xml:space="preserve"> 819</w:t>
      </w:r>
      <w:r w:rsidRPr="008C20C8">
        <w:rPr>
          <w:rFonts w:ascii="Times New Roman" w:hAnsi="Times New Roman"/>
          <w:sz w:val="20"/>
        </w:rPr>
        <w:t xml:space="preserve">; Note, </w:t>
      </w:r>
      <w:r>
        <w:rPr>
          <w:rFonts w:ascii="Times New Roman" w:hAnsi="Times New Roman"/>
          <w:sz w:val="20"/>
        </w:rPr>
        <w:t>‘</w:t>
      </w:r>
      <w:r w:rsidRPr="003D40E1">
        <w:rPr>
          <w:rFonts w:ascii="Times New Roman" w:hAnsi="Times New Roman" w:cs="Arial"/>
          <w:sz w:val="20"/>
          <w:szCs w:val="28"/>
          <w:lang w:val="en-US"/>
        </w:rPr>
        <w:t>Involuntary Dismissal for Disobedience or Delay: The Plaintiff's Plight</w:t>
      </w:r>
      <w:r>
        <w:rPr>
          <w:rFonts w:ascii="Times New Roman" w:hAnsi="Times New Roman" w:cs="Arial"/>
          <w:sz w:val="20"/>
          <w:szCs w:val="28"/>
          <w:lang w:val="en-US"/>
        </w:rPr>
        <w:t>’</w:t>
      </w:r>
      <w:r w:rsidRPr="005A12F6">
        <w:rPr>
          <w:rFonts w:ascii="Times New Roman" w:hAnsi="Times New Roman" w:cs="Arial"/>
          <w:sz w:val="20"/>
          <w:szCs w:val="28"/>
          <w:lang w:val="en-US"/>
        </w:rPr>
        <w:t xml:space="preserve"> </w:t>
      </w:r>
      <w:r w:rsidRPr="008C20C8">
        <w:rPr>
          <w:rFonts w:ascii="Times New Roman" w:hAnsi="Times New Roman" w:cs="Arial"/>
          <w:sz w:val="20"/>
          <w:szCs w:val="28"/>
          <w:lang w:val="en-US"/>
        </w:rPr>
        <w:t>(1966-1967</w:t>
      </w:r>
      <w:r>
        <w:rPr>
          <w:rFonts w:ascii="Times New Roman" w:hAnsi="Times New Roman" w:cs="Arial"/>
          <w:sz w:val="20"/>
          <w:szCs w:val="28"/>
          <w:lang w:val="en-US"/>
        </w:rPr>
        <w:t xml:space="preserve">) </w:t>
      </w:r>
      <w:r w:rsidRPr="008C20C8">
        <w:rPr>
          <w:rFonts w:ascii="Times New Roman" w:hAnsi="Times New Roman" w:cs="Arial"/>
          <w:sz w:val="20"/>
          <w:szCs w:val="28"/>
          <w:lang w:val="en-US"/>
        </w:rPr>
        <w:t xml:space="preserve">34 </w:t>
      </w:r>
      <w:r w:rsidRPr="003D40E1">
        <w:rPr>
          <w:rFonts w:ascii="Times New Roman" w:hAnsi="Times New Roman" w:cs="Arial"/>
          <w:sz w:val="20"/>
          <w:szCs w:val="28"/>
          <w:lang w:val="en-US"/>
        </w:rPr>
        <w:t xml:space="preserve">U Chi L Rev </w:t>
      </w:r>
      <w:r w:rsidRPr="008C20C8">
        <w:rPr>
          <w:rFonts w:ascii="Times New Roman" w:hAnsi="Times New Roman" w:cs="Arial"/>
          <w:sz w:val="20"/>
          <w:szCs w:val="28"/>
          <w:lang w:val="en-US"/>
        </w:rPr>
        <w:t xml:space="preserve">922; and </w:t>
      </w:r>
      <w:r>
        <w:rPr>
          <w:rFonts w:ascii="Times New Roman" w:hAnsi="Times New Roman" w:cs="Arial"/>
          <w:sz w:val="20"/>
          <w:szCs w:val="28"/>
          <w:lang w:val="en-US"/>
        </w:rPr>
        <w:t xml:space="preserve">some on the attorney-client </w:t>
      </w:r>
      <w:r w:rsidRPr="008C20C8">
        <w:rPr>
          <w:rFonts w:ascii="Times New Roman" w:hAnsi="Times New Roman" w:cs="Arial"/>
          <w:sz w:val="20"/>
          <w:szCs w:val="28"/>
          <w:lang w:val="en-US"/>
        </w:rPr>
        <w:t>relationship: W</w:t>
      </w:r>
      <w:r>
        <w:rPr>
          <w:rFonts w:ascii="Times New Roman" w:hAnsi="Times New Roman" w:cs="Arial"/>
          <w:sz w:val="20"/>
          <w:szCs w:val="28"/>
          <w:lang w:val="en-US"/>
        </w:rPr>
        <w:t>R</w:t>
      </w:r>
      <w:r w:rsidRPr="008C20C8">
        <w:rPr>
          <w:rFonts w:ascii="Times New Roman" w:hAnsi="Times New Roman" w:cs="Arial"/>
          <w:sz w:val="20"/>
          <w:szCs w:val="28"/>
          <w:lang w:val="en-US"/>
        </w:rPr>
        <w:t xml:space="preserve"> Mureiko, </w:t>
      </w:r>
      <w:r>
        <w:rPr>
          <w:rFonts w:ascii="Times New Roman" w:hAnsi="Times New Roman" w:cs="Arial"/>
          <w:sz w:val="20"/>
          <w:szCs w:val="28"/>
          <w:lang w:val="en-US"/>
        </w:rPr>
        <w:t>‘</w:t>
      </w:r>
      <w:r w:rsidRPr="003D40E1">
        <w:rPr>
          <w:rFonts w:ascii="Times New Roman" w:hAnsi="Times New Roman" w:cs="Arial"/>
          <w:sz w:val="20"/>
          <w:szCs w:val="28"/>
          <w:lang w:val="en-US"/>
        </w:rPr>
        <w:t xml:space="preserve">The </w:t>
      </w:r>
      <w:r w:rsidRPr="003D40E1">
        <w:rPr>
          <w:rFonts w:ascii="Times New Roman" w:eastAsiaTheme="minorHAnsi" w:hAnsi="Times New Roman" w:cs="Arial"/>
          <w:sz w:val="20"/>
          <w:lang w:val="en-US"/>
        </w:rPr>
        <w:t>Agency Theory of the Attorney-Client Relationship: An Improper Justification for Holding Clients Responsible for Their Attorneys' Procedural Errors</w:t>
      </w:r>
      <w:r>
        <w:rPr>
          <w:rFonts w:ascii="Times New Roman" w:eastAsiaTheme="minorHAnsi" w:hAnsi="Times New Roman" w:cs="Arial"/>
          <w:sz w:val="20"/>
          <w:lang w:val="en-US"/>
        </w:rPr>
        <w:t>’</w:t>
      </w:r>
      <w:r w:rsidRPr="008C20C8">
        <w:rPr>
          <w:rFonts w:ascii="Times New Roman" w:eastAsiaTheme="minorHAnsi" w:hAnsi="Times New Roman" w:cs="Arial"/>
          <w:sz w:val="20"/>
          <w:lang w:val="en-US"/>
        </w:rPr>
        <w:t xml:space="preserve"> </w:t>
      </w:r>
      <w:r>
        <w:rPr>
          <w:rFonts w:ascii="Times New Roman" w:eastAsiaTheme="minorHAnsi" w:hAnsi="Times New Roman" w:cs="Arial"/>
          <w:sz w:val="20"/>
          <w:lang w:val="en-US"/>
        </w:rPr>
        <w:t>1988</w:t>
      </w:r>
      <w:r w:rsidRPr="008C20C8">
        <w:rPr>
          <w:rFonts w:ascii="Times New Roman" w:eastAsiaTheme="minorHAnsi" w:hAnsi="Times New Roman" w:cs="Arial"/>
          <w:sz w:val="20"/>
          <w:lang w:val="en-US"/>
        </w:rPr>
        <w:t xml:space="preserve"> </w:t>
      </w:r>
      <w:r w:rsidRPr="003D40E1">
        <w:rPr>
          <w:rFonts w:ascii="Times New Roman" w:eastAsiaTheme="minorHAnsi" w:hAnsi="Times New Roman" w:cs="Arial"/>
          <w:iCs/>
          <w:sz w:val="20"/>
          <w:lang w:val="en-US"/>
        </w:rPr>
        <w:t>Duke LJ</w:t>
      </w:r>
      <w:r w:rsidRPr="008C20C8">
        <w:rPr>
          <w:rFonts w:ascii="Times New Roman" w:eastAsiaTheme="minorHAnsi" w:hAnsi="Times New Roman" w:cs="Arial"/>
          <w:iCs/>
          <w:smallCaps/>
          <w:sz w:val="20"/>
          <w:lang w:val="en-US"/>
        </w:rPr>
        <w:t xml:space="preserve"> </w:t>
      </w:r>
      <w:r w:rsidRPr="008C20C8">
        <w:rPr>
          <w:rFonts w:ascii="Times New Roman" w:eastAsiaTheme="minorHAnsi" w:hAnsi="Times New Roman" w:cs="Arial"/>
          <w:sz w:val="20"/>
          <w:lang w:val="en-US"/>
        </w:rPr>
        <w:t>733</w:t>
      </w:r>
      <w:r w:rsidRPr="008C20C8">
        <w:rPr>
          <w:rFonts w:ascii="Times New Roman" w:hAnsi="Times New Roman" w:cs="Arial"/>
          <w:sz w:val="20"/>
          <w:szCs w:val="28"/>
          <w:lang w:val="en-US"/>
        </w:rPr>
        <w:t xml:space="preserve">; </w:t>
      </w:r>
      <w:r w:rsidRPr="008C20C8">
        <w:rPr>
          <w:rFonts w:ascii="Times New Roman" w:eastAsiaTheme="minorHAnsi" w:hAnsi="Times New Roman" w:cs="Helvetica"/>
          <w:sz w:val="20"/>
          <w:lang w:val="en-US"/>
        </w:rPr>
        <w:t xml:space="preserve">RG Vineyard, </w:t>
      </w:r>
      <w:r>
        <w:rPr>
          <w:rFonts w:ascii="Times New Roman" w:eastAsiaTheme="minorHAnsi" w:hAnsi="Times New Roman" w:cs="Helvetica"/>
          <w:sz w:val="20"/>
          <w:lang w:val="en-US"/>
        </w:rPr>
        <w:t>‘</w:t>
      </w:r>
      <w:r w:rsidRPr="003D40E1">
        <w:rPr>
          <w:rFonts w:ascii="Times New Roman" w:eastAsiaTheme="minorHAnsi" w:hAnsi="Times New Roman" w:cs="Helvetica"/>
          <w:sz w:val="20"/>
          <w:lang w:val="en-US"/>
        </w:rPr>
        <w:t>Dismissal with Prejudice for Failure to Prosecute: Visiting the Sins of the Attorney upon the Client</w:t>
      </w:r>
      <w:r>
        <w:rPr>
          <w:rFonts w:ascii="Times New Roman" w:eastAsiaTheme="minorHAnsi" w:hAnsi="Times New Roman" w:cs="Helvetica"/>
          <w:sz w:val="20"/>
          <w:lang w:val="en-US"/>
        </w:rPr>
        <w:t>’</w:t>
      </w:r>
      <w:r w:rsidRPr="008C20C8">
        <w:rPr>
          <w:rFonts w:ascii="Times New Roman" w:eastAsiaTheme="minorHAnsi" w:hAnsi="Times New Roman" w:cs="Helvetica"/>
          <w:i/>
          <w:sz w:val="20"/>
          <w:lang w:val="en-US"/>
        </w:rPr>
        <w:t xml:space="preserve"> </w:t>
      </w:r>
      <w:r w:rsidRPr="008C20C8">
        <w:rPr>
          <w:rFonts w:ascii="Times New Roman" w:eastAsiaTheme="minorHAnsi" w:hAnsi="Times New Roman" w:cs="Helvetica"/>
          <w:sz w:val="20"/>
          <w:lang w:val="en-US"/>
        </w:rPr>
        <w:t>(1987-1988)</w:t>
      </w:r>
      <w:r>
        <w:rPr>
          <w:rFonts w:ascii="Times New Roman" w:eastAsiaTheme="minorHAnsi" w:hAnsi="Times New Roman" w:cs="Helvetica"/>
          <w:sz w:val="20"/>
          <w:lang w:val="en-US"/>
        </w:rPr>
        <w:t xml:space="preserve"> </w:t>
      </w:r>
      <w:r w:rsidRPr="008C20C8">
        <w:rPr>
          <w:rFonts w:ascii="Times New Roman" w:eastAsiaTheme="minorHAnsi" w:hAnsi="Times New Roman" w:cs="Helvetica"/>
          <w:sz w:val="20"/>
          <w:lang w:val="en-US"/>
        </w:rPr>
        <w:t xml:space="preserve">22 </w:t>
      </w:r>
      <w:r w:rsidRPr="003D40E1">
        <w:rPr>
          <w:rFonts w:ascii="Times New Roman" w:eastAsiaTheme="minorHAnsi" w:hAnsi="Times New Roman" w:cs="Helvetica"/>
          <w:sz w:val="20"/>
          <w:lang w:val="en-US"/>
        </w:rPr>
        <w:t xml:space="preserve">Ga L Rev </w:t>
      </w:r>
      <w:r w:rsidRPr="008C20C8">
        <w:rPr>
          <w:rFonts w:ascii="Times New Roman" w:eastAsiaTheme="minorHAnsi" w:hAnsi="Times New Roman" w:cs="Helvetica"/>
          <w:sz w:val="20"/>
          <w:lang w:val="en-US"/>
        </w:rPr>
        <w:t>195.</w:t>
      </w:r>
      <w:r w:rsidRPr="008C20C8">
        <w:rPr>
          <w:rFonts w:ascii="Times New Roman" w:hAnsi="Times New Roman"/>
          <w:sz w:val="20"/>
        </w:rPr>
        <w:t xml:space="preserve"> </w:t>
      </w:r>
    </w:p>
  </w:footnote>
  <w:footnote w:id="31">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szCs w:val="20"/>
        </w:rPr>
        <w:footnoteRef/>
      </w:r>
      <w:r w:rsidRPr="008C20C8">
        <w:rPr>
          <w:rFonts w:ascii="Times New Roman" w:hAnsi="Times New Roman"/>
          <w:sz w:val="20"/>
        </w:rPr>
        <w:t xml:space="preserve"> </w:t>
      </w:r>
      <w:r w:rsidRPr="0023788E">
        <w:rPr>
          <w:rFonts w:ascii="Times New Roman" w:hAnsi="Times New Roman"/>
          <w:i/>
          <w:sz w:val="20"/>
        </w:rPr>
        <w:t>Link v Wabash Rly Co.</w:t>
      </w:r>
      <w:r w:rsidRPr="008C20C8">
        <w:rPr>
          <w:rFonts w:ascii="Times New Roman" w:hAnsi="Times New Roman"/>
          <w:sz w:val="20"/>
        </w:rPr>
        <w:t xml:space="preserve"> </w:t>
      </w:r>
      <w:r w:rsidRPr="008C20C8">
        <w:rPr>
          <w:rFonts w:ascii="Times New Roman" w:hAnsi="Times New Roman" w:cs="Times"/>
          <w:bCs/>
          <w:sz w:val="20"/>
          <w:lang w:val="en-US"/>
        </w:rPr>
        <w:t>370 US 626 (1962).</w:t>
      </w:r>
    </w:p>
  </w:footnote>
  <w:footnote w:id="32">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ibid 629-31.</w:t>
      </w:r>
    </w:p>
  </w:footnote>
  <w:footnote w:id="33">
    <w:p w:rsidR="00D43B4E" w:rsidRDefault="00D43B4E">
      <w:pPr>
        <w:pStyle w:val="FootnoteText"/>
      </w:pPr>
      <w:r>
        <w:rPr>
          <w:rStyle w:val="FootnoteReference"/>
        </w:rPr>
        <w:footnoteRef/>
      </w:r>
      <w:r>
        <w:t xml:space="preserve"> </w:t>
      </w:r>
      <w:r w:rsidRPr="00F10B91">
        <w:rPr>
          <w:rFonts w:ascii="Times New Roman" w:hAnsi="Times New Roman"/>
          <w:sz w:val="20"/>
        </w:rPr>
        <w:t>Criticised on this point by</w:t>
      </w:r>
      <w:r>
        <w:t xml:space="preserve"> </w:t>
      </w:r>
      <w:r w:rsidRPr="008C20C8">
        <w:rPr>
          <w:rFonts w:ascii="Times New Roman" w:eastAsiaTheme="minorHAnsi" w:hAnsi="Times New Roman" w:cs="Helvetica"/>
          <w:sz w:val="20"/>
          <w:lang w:val="en-US"/>
        </w:rPr>
        <w:t xml:space="preserve">RJ Pushaw, Jr, </w:t>
      </w:r>
      <w:r>
        <w:rPr>
          <w:rFonts w:ascii="Times New Roman" w:eastAsiaTheme="minorHAnsi" w:hAnsi="Times New Roman" w:cs="Helvetica"/>
          <w:sz w:val="20"/>
          <w:lang w:val="en-US"/>
        </w:rPr>
        <w:t>‘</w:t>
      </w:r>
      <w:r w:rsidRPr="003D40E1">
        <w:rPr>
          <w:rFonts w:ascii="Times New Roman" w:eastAsiaTheme="minorHAnsi" w:hAnsi="Times New Roman" w:cs="Helvetica"/>
          <w:sz w:val="20"/>
          <w:lang w:val="en-US"/>
        </w:rPr>
        <w:t>The Inherent Powers of Federal Courts and the Structural Constitution</w:t>
      </w:r>
      <w:r>
        <w:rPr>
          <w:rFonts w:ascii="Times New Roman" w:eastAsiaTheme="minorHAnsi" w:hAnsi="Times New Roman" w:cs="Helvetica"/>
          <w:sz w:val="20"/>
          <w:lang w:val="en-US"/>
        </w:rPr>
        <w:t xml:space="preserve">’ </w:t>
      </w:r>
      <w:r w:rsidRPr="008C20C8">
        <w:rPr>
          <w:rFonts w:ascii="Times New Roman" w:eastAsiaTheme="minorHAnsi" w:hAnsi="Times New Roman" w:cs="Helvetica"/>
          <w:sz w:val="20"/>
          <w:lang w:val="en-US"/>
        </w:rPr>
        <w:t>(2000-2001)</w:t>
      </w:r>
      <w:r w:rsidRPr="008C20C8">
        <w:rPr>
          <w:rFonts w:ascii="Times New Roman" w:eastAsiaTheme="minorHAnsi" w:hAnsi="Times New Roman" w:cs="Helvetica"/>
          <w:i/>
          <w:sz w:val="20"/>
          <w:lang w:val="en-US"/>
        </w:rPr>
        <w:t xml:space="preserve"> </w:t>
      </w:r>
      <w:r w:rsidRPr="008C20C8">
        <w:rPr>
          <w:rFonts w:ascii="Times New Roman" w:eastAsiaTheme="minorHAnsi" w:hAnsi="Times New Roman" w:cs="Helvetica"/>
          <w:sz w:val="20"/>
          <w:lang w:val="en-US"/>
        </w:rPr>
        <w:t xml:space="preserve">86 </w:t>
      </w:r>
      <w:r w:rsidRPr="003D40E1">
        <w:rPr>
          <w:rFonts w:ascii="Times New Roman" w:eastAsiaTheme="minorHAnsi" w:hAnsi="Times New Roman" w:cs="Helvetica"/>
          <w:sz w:val="20"/>
          <w:lang w:val="en-US"/>
        </w:rPr>
        <w:t xml:space="preserve">Iowa L Rev </w:t>
      </w:r>
      <w:r w:rsidRPr="008C20C8">
        <w:rPr>
          <w:rFonts w:ascii="Times New Roman" w:eastAsiaTheme="minorHAnsi" w:hAnsi="Times New Roman" w:cs="Helvetica"/>
          <w:sz w:val="20"/>
          <w:lang w:val="en-US"/>
        </w:rPr>
        <w:t>735</w:t>
      </w:r>
      <w:r>
        <w:rPr>
          <w:rFonts w:ascii="Times New Roman" w:eastAsiaTheme="minorHAnsi" w:hAnsi="Times New Roman" w:cs="Helvetica"/>
          <w:sz w:val="20"/>
          <w:lang w:val="en-US"/>
        </w:rPr>
        <w:t>, 847.</w:t>
      </w:r>
    </w:p>
  </w:footnote>
  <w:footnote w:id="34">
    <w:p w:rsidR="00D43B4E" w:rsidRPr="008C20C8" w:rsidRDefault="00D43B4E">
      <w:pPr>
        <w:pStyle w:val="FootnoteText"/>
        <w:rPr>
          <w:rFonts w:ascii="Times New Roman" w:hAnsi="Times New Roman"/>
          <w:sz w:val="20"/>
        </w:rPr>
      </w:pPr>
      <w:r w:rsidRPr="003D40E1">
        <w:rPr>
          <w:rStyle w:val="FootnoteReference"/>
          <w:rFonts w:ascii="Times New Roman" w:hAnsi="Times New Roman"/>
          <w:sz w:val="20"/>
        </w:rPr>
        <w:footnoteRef/>
      </w:r>
      <w:r>
        <w:rPr>
          <w:rStyle w:val="informationalsmall"/>
          <w:rFonts w:ascii="Times New Roman" w:hAnsi="Times New Roman"/>
          <w:sz w:val="20"/>
          <w:szCs w:val="20"/>
        </w:rPr>
        <w:t xml:space="preserve"> (n 24)</w:t>
      </w:r>
      <w:r w:rsidRPr="008C20C8">
        <w:rPr>
          <w:rStyle w:val="informationalsmall"/>
          <w:rFonts w:ascii="Times New Roman" w:hAnsi="Times New Roman"/>
          <w:sz w:val="20"/>
          <w:szCs w:val="20"/>
        </w:rPr>
        <w:t>.</w:t>
      </w:r>
    </w:p>
  </w:footnote>
  <w:footnote w:id="35">
    <w:p w:rsidR="00D43B4E" w:rsidRPr="008C20C8" w:rsidRDefault="00D43B4E" w:rsidP="00827DD4">
      <w:pPr>
        <w:pStyle w:val="FootnoteText"/>
        <w:rPr>
          <w:rFonts w:ascii="Times New Roman" w:eastAsiaTheme="minorHAnsi" w:hAnsi="Times New Roman" w:cs="Times"/>
          <w:sz w:val="20"/>
          <w:lang w:val="en-US"/>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eastAsiaTheme="minorHAnsi" w:hAnsi="Times New Roman" w:cs="Times"/>
          <w:bCs/>
          <w:i/>
          <w:sz w:val="20"/>
          <w:lang w:val="en-US"/>
        </w:rPr>
        <w:t xml:space="preserve">Chambers </w:t>
      </w:r>
      <w:r>
        <w:rPr>
          <w:rFonts w:ascii="Times New Roman" w:eastAsiaTheme="minorHAnsi" w:hAnsi="Times New Roman" w:cs="Times"/>
          <w:bCs/>
          <w:sz w:val="20"/>
          <w:lang w:val="en-US"/>
        </w:rPr>
        <w:t xml:space="preserve">(n 24) </w:t>
      </w:r>
      <w:r w:rsidRPr="008C20C8">
        <w:rPr>
          <w:rFonts w:ascii="Times New Roman" w:eastAsiaTheme="minorHAnsi" w:hAnsi="Times New Roman" w:cs="Times"/>
          <w:sz w:val="20"/>
          <w:lang w:val="en-US"/>
        </w:rPr>
        <w:t xml:space="preserve">43. </w:t>
      </w:r>
    </w:p>
  </w:footnote>
  <w:footnote w:id="36">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i/>
          <w:sz w:val="20"/>
        </w:rPr>
        <w:t xml:space="preserve">Link v Wabash Ry. Co. </w:t>
      </w:r>
      <w:r w:rsidRPr="008C20C8">
        <w:rPr>
          <w:rFonts w:ascii="Times New Roman" w:hAnsi="Times New Roman"/>
          <w:sz w:val="20"/>
        </w:rPr>
        <w:t>291 F2d 542, 548</w:t>
      </w:r>
      <w:r>
        <w:rPr>
          <w:rFonts w:ascii="Times New Roman" w:hAnsi="Times New Roman"/>
          <w:sz w:val="20"/>
        </w:rPr>
        <w:t xml:space="preserve"> (7</w:t>
      </w:r>
      <w:r w:rsidRPr="0023788E">
        <w:rPr>
          <w:rFonts w:ascii="Times New Roman" w:hAnsi="Times New Roman"/>
          <w:sz w:val="20"/>
        </w:rPr>
        <w:t>th</w:t>
      </w:r>
      <w:r>
        <w:rPr>
          <w:rFonts w:ascii="Times New Roman" w:hAnsi="Times New Roman"/>
          <w:sz w:val="20"/>
        </w:rPr>
        <w:t xml:space="preserve"> Cir 1961)</w:t>
      </w:r>
      <w:r w:rsidRPr="008C20C8">
        <w:rPr>
          <w:rFonts w:ascii="Times New Roman" w:hAnsi="Times New Roman"/>
          <w:sz w:val="20"/>
        </w:rPr>
        <w:t>.</w:t>
      </w:r>
    </w:p>
  </w:footnote>
  <w:footnote w:id="37">
    <w:p w:rsidR="00D43B4E" w:rsidRPr="008C20C8" w:rsidRDefault="00D43B4E" w:rsidP="00827DD4">
      <w:pPr>
        <w:pStyle w:val="FootnoteText"/>
        <w:rPr>
          <w:rFonts w:ascii="Times New Roman" w:hAnsi="Times New Roman"/>
          <w:sz w:val="20"/>
        </w:rPr>
      </w:pPr>
      <w:r>
        <w:rPr>
          <w:rStyle w:val="FootnoteReference"/>
          <w:rFonts w:ascii="Times New Roman" w:hAnsi="Times New Roman"/>
          <w:sz w:val="20"/>
        </w:rPr>
        <w:footnoteRef/>
      </w:r>
      <w:r w:rsidRPr="003D40E1">
        <w:rPr>
          <w:rFonts w:ascii="Times New Roman" w:hAnsi="Times New Roman"/>
          <w:sz w:val="20"/>
        </w:rPr>
        <w:t xml:space="preserve"> </w:t>
      </w:r>
      <w:r>
        <w:rPr>
          <w:rFonts w:ascii="Times New Roman" w:hAnsi="Times New Roman"/>
          <w:i/>
          <w:sz w:val="20"/>
        </w:rPr>
        <w:t xml:space="preserve">Link </w:t>
      </w:r>
      <w:r>
        <w:rPr>
          <w:rFonts w:ascii="Times New Roman" w:hAnsi="Times New Roman" w:cs="Times"/>
          <w:bCs/>
          <w:sz w:val="20"/>
          <w:lang w:val="en-US"/>
        </w:rPr>
        <w:t xml:space="preserve">(n 30) </w:t>
      </w:r>
      <w:r w:rsidRPr="003D40E1">
        <w:rPr>
          <w:rFonts w:ascii="Times New Roman" w:hAnsi="Times New Roman"/>
          <w:sz w:val="20"/>
        </w:rPr>
        <w:t>648-</w:t>
      </w:r>
      <w:r>
        <w:rPr>
          <w:rFonts w:ascii="Times New Roman" w:hAnsi="Times New Roman"/>
          <w:sz w:val="20"/>
        </w:rPr>
        <w:t>4</w:t>
      </w:r>
      <w:r w:rsidRPr="003D40E1">
        <w:rPr>
          <w:rFonts w:ascii="Times New Roman" w:hAnsi="Times New Roman"/>
          <w:sz w:val="20"/>
        </w:rPr>
        <w:t>9.</w:t>
      </w:r>
    </w:p>
  </w:footnote>
  <w:footnote w:id="38">
    <w:p w:rsidR="00D43B4E" w:rsidRPr="008C20C8" w:rsidRDefault="00D43B4E" w:rsidP="00716CEE">
      <w:pPr>
        <w:pStyle w:val="FootnoteText"/>
        <w:rPr>
          <w:rFonts w:ascii="Times New Roman" w:eastAsiaTheme="minorHAnsi" w:hAnsi="Times New Roman" w:cs="Helvetica"/>
          <w:sz w:val="20"/>
          <w:lang w:val="en-US"/>
        </w:rPr>
      </w:pPr>
      <w:r>
        <w:rPr>
          <w:rStyle w:val="FootnoteReference"/>
          <w:rFonts w:ascii="Times New Roman" w:hAnsi="Times New Roman"/>
          <w:sz w:val="20"/>
        </w:rPr>
        <w:footnoteRef/>
      </w:r>
      <w:r w:rsidRPr="003D40E1">
        <w:rPr>
          <w:rFonts w:ascii="Times New Roman" w:hAnsi="Times New Roman"/>
          <w:sz w:val="20"/>
        </w:rPr>
        <w:t xml:space="preserve"> The point is again to be considered with the </w:t>
      </w:r>
      <w:r>
        <w:rPr>
          <w:rFonts w:ascii="Times New Roman" w:hAnsi="Times New Roman"/>
          <w:sz w:val="20"/>
        </w:rPr>
        <w:t xml:space="preserve">historical and </w:t>
      </w:r>
      <w:r w:rsidRPr="008C20C8">
        <w:rPr>
          <w:rFonts w:ascii="Times New Roman" w:hAnsi="Times New Roman"/>
          <w:sz w:val="20"/>
        </w:rPr>
        <w:t xml:space="preserve">constitutional backdrop of American Federal litigation: </w:t>
      </w:r>
      <w:r w:rsidRPr="008C20C8">
        <w:rPr>
          <w:rFonts w:ascii="Times New Roman" w:eastAsiaTheme="minorHAnsi" w:hAnsi="Times New Roman" w:cs="Helvetica"/>
          <w:sz w:val="20"/>
          <w:lang w:val="en-US"/>
        </w:rPr>
        <w:t>Janatka</w:t>
      </w:r>
      <w:r>
        <w:rPr>
          <w:rFonts w:ascii="Times New Roman" w:eastAsiaTheme="minorHAnsi" w:hAnsi="Times New Roman" w:cs="Helvetica"/>
          <w:sz w:val="20"/>
          <w:lang w:val="en-US"/>
        </w:rPr>
        <w:t xml:space="preserve"> (</w:t>
      </w:r>
      <w:r w:rsidRPr="008C20C8">
        <w:rPr>
          <w:rFonts w:ascii="Times New Roman" w:eastAsiaTheme="minorHAnsi" w:hAnsi="Times New Roman" w:cs="Helvetica"/>
          <w:sz w:val="20"/>
          <w:lang w:val="en-US"/>
        </w:rPr>
        <w:t>n</w:t>
      </w:r>
      <w:r>
        <w:rPr>
          <w:rFonts w:ascii="Times New Roman" w:eastAsiaTheme="minorHAnsi" w:hAnsi="Times New Roman" w:cs="Helvetica"/>
          <w:sz w:val="20"/>
          <w:lang w:val="en-US"/>
        </w:rPr>
        <w:t xml:space="preserve"> 26)</w:t>
      </w:r>
      <w:r w:rsidRPr="008C20C8">
        <w:rPr>
          <w:rFonts w:ascii="Times New Roman" w:eastAsiaTheme="minorHAnsi" w:hAnsi="Times New Roman" w:cs="Helvetica"/>
          <w:sz w:val="20"/>
          <w:lang w:val="en-US"/>
        </w:rPr>
        <w:t>.</w:t>
      </w:r>
    </w:p>
  </w:footnote>
  <w:footnote w:id="39">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Although Burbank</w:t>
      </w:r>
      <w:r>
        <w:rPr>
          <w:rFonts w:ascii="Times New Roman" w:hAnsi="Times New Roman"/>
          <w:sz w:val="20"/>
        </w:rPr>
        <w:t xml:space="preserve"> ‘Rule 11’ (</w:t>
      </w:r>
      <w:r w:rsidRPr="008C20C8">
        <w:rPr>
          <w:rFonts w:ascii="Times New Roman" w:hAnsi="Times New Roman"/>
          <w:sz w:val="20"/>
        </w:rPr>
        <w:t>n</w:t>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NOTEREF _Ref232394964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10</w:t>
      </w:r>
      <w:r>
        <w:rPr>
          <w:rFonts w:ascii="Times New Roman" w:hAnsi="Times New Roman"/>
          <w:sz w:val="20"/>
        </w:rPr>
        <w:fldChar w:fldCharType="end"/>
      </w:r>
      <w:r>
        <w:rPr>
          <w:rFonts w:ascii="Times New Roman" w:hAnsi="Times New Roman"/>
          <w:sz w:val="20"/>
        </w:rPr>
        <w:t>)</w:t>
      </w:r>
      <w:r w:rsidRPr="008C20C8">
        <w:rPr>
          <w:rFonts w:ascii="Times New Roman" w:hAnsi="Times New Roman"/>
          <w:sz w:val="20"/>
        </w:rPr>
        <w:t xml:space="preserve">, </w:t>
      </w:r>
      <w:r>
        <w:rPr>
          <w:rFonts w:ascii="Times New Roman" w:hAnsi="Times New Roman"/>
          <w:sz w:val="20"/>
        </w:rPr>
        <w:t>states</w:t>
      </w:r>
      <w:r w:rsidRPr="008C20C8">
        <w:rPr>
          <w:rFonts w:ascii="Times New Roman" w:hAnsi="Times New Roman"/>
          <w:sz w:val="20"/>
        </w:rPr>
        <w:t xml:space="preserve"> that </w:t>
      </w:r>
      <w:r w:rsidRPr="008C20C8">
        <w:rPr>
          <w:rFonts w:ascii="Times New Roman" w:hAnsi="Times New Roman"/>
          <w:i/>
          <w:sz w:val="20"/>
        </w:rPr>
        <w:t>Roadway Express</w:t>
      </w:r>
      <w:r>
        <w:rPr>
          <w:rFonts w:ascii="Times New Roman" w:hAnsi="Times New Roman"/>
          <w:sz w:val="20"/>
        </w:rPr>
        <w:t xml:space="preserve"> (n </w:t>
      </w:r>
      <w:r>
        <w:rPr>
          <w:rFonts w:ascii="Times New Roman" w:hAnsi="Times New Roman"/>
          <w:sz w:val="20"/>
        </w:rPr>
        <w:fldChar w:fldCharType="begin"/>
      </w:r>
      <w:r>
        <w:rPr>
          <w:rFonts w:ascii="Times New Roman" w:hAnsi="Times New Roman"/>
          <w:sz w:val="20"/>
        </w:rPr>
        <w:instrText xml:space="preserve"> NOTEREF _Ref232394907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26</w:t>
      </w:r>
      <w:r>
        <w:rPr>
          <w:rFonts w:ascii="Times New Roman" w:hAnsi="Times New Roman"/>
          <w:sz w:val="20"/>
        </w:rPr>
        <w:fldChar w:fldCharType="end"/>
      </w:r>
      <w:r>
        <w:rPr>
          <w:rFonts w:ascii="Times New Roman" w:hAnsi="Times New Roman"/>
          <w:sz w:val="20"/>
        </w:rPr>
        <w:t xml:space="preserve">) </w:t>
      </w:r>
      <w:r w:rsidRPr="008C20C8">
        <w:rPr>
          <w:rFonts w:ascii="Times New Roman" w:hAnsi="Times New Roman"/>
          <w:sz w:val="20"/>
        </w:rPr>
        <w:t xml:space="preserve">attenuated the </w:t>
      </w:r>
      <w:r>
        <w:rPr>
          <w:rFonts w:ascii="Times New Roman" w:hAnsi="Times New Roman"/>
          <w:sz w:val="20"/>
        </w:rPr>
        <w:t>‘</w:t>
      </w:r>
      <w:r w:rsidRPr="008C20C8">
        <w:rPr>
          <w:rFonts w:ascii="Times New Roman" w:hAnsi="Times New Roman"/>
          <w:sz w:val="20"/>
        </w:rPr>
        <w:t>austere landscape</w:t>
      </w:r>
      <w:r>
        <w:rPr>
          <w:rFonts w:ascii="Times New Roman" w:hAnsi="Times New Roman"/>
          <w:sz w:val="20"/>
        </w:rPr>
        <w:t>’</w:t>
      </w:r>
      <w:r w:rsidRPr="008C20C8">
        <w:rPr>
          <w:rFonts w:ascii="Times New Roman" w:hAnsi="Times New Roman"/>
          <w:sz w:val="20"/>
        </w:rPr>
        <w:t xml:space="preserve"> of </w:t>
      </w:r>
      <w:r w:rsidRPr="008C20C8">
        <w:rPr>
          <w:rFonts w:ascii="Times New Roman" w:hAnsi="Times New Roman"/>
          <w:i/>
          <w:sz w:val="20"/>
        </w:rPr>
        <w:t>Link v Wabash</w:t>
      </w:r>
      <w:r w:rsidRPr="008C20C8">
        <w:rPr>
          <w:rFonts w:ascii="Times New Roman" w:hAnsi="Times New Roman"/>
          <w:sz w:val="20"/>
        </w:rPr>
        <w:t>.</w:t>
      </w:r>
    </w:p>
  </w:footnote>
  <w:footnote w:id="40">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Burbank</w:t>
      </w:r>
      <w:r>
        <w:rPr>
          <w:rFonts w:ascii="Times New Roman" w:hAnsi="Times New Roman"/>
          <w:sz w:val="20"/>
        </w:rPr>
        <w:t xml:space="preserve"> ‘Sanctions’ (n </w:t>
      </w:r>
      <w:r>
        <w:rPr>
          <w:rFonts w:ascii="Times New Roman" w:hAnsi="Times New Roman"/>
          <w:sz w:val="20"/>
        </w:rPr>
        <w:fldChar w:fldCharType="begin"/>
      </w:r>
      <w:r>
        <w:rPr>
          <w:rFonts w:ascii="Times New Roman" w:hAnsi="Times New Roman"/>
          <w:sz w:val="20"/>
        </w:rPr>
        <w:instrText xml:space="preserve"> NOTEREF _Ref232395016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25</w:t>
      </w:r>
      <w:r>
        <w:rPr>
          <w:rFonts w:ascii="Times New Roman" w:hAnsi="Times New Roman"/>
          <w:sz w:val="20"/>
        </w:rPr>
        <w:fldChar w:fldCharType="end"/>
      </w:r>
      <w:r>
        <w:rPr>
          <w:rFonts w:ascii="Times New Roman" w:hAnsi="Times New Roman"/>
          <w:sz w:val="20"/>
        </w:rPr>
        <w:t xml:space="preserve">) </w:t>
      </w:r>
      <w:r w:rsidRPr="008C20C8">
        <w:rPr>
          <w:rFonts w:ascii="Times New Roman" w:hAnsi="Times New Roman"/>
          <w:sz w:val="20"/>
        </w:rPr>
        <w:t xml:space="preserve">1004, finds the first </w:t>
      </w:r>
      <w:r>
        <w:rPr>
          <w:rFonts w:ascii="Times New Roman" w:hAnsi="Times New Roman"/>
          <w:sz w:val="20"/>
        </w:rPr>
        <w:t>use of the expression ‘</w:t>
      </w:r>
      <w:r w:rsidRPr="008C20C8">
        <w:rPr>
          <w:rFonts w:ascii="Times New Roman" w:hAnsi="Times New Roman"/>
          <w:sz w:val="20"/>
        </w:rPr>
        <w:t>inherent powers</w:t>
      </w:r>
      <w:r>
        <w:rPr>
          <w:rFonts w:ascii="Times New Roman" w:hAnsi="Times New Roman"/>
          <w:sz w:val="20"/>
        </w:rPr>
        <w:t>’</w:t>
      </w:r>
      <w:r w:rsidRPr="008C20C8">
        <w:rPr>
          <w:rFonts w:ascii="Times New Roman" w:hAnsi="Times New Roman"/>
          <w:sz w:val="20"/>
        </w:rPr>
        <w:t xml:space="preserve"> in an 1865 case, </w:t>
      </w:r>
      <w:r w:rsidRPr="00C336D5">
        <w:rPr>
          <w:rFonts w:ascii="Times New Roman" w:hAnsi="Times New Roman"/>
          <w:i/>
          <w:sz w:val="20"/>
        </w:rPr>
        <w:t>Heckers v Fowler</w:t>
      </w:r>
      <w:r w:rsidRPr="008C20C8">
        <w:rPr>
          <w:rFonts w:ascii="Times New Roman" w:hAnsi="Times New Roman"/>
          <w:sz w:val="20"/>
        </w:rPr>
        <w:t xml:space="preserve"> 69 US (2 Wall) 123, 128 (1865).</w:t>
      </w:r>
    </w:p>
  </w:footnote>
  <w:footnote w:id="41">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15 ALR Fed 407. </w:t>
      </w:r>
    </w:p>
  </w:footnote>
  <w:footnote w:id="42">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C336D5">
        <w:rPr>
          <w:rFonts w:ascii="Times New Roman" w:hAnsi="Times New Roman"/>
          <w:i/>
          <w:sz w:val="20"/>
        </w:rPr>
        <w:t>Vazquez-Rijos v Anhang</w:t>
      </w:r>
      <w:r w:rsidRPr="008C20C8">
        <w:rPr>
          <w:rFonts w:ascii="Times New Roman" w:hAnsi="Times New Roman"/>
          <w:sz w:val="20"/>
        </w:rPr>
        <w:t xml:space="preserve"> 654 F3d 122 (1</w:t>
      </w:r>
      <w:r w:rsidRPr="00C336D5">
        <w:rPr>
          <w:rFonts w:ascii="Times New Roman" w:hAnsi="Times New Roman"/>
          <w:sz w:val="20"/>
        </w:rPr>
        <w:t>st</w:t>
      </w:r>
      <w:r w:rsidRPr="008C20C8">
        <w:rPr>
          <w:rFonts w:ascii="Times New Roman" w:hAnsi="Times New Roman"/>
          <w:sz w:val="20"/>
        </w:rPr>
        <w:t xml:space="preserve"> Cir 2011).</w:t>
      </w:r>
    </w:p>
  </w:footnote>
  <w:footnote w:id="43">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8C20C8">
        <w:rPr>
          <w:rFonts w:ascii="Times New Roman" w:eastAsia="Times New Roman" w:hAnsi="Times New Roman"/>
          <w:sz w:val="20"/>
        </w:rPr>
        <w:t xml:space="preserve">In order for a court to dismiss a case as a sanction for failing to comply with court order, the district court must consider five factors: (1) the public's interest in expeditious resolution of litigation; (2) the court's need to manage its docket; (3) the risk of prejudice to the defendants; (4) the public policy favouring disposition of cases on their merits; and (5) the availability of less drastic alternatives: </w:t>
      </w:r>
      <w:r w:rsidRPr="00C336D5">
        <w:rPr>
          <w:rFonts w:ascii="Times New Roman" w:eastAsia="Times New Roman" w:hAnsi="Times New Roman"/>
          <w:i/>
          <w:sz w:val="20"/>
        </w:rPr>
        <w:t>Yourish v California Amplifier</w:t>
      </w:r>
      <w:r w:rsidRPr="008C20C8">
        <w:rPr>
          <w:rFonts w:ascii="Times New Roman" w:eastAsia="Times New Roman" w:hAnsi="Times New Roman"/>
          <w:sz w:val="20"/>
        </w:rPr>
        <w:t xml:space="preserve"> 191 F</w:t>
      </w:r>
      <w:r>
        <w:rPr>
          <w:rFonts w:ascii="Times New Roman" w:eastAsia="Times New Roman" w:hAnsi="Times New Roman"/>
          <w:sz w:val="20"/>
        </w:rPr>
        <w:t xml:space="preserve"> </w:t>
      </w:r>
      <w:r w:rsidRPr="008C20C8">
        <w:rPr>
          <w:rFonts w:ascii="Times New Roman" w:eastAsia="Times New Roman" w:hAnsi="Times New Roman"/>
          <w:sz w:val="20"/>
        </w:rPr>
        <w:t>3d 983 (</w:t>
      </w:r>
      <w:r>
        <w:rPr>
          <w:rFonts w:ascii="Times New Roman" w:eastAsia="Times New Roman" w:hAnsi="Times New Roman"/>
          <w:sz w:val="20"/>
        </w:rPr>
        <w:t>9th Cir 1999) summarised in 15 ALR Fed 407</w:t>
      </w:r>
      <w:r w:rsidRPr="008C20C8">
        <w:rPr>
          <w:rFonts w:ascii="Times New Roman" w:eastAsia="Times New Roman" w:hAnsi="Times New Roman"/>
          <w:sz w:val="20"/>
        </w:rPr>
        <w:t>.</w:t>
      </w:r>
    </w:p>
  </w:footnote>
  <w:footnote w:id="44">
    <w:p w:rsidR="00D43B4E" w:rsidRPr="008C20C8" w:rsidRDefault="00D43B4E" w:rsidP="00827DD4">
      <w:pPr>
        <w:pStyle w:val="FootnoteText"/>
        <w:rPr>
          <w:rFonts w:ascii="Times New Roman" w:eastAsia="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C336D5">
        <w:rPr>
          <w:rFonts w:ascii="Times New Roman" w:eastAsia="Times New Roman" w:hAnsi="Times New Roman"/>
          <w:i/>
          <w:sz w:val="20"/>
        </w:rPr>
        <w:t>Rzayeva v US</w:t>
      </w:r>
      <w:r w:rsidRPr="008C20C8">
        <w:rPr>
          <w:rFonts w:ascii="Times New Roman" w:eastAsia="Times New Roman" w:hAnsi="Times New Roman"/>
          <w:i/>
          <w:sz w:val="20"/>
        </w:rPr>
        <w:t xml:space="preserve"> </w:t>
      </w:r>
      <w:r w:rsidRPr="008C20C8">
        <w:rPr>
          <w:rFonts w:ascii="Times New Roman" w:eastAsia="Times New Roman" w:hAnsi="Times New Roman"/>
          <w:sz w:val="20"/>
        </w:rPr>
        <w:t>492 F Supp 2d 60 (D Conn 2007).</w:t>
      </w:r>
    </w:p>
  </w:footnote>
  <w:footnote w:id="45">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Pr>
          <w:rFonts w:ascii="Times New Roman" w:hAnsi="Times New Roman"/>
          <w:sz w:val="20"/>
        </w:rPr>
        <w:t xml:space="preserve"> </w:t>
      </w:r>
      <w:r w:rsidRPr="00C336D5">
        <w:rPr>
          <w:rFonts w:ascii="Times New Roman" w:hAnsi="Times New Roman"/>
          <w:i/>
          <w:sz w:val="20"/>
        </w:rPr>
        <w:t>Doe v Cassel</w:t>
      </w:r>
      <w:r w:rsidRPr="008C20C8">
        <w:rPr>
          <w:rFonts w:ascii="Times New Roman" w:hAnsi="Times New Roman"/>
          <w:sz w:val="20"/>
        </w:rPr>
        <w:t xml:space="preserve"> 403 F3d 986 (8th Cir 2005), a case of a litigant in person. </w:t>
      </w:r>
      <w:r>
        <w:rPr>
          <w:rFonts w:ascii="Times New Roman" w:hAnsi="Times New Roman"/>
          <w:sz w:val="20"/>
        </w:rPr>
        <w:t>‘</w:t>
      </w:r>
      <w:r w:rsidRPr="008C20C8">
        <w:rPr>
          <w:rFonts w:ascii="Times New Roman" w:hAnsi="Times New Roman"/>
          <w:sz w:val="20"/>
        </w:rPr>
        <w:t>Deliberation</w:t>
      </w:r>
      <w:r>
        <w:rPr>
          <w:rFonts w:ascii="Times New Roman" w:hAnsi="Times New Roman"/>
          <w:sz w:val="20"/>
        </w:rPr>
        <w:t>’</w:t>
      </w:r>
      <w:r w:rsidRPr="008C20C8">
        <w:rPr>
          <w:rFonts w:ascii="Times New Roman" w:hAnsi="Times New Roman"/>
          <w:sz w:val="20"/>
        </w:rPr>
        <w:t xml:space="preserve"> in failing to comply was also given as a justification of </w:t>
      </w:r>
      <w:r w:rsidRPr="003D40E1">
        <w:rPr>
          <w:rFonts w:ascii="Times New Roman" w:hAnsi="Times New Roman"/>
          <w:sz w:val="20"/>
        </w:rPr>
        <w:t>sua sponte</w:t>
      </w:r>
      <w:r w:rsidRPr="008C20C8">
        <w:rPr>
          <w:rFonts w:ascii="Times New Roman" w:hAnsi="Times New Roman"/>
          <w:sz w:val="20"/>
        </w:rPr>
        <w:t xml:space="preserve"> dismissal in</w:t>
      </w:r>
      <w:r>
        <w:rPr>
          <w:rFonts w:ascii="Times New Roman" w:eastAsia="Times New Roman" w:hAnsi="Times New Roman"/>
          <w:sz w:val="20"/>
        </w:rPr>
        <w:t xml:space="preserve"> </w:t>
      </w:r>
      <w:r w:rsidRPr="00C336D5">
        <w:rPr>
          <w:rFonts w:ascii="Times New Roman" w:eastAsia="Times New Roman" w:hAnsi="Times New Roman"/>
          <w:i/>
          <w:sz w:val="20"/>
        </w:rPr>
        <w:t>Holly v Anderson</w:t>
      </w:r>
      <w:r w:rsidRPr="008C20C8">
        <w:rPr>
          <w:rFonts w:ascii="Times New Roman" w:eastAsia="Times New Roman" w:hAnsi="Times New Roman"/>
          <w:sz w:val="20"/>
        </w:rPr>
        <w:t xml:space="preserve"> 467 F3d 1120 (8th Cir 2006).</w:t>
      </w:r>
    </w:p>
  </w:footnote>
  <w:footnote w:id="46">
    <w:p w:rsidR="00D43B4E" w:rsidRPr="008C20C8" w:rsidRDefault="00D43B4E" w:rsidP="00827DD4">
      <w:pPr>
        <w:pStyle w:val="FootnoteText"/>
        <w:rPr>
          <w:rFonts w:ascii="Times New Roman" w:hAnsi="Times New Roman"/>
          <w:i/>
          <w:sz w:val="20"/>
          <w:lang w:val="en-US"/>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lang w:val="en-US"/>
        </w:rPr>
        <w:t>A</w:t>
      </w:r>
      <w:r w:rsidRPr="008C20C8">
        <w:rPr>
          <w:rFonts w:ascii="Times New Roman" w:hAnsi="Times New Roman"/>
          <w:sz w:val="20"/>
          <w:lang w:val="en-US"/>
        </w:rPr>
        <w:t xml:space="preserve"> reaction to the </w:t>
      </w:r>
      <w:r>
        <w:rPr>
          <w:rFonts w:ascii="Times New Roman" w:hAnsi="Times New Roman"/>
          <w:sz w:val="20"/>
          <w:lang w:val="en-US"/>
        </w:rPr>
        <w:t>‘</w:t>
      </w:r>
      <w:r w:rsidRPr="008C20C8">
        <w:rPr>
          <w:rFonts w:ascii="Times New Roman" w:hAnsi="Times New Roman"/>
          <w:sz w:val="20"/>
          <w:lang w:val="en-US"/>
        </w:rPr>
        <w:t>inflexible procedural formalism prior to 1875</w:t>
      </w:r>
      <w:r>
        <w:rPr>
          <w:rFonts w:ascii="Times New Roman" w:hAnsi="Times New Roman"/>
          <w:sz w:val="20"/>
          <w:lang w:val="en-US"/>
        </w:rPr>
        <w:t>’</w:t>
      </w:r>
      <w:r w:rsidRPr="008C20C8">
        <w:rPr>
          <w:rFonts w:ascii="Times New Roman" w:hAnsi="Times New Roman"/>
          <w:sz w:val="20"/>
          <w:lang w:val="en-US"/>
        </w:rPr>
        <w:t xml:space="preserve">: </w:t>
      </w:r>
      <w:r>
        <w:rPr>
          <w:rFonts w:ascii="Times New Roman" w:hAnsi="Times New Roman"/>
          <w:sz w:val="20"/>
          <w:lang w:val="en-US"/>
        </w:rPr>
        <w:t>AAS</w:t>
      </w:r>
      <w:r w:rsidRPr="008C20C8">
        <w:rPr>
          <w:rFonts w:ascii="Times New Roman" w:hAnsi="Times New Roman"/>
          <w:sz w:val="20"/>
          <w:lang w:val="en-US"/>
        </w:rPr>
        <w:t xml:space="preserve"> Zuckerman, </w:t>
      </w:r>
      <w:r>
        <w:rPr>
          <w:rFonts w:ascii="Times New Roman" w:hAnsi="Times New Roman"/>
          <w:sz w:val="20"/>
          <w:lang w:val="en-US"/>
        </w:rPr>
        <w:t>‘</w:t>
      </w:r>
      <w:r w:rsidRPr="003D40E1">
        <w:rPr>
          <w:rFonts w:ascii="Times New Roman" w:hAnsi="Times New Roman"/>
          <w:sz w:val="20"/>
          <w:lang w:val="en-US"/>
        </w:rPr>
        <w:t>From Formalism to Court Control of Litigation</w:t>
      </w:r>
      <w:r>
        <w:rPr>
          <w:rFonts w:ascii="Times New Roman" w:hAnsi="Times New Roman"/>
          <w:sz w:val="20"/>
          <w:lang w:val="en-US"/>
        </w:rPr>
        <w:t>’</w:t>
      </w:r>
      <w:r w:rsidRPr="008C20C8">
        <w:rPr>
          <w:rFonts w:ascii="Times New Roman" w:hAnsi="Times New Roman"/>
          <w:sz w:val="20"/>
          <w:lang w:val="en-US"/>
        </w:rPr>
        <w:t xml:space="preserve">, in </w:t>
      </w:r>
      <w:r>
        <w:rPr>
          <w:rFonts w:ascii="Times New Roman" w:hAnsi="Times New Roman"/>
          <w:sz w:val="20"/>
          <w:lang w:val="en-US"/>
        </w:rPr>
        <w:t>L Cadiet and G</w:t>
      </w:r>
      <w:r w:rsidRPr="008C20C8">
        <w:rPr>
          <w:rFonts w:ascii="Times New Roman" w:hAnsi="Times New Roman"/>
          <w:sz w:val="20"/>
          <w:lang w:val="en-US"/>
        </w:rPr>
        <w:t xml:space="preserve"> Canivet (eds)</w:t>
      </w:r>
      <w:r>
        <w:rPr>
          <w:rFonts w:ascii="Times New Roman" w:hAnsi="Times New Roman"/>
          <w:smallCaps/>
          <w:sz w:val="20"/>
          <w:lang w:val="en-US"/>
        </w:rPr>
        <w:t xml:space="preserve">, </w:t>
      </w:r>
      <w:r w:rsidRPr="00C336D5">
        <w:rPr>
          <w:rFonts w:ascii="Times New Roman" w:hAnsi="Times New Roman"/>
          <w:i/>
          <w:smallCaps/>
          <w:sz w:val="20"/>
          <w:lang w:val="en-US"/>
        </w:rPr>
        <w:t xml:space="preserve">1806 – 1976 – 2006 </w:t>
      </w:r>
      <w:r w:rsidRPr="00C336D5">
        <w:rPr>
          <w:rFonts w:ascii="Times New Roman" w:hAnsi="Times New Roman"/>
          <w:i/>
          <w:sz w:val="20"/>
          <w:lang w:val="en-US"/>
        </w:rPr>
        <w:t xml:space="preserve">De la Commémoration d’un Code à l’Autre: 200 Ans de Procédure Civile en France </w:t>
      </w:r>
      <w:r w:rsidRPr="008C20C8">
        <w:rPr>
          <w:rFonts w:ascii="Times New Roman" w:hAnsi="Times New Roman"/>
          <w:sz w:val="20"/>
          <w:lang w:val="en-US"/>
        </w:rPr>
        <w:t>(Litec LexisNexis 2006), 339.</w:t>
      </w:r>
      <w:r w:rsidRPr="008C20C8">
        <w:rPr>
          <w:rFonts w:ascii="Times New Roman" w:hAnsi="Times New Roman"/>
          <w:i/>
          <w:sz w:val="20"/>
          <w:lang w:val="en-US"/>
        </w:rPr>
        <w:t xml:space="preserve"> </w:t>
      </w:r>
    </w:p>
  </w:footnote>
  <w:footnote w:id="47">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Originally Rules of the Supreme Court, Order 59 rule 1 (1875); the version in force before the enactment of the CPR was RSC Ord. 2 r. 1, amended in 1964</w:t>
      </w:r>
      <w:r>
        <w:rPr>
          <w:rFonts w:ascii="Times New Roman" w:hAnsi="Times New Roman"/>
          <w:sz w:val="20"/>
        </w:rPr>
        <w:t>: ‘</w:t>
      </w:r>
      <w:r w:rsidRPr="008C20C8">
        <w:rPr>
          <w:rFonts w:ascii="Times New Roman" w:hAnsi="Times New Roman" w:cs="Verdana"/>
          <w:sz w:val="20"/>
          <w:szCs w:val="26"/>
          <w:lang w:val="en-US"/>
        </w:rPr>
        <w:t>non-compliance with the rules of court shall not render any proceedings void. Instead, the court had the discretion t</w:t>
      </w:r>
      <w:r>
        <w:rPr>
          <w:rFonts w:ascii="Times New Roman" w:hAnsi="Times New Roman" w:cs="Verdana"/>
          <w:sz w:val="20"/>
          <w:szCs w:val="26"/>
          <w:lang w:val="en-US"/>
        </w:rPr>
        <w:t>o make such order as it saw fit’</w:t>
      </w:r>
      <w:r w:rsidRPr="008C20C8">
        <w:rPr>
          <w:rFonts w:ascii="Times New Roman" w:hAnsi="Times New Roman" w:cs="Verdana"/>
          <w:sz w:val="20"/>
          <w:szCs w:val="26"/>
          <w:lang w:val="en-US"/>
        </w:rPr>
        <w:t xml:space="preserve">: </w:t>
      </w:r>
      <w:r>
        <w:rPr>
          <w:rFonts w:ascii="Times New Roman" w:hAnsi="Times New Roman"/>
          <w:sz w:val="20"/>
        </w:rPr>
        <w:t>AAS</w:t>
      </w:r>
      <w:r w:rsidRPr="008C20C8">
        <w:rPr>
          <w:rFonts w:ascii="Times New Roman" w:hAnsi="Times New Roman"/>
          <w:sz w:val="20"/>
        </w:rPr>
        <w:t xml:space="preserve"> Zuckerman, </w:t>
      </w:r>
      <w:r>
        <w:rPr>
          <w:rFonts w:ascii="Times New Roman" w:hAnsi="Times New Roman"/>
          <w:sz w:val="20"/>
        </w:rPr>
        <w:t>‘</w:t>
      </w:r>
      <w:r w:rsidRPr="003D40E1">
        <w:rPr>
          <w:rFonts w:ascii="Times New Roman" w:hAnsi="Times New Roman"/>
          <w:sz w:val="20"/>
        </w:rPr>
        <w:t>Dismissal for delay – the emergence of a new philosophy of procedure</w:t>
      </w:r>
      <w:r>
        <w:rPr>
          <w:rFonts w:ascii="Times New Roman" w:hAnsi="Times New Roman"/>
          <w:sz w:val="20"/>
        </w:rPr>
        <w:t>’</w:t>
      </w:r>
      <w:r w:rsidRPr="008C20C8">
        <w:rPr>
          <w:rFonts w:ascii="Times New Roman" w:hAnsi="Times New Roman"/>
          <w:sz w:val="20"/>
        </w:rPr>
        <w:t xml:space="preserve"> (1998)</w:t>
      </w:r>
      <w:r>
        <w:rPr>
          <w:rFonts w:ascii="Times New Roman" w:hAnsi="Times New Roman"/>
          <w:sz w:val="20"/>
        </w:rPr>
        <w:t xml:space="preserve"> </w:t>
      </w:r>
      <w:r w:rsidRPr="008C20C8">
        <w:rPr>
          <w:rFonts w:ascii="Times New Roman" w:hAnsi="Times New Roman"/>
          <w:sz w:val="20"/>
        </w:rPr>
        <w:t>17 CJQ 223, 225.</w:t>
      </w:r>
      <w:r w:rsidRPr="008C20C8">
        <w:rPr>
          <w:rFonts w:ascii="Times New Roman" w:hAnsi="Times New Roman" w:cs="Verdana"/>
          <w:sz w:val="20"/>
          <w:szCs w:val="26"/>
          <w:lang w:val="en-US"/>
        </w:rPr>
        <w:t xml:space="preserve"> </w:t>
      </w:r>
    </w:p>
  </w:footnote>
  <w:footnote w:id="48">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C336D5">
        <w:rPr>
          <w:rFonts w:ascii="Times New Roman" w:hAnsi="Times New Roman"/>
          <w:i/>
          <w:sz w:val="20"/>
        </w:rPr>
        <w:t xml:space="preserve">Birkett v James </w:t>
      </w:r>
      <w:r w:rsidRPr="008C20C8">
        <w:rPr>
          <w:rFonts w:ascii="Times New Roman" w:hAnsi="Times New Roman"/>
          <w:sz w:val="20"/>
        </w:rPr>
        <w:t>[1978] AC 297</w:t>
      </w:r>
      <w:r>
        <w:rPr>
          <w:rFonts w:ascii="Times New Roman" w:hAnsi="Times New Roman"/>
          <w:sz w:val="20"/>
        </w:rPr>
        <w:t xml:space="preserve"> (HL)</w:t>
      </w:r>
      <w:r w:rsidRPr="008C20C8">
        <w:rPr>
          <w:rFonts w:ascii="Times New Roman" w:hAnsi="Times New Roman"/>
          <w:sz w:val="20"/>
        </w:rPr>
        <w:t>.</w:t>
      </w:r>
    </w:p>
  </w:footnote>
  <w:footnote w:id="49">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 xml:space="preserve">Listed in </w:t>
      </w:r>
      <w:r w:rsidRPr="00C336D5">
        <w:rPr>
          <w:rFonts w:ascii="Times New Roman" w:hAnsi="Times New Roman"/>
          <w:i/>
          <w:sz w:val="20"/>
        </w:rPr>
        <w:t>T</w:t>
      </w:r>
      <w:r w:rsidRPr="00C336D5">
        <w:rPr>
          <w:rFonts w:ascii="Times New Roman" w:eastAsiaTheme="minorHAnsi" w:hAnsi="Times New Roman" w:cs="Verdana"/>
          <w:i/>
          <w:iCs/>
          <w:sz w:val="20"/>
          <w:lang w:val="en-US"/>
        </w:rPr>
        <w:t>rill v Sacher</w:t>
      </w:r>
      <w:r w:rsidRPr="00C336D5">
        <w:rPr>
          <w:rFonts w:ascii="Times New Roman" w:eastAsiaTheme="minorHAnsi" w:hAnsi="Times New Roman" w:cs="Verdana"/>
          <w:i/>
          <w:sz w:val="20"/>
          <w:lang w:val="en-US"/>
        </w:rPr>
        <w:t xml:space="preserve"> </w:t>
      </w:r>
      <w:r>
        <w:rPr>
          <w:rFonts w:ascii="Times New Roman" w:eastAsiaTheme="minorHAnsi" w:hAnsi="Times New Roman" w:cs="Verdana"/>
          <w:sz w:val="20"/>
          <w:lang w:val="en-US"/>
        </w:rPr>
        <w:t>[1993] 1 All ER</w:t>
      </w:r>
      <w:r w:rsidRPr="00F71A37">
        <w:rPr>
          <w:rFonts w:ascii="Times New Roman" w:eastAsiaTheme="minorHAnsi" w:hAnsi="Times New Roman" w:cs="Verdana"/>
          <w:sz w:val="20"/>
          <w:lang w:val="en-US"/>
        </w:rPr>
        <w:t xml:space="preserve"> 961</w:t>
      </w:r>
      <w:r>
        <w:rPr>
          <w:rFonts w:ascii="Times New Roman" w:eastAsiaTheme="minorHAnsi" w:hAnsi="Times New Roman" w:cs="Verdana"/>
          <w:sz w:val="20"/>
          <w:lang w:val="en-US"/>
        </w:rPr>
        <w:t xml:space="preserve">: </w:t>
      </w:r>
      <w:r w:rsidRPr="008C20C8">
        <w:rPr>
          <w:rFonts w:ascii="Times New Roman" w:hAnsi="Times New Roman"/>
          <w:sz w:val="20"/>
        </w:rPr>
        <w:t>Zuckerman</w:t>
      </w:r>
      <w:r>
        <w:rPr>
          <w:rFonts w:ascii="Times New Roman" w:hAnsi="Times New Roman"/>
          <w:sz w:val="20"/>
        </w:rPr>
        <w:t xml:space="preserve"> ‘Dismissal for Delay’ (</w:t>
      </w:r>
      <w:r w:rsidRPr="008C20C8">
        <w:rPr>
          <w:rFonts w:ascii="Times New Roman" w:hAnsi="Times New Roman"/>
          <w:sz w:val="20"/>
        </w:rPr>
        <w:t xml:space="preserve">n </w:t>
      </w:r>
      <w:r>
        <w:rPr>
          <w:rFonts w:ascii="Times New Roman" w:hAnsi="Times New Roman"/>
          <w:sz w:val="20"/>
        </w:rPr>
        <w:fldChar w:fldCharType="begin"/>
      </w:r>
      <w:r>
        <w:rPr>
          <w:rFonts w:ascii="Times New Roman" w:hAnsi="Times New Roman"/>
          <w:sz w:val="20"/>
        </w:rPr>
        <w:instrText xml:space="preserve"> NOTEREF _Ref232395571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46</w:t>
      </w:r>
      <w:r>
        <w:rPr>
          <w:rFonts w:ascii="Times New Roman" w:hAnsi="Times New Roman"/>
          <w:sz w:val="20"/>
        </w:rPr>
        <w:fldChar w:fldCharType="end"/>
      </w:r>
      <w:r>
        <w:rPr>
          <w:rFonts w:ascii="Times New Roman" w:hAnsi="Times New Roman"/>
          <w:sz w:val="20"/>
        </w:rPr>
        <w:t>) 227</w:t>
      </w:r>
      <w:r w:rsidRPr="008C20C8">
        <w:rPr>
          <w:rFonts w:ascii="Times New Roman" w:hAnsi="Times New Roman"/>
          <w:sz w:val="20"/>
        </w:rPr>
        <w:t>.</w:t>
      </w:r>
    </w:p>
  </w:footnote>
  <w:footnote w:id="50">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[1997] 1 WLR 640</w:t>
      </w:r>
      <w:r>
        <w:rPr>
          <w:rFonts w:ascii="Times New Roman" w:hAnsi="Times New Roman"/>
          <w:sz w:val="20"/>
        </w:rPr>
        <w:t xml:space="preserve"> (HL)</w:t>
      </w:r>
      <w:r w:rsidRPr="008C20C8">
        <w:rPr>
          <w:rFonts w:ascii="Times New Roman" w:hAnsi="Times New Roman"/>
          <w:sz w:val="20"/>
        </w:rPr>
        <w:t>.</w:t>
      </w:r>
    </w:p>
  </w:footnote>
  <w:footnote w:id="51">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i</w:t>
      </w:r>
      <w:r w:rsidRPr="003D40E1">
        <w:rPr>
          <w:rFonts w:ascii="Times New Roman" w:hAnsi="Times New Roman"/>
          <w:sz w:val="20"/>
        </w:rPr>
        <w:t>bid</w:t>
      </w:r>
      <w:r w:rsidRPr="008C20C8">
        <w:rPr>
          <w:rFonts w:ascii="Times New Roman" w:hAnsi="Times New Roman"/>
          <w:sz w:val="20"/>
        </w:rPr>
        <w:t xml:space="preserve"> 642.</w:t>
      </w:r>
    </w:p>
  </w:footnote>
  <w:footnote w:id="52">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szCs w:val="20"/>
        </w:rPr>
        <w:footnoteRef/>
      </w:r>
      <w:r w:rsidRPr="008C20C8">
        <w:rPr>
          <w:rFonts w:ascii="Times New Roman" w:hAnsi="Times New Roman"/>
          <w:sz w:val="20"/>
        </w:rPr>
        <w:t xml:space="preserve"> J Sorabji, </w:t>
      </w:r>
      <w:r>
        <w:rPr>
          <w:rFonts w:ascii="Times New Roman" w:hAnsi="Times New Roman"/>
          <w:sz w:val="20"/>
        </w:rPr>
        <w:t>‘</w:t>
      </w:r>
      <w:r w:rsidRPr="003D40E1">
        <w:rPr>
          <w:rFonts w:ascii="Times New Roman" w:hAnsi="Times New Roman"/>
          <w:sz w:val="20"/>
        </w:rPr>
        <w:t>Late amendment and Jackson’s commitment to Woolf: another attempt to implement a new approach to civil justice</w:t>
      </w:r>
      <w:r>
        <w:rPr>
          <w:rFonts w:ascii="Times New Roman" w:hAnsi="Times New Roman"/>
          <w:sz w:val="20"/>
        </w:rPr>
        <w:t>’</w:t>
      </w:r>
      <w:r w:rsidRPr="008C20C8">
        <w:rPr>
          <w:rFonts w:ascii="Times New Roman" w:hAnsi="Times New Roman"/>
          <w:sz w:val="20"/>
        </w:rPr>
        <w:t xml:space="preserve"> </w:t>
      </w:r>
      <w:r>
        <w:rPr>
          <w:rFonts w:ascii="Times New Roman" w:hAnsi="Times New Roman"/>
          <w:sz w:val="20"/>
        </w:rPr>
        <w:t xml:space="preserve">(2012) </w:t>
      </w:r>
      <w:r w:rsidRPr="008C20C8">
        <w:rPr>
          <w:rFonts w:ascii="Times New Roman" w:hAnsi="Times New Roman"/>
          <w:sz w:val="20"/>
        </w:rPr>
        <w:t xml:space="preserve">31 CJQ 393. See also Zuckerman </w:t>
      </w:r>
      <w:r>
        <w:rPr>
          <w:rFonts w:ascii="Times New Roman" w:hAnsi="Times New Roman"/>
          <w:sz w:val="20"/>
        </w:rPr>
        <w:t>‘ From Formalism to Court Control’ (n</w:t>
      </w:r>
      <w:r w:rsidRPr="008C20C8">
        <w:rPr>
          <w:rFonts w:ascii="Times New Roman" w:hAnsi="Times New Roman"/>
          <w:sz w:val="20"/>
        </w:rPr>
        <w:t xml:space="preserve"> </w:t>
      </w:r>
      <w:r>
        <w:rPr>
          <w:rFonts w:ascii="Times New Roman" w:hAnsi="Times New Roman"/>
          <w:sz w:val="20"/>
        </w:rPr>
        <w:t>45)</w:t>
      </w:r>
      <w:r w:rsidRPr="008C20C8">
        <w:rPr>
          <w:rFonts w:ascii="Times New Roman" w:hAnsi="Times New Roman"/>
          <w:sz w:val="20"/>
        </w:rPr>
        <w:t>, for the caution that the CPR were never supposed to entail a mere return to pre-1875 formalism, but rather the implementation of court control.</w:t>
      </w:r>
    </w:p>
  </w:footnote>
  <w:footnote w:id="53">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szCs w:val="20"/>
        </w:rPr>
        <w:footnoteRef/>
      </w:r>
      <w:r w:rsidRPr="008C20C8">
        <w:rPr>
          <w:rFonts w:ascii="Times New Roman" w:hAnsi="Times New Roman"/>
          <w:sz w:val="20"/>
        </w:rPr>
        <w:t xml:space="preserve"> CPR 3.4(2)(c). </w:t>
      </w:r>
    </w:p>
  </w:footnote>
  <w:footnote w:id="54">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szCs w:val="20"/>
        </w:rPr>
        <w:footnoteRef/>
      </w:r>
      <w:r w:rsidRPr="008C20C8">
        <w:rPr>
          <w:rFonts w:ascii="Times New Roman" w:hAnsi="Times New Roman"/>
          <w:sz w:val="20"/>
        </w:rPr>
        <w:t xml:space="preserve"> </w:t>
      </w:r>
      <w:r w:rsidRPr="008C20C8">
        <w:rPr>
          <w:rFonts w:ascii="Times New Roman" w:hAnsi="Times New Roman" w:cs="Trebuchet MS"/>
          <w:bCs/>
          <w:sz w:val="20"/>
          <w:lang w:val="en-US"/>
        </w:rPr>
        <w:t>[1999] 1 WL</w:t>
      </w:r>
      <w:r>
        <w:rPr>
          <w:rFonts w:ascii="Times New Roman" w:hAnsi="Times New Roman" w:cs="Trebuchet MS"/>
          <w:bCs/>
          <w:sz w:val="20"/>
          <w:lang w:val="en-US"/>
        </w:rPr>
        <w:t>R 1926 (CA), 1932-33</w:t>
      </w:r>
      <w:r w:rsidRPr="008C20C8">
        <w:rPr>
          <w:rFonts w:ascii="Times New Roman" w:hAnsi="Times New Roman" w:cs="Trebuchet MS"/>
          <w:bCs/>
          <w:sz w:val="20"/>
          <w:lang w:val="en-US"/>
        </w:rPr>
        <w:t>.</w:t>
      </w:r>
    </w:p>
  </w:footnote>
  <w:footnote w:id="55">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CPR 1.1(2)(e), as explained by Lord Woolf in </w:t>
      </w:r>
      <w:r w:rsidRPr="00C336D5">
        <w:rPr>
          <w:rFonts w:ascii="Times New Roman" w:hAnsi="Times New Roman"/>
          <w:i/>
          <w:sz w:val="20"/>
        </w:rPr>
        <w:t xml:space="preserve">Jones v University of Warwick </w:t>
      </w:r>
      <w:r w:rsidRPr="008C20C8">
        <w:rPr>
          <w:rFonts w:ascii="Times New Roman" w:hAnsi="Times New Roman"/>
          <w:sz w:val="20"/>
        </w:rPr>
        <w:t>[2003] EWCA Civ 151. See</w:t>
      </w:r>
      <w:r>
        <w:rPr>
          <w:rFonts w:ascii="Times New Roman" w:hAnsi="Times New Roman"/>
          <w:sz w:val="20"/>
        </w:rPr>
        <w:t xml:space="preserve"> </w:t>
      </w:r>
      <w:r w:rsidRPr="003D40E1">
        <w:rPr>
          <w:rFonts w:ascii="Times New Roman" w:hAnsi="Times New Roman"/>
          <w:sz w:val="20"/>
        </w:rPr>
        <w:t>Zuckerman</w:t>
      </w:r>
      <w:r>
        <w:rPr>
          <w:rFonts w:ascii="Times New Roman" w:hAnsi="Times New Roman"/>
          <w:smallCaps/>
          <w:sz w:val="20"/>
        </w:rPr>
        <w:t xml:space="preserve"> ‘</w:t>
      </w:r>
      <w:r>
        <w:rPr>
          <w:rFonts w:ascii="Times New Roman" w:hAnsi="Times New Roman"/>
          <w:sz w:val="20"/>
        </w:rPr>
        <w:t xml:space="preserve">Must a fraudulent litigant’ </w:t>
      </w:r>
      <w:r>
        <w:rPr>
          <w:rFonts w:ascii="Times New Roman" w:hAnsi="Times New Roman"/>
          <w:smallCaps/>
          <w:sz w:val="20"/>
        </w:rPr>
        <w:t>(</w:t>
      </w:r>
      <w:r w:rsidRPr="003D40E1">
        <w:rPr>
          <w:rFonts w:ascii="Times New Roman" w:hAnsi="Times New Roman"/>
          <w:sz w:val="20"/>
        </w:rPr>
        <w:t xml:space="preserve">n </w:t>
      </w:r>
      <w:r>
        <w:rPr>
          <w:rFonts w:ascii="Times New Roman" w:hAnsi="Times New Roman"/>
          <w:sz w:val="20"/>
        </w:rPr>
        <w:fldChar w:fldCharType="begin"/>
      </w:r>
      <w:r>
        <w:rPr>
          <w:rFonts w:ascii="Times New Roman" w:hAnsi="Times New Roman"/>
          <w:sz w:val="20"/>
        </w:rPr>
        <w:instrText xml:space="preserve"> NOTEREF _Ref232396333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20</w:t>
      </w:r>
      <w:r>
        <w:rPr>
          <w:rFonts w:ascii="Times New Roman" w:hAnsi="Times New Roman"/>
          <w:sz w:val="20"/>
        </w:rPr>
        <w:fldChar w:fldCharType="end"/>
      </w:r>
      <w:r>
        <w:rPr>
          <w:rFonts w:ascii="Times New Roman" w:hAnsi="Times New Roman"/>
          <w:sz w:val="20"/>
        </w:rPr>
        <w:t>)</w:t>
      </w:r>
      <w:r w:rsidRPr="008C20C8">
        <w:rPr>
          <w:rFonts w:ascii="Times New Roman" w:hAnsi="Times New Roman"/>
          <w:smallCaps/>
          <w:sz w:val="20"/>
        </w:rPr>
        <w:t xml:space="preserve"> </w:t>
      </w:r>
      <w:r w:rsidRPr="008C20C8">
        <w:rPr>
          <w:rFonts w:ascii="Times New Roman" w:hAnsi="Times New Roman"/>
          <w:sz w:val="20"/>
        </w:rPr>
        <w:t>8-10.</w:t>
      </w:r>
    </w:p>
  </w:footnote>
  <w:footnote w:id="56">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szCs w:val="20"/>
        </w:rPr>
        <w:footnoteRef/>
      </w:r>
      <w:r w:rsidRPr="008C20C8">
        <w:rPr>
          <w:rFonts w:ascii="Times New Roman" w:hAnsi="Times New Roman"/>
          <w:sz w:val="20"/>
        </w:rPr>
        <w:t xml:space="preserve"> See for a definition and </w:t>
      </w:r>
      <w:r w:rsidRPr="008C20C8">
        <w:rPr>
          <w:rFonts w:ascii="Times New Roman" w:hAnsi="Times New Roman" w:cs="Trebuchet MS"/>
          <w:bCs/>
          <w:sz w:val="20"/>
          <w:lang w:val="en-US"/>
        </w:rPr>
        <w:t>practice</w:t>
      </w:r>
      <w:r w:rsidRPr="008C20C8">
        <w:rPr>
          <w:rFonts w:ascii="Times New Roman" w:hAnsi="Times New Roman"/>
          <w:sz w:val="20"/>
        </w:rPr>
        <w:t xml:space="preserve"> notes, </w:t>
      </w:r>
      <w:r>
        <w:rPr>
          <w:rFonts w:ascii="Times New Roman" w:hAnsi="Times New Roman"/>
          <w:sz w:val="20"/>
        </w:rPr>
        <w:t>AAS</w:t>
      </w:r>
      <w:r w:rsidRPr="008C20C8">
        <w:rPr>
          <w:rFonts w:ascii="Times New Roman" w:hAnsi="Times New Roman"/>
          <w:sz w:val="20"/>
        </w:rPr>
        <w:t xml:space="preserve"> Zuckerman, </w:t>
      </w:r>
      <w:r>
        <w:rPr>
          <w:rFonts w:ascii="Times New Roman" w:hAnsi="Times New Roman"/>
          <w:sz w:val="20"/>
        </w:rPr>
        <w:t>‘</w:t>
      </w:r>
      <w:r w:rsidRPr="003D40E1">
        <w:rPr>
          <w:rFonts w:ascii="Times New Roman" w:hAnsi="Times New Roman"/>
          <w:sz w:val="20"/>
        </w:rPr>
        <w:t>A colossal wreck - the BCCI - Three Rivers litigation</w:t>
      </w:r>
      <w:r>
        <w:rPr>
          <w:rStyle w:val="Normal1"/>
          <w:rFonts w:ascii="Times New Roman" w:hAnsi="Times New Roman"/>
          <w:sz w:val="20"/>
        </w:rPr>
        <w:t>’</w:t>
      </w:r>
      <w:r w:rsidRPr="008C20C8">
        <w:rPr>
          <w:rFonts w:ascii="Times New Roman" w:hAnsi="Times New Roman"/>
          <w:sz w:val="20"/>
        </w:rPr>
        <w:t xml:space="preserve"> (2006)</w:t>
      </w:r>
      <w:r>
        <w:rPr>
          <w:rFonts w:ascii="Times New Roman" w:hAnsi="Times New Roman"/>
          <w:sz w:val="20"/>
        </w:rPr>
        <w:t xml:space="preserve"> </w:t>
      </w:r>
      <w:r w:rsidRPr="008C20C8">
        <w:rPr>
          <w:rFonts w:ascii="Times New Roman" w:hAnsi="Times New Roman"/>
          <w:sz w:val="20"/>
        </w:rPr>
        <w:t>25 CJQ 287.</w:t>
      </w:r>
    </w:p>
  </w:footnote>
  <w:footnote w:id="57">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Lord Woolf</w:t>
      </w:r>
      <w:r>
        <w:rPr>
          <w:rFonts w:ascii="Times New Roman" w:hAnsi="Times New Roman"/>
          <w:sz w:val="20"/>
        </w:rPr>
        <w:t>,</w:t>
      </w:r>
      <w:r w:rsidRPr="008C20C8">
        <w:rPr>
          <w:rFonts w:ascii="Times New Roman" w:hAnsi="Times New Roman"/>
          <w:sz w:val="20"/>
        </w:rPr>
        <w:t xml:space="preserve"> </w:t>
      </w:r>
      <w:r w:rsidRPr="00C336D5">
        <w:rPr>
          <w:rFonts w:ascii="Times New Roman" w:hAnsi="Times New Roman"/>
          <w:i/>
          <w:sz w:val="20"/>
        </w:rPr>
        <w:t xml:space="preserve">Access to Justice: Interim Report </w:t>
      </w:r>
      <w:r>
        <w:rPr>
          <w:rFonts w:ascii="Times New Roman" w:hAnsi="Times New Roman"/>
          <w:sz w:val="20"/>
        </w:rPr>
        <w:t>(HMSO 1995)</w:t>
      </w:r>
      <w:r w:rsidRPr="008C20C8">
        <w:rPr>
          <w:rFonts w:ascii="Times New Roman" w:hAnsi="Times New Roman"/>
          <w:sz w:val="20"/>
        </w:rPr>
        <w:t xml:space="preserve"> </w:t>
      </w:r>
      <w:r>
        <w:rPr>
          <w:rFonts w:ascii="Times New Roman" w:hAnsi="Times New Roman"/>
          <w:sz w:val="20"/>
        </w:rPr>
        <w:t>c</w:t>
      </w:r>
      <w:r w:rsidRPr="008C20C8">
        <w:rPr>
          <w:rFonts w:ascii="Times New Roman" w:hAnsi="Times New Roman"/>
          <w:sz w:val="20"/>
        </w:rPr>
        <w:t>h 26, para 30.</w:t>
      </w:r>
    </w:p>
  </w:footnote>
  <w:footnote w:id="58">
    <w:p w:rsidR="00D43B4E" w:rsidRPr="008C20C8" w:rsidRDefault="00D43B4E" w:rsidP="00827DD4">
      <w:pPr>
        <w:pStyle w:val="FootnoteText"/>
        <w:rPr>
          <w:rFonts w:ascii="Times New Roman" w:eastAsiaTheme="minorHAnsi" w:hAnsi="Times New Roman" w:cs="Verdana"/>
          <w:sz w:val="20"/>
          <w:lang w:val="en-US"/>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3D40E1">
        <w:rPr>
          <w:rFonts w:ascii="Times New Roman" w:hAnsi="Times New Roman"/>
          <w:sz w:val="20"/>
        </w:rPr>
        <w:t xml:space="preserve">Lord </w:t>
      </w:r>
      <w:r w:rsidRPr="003D40E1">
        <w:rPr>
          <w:rFonts w:ascii="Times New Roman" w:eastAsiaTheme="minorHAnsi" w:hAnsi="Times New Roman" w:cs="Verdana"/>
          <w:sz w:val="20"/>
          <w:lang w:val="en-US"/>
        </w:rPr>
        <w:t xml:space="preserve">Woolf, </w:t>
      </w:r>
      <w:r w:rsidRPr="00C336D5">
        <w:rPr>
          <w:rFonts w:ascii="Times New Roman" w:eastAsiaTheme="minorHAnsi" w:hAnsi="Times New Roman" w:cs="Verdana"/>
          <w:bCs/>
          <w:i/>
          <w:sz w:val="20"/>
          <w:lang w:val="en-US"/>
        </w:rPr>
        <w:t>Access to Justice: Final Report</w:t>
      </w:r>
      <w:r w:rsidRPr="003D40E1">
        <w:rPr>
          <w:rFonts w:ascii="Times New Roman" w:eastAsiaTheme="minorHAnsi" w:hAnsi="Times New Roman" w:cs="Verdana"/>
          <w:bCs/>
          <w:sz w:val="20"/>
          <w:lang w:val="en-US"/>
        </w:rPr>
        <w:t xml:space="preserve"> </w:t>
      </w:r>
      <w:r w:rsidRPr="008C20C8">
        <w:rPr>
          <w:rFonts w:ascii="Times New Roman" w:eastAsiaTheme="minorHAnsi" w:hAnsi="Times New Roman" w:cs="Verdana"/>
          <w:smallCaps/>
          <w:sz w:val="20"/>
          <w:lang w:val="en-US"/>
        </w:rPr>
        <w:t>(HMSO 199</w:t>
      </w:r>
      <w:r>
        <w:rPr>
          <w:rFonts w:ascii="Times New Roman" w:eastAsiaTheme="minorHAnsi" w:hAnsi="Times New Roman" w:cs="Verdana"/>
          <w:smallCaps/>
          <w:sz w:val="20"/>
          <w:lang w:val="en-US"/>
        </w:rPr>
        <w:t>6)</w:t>
      </w:r>
      <w:r w:rsidRPr="008C20C8">
        <w:rPr>
          <w:rFonts w:ascii="Times New Roman" w:eastAsiaTheme="minorHAnsi" w:hAnsi="Times New Roman" w:cs="Verdana"/>
          <w:sz w:val="20"/>
          <w:lang w:val="en-US"/>
        </w:rPr>
        <w:t xml:space="preserve"> </w:t>
      </w:r>
      <w:r>
        <w:rPr>
          <w:rFonts w:ascii="Times New Roman" w:eastAsiaTheme="minorHAnsi" w:hAnsi="Times New Roman" w:cs="Verdana"/>
          <w:sz w:val="20"/>
          <w:lang w:val="en-US"/>
        </w:rPr>
        <w:t>c</w:t>
      </w:r>
      <w:r w:rsidRPr="008C20C8">
        <w:rPr>
          <w:rFonts w:ascii="Times New Roman" w:eastAsiaTheme="minorHAnsi" w:hAnsi="Times New Roman" w:cs="Verdana"/>
          <w:sz w:val="20"/>
          <w:lang w:val="en-US"/>
        </w:rPr>
        <w:t>h</w:t>
      </w:r>
      <w:r>
        <w:rPr>
          <w:rFonts w:ascii="Times New Roman" w:eastAsiaTheme="minorHAnsi" w:hAnsi="Times New Roman" w:cs="Verdana"/>
          <w:sz w:val="20"/>
          <w:lang w:val="en-US"/>
        </w:rPr>
        <w:t xml:space="preserve"> </w:t>
      </w:r>
      <w:r w:rsidRPr="008C20C8">
        <w:rPr>
          <w:rFonts w:ascii="Times New Roman" w:eastAsiaTheme="minorHAnsi" w:hAnsi="Times New Roman" w:cs="Verdana"/>
          <w:sz w:val="20"/>
          <w:lang w:val="en-US"/>
        </w:rPr>
        <w:t xml:space="preserve">6, </w:t>
      </w:r>
      <w:r>
        <w:rPr>
          <w:rFonts w:ascii="Times New Roman" w:eastAsiaTheme="minorHAnsi" w:hAnsi="Times New Roman" w:cs="Verdana"/>
          <w:sz w:val="20"/>
          <w:lang w:val="en-US"/>
        </w:rPr>
        <w:t>‘</w:t>
      </w:r>
      <w:r w:rsidRPr="008C20C8">
        <w:rPr>
          <w:rFonts w:ascii="Times New Roman" w:eastAsiaTheme="minorHAnsi" w:hAnsi="Times New Roman" w:cs="Verdana"/>
          <w:sz w:val="20"/>
          <w:lang w:val="en-US"/>
        </w:rPr>
        <w:t>Sanctions</w:t>
      </w:r>
      <w:r>
        <w:rPr>
          <w:rFonts w:ascii="Times New Roman" w:eastAsiaTheme="minorHAnsi" w:hAnsi="Times New Roman" w:cs="Verdana"/>
          <w:sz w:val="20"/>
          <w:lang w:val="en-US"/>
        </w:rPr>
        <w:t>’</w:t>
      </w:r>
      <w:r w:rsidRPr="008C20C8">
        <w:rPr>
          <w:rFonts w:ascii="Times New Roman" w:eastAsiaTheme="minorHAnsi" w:hAnsi="Times New Roman" w:cs="Verdana"/>
          <w:sz w:val="20"/>
          <w:lang w:val="en-US"/>
        </w:rPr>
        <w:t>.</w:t>
      </w:r>
    </w:p>
  </w:footnote>
  <w:footnote w:id="59">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Pr>
          <w:rFonts w:ascii="Times New Roman" w:hAnsi="Times New Roman"/>
          <w:sz w:val="20"/>
        </w:rPr>
        <w:t xml:space="preserve"> CPR 3.8 ‘</w:t>
      </w:r>
      <w:r w:rsidRPr="008C20C8">
        <w:rPr>
          <w:rFonts w:ascii="Times New Roman" w:eastAsiaTheme="minorHAnsi" w:hAnsi="Times New Roman" w:cs="Arial"/>
          <w:sz w:val="20"/>
          <w:szCs w:val="26"/>
          <w:lang w:val="en-US"/>
        </w:rPr>
        <w:t>(1) Where a party has failed to comply with a rule, practice direction or court order, any sanction for failure to comply imposed by the rule, practice direction or court order has effect unless the party in default applies for and obtains relief from the sanction.</w:t>
      </w:r>
      <w:r>
        <w:rPr>
          <w:rFonts w:ascii="Times New Roman" w:eastAsiaTheme="minorHAnsi" w:hAnsi="Times New Roman" w:cs="Arial"/>
          <w:sz w:val="20"/>
          <w:szCs w:val="26"/>
          <w:lang w:val="en-US"/>
        </w:rPr>
        <w:t>’</w:t>
      </w:r>
    </w:p>
  </w:footnote>
  <w:footnote w:id="60">
    <w:p w:rsidR="00D43B4E" w:rsidRPr="00903596" w:rsidRDefault="00D43B4E" w:rsidP="00903596">
      <w:pPr>
        <w:pStyle w:val="FootnoteText"/>
        <w:rPr>
          <w:rFonts w:ascii="Times New Roman" w:hAnsi="Times New Roman"/>
        </w:rPr>
      </w:pPr>
      <w:r>
        <w:rPr>
          <w:rStyle w:val="FootnoteReference"/>
          <w:rFonts w:ascii="Times New Roman" w:hAnsi="Times New Roman"/>
          <w:sz w:val="20"/>
        </w:rPr>
        <w:footnoteRef/>
      </w:r>
      <w:r w:rsidRPr="003D40E1">
        <w:rPr>
          <w:rFonts w:ascii="Times New Roman" w:hAnsi="Times New Roman"/>
          <w:sz w:val="20"/>
        </w:rPr>
        <w:t xml:space="preserve"> CPR 3.9 (in force until 1 April 2013)</w:t>
      </w:r>
      <w:r>
        <w:rPr>
          <w:rFonts w:ascii="Times New Roman" w:hAnsi="Times New Roman"/>
          <w:sz w:val="20"/>
        </w:rPr>
        <w:t>.</w:t>
      </w:r>
    </w:p>
  </w:footnote>
  <w:footnote w:id="61">
    <w:p w:rsidR="00D43B4E" w:rsidRPr="008C20C8" w:rsidRDefault="00D43B4E" w:rsidP="00903596">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P</w:t>
      </w:r>
      <w:r>
        <w:rPr>
          <w:rFonts w:ascii="Times New Roman" w:eastAsiaTheme="minorHAnsi" w:hAnsi="Times New Roman" w:cs="Verdana"/>
          <w:sz w:val="20"/>
          <w:szCs w:val="26"/>
          <w:lang w:val="en-US"/>
        </w:rPr>
        <w:t>ost-Woolf, ‘</w:t>
      </w:r>
      <w:r w:rsidRPr="008C20C8">
        <w:rPr>
          <w:rFonts w:ascii="Times New Roman" w:eastAsiaTheme="minorHAnsi" w:hAnsi="Times New Roman" w:cs="Verdana"/>
          <w:sz w:val="20"/>
          <w:szCs w:val="26"/>
          <w:lang w:val="en-US"/>
        </w:rPr>
        <w:t>the policy behind the civil process in future was no longer to singularly focus on the achievement of substantive justice in the case immediately before the court. It was to consider the right of all citizens to a fair process that could l</w:t>
      </w:r>
      <w:r>
        <w:rPr>
          <w:rFonts w:ascii="Times New Roman" w:eastAsiaTheme="minorHAnsi" w:hAnsi="Times New Roman" w:cs="Verdana"/>
          <w:sz w:val="20"/>
          <w:szCs w:val="26"/>
          <w:lang w:val="en-US"/>
        </w:rPr>
        <w:t>ead to a decision on the merits’</w:t>
      </w:r>
      <w:r w:rsidRPr="008C20C8">
        <w:rPr>
          <w:rFonts w:ascii="Times New Roman" w:eastAsiaTheme="minorHAnsi" w:hAnsi="Times New Roman" w:cs="Verdana"/>
          <w:sz w:val="20"/>
          <w:szCs w:val="26"/>
          <w:lang w:val="en-US"/>
        </w:rPr>
        <w:t xml:space="preserve">; </w:t>
      </w:r>
      <w:r>
        <w:rPr>
          <w:rFonts w:ascii="Times New Roman" w:hAnsi="Times New Roman"/>
          <w:sz w:val="20"/>
        </w:rPr>
        <w:t xml:space="preserve">Sorabji </w:t>
      </w:r>
      <w:r w:rsidRPr="0066000C">
        <w:rPr>
          <w:rFonts w:ascii="Times New Roman" w:hAnsi="Times New Roman"/>
          <w:sz w:val="20"/>
        </w:rPr>
        <w:t>(</w:t>
      </w:r>
      <w:r>
        <w:rPr>
          <w:rFonts w:ascii="Times New Roman" w:hAnsi="Times New Roman"/>
          <w:sz w:val="20"/>
        </w:rPr>
        <w:t>n</w:t>
      </w:r>
      <w:r w:rsidRPr="008C20C8">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NOTEREF _Ref232396643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51</w:t>
      </w:r>
      <w:r>
        <w:rPr>
          <w:rFonts w:ascii="Times New Roman" w:hAnsi="Times New Roman"/>
          <w:sz w:val="20"/>
        </w:rPr>
        <w:fldChar w:fldCharType="end"/>
      </w:r>
      <w:r>
        <w:rPr>
          <w:rFonts w:ascii="Times New Roman" w:hAnsi="Times New Roman"/>
          <w:sz w:val="20"/>
        </w:rPr>
        <w:t>)</w:t>
      </w:r>
      <w:r w:rsidRPr="008C20C8">
        <w:rPr>
          <w:rFonts w:ascii="Times New Roman" w:eastAsiaTheme="minorHAnsi" w:hAnsi="Times New Roman" w:cs="Verdana"/>
          <w:sz w:val="20"/>
          <w:szCs w:val="26"/>
          <w:lang w:val="en-US"/>
        </w:rPr>
        <w:t xml:space="preserve"> 401. </w:t>
      </w:r>
    </w:p>
  </w:footnote>
  <w:footnote w:id="62">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C336D5">
        <w:rPr>
          <w:rFonts w:ascii="Times New Roman" w:hAnsi="Times New Roman"/>
          <w:i/>
          <w:sz w:val="20"/>
        </w:rPr>
        <w:t xml:space="preserve">Arrows Nominees Inc v Blackledge </w:t>
      </w:r>
      <w:r w:rsidRPr="008C20C8">
        <w:rPr>
          <w:rFonts w:ascii="Times New Roman" w:hAnsi="Times New Roman"/>
          <w:sz w:val="20"/>
        </w:rPr>
        <w:t xml:space="preserve">[2000] CP Rep 59. See also </w:t>
      </w:r>
      <w:r w:rsidRPr="00C336D5">
        <w:rPr>
          <w:rFonts w:ascii="Times New Roman" w:eastAsiaTheme="minorHAnsi" w:hAnsi="Times New Roman" w:cs="Verdana"/>
          <w:i/>
          <w:iCs/>
          <w:sz w:val="20"/>
          <w:lang w:val="en-US"/>
        </w:rPr>
        <w:t>Adoko v Jemal</w:t>
      </w:r>
      <w:r w:rsidRPr="008C20C8">
        <w:rPr>
          <w:rFonts w:ascii="Times New Roman" w:eastAsiaTheme="minorHAnsi" w:hAnsi="Times New Roman" w:cs="Verdana"/>
          <w:iCs/>
          <w:sz w:val="20"/>
          <w:lang w:val="en-US"/>
        </w:rPr>
        <w:t xml:space="preserve"> </w:t>
      </w:r>
      <w:r>
        <w:rPr>
          <w:rFonts w:ascii="Times New Roman" w:eastAsiaTheme="minorHAnsi" w:hAnsi="Times New Roman" w:cs="Verdana"/>
          <w:iCs/>
          <w:sz w:val="20"/>
          <w:lang w:val="en-US"/>
        </w:rPr>
        <w:t xml:space="preserve">(CA, 22 </w:t>
      </w:r>
      <w:r w:rsidRPr="008C20C8">
        <w:rPr>
          <w:rFonts w:ascii="Times New Roman" w:eastAsiaTheme="minorHAnsi" w:hAnsi="Times New Roman" w:cs="Verdana"/>
          <w:iCs/>
          <w:sz w:val="20"/>
          <w:lang w:val="en-US"/>
        </w:rPr>
        <w:t>June 1999)</w:t>
      </w:r>
      <w:r w:rsidRPr="008C20C8">
        <w:rPr>
          <w:rFonts w:ascii="Times New Roman" w:eastAsiaTheme="minorHAnsi" w:hAnsi="Times New Roman" w:cs="Verdana"/>
          <w:sz w:val="20"/>
          <w:lang w:val="en-US"/>
        </w:rPr>
        <w:t xml:space="preserve"> </w:t>
      </w:r>
      <w:r>
        <w:rPr>
          <w:rFonts w:ascii="Times New Roman" w:eastAsiaTheme="minorHAnsi" w:hAnsi="Times New Roman" w:cs="Verdana"/>
          <w:sz w:val="20"/>
          <w:lang w:val="en-US"/>
        </w:rPr>
        <w:t>[7]</w:t>
      </w:r>
      <w:r w:rsidRPr="008C20C8">
        <w:rPr>
          <w:rFonts w:ascii="Times New Roman" w:eastAsiaTheme="minorHAnsi" w:hAnsi="Times New Roman" w:cs="Verdana"/>
          <w:sz w:val="20"/>
          <w:lang w:val="en-US"/>
        </w:rPr>
        <w:t xml:space="preserve"> </w:t>
      </w:r>
      <w:r>
        <w:rPr>
          <w:rFonts w:ascii="Times New Roman" w:eastAsiaTheme="minorHAnsi" w:hAnsi="Times New Roman" w:cs="Verdana"/>
          <w:sz w:val="20"/>
          <w:lang w:val="en-US"/>
        </w:rPr>
        <w:t>(</w:t>
      </w:r>
      <w:r w:rsidRPr="008C20C8">
        <w:rPr>
          <w:rFonts w:ascii="Times New Roman" w:eastAsiaTheme="minorHAnsi" w:hAnsi="Times New Roman" w:cs="Verdana"/>
          <w:sz w:val="20"/>
          <w:lang w:val="en-US"/>
        </w:rPr>
        <w:t xml:space="preserve"> </w:t>
      </w:r>
      <w:r w:rsidRPr="008C20C8">
        <w:rPr>
          <w:rFonts w:ascii="Times New Roman" w:eastAsiaTheme="minorHAnsi" w:hAnsi="Times New Roman" w:cs="Verdana"/>
          <w:sz w:val="20"/>
          <w:szCs w:val="26"/>
          <w:lang w:val="en-US"/>
        </w:rPr>
        <w:t>Laws LJ</w:t>
      </w:r>
      <w:r>
        <w:rPr>
          <w:rFonts w:ascii="Times New Roman" w:eastAsiaTheme="minorHAnsi" w:hAnsi="Times New Roman" w:cs="Verdana"/>
          <w:sz w:val="20"/>
          <w:szCs w:val="26"/>
          <w:lang w:val="en-US"/>
        </w:rPr>
        <w:t>)</w:t>
      </w:r>
      <w:r w:rsidRPr="008C20C8">
        <w:rPr>
          <w:rFonts w:ascii="Times New Roman" w:eastAsiaTheme="minorHAnsi" w:hAnsi="Times New Roman" w:cs="Verdana"/>
          <w:sz w:val="20"/>
          <w:lang w:val="en-US"/>
        </w:rPr>
        <w:t xml:space="preserve">: </w:t>
      </w:r>
      <w:r>
        <w:rPr>
          <w:rFonts w:ascii="Times New Roman" w:eastAsiaTheme="minorHAnsi" w:hAnsi="Times New Roman" w:cs="Verdana"/>
          <w:sz w:val="20"/>
          <w:lang w:val="en-US"/>
        </w:rPr>
        <w:t>‘</w:t>
      </w:r>
      <w:r w:rsidRPr="008C20C8">
        <w:rPr>
          <w:rFonts w:ascii="Times New Roman" w:eastAsiaTheme="minorHAnsi" w:hAnsi="Times New Roman" w:cs="Verdana"/>
          <w:sz w:val="20"/>
          <w:szCs w:val="26"/>
          <w:lang w:val="en-US"/>
        </w:rPr>
        <w:t>the proper and proportionate use of court resources is now to be considered part of substantive justice itself</w:t>
      </w:r>
      <w:r>
        <w:rPr>
          <w:rFonts w:ascii="Times New Roman" w:eastAsiaTheme="minorHAnsi" w:hAnsi="Times New Roman" w:cs="Verdana"/>
          <w:sz w:val="20"/>
          <w:szCs w:val="26"/>
          <w:lang w:val="en-US"/>
        </w:rPr>
        <w:t>’</w:t>
      </w:r>
      <w:r w:rsidRPr="008C20C8">
        <w:rPr>
          <w:rFonts w:ascii="Times New Roman" w:eastAsiaTheme="minorHAnsi" w:hAnsi="Times New Roman" w:cs="Verdana"/>
          <w:sz w:val="20"/>
          <w:szCs w:val="26"/>
          <w:lang w:val="en-US"/>
        </w:rPr>
        <w:t xml:space="preserve">: </w:t>
      </w:r>
      <w:r w:rsidRPr="008C20C8">
        <w:rPr>
          <w:rFonts w:ascii="Times New Roman" w:eastAsiaTheme="minorHAnsi" w:hAnsi="Times New Roman" w:cs="Verdana"/>
          <w:sz w:val="20"/>
          <w:lang w:val="en-US"/>
        </w:rPr>
        <w:t>cited by Sorabji</w:t>
      </w:r>
      <w:r>
        <w:rPr>
          <w:rFonts w:ascii="Times New Roman" w:eastAsiaTheme="minorHAnsi" w:hAnsi="Times New Roman" w:cs="Verdana"/>
          <w:sz w:val="20"/>
          <w:lang w:val="en-US"/>
        </w:rPr>
        <w:t xml:space="preserve"> (n </w:t>
      </w:r>
      <w:r>
        <w:rPr>
          <w:rFonts w:ascii="Times New Roman" w:eastAsiaTheme="minorHAnsi" w:hAnsi="Times New Roman" w:cs="Verdana"/>
          <w:sz w:val="20"/>
          <w:lang w:val="en-US"/>
        </w:rPr>
        <w:fldChar w:fldCharType="begin"/>
      </w:r>
      <w:r>
        <w:rPr>
          <w:rFonts w:ascii="Times New Roman" w:eastAsiaTheme="minorHAnsi" w:hAnsi="Times New Roman" w:cs="Verdana"/>
          <w:sz w:val="20"/>
          <w:lang w:val="en-US"/>
        </w:rPr>
        <w:instrText xml:space="preserve"> NOTEREF _Ref232396643 \h </w:instrText>
      </w:r>
      <w:r w:rsidRPr="00844364">
        <w:rPr>
          <w:rFonts w:ascii="Times New Roman" w:eastAsiaTheme="minorHAnsi" w:hAnsi="Times New Roman" w:cs="Verdana"/>
          <w:sz w:val="20"/>
          <w:lang w:val="en-US"/>
        </w:rPr>
      </w:r>
      <w:r>
        <w:rPr>
          <w:rFonts w:ascii="Times New Roman" w:eastAsiaTheme="minorHAnsi" w:hAnsi="Times New Roman" w:cs="Verdana"/>
          <w:sz w:val="20"/>
          <w:lang w:val="en-US"/>
        </w:rPr>
        <w:fldChar w:fldCharType="separate"/>
      </w:r>
      <w:r w:rsidR="00007B05">
        <w:rPr>
          <w:rFonts w:ascii="Times New Roman" w:eastAsiaTheme="minorHAnsi" w:hAnsi="Times New Roman" w:cs="Verdana"/>
          <w:sz w:val="20"/>
          <w:lang w:val="en-US"/>
        </w:rPr>
        <w:t>51</w:t>
      </w:r>
      <w:r>
        <w:rPr>
          <w:rFonts w:ascii="Times New Roman" w:eastAsiaTheme="minorHAnsi" w:hAnsi="Times New Roman" w:cs="Verdana"/>
          <w:sz w:val="20"/>
          <w:lang w:val="en-US"/>
        </w:rPr>
        <w:fldChar w:fldCharType="end"/>
      </w:r>
      <w:r>
        <w:rPr>
          <w:rFonts w:ascii="Times New Roman" w:eastAsiaTheme="minorHAnsi" w:hAnsi="Times New Roman" w:cs="Verdana"/>
          <w:sz w:val="20"/>
          <w:lang w:val="en-US"/>
        </w:rPr>
        <w:t>).</w:t>
      </w:r>
    </w:p>
  </w:footnote>
  <w:footnote w:id="63">
    <w:p w:rsidR="00D43B4E" w:rsidRDefault="00D43B4E">
      <w:pPr>
        <w:pStyle w:val="FootnoteText"/>
        <w:rPr>
          <w:rFonts w:ascii="Times New Roman" w:hAnsi="Times New Roman"/>
          <w:sz w:val="20"/>
        </w:rPr>
      </w:pPr>
      <w:r>
        <w:rPr>
          <w:rStyle w:val="FootnoteReference"/>
          <w:rFonts w:ascii="Times New Roman" w:hAnsi="Times New Roman"/>
          <w:sz w:val="20"/>
          <w:szCs w:val="20"/>
        </w:rPr>
        <w:footnoteRef/>
      </w:r>
      <w:r w:rsidRPr="003D40E1">
        <w:rPr>
          <w:rFonts w:ascii="Times New Roman" w:hAnsi="Times New Roman"/>
          <w:sz w:val="20"/>
        </w:rPr>
        <w:t xml:space="preserve"> Eg,</w:t>
      </w:r>
      <w:r w:rsidRPr="003D40E1">
        <w:rPr>
          <w:rFonts w:ascii="Times New Roman" w:hAnsi="Times New Roman"/>
          <w:i/>
          <w:sz w:val="20"/>
        </w:rPr>
        <w:t xml:space="preserve"> </w:t>
      </w:r>
      <w:r w:rsidRPr="003D40E1">
        <w:rPr>
          <w:rFonts w:ascii="Times New Roman" w:hAnsi="Times New Roman" w:cs="Verdana"/>
          <w:sz w:val="20"/>
          <w:lang w:val="en-US"/>
        </w:rPr>
        <w:t xml:space="preserve">Ward LJ in </w:t>
      </w:r>
      <w:r w:rsidRPr="00C336D5">
        <w:rPr>
          <w:rFonts w:ascii="Times New Roman" w:hAnsi="Times New Roman" w:cs="Trebuchet MS"/>
          <w:bCs/>
          <w:i/>
          <w:sz w:val="20"/>
          <w:lang w:val="en-US"/>
        </w:rPr>
        <w:t>Gohar Maqsood v Mr Mufazar Mahmood</w:t>
      </w:r>
      <w:r w:rsidRPr="003D40E1">
        <w:rPr>
          <w:rFonts w:ascii="Times New Roman" w:hAnsi="Times New Roman" w:cs="Trebuchet MS"/>
          <w:bCs/>
          <w:sz w:val="20"/>
          <w:lang w:val="en-US"/>
        </w:rPr>
        <w:t xml:space="preserve"> [2012] EWCA Civ 251</w:t>
      </w:r>
      <w:r w:rsidRPr="00F10B91">
        <w:rPr>
          <w:rFonts w:ascii="Times New Roman" w:hAnsi="Times New Roman" w:cs="Verdana"/>
          <w:sz w:val="20"/>
          <w:lang w:val="en-US"/>
        </w:rPr>
        <w:t xml:space="preserve">. </w:t>
      </w:r>
    </w:p>
  </w:footnote>
  <w:footnote w:id="64">
    <w:p w:rsidR="00D43B4E" w:rsidRPr="008C20C8" w:rsidRDefault="00D43B4E" w:rsidP="00827DD4">
      <w:pPr>
        <w:pStyle w:val="FootnoteText"/>
        <w:rPr>
          <w:rFonts w:ascii="Times New Roman" w:hAnsi="Times New Roman"/>
          <w:sz w:val="20"/>
        </w:rPr>
      </w:pPr>
      <w:r>
        <w:rPr>
          <w:rStyle w:val="FootnoteReference"/>
          <w:rFonts w:ascii="Times New Roman" w:hAnsi="Times New Roman"/>
          <w:sz w:val="20"/>
        </w:rPr>
        <w:footnoteRef/>
      </w:r>
      <w:r w:rsidRPr="003D40E1">
        <w:rPr>
          <w:rFonts w:ascii="Times New Roman" w:hAnsi="Times New Roman"/>
          <w:sz w:val="20"/>
        </w:rPr>
        <w:t xml:space="preserve"> Two recent examples are from the same judge, Peter Smith J., at first instance in </w:t>
      </w:r>
      <w:r w:rsidRPr="00C336D5">
        <w:rPr>
          <w:rFonts w:ascii="Times New Roman" w:hAnsi="Times New Roman"/>
          <w:i/>
          <w:sz w:val="20"/>
        </w:rPr>
        <w:t xml:space="preserve">Swain-Mason v Mills &amp; Reeve </w:t>
      </w:r>
      <w:r w:rsidRPr="003D40E1">
        <w:rPr>
          <w:rFonts w:ascii="Times New Roman" w:eastAsiaTheme="minorHAnsi" w:hAnsi="Times New Roman" w:cs="Verdana"/>
          <w:sz w:val="20"/>
          <w:szCs w:val="26"/>
          <w:lang w:val="en-US"/>
        </w:rPr>
        <w:t xml:space="preserve">[2010] EWHC 3198 (Ch), </w:t>
      </w:r>
      <w:r>
        <w:rPr>
          <w:rFonts w:ascii="Times New Roman" w:eastAsiaTheme="minorHAnsi" w:hAnsi="Times New Roman" w:cs="Verdana"/>
          <w:sz w:val="20"/>
          <w:szCs w:val="26"/>
          <w:lang w:val="en-US"/>
        </w:rPr>
        <w:t>revd</w:t>
      </w:r>
      <w:r>
        <w:rPr>
          <w:rFonts w:ascii="Times New Roman" w:hAnsi="Times New Roman"/>
          <w:sz w:val="20"/>
        </w:rPr>
        <w:t xml:space="preserve"> </w:t>
      </w:r>
      <w:r>
        <w:rPr>
          <w:rFonts w:ascii="Times New Roman" w:eastAsiaTheme="minorHAnsi" w:hAnsi="Times New Roman" w:cs="Verdana"/>
          <w:sz w:val="20"/>
          <w:szCs w:val="26"/>
          <w:lang w:val="en-US"/>
        </w:rPr>
        <w:t>[2011] EWCA Civ 14</w:t>
      </w:r>
      <w:r w:rsidRPr="003D40E1">
        <w:rPr>
          <w:rFonts w:ascii="Times New Roman" w:eastAsiaTheme="minorHAnsi" w:hAnsi="Times New Roman" w:cs="Verdana"/>
          <w:sz w:val="20"/>
          <w:szCs w:val="26"/>
          <w:lang w:val="en-US"/>
        </w:rPr>
        <w:t xml:space="preserve">, and in </w:t>
      </w:r>
      <w:r w:rsidRPr="00C336D5">
        <w:rPr>
          <w:rFonts w:ascii="Times New Roman" w:eastAsiaTheme="minorHAnsi" w:hAnsi="Times New Roman" w:cs="Verdana"/>
          <w:i/>
          <w:iCs/>
          <w:sz w:val="20"/>
          <w:szCs w:val="26"/>
          <w:lang w:val="en-US"/>
        </w:rPr>
        <w:t>JSC BTA Bank v Solodchenko</w:t>
      </w:r>
      <w:r w:rsidRPr="003D40E1">
        <w:rPr>
          <w:rFonts w:ascii="Times New Roman" w:eastAsiaTheme="minorHAnsi" w:hAnsi="Times New Roman" w:cs="Verdana"/>
          <w:iCs/>
          <w:sz w:val="20"/>
          <w:szCs w:val="26"/>
          <w:lang w:val="en-US"/>
        </w:rPr>
        <w:t xml:space="preserve"> </w:t>
      </w:r>
      <w:r>
        <w:rPr>
          <w:rFonts w:ascii="Times New Roman" w:eastAsiaTheme="minorHAnsi" w:hAnsi="Times New Roman" w:cs="Verdana"/>
          <w:iCs/>
          <w:sz w:val="20"/>
          <w:szCs w:val="26"/>
          <w:lang w:val="en-US"/>
        </w:rPr>
        <w:t xml:space="preserve">(Ch, 2 </w:t>
      </w:r>
      <w:r w:rsidRPr="003D40E1">
        <w:rPr>
          <w:rFonts w:ascii="Times New Roman" w:eastAsiaTheme="minorHAnsi" w:hAnsi="Times New Roman" w:cs="Verdana"/>
          <w:iCs/>
          <w:sz w:val="20"/>
          <w:szCs w:val="26"/>
          <w:lang w:val="en-US"/>
        </w:rPr>
        <w:t>May 2012</w:t>
      </w:r>
      <w:r>
        <w:rPr>
          <w:rFonts w:ascii="Times New Roman" w:eastAsiaTheme="minorHAnsi" w:hAnsi="Times New Roman" w:cs="Verdana"/>
          <w:iCs/>
          <w:sz w:val="20"/>
          <w:szCs w:val="26"/>
          <w:lang w:val="en-US"/>
        </w:rPr>
        <w:t>)</w:t>
      </w:r>
      <w:r w:rsidRPr="003D40E1">
        <w:rPr>
          <w:rFonts w:ascii="Times New Roman" w:eastAsiaTheme="minorHAnsi" w:hAnsi="Times New Roman" w:cs="Verdana"/>
          <w:iCs/>
          <w:sz w:val="20"/>
          <w:szCs w:val="26"/>
          <w:lang w:val="en-US"/>
        </w:rPr>
        <w:t xml:space="preserve">, where he held that the Court of Appeal in </w:t>
      </w:r>
      <w:r w:rsidRPr="00C336D5">
        <w:rPr>
          <w:rFonts w:ascii="Times New Roman" w:eastAsiaTheme="minorHAnsi" w:hAnsi="Times New Roman" w:cs="Verdana"/>
          <w:i/>
          <w:iCs/>
          <w:sz w:val="20"/>
          <w:szCs w:val="26"/>
          <w:lang w:val="en-US"/>
        </w:rPr>
        <w:t xml:space="preserve">Swain-Mason v Mills &amp; Reeve </w:t>
      </w:r>
      <w:r w:rsidRPr="003D40E1">
        <w:rPr>
          <w:rFonts w:ascii="Times New Roman" w:eastAsiaTheme="minorHAnsi" w:hAnsi="Times New Roman" w:cs="Verdana"/>
          <w:iCs/>
          <w:sz w:val="20"/>
          <w:szCs w:val="26"/>
          <w:lang w:val="en-US"/>
        </w:rPr>
        <w:t xml:space="preserve">had been wrong because </w:t>
      </w:r>
      <w:r>
        <w:rPr>
          <w:rFonts w:ascii="Times New Roman" w:eastAsiaTheme="minorHAnsi" w:hAnsi="Times New Roman" w:cs="Verdana"/>
          <w:iCs/>
          <w:sz w:val="20"/>
          <w:szCs w:val="26"/>
          <w:lang w:val="en-US"/>
        </w:rPr>
        <w:t>‘</w:t>
      </w:r>
      <w:r w:rsidRPr="003D40E1">
        <w:rPr>
          <w:rFonts w:ascii="Times New Roman" w:eastAsiaTheme="minorHAnsi" w:hAnsi="Times New Roman" w:cs="Verdana"/>
          <w:sz w:val="20"/>
          <w:szCs w:val="26"/>
          <w:lang w:val="en-US"/>
        </w:rPr>
        <w:t>Procedural rules were the servant and no</w:t>
      </w:r>
      <w:r>
        <w:rPr>
          <w:rFonts w:ascii="Times New Roman" w:eastAsiaTheme="minorHAnsi" w:hAnsi="Times New Roman" w:cs="Verdana"/>
          <w:sz w:val="20"/>
          <w:szCs w:val="26"/>
          <w:lang w:val="en-US"/>
        </w:rPr>
        <w:t>t the master of the rule of law’</w:t>
      </w:r>
      <w:r w:rsidRPr="003D40E1">
        <w:rPr>
          <w:rFonts w:ascii="Times New Roman" w:eastAsiaTheme="minorHAnsi" w:hAnsi="Times New Roman" w:cs="Verdana"/>
          <w:sz w:val="20"/>
          <w:szCs w:val="26"/>
          <w:lang w:val="en-US"/>
        </w:rPr>
        <w:t>.</w:t>
      </w:r>
      <w:r w:rsidRPr="003D40E1">
        <w:rPr>
          <w:rFonts w:ascii="Times New Roman" w:eastAsiaTheme="minorHAnsi" w:hAnsi="Times New Roman" w:cs="Verdana"/>
          <w:iCs/>
          <w:sz w:val="20"/>
          <w:szCs w:val="26"/>
          <w:lang w:val="en-US"/>
        </w:rPr>
        <w:t xml:space="preserve"> These were all decisions on late amendments, Sorabji</w:t>
      </w:r>
      <w:r>
        <w:rPr>
          <w:rFonts w:ascii="Times New Roman" w:eastAsiaTheme="minorHAnsi" w:hAnsi="Times New Roman" w:cs="Verdana"/>
          <w:iCs/>
          <w:sz w:val="20"/>
          <w:szCs w:val="26"/>
          <w:lang w:val="en-US"/>
        </w:rPr>
        <w:t xml:space="preserve"> (n </w:t>
      </w:r>
      <w:r>
        <w:rPr>
          <w:rFonts w:ascii="Times New Roman" w:eastAsiaTheme="minorHAnsi" w:hAnsi="Times New Roman" w:cs="Verdana"/>
          <w:iCs/>
          <w:sz w:val="20"/>
          <w:szCs w:val="26"/>
          <w:lang w:val="en-US"/>
        </w:rPr>
        <w:fldChar w:fldCharType="begin"/>
      </w:r>
      <w:r>
        <w:rPr>
          <w:rFonts w:ascii="Times New Roman" w:eastAsiaTheme="minorHAnsi" w:hAnsi="Times New Roman" w:cs="Verdana"/>
          <w:iCs/>
          <w:sz w:val="20"/>
          <w:szCs w:val="26"/>
          <w:lang w:val="en-US"/>
        </w:rPr>
        <w:instrText xml:space="preserve"> NOTEREF _Ref232396643 \h </w:instrText>
      </w:r>
      <w:r w:rsidRPr="00844364">
        <w:rPr>
          <w:rFonts w:ascii="Times New Roman" w:eastAsiaTheme="minorHAnsi" w:hAnsi="Times New Roman" w:cs="Verdana"/>
          <w:iCs/>
          <w:sz w:val="20"/>
          <w:szCs w:val="26"/>
          <w:lang w:val="en-US"/>
        </w:rPr>
      </w:r>
      <w:r>
        <w:rPr>
          <w:rFonts w:ascii="Times New Roman" w:eastAsiaTheme="minorHAnsi" w:hAnsi="Times New Roman" w:cs="Verdana"/>
          <w:iCs/>
          <w:sz w:val="20"/>
          <w:szCs w:val="26"/>
          <w:lang w:val="en-US"/>
        </w:rPr>
        <w:fldChar w:fldCharType="separate"/>
      </w:r>
      <w:r w:rsidR="00007B05">
        <w:rPr>
          <w:rFonts w:ascii="Times New Roman" w:eastAsiaTheme="minorHAnsi" w:hAnsi="Times New Roman" w:cs="Verdana"/>
          <w:iCs/>
          <w:sz w:val="20"/>
          <w:szCs w:val="26"/>
          <w:lang w:val="en-US"/>
        </w:rPr>
        <w:t>51</w:t>
      </w:r>
      <w:r>
        <w:rPr>
          <w:rFonts w:ascii="Times New Roman" w:eastAsiaTheme="minorHAnsi" w:hAnsi="Times New Roman" w:cs="Verdana"/>
          <w:iCs/>
          <w:sz w:val="20"/>
          <w:szCs w:val="26"/>
          <w:lang w:val="en-US"/>
        </w:rPr>
        <w:fldChar w:fldCharType="end"/>
      </w:r>
      <w:r>
        <w:rPr>
          <w:rFonts w:ascii="Times New Roman" w:eastAsiaTheme="minorHAnsi" w:hAnsi="Times New Roman" w:cs="Verdana"/>
          <w:iCs/>
          <w:sz w:val="20"/>
          <w:szCs w:val="26"/>
          <w:lang w:val="en-US"/>
        </w:rPr>
        <w:t>)</w:t>
      </w:r>
      <w:r w:rsidRPr="008C20C8">
        <w:rPr>
          <w:rFonts w:ascii="Times New Roman" w:eastAsiaTheme="minorHAnsi" w:hAnsi="Times New Roman" w:cs="Verdana"/>
          <w:iCs/>
          <w:sz w:val="20"/>
          <w:szCs w:val="26"/>
          <w:lang w:val="en-US"/>
        </w:rPr>
        <w:t>.</w:t>
      </w:r>
    </w:p>
  </w:footnote>
  <w:footnote w:id="65">
    <w:p w:rsidR="00D43B4E" w:rsidRPr="008C20C8" w:rsidRDefault="00D43B4E" w:rsidP="00A84D3C">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8C20C8">
        <w:rPr>
          <w:rFonts w:ascii="Times New Roman" w:eastAsiaTheme="minorHAnsi" w:hAnsi="Times New Roman" w:cs="Verdana"/>
          <w:sz w:val="20"/>
          <w:szCs w:val="26"/>
          <w:lang w:val="en-US"/>
        </w:rPr>
        <w:t>26 Ch D 700</w:t>
      </w:r>
      <w:r>
        <w:rPr>
          <w:rFonts w:ascii="Times New Roman" w:eastAsiaTheme="minorHAnsi" w:hAnsi="Times New Roman" w:cs="Verdana"/>
          <w:sz w:val="20"/>
          <w:szCs w:val="26"/>
          <w:lang w:val="en-US"/>
        </w:rPr>
        <w:t xml:space="preserve"> </w:t>
      </w:r>
      <w:r w:rsidRPr="008C20C8">
        <w:rPr>
          <w:rFonts w:ascii="Times New Roman" w:eastAsiaTheme="minorHAnsi" w:hAnsi="Times New Roman" w:cs="Verdana"/>
          <w:sz w:val="20"/>
          <w:szCs w:val="26"/>
          <w:lang w:val="en-US"/>
        </w:rPr>
        <w:t>(1884)</w:t>
      </w:r>
      <w:r>
        <w:rPr>
          <w:rFonts w:ascii="Times New Roman" w:eastAsiaTheme="minorHAnsi" w:hAnsi="Times New Roman" w:cs="Verdana"/>
          <w:sz w:val="20"/>
          <w:szCs w:val="26"/>
          <w:lang w:val="en-US"/>
        </w:rPr>
        <w:t>,</w:t>
      </w:r>
      <w:r w:rsidRPr="008C20C8">
        <w:rPr>
          <w:rFonts w:ascii="Times New Roman" w:eastAsiaTheme="minorHAnsi" w:hAnsi="Times New Roman" w:cs="Verdana"/>
          <w:sz w:val="20"/>
          <w:szCs w:val="26"/>
          <w:lang w:val="en-US"/>
        </w:rPr>
        <w:t xml:space="preserve"> 710.</w:t>
      </w:r>
      <w:r>
        <w:rPr>
          <w:rFonts w:ascii="Times New Roman" w:eastAsiaTheme="minorHAnsi" w:hAnsi="Times New Roman" w:cs="Verdana"/>
          <w:sz w:val="20"/>
          <w:szCs w:val="26"/>
          <w:lang w:val="en-US"/>
        </w:rPr>
        <w:t xml:space="preserve"> </w:t>
      </w:r>
      <w:r w:rsidRPr="008C20C8">
        <w:rPr>
          <w:rFonts w:ascii="Times New Roman" w:hAnsi="Times New Roman"/>
          <w:sz w:val="20"/>
        </w:rPr>
        <w:t>Most criticisms of automatic effects of procedure can be traced to this dictum: it was referred to by Sir Jack Jacob, and the latter was then quoted by Professor Zander, in a submission mentioned by Sir Rupert Jackson</w:t>
      </w:r>
      <w:r>
        <w:rPr>
          <w:rFonts w:ascii="Times New Roman" w:hAnsi="Times New Roman"/>
          <w:sz w:val="20"/>
        </w:rPr>
        <w:t xml:space="preserve"> in</w:t>
      </w:r>
      <w:r w:rsidRPr="008C20C8">
        <w:rPr>
          <w:rFonts w:ascii="Times New Roman" w:hAnsi="Times New Roman"/>
          <w:sz w:val="20"/>
        </w:rPr>
        <w:t xml:space="preserve"> </w:t>
      </w:r>
      <w:r w:rsidRPr="003D40E1">
        <w:rPr>
          <w:rFonts w:ascii="Times New Roman" w:eastAsiaTheme="minorHAnsi" w:hAnsi="Times New Roman"/>
          <w:bCs/>
          <w:sz w:val="20"/>
          <w:szCs w:val="20"/>
        </w:rPr>
        <w:t>Lord Justice Jackson,</w:t>
      </w:r>
      <w:r w:rsidRPr="003D40E1">
        <w:rPr>
          <w:rFonts w:ascii="Times New Roman" w:eastAsiaTheme="minorHAnsi" w:hAnsi="Times New Roman"/>
          <w:sz w:val="20"/>
          <w:szCs w:val="20"/>
        </w:rPr>
        <w:t xml:space="preserve"> </w:t>
      </w:r>
      <w:r w:rsidRPr="00C336D5">
        <w:rPr>
          <w:rFonts w:ascii="Times New Roman" w:eastAsiaTheme="minorHAnsi" w:hAnsi="Times New Roman"/>
          <w:bCs/>
          <w:i/>
          <w:sz w:val="20"/>
          <w:szCs w:val="20"/>
        </w:rPr>
        <w:t xml:space="preserve">Review Of Civil Litigation </w:t>
      </w:r>
      <w:r w:rsidRPr="00C336D5">
        <w:rPr>
          <w:rFonts w:ascii="Times New Roman" w:eastAsiaTheme="minorHAnsi" w:hAnsi="Times New Roman"/>
          <w:i/>
          <w:sz w:val="20"/>
          <w:szCs w:val="20"/>
        </w:rPr>
        <w:t xml:space="preserve">Costs: </w:t>
      </w:r>
      <w:r w:rsidRPr="00C336D5">
        <w:rPr>
          <w:rFonts w:ascii="Times New Roman" w:eastAsiaTheme="minorHAnsi" w:hAnsi="Times New Roman"/>
          <w:bCs/>
          <w:i/>
          <w:sz w:val="20"/>
          <w:szCs w:val="20"/>
        </w:rPr>
        <w:t>Final Report</w:t>
      </w:r>
      <w:r w:rsidRPr="00C336D5">
        <w:rPr>
          <w:rFonts w:ascii="Times New Roman" w:eastAsiaTheme="minorHAnsi" w:hAnsi="Times New Roman"/>
          <w:i/>
          <w:sz w:val="20"/>
          <w:szCs w:val="20"/>
        </w:rPr>
        <w:t xml:space="preserve"> </w:t>
      </w:r>
      <w:r>
        <w:rPr>
          <w:rFonts w:ascii="Times New Roman" w:eastAsiaTheme="minorHAnsi" w:hAnsi="Times New Roman"/>
          <w:bCs/>
          <w:sz w:val="20"/>
          <w:szCs w:val="20"/>
        </w:rPr>
        <w:t>(December 2009, TSO 2010) 391</w:t>
      </w:r>
      <w:r>
        <w:rPr>
          <w:rFonts w:ascii="Times New Roman" w:hAnsi="Times New Roman" w:cs="Verdana"/>
          <w:sz w:val="20"/>
          <w:lang w:val="en-US"/>
        </w:rPr>
        <w:t>.</w:t>
      </w:r>
    </w:p>
  </w:footnote>
  <w:footnote w:id="66">
    <w:p w:rsidR="00D43B4E" w:rsidRPr="008C20C8" w:rsidRDefault="00D43B4E" w:rsidP="00A84D3C">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[1996] 1 WLR 1089</w:t>
      </w:r>
      <w:r>
        <w:rPr>
          <w:rFonts w:ascii="Times New Roman" w:hAnsi="Times New Roman"/>
          <w:sz w:val="20"/>
        </w:rPr>
        <w:t xml:space="preserve"> (CA)</w:t>
      </w:r>
      <w:r w:rsidRPr="008C20C8">
        <w:rPr>
          <w:rFonts w:ascii="Times New Roman" w:hAnsi="Times New Roman"/>
          <w:sz w:val="20"/>
        </w:rPr>
        <w:t xml:space="preserve"> 1098-99. </w:t>
      </w:r>
    </w:p>
  </w:footnote>
  <w:footnote w:id="67">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3D40E1">
        <w:rPr>
          <w:rFonts w:ascii="Times New Roman" w:hAnsi="Times New Roman"/>
          <w:sz w:val="20"/>
        </w:rPr>
        <w:t xml:space="preserve">JIH Jacob, </w:t>
      </w:r>
      <w:r w:rsidRPr="002D2F48">
        <w:rPr>
          <w:rFonts w:ascii="Times New Roman" w:eastAsiaTheme="minorHAnsi" w:hAnsi="Times New Roman" w:cs="Verdana"/>
          <w:i/>
          <w:sz w:val="20"/>
          <w:szCs w:val="26"/>
          <w:lang w:val="en-US"/>
        </w:rPr>
        <w:t xml:space="preserve">The Fabric of English Civil Justice </w:t>
      </w:r>
      <w:r w:rsidRPr="008C20C8">
        <w:rPr>
          <w:rFonts w:ascii="Times New Roman" w:eastAsiaTheme="minorHAnsi" w:hAnsi="Times New Roman" w:cs="Verdana"/>
          <w:sz w:val="20"/>
          <w:szCs w:val="26"/>
          <w:lang w:val="en-US"/>
        </w:rPr>
        <w:t>(Stevens &amp; Sons, 1987)</w:t>
      </w:r>
      <w:r w:rsidRPr="008C20C8">
        <w:rPr>
          <w:rFonts w:ascii="Times New Roman" w:eastAsiaTheme="minorHAnsi" w:hAnsi="Times New Roman" w:cs="Verdana"/>
          <w:i/>
          <w:sz w:val="20"/>
          <w:szCs w:val="26"/>
          <w:lang w:val="en-US"/>
        </w:rPr>
        <w:t xml:space="preserve"> </w:t>
      </w:r>
      <w:r w:rsidRPr="008C20C8">
        <w:rPr>
          <w:rFonts w:ascii="Times New Roman" w:eastAsiaTheme="minorHAnsi" w:hAnsi="Times New Roman" w:cs="Verdana"/>
          <w:sz w:val="20"/>
          <w:szCs w:val="26"/>
          <w:lang w:val="en-US"/>
        </w:rPr>
        <w:t>285.</w:t>
      </w:r>
    </w:p>
  </w:footnote>
  <w:footnote w:id="68">
    <w:p w:rsidR="00D43B4E" w:rsidRPr="003E2174" w:rsidRDefault="00D43B4E">
      <w:pPr>
        <w:pStyle w:val="FootnoteText"/>
        <w:rPr>
          <w:rFonts w:ascii="Times New Roman" w:hAnsi="Times New Roman"/>
          <w:sz w:val="20"/>
        </w:rPr>
      </w:pPr>
      <w:r w:rsidRPr="003E2174">
        <w:rPr>
          <w:rStyle w:val="FootnoteReference"/>
          <w:rFonts w:ascii="Times New Roman" w:hAnsi="Times New Roman"/>
          <w:sz w:val="20"/>
        </w:rPr>
        <w:footnoteRef/>
      </w:r>
      <w:r w:rsidRPr="003E2174">
        <w:rPr>
          <w:rFonts w:ascii="Times New Roman" w:hAnsi="Times New Roman"/>
          <w:sz w:val="20"/>
        </w:rPr>
        <w:t xml:space="preserve"> See cases above n </w:t>
      </w:r>
      <w:r w:rsidRPr="003E2174">
        <w:rPr>
          <w:rFonts w:ascii="Times New Roman" w:hAnsi="Times New Roman"/>
          <w:sz w:val="20"/>
        </w:rPr>
        <w:fldChar w:fldCharType="begin"/>
      </w:r>
      <w:r w:rsidRPr="003E2174">
        <w:rPr>
          <w:rFonts w:ascii="Times New Roman" w:hAnsi="Times New Roman"/>
          <w:sz w:val="20"/>
        </w:rPr>
        <w:instrText xml:space="preserve"> NOTEREF _Ref232396836 \h </w:instrText>
      </w:r>
      <w:r w:rsidRPr="00844364">
        <w:rPr>
          <w:rFonts w:ascii="Times New Roman" w:hAnsi="Times New Roman"/>
          <w:sz w:val="20"/>
        </w:rPr>
      </w:r>
      <w:r w:rsidRPr="003E2174">
        <w:rPr>
          <w:rFonts w:ascii="Times New Roman" w:hAnsi="Times New Roman"/>
          <w:sz w:val="20"/>
        </w:rPr>
        <w:fldChar w:fldCharType="separate"/>
      </w:r>
      <w:r w:rsidR="00007B05">
        <w:rPr>
          <w:rFonts w:ascii="Times New Roman" w:hAnsi="Times New Roman"/>
          <w:sz w:val="20"/>
        </w:rPr>
        <w:t>63</w:t>
      </w:r>
      <w:r w:rsidRPr="003E2174">
        <w:rPr>
          <w:rFonts w:ascii="Times New Roman" w:hAnsi="Times New Roman"/>
          <w:sz w:val="20"/>
        </w:rPr>
        <w:fldChar w:fldCharType="end"/>
      </w:r>
      <w:r w:rsidRPr="003E2174">
        <w:rPr>
          <w:rFonts w:ascii="Times New Roman" w:hAnsi="Times New Roman"/>
          <w:sz w:val="20"/>
        </w:rPr>
        <w:t xml:space="preserve">. </w:t>
      </w:r>
    </w:p>
  </w:footnote>
  <w:footnote w:id="69">
    <w:p w:rsidR="00D43B4E" w:rsidRPr="008C20C8" w:rsidRDefault="00D43B4E" w:rsidP="00827DD4">
      <w:pPr>
        <w:pStyle w:val="FootnoteText"/>
        <w:rPr>
          <w:rFonts w:ascii="Times New Roman" w:hAnsi="Times New Roman"/>
          <w:sz w:val="20"/>
        </w:rPr>
      </w:pPr>
      <w:r>
        <w:rPr>
          <w:rStyle w:val="FootnoteReference"/>
          <w:rFonts w:ascii="Times New Roman" w:hAnsi="Times New Roman"/>
          <w:sz w:val="20"/>
        </w:rPr>
        <w:footnoteRef/>
      </w:r>
      <w:r w:rsidRPr="003D40E1">
        <w:rPr>
          <w:rFonts w:ascii="Times New Roman" w:hAnsi="Times New Roman"/>
          <w:sz w:val="20"/>
        </w:rPr>
        <w:t xml:space="preserve"> </w:t>
      </w:r>
      <w:r w:rsidRPr="003D40E1">
        <w:rPr>
          <w:rFonts w:ascii="Times New Roman" w:hAnsi="Times New Roman"/>
          <w:bCs/>
          <w:sz w:val="20"/>
          <w:szCs w:val="20"/>
        </w:rPr>
        <w:t>Jackson</w:t>
      </w:r>
      <w:r>
        <w:rPr>
          <w:rFonts w:ascii="Times New Roman" w:hAnsi="Times New Roman"/>
          <w:bCs/>
          <w:sz w:val="20"/>
          <w:szCs w:val="20"/>
        </w:rPr>
        <w:t xml:space="preserve"> (n 64)</w:t>
      </w:r>
      <w:r w:rsidRPr="008C20C8">
        <w:rPr>
          <w:rFonts w:ascii="Times New Roman" w:hAnsi="Times New Roman"/>
          <w:bCs/>
          <w:sz w:val="20"/>
          <w:szCs w:val="20"/>
        </w:rPr>
        <w:t>.</w:t>
      </w:r>
    </w:p>
  </w:footnote>
  <w:footnote w:id="70">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Not only inconsistent application by individual judges, but also an insistence on going over all the factors listed in the rule, leading to hearings of considerable length and complexity</w:t>
      </w:r>
      <w:r>
        <w:rPr>
          <w:rFonts w:ascii="Times New Roman" w:hAnsi="Times New Roman"/>
          <w:sz w:val="20"/>
        </w:rPr>
        <w:t>:</w:t>
      </w:r>
      <w:r w:rsidRPr="008C20C8">
        <w:rPr>
          <w:rFonts w:ascii="Times New Roman" w:hAnsi="Times New Roman"/>
          <w:sz w:val="20"/>
        </w:rPr>
        <w:t xml:space="preserve"> A Higgins, </w:t>
      </w:r>
      <w:r>
        <w:rPr>
          <w:rFonts w:ascii="Times New Roman" w:hAnsi="Times New Roman"/>
          <w:sz w:val="20"/>
        </w:rPr>
        <w:t>‘</w:t>
      </w:r>
      <w:r w:rsidRPr="003D40E1">
        <w:rPr>
          <w:rFonts w:ascii="Times New Roman" w:hAnsi="Times New Roman" w:cs="Trebuchet MS"/>
          <w:bCs/>
          <w:sz w:val="20"/>
          <w:lang w:val="en-US"/>
        </w:rPr>
        <w:t>The costs of case management: what should be done post-Jackson?</w:t>
      </w:r>
      <w:r>
        <w:rPr>
          <w:rFonts w:ascii="Times New Roman" w:hAnsi="Times New Roman" w:cs="Trebuchet MS"/>
          <w:bCs/>
          <w:sz w:val="20"/>
          <w:lang w:val="en-US"/>
        </w:rPr>
        <w:t>’</w:t>
      </w:r>
      <w:r w:rsidRPr="007F6914">
        <w:rPr>
          <w:rFonts w:ascii="Times New Roman" w:hAnsi="Times New Roman" w:cs="Trebuchet MS"/>
          <w:bCs/>
          <w:sz w:val="20"/>
          <w:lang w:val="en-US"/>
        </w:rPr>
        <w:t xml:space="preserve"> </w:t>
      </w:r>
      <w:r w:rsidRPr="008C20C8">
        <w:rPr>
          <w:rFonts w:ascii="Times New Roman" w:hAnsi="Times New Roman" w:cs="Trebuchet MS"/>
          <w:bCs/>
          <w:sz w:val="20"/>
          <w:lang w:val="en-US"/>
        </w:rPr>
        <w:t>(2010)</w:t>
      </w:r>
      <w:r>
        <w:rPr>
          <w:rFonts w:ascii="Times New Roman" w:hAnsi="Times New Roman" w:cs="Trebuchet MS"/>
          <w:bCs/>
          <w:sz w:val="20"/>
          <w:lang w:val="en-US"/>
        </w:rPr>
        <w:t xml:space="preserve"> </w:t>
      </w:r>
      <w:r w:rsidRPr="008C20C8">
        <w:rPr>
          <w:rFonts w:ascii="Times New Roman" w:hAnsi="Times New Roman" w:cs="Trebuchet MS"/>
          <w:bCs/>
          <w:sz w:val="20"/>
          <w:lang w:val="en-US"/>
        </w:rPr>
        <w:t>29 CJQ 317.</w:t>
      </w:r>
    </w:p>
  </w:footnote>
  <w:footnote w:id="71">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One in t</w:t>
      </w:r>
      <w:r>
        <w:rPr>
          <w:rFonts w:ascii="Times New Roman" w:hAnsi="Times New Roman"/>
          <w:sz w:val="20"/>
        </w:rPr>
        <w:t xml:space="preserve">he Final Report itself, at </w:t>
      </w:r>
      <w:r w:rsidRPr="008C20C8">
        <w:rPr>
          <w:rFonts w:ascii="Times New Roman" w:hAnsi="Times New Roman"/>
          <w:sz w:val="20"/>
        </w:rPr>
        <w:t xml:space="preserve">397, and one in a subsequent note to the implementation committee. </w:t>
      </w:r>
    </w:p>
  </w:footnote>
  <w:footnote w:id="72">
    <w:p w:rsidR="00D43B4E" w:rsidRPr="006B1D42" w:rsidRDefault="00D43B4E">
      <w:pPr>
        <w:pStyle w:val="FootnoteText"/>
        <w:rPr>
          <w:rFonts w:ascii="Times New Roman" w:hAnsi="Times New Roman"/>
          <w:sz w:val="20"/>
        </w:rPr>
      </w:pPr>
      <w:r w:rsidRPr="006B1D42">
        <w:rPr>
          <w:rStyle w:val="FootnoteReference"/>
          <w:rFonts w:ascii="Times New Roman" w:hAnsi="Times New Roman"/>
          <w:sz w:val="20"/>
        </w:rPr>
        <w:footnoteRef/>
      </w:r>
      <w:r w:rsidRPr="006B1D42">
        <w:rPr>
          <w:rFonts w:ascii="Times New Roman" w:hAnsi="Times New Roman"/>
          <w:sz w:val="20"/>
        </w:rPr>
        <w:t xml:space="preserve"> Eg, Higgins (n </w:t>
      </w:r>
      <w:r w:rsidRPr="006B1D42">
        <w:rPr>
          <w:rFonts w:ascii="Times New Roman" w:hAnsi="Times New Roman"/>
          <w:sz w:val="20"/>
        </w:rPr>
        <w:fldChar w:fldCharType="begin"/>
      </w:r>
      <w:r w:rsidRPr="006B1D42">
        <w:rPr>
          <w:rFonts w:ascii="Times New Roman" w:hAnsi="Times New Roman"/>
          <w:sz w:val="20"/>
        </w:rPr>
        <w:instrText xml:space="preserve"> NOTEREF _Ref232398091 \h </w:instrText>
      </w:r>
      <w:r w:rsidRPr="00844364">
        <w:rPr>
          <w:rFonts w:ascii="Times New Roman" w:hAnsi="Times New Roman"/>
          <w:sz w:val="20"/>
        </w:rPr>
      </w:r>
      <w:r w:rsidRPr="006B1D42">
        <w:rPr>
          <w:rFonts w:ascii="Times New Roman" w:hAnsi="Times New Roman"/>
          <w:sz w:val="20"/>
        </w:rPr>
        <w:fldChar w:fldCharType="separate"/>
      </w:r>
      <w:r w:rsidR="00007B05">
        <w:rPr>
          <w:rFonts w:ascii="Times New Roman" w:hAnsi="Times New Roman"/>
          <w:sz w:val="20"/>
        </w:rPr>
        <w:t>69</w:t>
      </w:r>
      <w:r w:rsidRPr="006B1D42">
        <w:rPr>
          <w:rFonts w:ascii="Times New Roman" w:hAnsi="Times New Roman"/>
          <w:sz w:val="20"/>
        </w:rPr>
        <w:fldChar w:fldCharType="end"/>
      </w:r>
      <w:r w:rsidRPr="006B1D42">
        <w:rPr>
          <w:rFonts w:ascii="Times New Roman" w:hAnsi="Times New Roman"/>
          <w:sz w:val="20"/>
        </w:rPr>
        <w:t xml:space="preserve">). </w:t>
      </w:r>
      <w:r w:rsidRPr="008C20C8">
        <w:rPr>
          <w:rFonts w:ascii="Times New Roman" w:hAnsi="Times New Roman"/>
          <w:sz w:val="20"/>
        </w:rPr>
        <w:t xml:space="preserve">For history of Sir Rupert Jackson’s proposed changes, and critical comment on the final version, see A Zuckerman, </w:t>
      </w:r>
      <w:r>
        <w:rPr>
          <w:rFonts w:ascii="Times New Roman" w:hAnsi="Times New Roman"/>
          <w:sz w:val="20"/>
        </w:rPr>
        <w:t>‘</w:t>
      </w:r>
      <w:r w:rsidRPr="003D40E1">
        <w:rPr>
          <w:rFonts w:ascii="Times New Roman" w:hAnsi="Times New Roman"/>
          <w:sz w:val="20"/>
        </w:rPr>
        <w:t>The revised CPR 3.9: a coded message demanding articulation</w:t>
      </w:r>
      <w:r>
        <w:rPr>
          <w:rFonts w:ascii="Times New Roman" w:hAnsi="Times New Roman"/>
          <w:sz w:val="20"/>
        </w:rPr>
        <w:t>’</w:t>
      </w:r>
      <w:r w:rsidRPr="008C20C8">
        <w:rPr>
          <w:rFonts w:ascii="Times New Roman" w:hAnsi="Times New Roman"/>
          <w:sz w:val="20"/>
        </w:rPr>
        <w:t xml:space="preserve"> (2013)</w:t>
      </w:r>
      <w:r>
        <w:rPr>
          <w:rFonts w:ascii="Times New Roman" w:hAnsi="Times New Roman"/>
          <w:sz w:val="20"/>
        </w:rPr>
        <w:t xml:space="preserve"> </w:t>
      </w:r>
      <w:r w:rsidRPr="008C20C8">
        <w:rPr>
          <w:rFonts w:ascii="Times New Roman" w:hAnsi="Times New Roman"/>
          <w:sz w:val="20"/>
        </w:rPr>
        <w:t xml:space="preserve">32 CJQ 123, and I Levy, </w:t>
      </w:r>
      <w:r>
        <w:rPr>
          <w:rFonts w:ascii="Times New Roman" w:hAnsi="Times New Roman"/>
          <w:sz w:val="20"/>
        </w:rPr>
        <w:t>‘</w:t>
      </w:r>
      <w:r w:rsidRPr="003D40E1">
        <w:rPr>
          <w:rFonts w:ascii="Times New Roman" w:hAnsi="Times New Roman"/>
          <w:sz w:val="20"/>
        </w:rPr>
        <w:t>Lightening the overload of CPR Rule 3.9</w:t>
      </w:r>
      <w:r>
        <w:rPr>
          <w:rFonts w:ascii="Times New Roman" w:hAnsi="Times New Roman"/>
          <w:sz w:val="20"/>
        </w:rPr>
        <w:t>’</w:t>
      </w:r>
      <w:r w:rsidRPr="008C20C8">
        <w:rPr>
          <w:rFonts w:ascii="Times New Roman" w:hAnsi="Times New Roman"/>
          <w:sz w:val="20"/>
        </w:rPr>
        <w:t xml:space="preserve"> (2013)</w:t>
      </w:r>
      <w:r>
        <w:rPr>
          <w:rFonts w:ascii="Times New Roman" w:hAnsi="Times New Roman"/>
          <w:sz w:val="20"/>
        </w:rPr>
        <w:t xml:space="preserve"> </w:t>
      </w:r>
      <w:r w:rsidRPr="008C20C8">
        <w:rPr>
          <w:rFonts w:ascii="Times New Roman" w:hAnsi="Times New Roman"/>
          <w:sz w:val="20"/>
        </w:rPr>
        <w:t>32 CJQ 139.</w:t>
      </w:r>
    </w:p>
  </w:footnote>
  <w:footnote w:id="73">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8C20C8">
        <w:rPr>
          <w:rFonts w:ascii="Times New Roman" w:eastAsiaTheme="minorHAnsi" w:hAnsi="Times New Roman" w:cs="Arial"/>
          <w:bCs/>
          <w:sz w:val="20"/>
          <w:lang w:val="en-US"/>
        </w:rPr>
        <w:t>Subrin</w:t>
      </w:r>
      <w:r>
        <w:rPr>
          <w:rFonts w:ascii="Times New Roman" w:eastAsiaTheme="minorHAnsi" w:hAnsi="Times New Roman" w:cs="Arial"/>
          <w:bCs/>
          <w:sz w:val="20"/>
          <w:lang w:val="en-US"/>
        </w:rPr>
        <w:t xml:space="preserve"> ‘How Equity Conquered’ </w:t>
      </w:r>
      <w:r>
        <w:rPr>
          <w:rFonts w:ascii="Times New Roman" w:eastAsiaTheme="minorHAnsi" w:hAnsi="Times New Roman" w:cs="Arial"/>
          <w:sz w:val="20"/>
          <w:lang w:val="en-US"/>
        </w:rPr>
        <w:t>(</w:t>
      </w:r>
      <w:r w:rsidRPr="008C20C8">
        <w:rPr>
          <w:rFonts w:ascii="Times New Roman" w:eastAsiaTheme="minorHAnsi" w:hAnsi="Times New Roman" w:cs="Arial"/>
          <w:sz w:val="20"/>
          <w:lang w:val="en-US"/>
        </w:rPr>
        <w:t xml:space="preserve">n </w:t>
      </w:r>
      <w:r>
        <w:rPr>
          <w:rFonts w:ascii="Times New Roman" w:eastAsiaTheme="minorHAnsi" w:hAnsi="Times New Roman" w:cs="Arial"/>
          <w:sz w:val="20"/>
          <w:lang w:val="en-US"/>
        </w:rPr>
        <w:fldChar w:fldCharType="begin"/>
      </w:r>
      <w:r>
        <w:rPr>
          <w:rFonts w:ascii="Times New Roman" w:eastAsiaTheme="minorHAnsi" w:hAnsi="Times New Roman" w:cs="Arial"/>
          <w:sz w:val="20"/>
          <w:lang w:val="en-US"/>
        </w:rPr>
        <w:instrText xml:space="preserve"> NOTEREF _Ref232398957 \h </w:instrText>
      </w:r>
      <w:r w:rsidRPr="00844364">
        <w:rPr>
          <w:rFonts w:ascii="Times New Roman" w:eastAsiaTheme="minorHAnsi" w:hAnsi="Times New Roman" w:cs="Arial"/>
          <w:sz w:val="20"/>
          <w:lang w:val="en-US"/>
        </w:rPr>
      </w:r>
      <w:r>
        <w:rPr>
          <w:rFonts w:ascii="Times New Roman" w:eastAsiaTheme="minorHAnsi" w:hAnsi="Times New Roman" w:cs="Arial"/>
          <w:sz w:val="20"/>
          <w:lang w:val="en-US"/>
        </w:rPr>
        <w:fldChar w:fldCharType="separate"/>
      </w:r>
      <w:r w:rsidR="00007B05">
        <w:rPr>
          <w:rFonts w:ascii="Times New Roman" w:eastAsiaTheme="minorHAnsi" w:hAnsi="Times New Roman" w:cs="Arial"/>
          <w:sz w:val="20"/>
          <w:lang w:val="en-US"/>
        </w:rPr>
        <w:t>12</w:t>
      </w:r>
      <w:r>
        <w:rPr>
          <w:rFonts w:ascii="Times New Roman" w:eastAsiaTheme="minorHAnsi" w:hAnsi="Times New Roman" w:cs="Arial"/>
          <w:sz w:val="20"/>
          <w:lang w:val="en-US"/>
        </w:rPr>
        <w:fldChar w:fldCharType="end"/>
      </w:r>
      <w:r>
        <w:rPr>
          <w:rFonts w:ascii="Times New Roman" w:eastAsiaTheme="minorHAnsi" w:hAnsi="Times New Roman" w:cs="Arial"/>
          <w:sz w:val="20"/>
          <w:lang w:val="en-US"/>
        </w:rPr>
        <w:t>)</w:t>
      </w:r>
      <w:r w:rsidRPr="008C20C8">
        <w:rPr>
          <w:rFonts w:ascii="Times New Roman" w:eastAsiaTheme="minorHAnsi" w:hAnsi="Times New Roman" w:cs="Arial"/>
          <w:sz w:val="20"/>
          <w:lang w:val="en-US"/>
        </w:rPr>
        <w:t>.</w:t>
      </w:r>
    </w:p>
  </w:footnote>
  <w:footnote w:id="74">
    <w:p w:rsidR="00D43B4E" w:rsidRPr="008C20C8" w:rsidRDefault="00D43B4E" w:rsidP="00827DD4">
      <w:pPr>
        <w:widowControl w:val="0"/>
        <w:autoSpaceDE w:val="0"/>
        <w:autoSpaceDN w:val="0"/>
        <w:adjustRightInd w:val="0"/>
        <w:rPr>
          <w:rFonts w:ascii="Times New Roman" w:eastAsiaTheme="minorHAnsi" w:hAnsi="Times New Roman" w:cs="Arial"/>
          <w:sz w:val="20"/>
          <w:lang w:val="en-US"/>
        </w:rPr>
      </w:pPr>
      <w:r w:rsidRPr="008C20C8">
        <w:rPr>
          <w:rStyle w:val="FootnoteReference"/>
          <w:rFonts w:ascii="Times New Roman" w:hAnsi="Times New Roman"/>
          <w:sz w:val="20"/>
        </w:rPr>
        <w:footnoteRef/>
      </w:r>
      <w:r w:rsidRPr="008C20C8">
        <w:rPr>
          <w:rFonts w:ascii="Times New Roman" w:hAnsi="Times New Roman"/>
          <w:sz w:val="20"/>
        </w:rPr>
        <w:t xml:space="preserve"> Although this might be a mere superficial uniformity: S</w:t>
      </w:r>
      <w:r>
        <w:rPr>
          <w:rFonts w:ascii="Times New Roman" w:hAnsi="Times New Roman"/>
          <w:sz w:val="20"/>
        </w:rPr>
        <w:t>N</w:t>
      </w:r>
      <w:r w:rsidRPr="008C20C8">
        <w:rPr>
          <w:rFonts w:ascii="Times New Roman" w:hAnsi="Times New Roman"/>
          <w:sz w:val="20"/>
        </w:rPr>
        <w:t xml:space="preserve"> </w:t>
      </w:r>
      <w:r w:rsidRPr="008C20C8">
        <w:rPr>
          <w:rFonts w:ascii="Times New Roman" w:eastAsiaTheme="minorHAnsi" w:hAnsi="Times New Roman" w:cs="Times"/>
          <w:color w:val="000000"/>
          <w:sz w:val="20"/>
          <w:szCs w:val="17"/>
          <w:lang w:val="en-US"/>
        </w:rPr>
        <w:t xml:space="preserve">Subrin, </w:t>
      </w:r>
      <w:r>
        <w:rPr>
          <w:rFonts w:ascii="Times New Roman" w:eastAsiaTheme="minorHAnsi" w:hAnsi="Times New Roman" w:cs="Times"/>
          <w:color w:val="000000"/>
          <w:sz w:val="20"/>
          <w:szCs w:val="17"/>
          <w:lang w:val="en-US"/>
        </w:rPr>
        <w:t>‘</w:t>
      </w:r>
      <w:r w:rsidRPr="003D40E1">
        <w:rPr>
          <w:rFonts w:ascii="Times New Roman" w:eastAsiaTheme="minorHAnsi" w:hAnsi="Times New Roman" w:cs="Times"/>
          <w:iCs/>
          <w:color w:val="000000"/>
          <w:sz w:val="20"/>
          <w:szCs w:val="18"/>
          <w:lang w:val="en-US"/>
        </w:rPr>
        <w:t xml:space="preserve">Federal Rules, Local Rules, </w:t>
      </w:r>
      <w:r w:rsidRPr="003D40E1">
        <w:rPr>
          <w:rFonts w:ascii="Times New Roman" w:eastAsiaTheme="minorHAnsi" w:hAnsi="Times New Roman" w:cs="Times"/>
          <w:iCs/>
          <w:color w:val="000000"/>
          <w:sz w:val="20"/>
          <w:szCs w:val="19"/>
          <w:lang w:val="en-US"/>
        </w:rPr>
        <w:t xml:space="preserve">and </w:t>
      </w:r>
      <w:r w:rsidRPr="003D40E1">
        <w:rPr>
          <w:rFonts w:ascii="Times New Roman" w:eastAsiaTheme="minorHAnsi" w:hAnsi="Times New Roman" w:cs="Times"/>
          <w:iCs/>
          <w:color w:val="000000"/>
          <w:sz w:val="20"/>
          <w:szCs w:val="18"/>
          <w:lang w:val="en-US"/>
        </w:rPr>
        <w:t>State Rules: Uniformity, Diver</w:t>
      </w:r>
      <w:r w:rsidRPr="003D40E1">
        <w:rPr>
          <w:rFonts w:ascii="Times New Roman" w:eastAsiaTheme="minorHAnsi" w:hAnsi="Times New Roman" w:cs="Times"/>
          <w:iCs/>
          <w:color w:val="000000"/>
          <w:sz w:val="20"/>
          <w:szCs w:val="17"/>
          <w:lang w:val="en-US"/>
        </w:rPr>
        <w:t xml:space="preserve">gence, </w:t>
      </w:r>
      <w:r w:rsidRPr="003D40E1">
        <w:rPr>
          <w:rFonts w:ascii="Times New Roman" w:eastAsiaTheme="minorHAnsi" w:hAnsi="Times New Roman" w:cs="Times"/>
          <w:iCs/>
          <w:color w:val="000000"/>
          <w:sz w:val="20"/>
          <w:szCs w:val="19"/>
          <w:lang w:val="en-US"/>
        </w:rPr>
        <w:t xml:space="preserve">and </w:t>
      </w:r>
      <w:r w:rsidRPr="003D40E1">
        <w:rPr>
          <w:rFonts w:ascii="Times New Roman" w:eastAsiaTheme="minorHAnsi" w:hAnsi="Times New Roman" w:cs="Times"/>
          <w:iCs/>
          <w:color w:val="000000"/>
          <w:sz w:val="20"/>
          <w:szCs w:val="18"/>
          <w:lang w:val="en-US"/>
        </w:rPr>
        <w:t xml:space="preserve">Emerging </w:t>
      </w:r>
      <w:r w:rsidRPr="003D40E1">
        <w:rPr>
          <w:rFonts w:ascii="Times New Roman" w:eastAsiaTheme="minorHAnsi" w:hAnsi="Times New Roman" w:cs="Times"/>
          <w:iCs/>
          <w:color w:val="000000"/>
          <w:sz w:val="20"/>
          <w:szCs w:val="19"/>
          <w:lang w:val="en-US"/>
        </w:rPr>
        <w:t>Procedural Patterns</w:t>
      </w:r>
      <w:r>
        <w:rPr>
          <w:rFonts w:ascii="Times New Roman" w:eastAsiaTheme="minorHAnsi" w:hAnsi="Times New Roman" w:cs="Times"/>
          <w:iCs/>
          <w:color w:val="000000"/>
          <w:sz w:val="20"/>
          <w:szCs w:val="19"/>
          <w:lang w:val="en-US"/>
        </w:rPr>
        <w:t xml:space="preserve">’ </w:t>
      </w:r>
      <w:r w:rsidRPr="008C20C8">
        <w:rPr>
          <w:rFonts w:ascii="Times New Roman" w:eastAsiaTheme="minorHAnsi" w:hAnsi="Times New Roman" w:cs="Times"/>
          <w:color w:val="000000"/>
          <w:sz w:val="20"/>
          <w:szCs w:val="17"/>
          <w:lang w:val="en-US"/>
        </w:rPr>
        <w:t>(1989)</w:t>
      </w:r>
      <w:r w:rsidRPr="008C20C8">
        <w:rPr>
          <w:rFonts w:ascii="Times New Roman" w:eastAsiaTheme="minorHAnsi" w:hAnsi="Times New Roman" w:cs="Times"/>
          <w:i/>
          <w:iCs/>
          <w:color w:val="000000"/>
          <w:sz w:val="20"/>
          <w:szCs w:val="19"/>
          <w:lang w:val="en-US"/>
        </w:rPr>
        <w:t xml:space="preserve"> </w:t>
      </w:r>
      <w:r w:rsidRPr="008C20C8">
        <w:rPr>
          <w:rFonts w:ascii="Times New Roman" w:eastAsiaTheme="minorHAnsi" w:hAnsi="Times New Roman" w:cs="Times"/>
          <w:color w:val="000000"/>
          <w:sz w:val="20"/>
          <w:szCs w:val="16"/>
          <w:lang w:val="en-US"/>
        </w:rPr>
        <w:t xml:space="preserve">137 </w:t>
      </w:r>
      <w:r w:rsidRPr="003D40E1">
        <w:rPr>
          <w:rFonts w:ascii="Times New Roman" w:eastAsiaTheme="minorHAnsi" w:hAnsi="Times New Roman" w:cs="Times"/>
          <w:color w:val="000000"/>
          <w:sz w:val="20"/>
          <w:szCs w:val="18"/>
          <w:lang w:val="en-US"/>
        </w:rPr>
        <w:t xml:space="preserve">U </w:t>
      </w:r>
      <w:r w:rsidRPr="003D40E1">
        <w:rPr>
          <w:rFonts w:ascii="Times New Roman" w:eastAsiaTheme="minorHAnsi" w:hAnsi="Times New Roman" w:cs="Times"/>
          <w:color w:val="000000"/>
          <w:sz w:val="20"/>
          <w:szCs w:val="16"/>
          <w:lang w:val="en-US"/>
        </w:rPr>
        <w:t xml:space="preserve">Pa </w:t>
      </w:r>
      <w:r w:rsidRPr="003D40E1">
        <w:rPr>
          <w:rFonts w:ascii="Times New Roman" w:eastAsiaTheme="minorHAnsi" w:hAnsi="Times New Roman" w:cs="Times"/>
          <w:color w:val="000000"/>
          <w:sz w:val="20"/>
          <w:szCs w:val="17"/>
          <w:lang w:val="en-US"/>
        </w:rPr>
        <w:t xml:space="preserve">L </w:t>
      </w:r>
      <w:r w:rsidRPr="003D40E1">
        <w:rPr>
          <w:rFonts w:ascii="Times New Roman" w:eastAsiaTheme="minorHAnsi" w:hAnsi="Times New Roman" w:cs="Times"/>
          <w:color w:val="000000"/>
          <w:sz w:val="20"/>
          <w:szCs w:val="16"/>
          <w:lang w:val="en-US"/>
        </w:rPr>
        <w:t xml:space="preserve">Rev </w:t>
      </w:r>
      <w:r w:rsidRPr="008C20C8">
        <w:rPr>
          <w:rFonts w:ascii="Times New Roman" w:eastAsiaTheme="minorHAnsi" w:hAnsi="Times New Roman" w:cs="Times"/>
          <w:color w:val="000000"/>
          <w:sz w:val="20"/>
          <w:szCs w:val="17"/>
          <w:lang w:val="en-US"/>
        </w:rPr>
        <w:t>1999,</w:t>
      </w:r>
      <w:r w:rsidRPr="008C20C8">
        <w:rPr>
          <w:rFonts w:ascii="Times New Roman" w:eastAsiaTheme="minorHAnsi" w:hAnsi="Times New Roman" w:cs="Times"/>
          <w:color w:val="000000"/>
          <w:sz w:val="20"/>
          <w:szCs w:val="16"/>
          <w:lang w:val="en-US"/>
        </w:rPr>
        <w:t xml:space="preserve"> </w:t>
      </w:r>
      <w:r w:rsidRPr="008C20C8">
        <w:rPr>
          <w:rFonts w:ascii="Times New Roman" w:eastAsiaTheme="minorHAnsi" w:hAnsi="Times New Roman" w:cs="Times"/>
          <w:color w:val="000000"/>
          <w:sz w:val="20"/>
          <w:szCs w:val="17"/>
          <w:lang w:val="en-US"/>
        </w:rPr>
        <w:t xml:space="preserve">2018-21; </w:t>
      </w:r>
      <w:r w:rsidRPr="008C20C8">
        <w:rPr>
          <w:rFonts w:ascii="Times New Roman" w:hAnsi="Times New Roman"/>
          <w:sz w:val="20"/>
        </w:rPr>
        <w:t>S</w:t>
      </w:r>
      <w:r>
        <w:rPr>
          <w:rFonts w:ascii="Times New Roman" w:hAnsi="Times New Roman"/>
          <w:sz w:val="20"/>
        </w:rPr>
        <w:t>N</w:t>
      </w:r>
      <w:r w:rsidRPr="008C20C8">
        <w:rPr>
          <w:rFonts w:ascii="Times New Roman" w:hAnsi="Times New Roman"/>
          <w:sz w:val="20"/>
        </w:rPr>
        <w:t xml:space="preserve"> </w:t>
      </w:r>
      <w:r w:rsidRPr="008C20C8">
        <w:rPr>
          <w:rFonts w:ascii="Times New Roman" w:eastAsiaTheme="minorHAnsi" w:hAnsi="Times New Roman" w:cs="Arial"/>
          <w:sz w:val="20"/>
          <w:szCs w:val="28"/>
          <w:lang w:val="en-US"/>
        </w:rPr>
        <w:t xml:space="preserve">Subrin, </w:t>
      </w:r>
      <w:r>
        <w:rPr>
          <w:rFonts w:ascii="Times New Roman" w:eastAsiaTheme="minorHAnsi" w:hAnsi="Times New Roman" w:cs="Arial"/>
          <w:sz w:val="20"/>
          <w:szCs w:val="28"/>
          <w:lang w:val="en-US"/>
        </w:rPr>
        <w:t>‘</w:t>
      </w:r>
      <w:r w:rsidRPr="003D40E1">
        <w:rPr>
          <w:rFonts w:ascii="Times New Roman" w:eastAsiaTheme="minorHAnsi" w:hAnsi="Times New Roman" w:cs="Arial"/>
          <w:sz w:val="20"/>
          <w:szCs w:val="28"/>
          <w:lang w:val="en-US"/>
        </w:rPr>
        <w:t>Uniformity in Procedural Rules and the Attributes of a Sound Procedural System: The Case for Presumptive Limits</w:t>
      </w:r>
      <w:r>
        <w:rPr>
          <w:rFonts w:ascii="Times New Roman" w:eastAsiaTheme="minorHAnsi" w:hAnsi="Times New Roman" w:cs="Arial"/>
          <w:sz w:val="20"/>
          <w:szCs w:val="28"/>
          <w:lang w:val="en-US"/>
        </w:rPr>
        <w:t>’</w:t>
      </w:r>
      <w:r w:rsidRPr="008C20C8">
        <w:rPr>
          <w:rFonts w:ascii="Times New Roman" w:eastAsiaTheme="minorHAnsi" w:hAnsi="Times New Roman" w:cs="Arial"/>
          <w:sz w:val="20"/>
          <w:szCs w:val="28"/>
          <w:lang w:val="en-US"/>
        </w:rPr>
        <w:t xml:space="preserve"> (1997-1998)</w:t>
      </w:r>
      <w:r>
        <w:rPr>
          <w:rFonts w:ascii="Times New Roman" w:eastAsiaTheme="minorHAnsi" w:hAnsi="Times New Roman" w:cs="Arial"/>
          <w:sz w:val="20"/>
          <w:szCs w:val="28"/>
          <w:lang w:val="en-US"/>
        </w:rPr>
        <w:t xml:space="preserve"> </w:t>
      </w:r>
      <w:r w:rsidRPr="008C20C8">
        <w:rPr>
          <w:rFonts w:ascii="Times New Roman" w:eastAsiaTheme="minorHAnsi" w:hAnsi="Times New Roman" w:cs="Arial"/>
          <w:sz w:val="20"/>
          <w:szCs w:val="28"/>
          <w:lang w:val="en-US"/>
        </w:rPr>
        <w:t xml:space="preserve">49 </w:t>
      </w:r>
      <w:r w:rsidRPr="003D40E1">
        <w:rPr>
          <w:rFonts w:ascii="Times New Roman" w:eastAsiaTheme="minorHAnsi" w:hAnsi="Times New Roman" w:cs="Arial"/>
          <w:sz w:val="20"/>
          <w:szCs w:val="28"/>
          <w:lang w:val="en-US"/>
        </w:rPr>
        <w:t>Ala L Rev</w:t>
      </w:r>
      <w:r w:rsidRPr="007F6914">
        <w:rPr>
          <w:rFonts w:ascii="Times New Roman" w:eastAsiaTheme="minorHAnsi" w:hAnsi="Times New Roman" w:cs="Arial"/>
          <w:sz w:val="20"/>
          <w:szCs w:val="28"/>
          <w:lang w:val="en-US"/>
        </w:rPr>
        <w:t xml:space="preserve"> </w:t>
      </w:r>
      <w:r w:rsidRPr="008C20C8">
        <w:rPr>
          <w:rFonts w:ascii="Times New Roman" w:eastAsiaTheme="minorHAnsi" w:hAnsi="Times New Roman" w:cs="Arial"/>
          <w:sz w:val="20"/>
          <w:szCs w:val="28"/>
          <w:lang w:val="en-US"/>
        </w:rPr>
        <w:t>79; T</w:t>
      </w:r>
      <w:r>
        <w:rPr>
          <w:rFonts w:ascii="Times New Roman" w:eastAsiaTheme="minorHAnsi" w:hAnsi="Times New Roman" w:cs="Arial"/>
          <w:sz w:val="20"/>
          <w:szCs w:val="28"/>
          <w:lang w:val="en-US"/>
        </w:rPr>
        <w:t>O</w:t>
      </w:r>
      <w:r w:rsidRPr="008C20C8">
        <w:rPr>
          <w:rFonts w:ascii="Times New Roman" w:eastAsiaTheme="minorHAnsi" w:hAnsi="Times New Roman" w:cs="Arial"/>
          <w:sz w:val="20"/>
          <w:szCs w:val="28"/>
          <w:lang w:val="en-US"/>
        </w:rPr>
        <w:t xml:space="preserve"> Main, </w:t>
      </w:r>
      <w:r>
        <w:rPr>
          <w:rFonts w:ascii="Times New Roman" w:eastAsiaTheme="minorHAnsi" w:hAnsi="Times New Roman" w:cs="Arial"/>
          <w:sz w:val="20"/>
          <w:szCs w:val="28"/>
          <w:lang w:val="en-US"/>
        </w:rPr>
        <w:t>‘</w:t>
      </w:r>
      <w:r w:rsidRPr="003D40E1">
        <w:rPr>
          <w:rFonts w:ascii="Times New Roman" w:eastAsiaTheme="minorHAnsi" w:hAnsi="Times New Roman" w:cs="Arial"/>
          <w:sz w:val="20"/>
          <w:lang w:val="en-US"/>
        </w:rPr>
        <w:t>Procedural Uniformity and the Exaggerated Role of Rules: A Survey of Intra-State Uniformity in Three States That Have Not Adopted the Federal Rules of Civil Procedure</w:t>
      </w:r>
      <w:r>
        <w:rPr>
          <w:rFonts w:ascii="Times New Roman" w:eastAsiaTheme="minorHAnsi" w:hAnsi="Times New Roman" w:cs="Arial"/>
          <w:sz w:val="20"/>
          <w:lang w:val="en-US"/>
        </w:rPr>
        <w:t>’</w:t>
      </w:r>
      <w:r w:rsidRPr="008C20C8">
        <w:rPr>
          <w:rFonts w:ascii="Times New Roman" w:eastAsiaTheme="minorHAnsi" w:hAnsi="Times New Roman" w:cs="Arial"/>
          <w:sz w:val="20"/>
          <w:lang w:val="en-US"/>
        </w:rPr>
        <w:t xml:space="preserve"> (2001)</w:t>
      </w:r>
      <w:r>
        <w:rPr>
          <w:rFonts w:ascii="Times New Roman" w:eastAsiaTheme="minorHAnsi" w:hAnsi="Times New Roman" w:cs="Arial"/>
          <w:sz w:val="20"/>
          <w:lang w:val="en-US"/>
        </w:rPr>
        <w:t xml:space="preserve"> </w:t>
      </w:r>
      <w:r w:rsidRPr="008C20C8">
        <w:rPr>
          <w:rFonts w:ascii="Times New Roman" w:eastAsiaTheme="minorHAnsi" w:hAnsi="Times New Roman" w:cs="Arial"/>
          <w:sz w:val="20"/>
          <w:lang w:val="en-US"/>
        </w:rPr>
        <w:t xml:space="preserve">46 </w:t>
      </w:r>
      <w:r w:rsidRPr="003D40E1">
        <w:rPr>
          <w:rFonts w:ascii="Times New Roman" w:eastAsiaTheme="minorHAnsi" w:hAnsi="Times New Roman" w:cs="Arial"/>
          <w:sz w:val="20"/>
          <w:lang w:val="en-US"/>
        </w:rPr>
        <w:t>Vill L Rev</w:t>
      </w:r>
      <w:r w:rsidRPr="007F6914">
        <w:rPr>
          <w:rFonts w:ascii="Times New Roman" w:eastAsiaTheme="minorHAnsi" w:hAnsi="Times New Roman" w:cs="Arial"/>
          <w:sz w:val="20"/>
          <w:lang w:val="en-US"/>
        </w:rPr>
        <w:t xml:space="preserve"> </w:t>
      </w:r>
      <w:r w:rsidRPr="008C20C8">
        <w:rPr>
          <w:rFonts w:ascii="Times New Roman" w:eastAsiaTheme="minorHAnsi" w:hAnsi="Times New Roman" w:cs="Arial"/>
          <w:sz w:val="20"/>
          <w:lang w:val="en-US"/>
        </w:rPr>
        <w:t xml:space="preserve">311. </w:t>
      </w:r>
    </w:p>
  </w:footnote>
  <w:footnote w:id="75">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Article III US Constitution.</w:t>
      </w:r>
    </w:p>
  </w:footnote>
  <w:footnote w:id="76">
    <w:p w:rsidR="00D43B4E" w:rsidRPr="008C20C8" w:rsidRDefault="00D43B4E" w:rsidP="00827DD4">
      <w:pPr>
        <w:widowControl w:val="0"/>
        <w:autoSpaceDE w:val="0"/>
        <w:autoSpaceDN w:val="0"/>
        <w:adjustRightInd w:val="0"/>
        <w:rPr>
          <w:rFonts w:ascii="Times New Roman" w:eastAsiaTheme="minorHAnsi" w:hAnsi="Times New Roman" w:cs="Courier"/>
          <w:sz w:val="20"/>
          <w:szCs w:val="26"/>
          <w:lang w:val="en-US"/>
        </w:rPr>
      </w:pPr>
      <w:r w:rsidRPr="008C20C8">
        <w:rPr>
          <w:rStyle w:val="FootnoteReference"/>
          <w:rFonts w:ascii="Times New Roman" w:hAnsi="Times New Roman"/>
          <w:sz w:val="20"/>
        </w:rPr>
        <w:footnoteRef/>
      </w:r>
      <w:r w:rsidRPr="008C20C8">
        <w:rPr>
          <w:rFonts w:ascii="Times New Roman" w:hAnsi="Times New Roman"/>
          <w:sz w:val="20"/>
        </w:rPr>
        <w:t xml:space="preserve"> Rules Enabling Act, 28 USC </w:t>
      </w:r>
      <w:r w:rsidRPr="008C20C8">
        <w:rPr>
          <w:rFonts w:ascii="Times New Roman" w:hAnsi="Times New Roman" w:cs="Lucida Grande"/>
          <w:sz w:val="20"/>
        </w:rPr>
        <w:t xml:space="preserve">§ 2071 and § 2072 (1982). </w:t>
      </w:r>
      <w:r w:rsidRPr="008C20C8">
        <w:rPr>
          <w:rFonts w:ascii="Times New Roman" w:eastAsiaTheme="minorHAnsi" w:hAnsi="Times New Roman" w:cs="Courier"/>
          <w:sz w:val="20"/>
          <w:szCs w:val="26"/>
          <w:lang w:val="en-US"/>
        </w:rPr>
        <w:t>S</w:t>
      </w:r>
      <w:r>
        <w:rPr>
          <w:rFonts w:ascii="Times New Roman" w:eastAsiaTheme="minorHAnsi" w:hAnsi="Times New Roman" w:cs="Courier"/>
          <w:sz w:val="20"/>
          <w:szCs w:val="26"/>
          <w:lang w:val="en-US"/>
        </w:rPr>
        <w:t>B</w:t>
      </w:r>
      <w:r w:rsidRPr="008C20C8">
        <w:rPr>
          <w:rFonts w:ascii="Times New Roman" w:eastAsiaTheme="minorHAnsi" w:hAnsi="Times New Roman" w:cs="Courier"/>
          <w:sz w:val="20"/>
          <w:szCs w:val="26"/>
          <w:lang w:val="en-US"/>
        </w:rPr>
        <w:t xml:space="preserve"> Burbank, </w:t>
      </w:r>
      <w:r>
        <w:rPr>
          <w:rFonts w:ascii="Times New Roman" w:eastAsiaTheme="minorHAnsi" w:hAnsi="Times New Roman" w:cs="Courier"/>
          <w:sz w:val="20"/>
          <w:szCs w:val="26"/>
          <w:lang w:val="en-US"/>
        </w:rPr>
        <w:t>‘</w:t>
      </w:r>
      <w:r w:rsidRPr="003D40E1">
        <w:rPr>
          <w:rFonts w:ascii="Times New Roman" w:eastAsiaTheme="minorHAnsi" w:hAnsi="Times New Roman" w:cs="Courier"/>
          <w:sz w:val="20"/>
          <w:szCs w:val="26"/>
          <w:lang w:val="en-US"/>
        </w:rPr>
        <w:t>The Rules Enabling Act of 1934</w:t>
      </w:r>
      <w:r>
        <w:rPr>
          <w:rFonts w:ascii="Times New Roman" w:eastAsiaTheme="minorHAnsi" w:hAnsi="Times New Roman" w:cs="Courier"/>
          <w:sz w:val="20"/>
          <w:szCs w:val="26"/>
          <w:lang w:val="en-US"/>
        </w:rPr>
        <w:t>’</w:t>
      </w:r>
      <w:r w:rsidRPr="008C20C8">
        <w:rPr>
          <w:rFonts w:ascii="Times New Roman" w:eastAsiaTheme="minorHAnsi" w:hAnsi="Times New Roman" w:cs="Courier"/>
          <w:sz w:val="20"/>
          <w:szCs w:val="26"/>
          <w:lang w:val="en-US"/>
        </w:rPr>
        <w:t xml:space="preserve"> (1982)</w:t>
      </w:r>
      <w:r>
        <w:rPr>
          <w:rFonts w:ascii="Times New Roman" w:eastAsiaTheme="minorHAnsi" w:hAnsi="Times New Roman" w:cs="Courier"/>
          <w:sz w:val="20"/>
          <w:szCs w:val="26"/>
          <w:lang w:val="en-US"/>
        </w:rPr>
        <w:t xml:space="preserve"> </w:t>
      </w:r>
      <w:r w:rsidRPr="008C20C8">
        <w:rPr>
          <w:rFonts w:ascii="Times New Roman" w:eastAsiaTheme="minorHAnsi" w:hAnsi="Times New Roman" w:cs="Courier"/>
          <w:sz w:val="20"/>
          <w:szCs w:val="26"/>
          <w:lang w:val="en-US"/>
        </w:rPr>
        <w:t xml:space="preserve">130 </w:t>
      </w:r>
      <w:r w:rsidRPr="003D40E1">
        <w:rPr>
          <w:rFonts w:ascii="Times New Roman" w:eastAsiaTheme="minorHAnsi" w:hAnsi="Times New Roman" w:cs="Courier"/>
          <w:sz w:val="20"/>
          <w:szCs w:val="26"/>
          <w:lang w:val="en-US"/>
        </w:rPr>
        <w:t xml:space="preserve">U Pa L Rev </w:t>
      </w:r>
      <w:r w:rsidRPr="008C20C8">
        <w:rPr>
          <w:rFonts w:ascii="Times New Roman" w:eastAsiaTheme="minorHAnsi" w:hAnsi="Times New Roman" w:cs="Courier"/>
          <w:sz w:val="20"/>
          <w:szCs w:val="26"/>
          <w:lang w:val="en-US"/>
        </w:rPr>
        <w:t>1015, 1042-54</w:t>
      </w:r>
      <w:r w:rsidRPr="008C20C8">
        <w:rPr>
          <w:rFonts w:ascii="Times New Roman" w:hAnsi="Times New Roman" w:cs="Lucida Grande"/>
          <w:sz w:val="20"/>
        </w:rPr>
        <w:t xml:space="preserve">. </w:t>
      </w:r>
    </w:p>
  </w:footnote>
  <w:footnote w:id="77">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cs="Lucida Grande"/>
          <w:sz w:val="20"/>
        </w:rPr>
        <w:t xml:space="preserve"> PG McCabe, </w:t>
      </w:r>
      <w:r>
        <w:rPr>
          <w:rFonts w:ascii="Times New Roman" w:hAnsi="Times New Roman" w:cs="Lucida Grande"/>
          <w:sz w:val="20"/>
        </w:rPr>
        <w:t>‘</w:t>
      </w:r>
      <w:r w:rsidRPr="003D40E1">
        <w:rPr>
          <w:rFonts w:ascii="Times New Roman" w:hAnsi="Times New Roman" w:cs="Lucida Grande"/>
          <w:sz w:val="20"/>
        </w:rPr>
        <w:t>Renewal of the Federal Rulemaking Process</w:t>
      </w:r>
      <w:r>
        <w:rPr>
          <w:rFonts w:ascii="Times New Roman" w:hAnsi="Times New Roman" w:cs="Lucida Grande"/>
          <w:sz w:val="20"/>
        </w:rPr>
        <w:t>’</w:t>
      </w:r>
      <w:r w:rsidRPr="008C20C8">
        <w:rPr>
          <w:rFonts w:ascii="Times New Roman" w:hAnsi="Times New Roman" w:cs="Lucida Grande"/>
          <w:sz w:val="20"/>
        </w:rPr>
        <w:t xml:space="preserve"> (1994-1995)</w:t>
      </w:r>
      <w:r>
        <w:rPr>
          <w:rFonts w:ascii="Times New Roman" w:hAnsi="Times New Roman" w:cs="Lucida Grande"/>
          <w:sz w:val="20"/>
        </w:rPr>
        <w:t xml:space="preserve"> </w:t>
      </w:r>
      <w:r w:rsidRPr="008C20C8">
        <w:rPr>
          <w:rFonts w:ascii="Times New Roman" w:hAnsi="Times New Roman" w:cs="Lucida Grande"/>
          <w:sz w:val="20"/>
        </w:rPr>
        <w:t xml:space="preserve">44 </w:t>
      </w:r>
      <w:r w:rsidRPr="003D40E1">
        <w:rPr>
          <w:rFonts w:ascii="Times New Roman" w:hAnsi="Times New Roman" w:cs="Lucida Grande"/>
          <w:sz w:val="20"/>
        </w:rPr>
        <w:t xml:space="preserve">Am U L Rev </w:t>
      </w:r>
      <w:r w:rsidRPr="008C20C8">
        <w:rPr>
          <w:rFonts w:ascii="Times New Roman" w:hAnsi="Times New Roman" w:cs="Lucida Grande"/>
          <w:sz w:val="20"/>
        </w:rPr>
        <w:t xml:space="preserve">1655. </w:t>
      </w:r>
    </w:p>
  </w:footnote>
  <w:footnote w:id="78">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8C20C8">
        <w:rPr>
          <w:rFonts w:ascii="Times New Roman" w:hAnsi="Times New Roman"/>
          <w:sz w:val="20"/>
          <w:lang w:val="en-US"/>
        </w:rPr>
        <w:t>TD Rowe, Jr.,</w:t>
      </w:r>
      <w:r w:rsidRPr="008C20C8">
        <w:rPr>
          <w:rStyle w:val="FootnoteReference"/>
          <w:rFonts w:ascii="Times New Roman" w:hAnsi="Times New Roman"/>
          <w:sz w:val="20"/>
        </w:rPr>
        <w:t xml:space="preserve"> </w:t>
      </w:r>
      <w:r>
        <w:rPr>
          <w:rStyle w:val="FootnoteReference"/>
          <w:rFonts w:ascii="Times New Roman" w:hAnsi="Times New Roman"/>
          <w:sz w:val="20"/>
        </w:rPr>
        <w:t>‘</w:t>
      </w:r>
      <w:r w:rsidRPr="003D40E1">
        <w:rPr>
          <w:rFonts w:ascii="Times New Roman" w:hAnsi="Times New Roman"/>
          <w:sz w:val="20"/>
          <w:lang w:val="en-US"/>
        </w:rPr>
        <w:t>Civil-Justice Reform Processes in the United States</w:t>
      </w:r>
      <w:r>
        <w:rPr>
          <w:rFonts w:ascii="Times New Roman" w:hAnsi="Times New Roman"/>
          <w:sz w:val="20"/>
          <w:lang w:val="en-US"/>
        </w:rPr>
        <w:t>’</w:t>
      </w:r>
      <w:r w:rsidRPr="008C20C8">
        <w:rPr>
          <w:rFonts w:ascii="Times New Roman" w:hAnsi="Times New Roman"/>
          <w:sz w:val="20"/>
          <w:lang w:val="en-US"/>
        </w:rPr>
        <w:t xml:space="preserve">, </w:t>
      </w:r>
      <w:r>
        <w:rPr>
          <w:rFonts w:ascii="Times New Roman" w:hAnsi="Times New Roman"/>
          <w:sz w:val="20"/>
          <w:lang w:val="en-US"/>
        </w:rPr>
        <w:t>in J Walker (ed)</w:t>
      </w:r>
      <w:r w:rsidRPr="008C20C8">
        <w:rPr>
          <w:rFonts w:ascii="Times New Roman" w:hAnsi="Times New Roman"/>
          <w:sz w:val="20"/>
          <w:lang w:val="en-US"/>
        </w:rPr>
        <w:t xml:space="preserve"> </w:t>
      </w:r>
      <w:r w:rsidRPr="002D2F48">
        <w:rPr>
          <w:rFonts w:ascii="Times New Roman" w:eastAsiaTheme="minorHAnsi" w:hAnsi="Times New Roman" w:cs="Helvetica"/>
          <w:bCs/>
          <w:i/>
          <w:sz w:val="20"/>
          <w:lang w:val="en-US"/>
        </w:rPr>
        <w:t>A Community Of Procedure Scholars: Teaching Procedure And The Legal Academy</w:t>
      </w:r>
      <w:r w:rsidRPr="008C20C8">
        <w:rPr>
          <w:rFonts w:ascii="Times New Roman" w:eastAsiaTheme="minorHAnsi" w:hAnsi="Times New Roman" w:cs="Helvetica"/>
          <w:bCs/>
          <w:sz w:val="20"/>
          <w:lang w:val="en-US"/>
        </w:rPr>
        <w:t xml:space="preserve"> </w:t>
      </w:r>
      <w:r w:rsidRPr="003D40E1">
        <w:rPr>
          <w:rFonts w:ascii="Times New Roman" w:eastAsiaTheme="minorHAnsi" w:hAnsi="Times New Roman" w:cs="Helvetica"/>
          <w:bCs/>
          <w:sz w:val="20"/>
          <w:lang w:val="en-US"/>
        </w:rPr>
        <w:t xml:space="preserve">Osgoode Hall LJ </w:t>
      </w:r>
      <w:r w:rsidRPr="008C20C8">
        <w:rPr>
          <w:rFonts w:ascii="Times New Roman" w:eastAsiaTheme="minorHAnsi" w:hAnsi="Times New Roman" w:cs="Helvetica"/>
          <w:bCs/>
          <w:smallCaps/>
          <w:sz w:val="20"/>
          <w:lang w:val="en-US"/>
        </w:rPr>
        <w:t>(</w:t>
      </w:r>
      <w:r w:rsidRPr="008C20C8">
        <w:rPr>
          <w:rFonts w:ascii="Times New Roman" w:eastAsiaTheme="minorHAnsi" w:hAnsi="Times New Roman" w:cs="Helvetica"/>
          <w:bCs/>
          <w:sz w:val="20"/>
          <w:lang w:val="en-US"/>
        </w:rPr>
        <w:t>Special Issue), Fall 2013</w:t>
      </w:r>
      <w:r>
        <w:rPr>
          <w:rFonts w:ascii="Times New Roman" w:eastAsiaTheme="minorHAnsi" w:hAnsi="Times New Roman" w:cs="Helvetica"/>
          <w:bCs/>
          <w:sz w:val="20"/>
          <w:lang w:val="en-US"/>
        </w:rPr>
        <w:t xml:space="preserve"> forthcoming</w:t>
      </w:r>
      <w:r w:rsidRPr="008C20C8">
        <w:rPr>
          <w:rFonts w:ascii="Times New Roman" w:eastAsiaTheme="minorHAnsi" w:hAnsi="Times New Roman" w:cs="Helvetica"/>
          <w:bCs/>
          <w:sz w:val="20"/>
          <w:lang w:val="en-US"/>
        </w:rPr>
        <w:t xml:space="preserve">. </w:t>
      </w:r>
      <w:r w:rsidRPr="008C20C8">
        <w:rPr>
          <w:rFonts w:ascii="Times New Roman" w:hAnsi="Times New Roman"/>
          <w:sz w:val="20"/>
        </w:rPr>
        <w:t xml:space="preserve"> </w:t>
      </w:r>
    </w:p>
  </w:footnote>
  <w:footnote w:id="79">
    <w:p w:rsidR="00D43B4E" w:rsidRPr="008C20C8" w:rsidRDefault="00D43B4E" w:rsidP="00827DD4">
      <w:pPr>
        <w:pStyle w:val="FootnoteText"/>
        <w:rPr>
          <w:rFonts w:ascii="Times New Roman" w:hAnsi="Times New Roman"/>
          <w:bCs/>
          <w:sz w:val="20"/>
          <w:lang w:val="en-US"/>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3D40E1">
        <w:rPr>
          <w:rFonts w:ascii="Times New Roman" w:eastAsiaTheme="minorHAnsi" w:hAnsi="Times New Roman" w:cs="Verdana"/>
          <w:sz w:val="20"/>
          <w:szCs w:val="26"/>
          <w:lang w:val="en-US"/>
        </w:rPr>
        <w:t xml:space="preserve">V Bogdanor, </w:t>
      </w:r>
      <w:r w:rsidRPr="002D2F48">
        <w:rPr>
          <w:rFonts w:ascii="Times New Roman" w:eastAsiaTheme="minorHAnsi" w:hAnsi="Times New Roman" w:cs="Verdana"/>
          <w:i/>
          <w:sz w:val="20"/>
          <w:szCs w:val="26"/>
          <w:lang w:val="en-US"/>
        </w:rPr>
        <w:t xml:space="preserve">The New British Constitution </w:t>
      </w:r>
      <w:r>
        <w:rPr>
          <w:rFonts w:ascii="Times New Roman" w:eastAsiaTheme="minorHAnsi" w:hAnsi="Times New Roman" w:cs="Verdana"/>
          <w:sz w:val="20"/>
          <w:szCs w:val="26"/>
          <w:lang w:val="en-US"/>
        </w:rPr>
        <w:t>(Hart</w:t>
      </w:r>
      <w:r w:rsidRPr="008C20C8">
        <w:rPr>
          <w:rFonts w:ascii="Times New Roman" w:eastAsiaTheme="minorHAnsi" w:hAnsi="Times New Roman" w:cs="Verdana"/>
          <w:sz w:val="20"/>
          <w:szCs w:val="26"/>
          <w:lang w:val="en-US"/>
        </w:rPr>
        <w:t xml:space="preserve"> 2009); JH Baker,</w:t>
      </w:r>
      <w:r w:rsidRPr="008C20C8">
        <w:rPr>
          <w:rFonts w:ascii="Times New Roman" w:hAnsi="Times New Roman"/>
          <w:sz w:val="20"/>
        </w:rPr>
        <w:t xml:space="preserve"> </w:t>
      </w:r>
      <w:r>
        <w:rPr>
          <w:rFonts w:ascii="Times New Roman" w:hAnsi="Times New Roman"/>
          <w:sz w:val="20"/>
        </w:rPr>
        <w:t>‘</w:t>
      </w:r>
      <w:r w:rsidRPr="003D40E1">
        <w:rPr>
          <w:rFonts w:ascii="Times New Roman" w:hAnsi="Times New Roman"/>
          <w:bCs/>
          <w:sz w:val="20"/>
          <w:lang w:val="en-US"/>
        </w:rPr>
        <w:t>The unwritten constitution of the United Kingdom</w:t>
      </w:r>
      <w:r>
        <w:rPr>
          <w:rFonts w:ascii="Times New Roman" w:hAnsi="Times New Roman" w:cs="Verdana"/>
          <w:sz w:val="20"/>
          <w:szCs w:val="20"/>
          <w:lang w:val="en-US"/>
        </w:rPr>
        <w:t xml:space="preserve"> (2011) </w:t>
      </w:r>
      <w:r w:rsidRPr="008C20C8">
        <w:rPr>
          <w:rFonts w:ascii="Times New Roman" w:hAnsi="Times New Roman" w:cs="Verdana"/>
          <w:sz w:val="20"/>
          <w:szCs w:val="20"/>
          <w:lang w:val="en-US"/>
        </w:rPr>
        <w:t xml:space="preserve">167 </w:t>
      </w:r>
      <w:r w:rsidRPr="003D40E1">
        <w:rPr>
          <w:rFonts w:ascii="Times New Roman" w:hAnsi="Times New Roman" w:cs="Verdana"/>
          <w:iCs/>
          <w:sz w:val="20"/>
          <w:szCs w:val="20"/>
          <w:lang w:val="en-US"/>
        </w:rPr>
        <w:t>Proceedings of the British Academy</w:t>
      </w:r>
      <w:r w:rsidRPr="008C20C8">
        <w:rPr>
          <w:rFonts w:ascii="Times New Roman" w:hAnsi="Times New Roman" w:cs="Verdana"/>
          <w:sz w:val="20"/>
          <w:szCs w:val="20"/>
          <w:lang w:val="en-US"/>
        </w:rPr>
        <w:t xml:space="preserve">, </w:t>
      </w:r>
      <w:r w:rsidRPr="008C20C8">
        <w:rPr>
          <w:rFonts w:ascii="Times New Roman" w:eastAsiaTheme="minorHAnsi" w:hAnsi="Times New Roman" w:cs="Verdana"/>
          <w:sz w:val="20"/>
          <w:szCs w:val="26"/>
          <w:lang w:val="en-US"/>
        </w:rPr>
        <w:t xml:space="preserve">also published in </w:t>
      </w:r>
      <w:r>
        <w:rPr>
          <w:rFonts w:ascii="Times New Roman" w:eastAsiaTheme="minorHAnsi" w:hAnsi="Times New Roman" w:cs="Verdana"/>
          <w:sz w:val="20"/>
          <w:szCs w:val="26"/>
          <w:lang w:val="en-US"/>
        </w:rPr>
        <w:t xml:space="preserve">[2011] </w:t>
      </w:r>
      <w:r w:rsidRPr="003D40E1">
        <w:rPr>
          <w:rFonts w:ascii="Times New Roman" w:eastAsiaTheme="minorHAnsi" w:hAnsi="Times New Roman" w:cs="Verdana"/>
          <w:bCs/>
          <w:iCs/>
          <w:sz w:val="20"/>
          <w:szCs w:val="26"/>
          <w:lang w:val="en-US"/>
        </w:rPr>
        <w:t>Ecc LJ</w:t>
      </w:r>
      <w:r w:rsidRPr="008C20C8">
        <w:rPr>
          <w:rFonts w:ascii="Times New Roman" w:eastAsiaTheme="minorHAnsi" w:hAnsi="Times New Roman" w:cs="Verdana"/>
          <w:bCs/>
          <w:iCs/>
          <w:sz w:val="20"/>
          <w:szCs w:val="26"/>
          <w:lang w:val="en-US"/>
        </w:rPr>
        <w:t xml:space="preserve"> 4</w:t>
      </w:r>
      <w:r w:rsidRPr="008C20C8">
        <w:rPr>
          <w:rFonts w:ascii="Times New Roman" w:eastAsiaTheme="minorHAnsi" w:hAnsi="Times New Roman" w:cs="Verdana"/>
          <w:sz w:val="20"/>
          <w:szCs w:val="26"/>
          <w:lang w:val="en-US"/>
        </w:rPr>
        <w:t xml:space="preserve">. </w:t>
      </w:r>
    </w:p>
  </w:footnote>
  <w:footnote w:id="80">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Except for s</w:t>
      </w:r>
      <w:r>
        <w:rPr>
          <w:rFonts w:ascii="Times New Roman" w:hAnsi="Times New Roman"/>
          <w:sz w:val="20"/>
        </w:rPr>
        <w:t xml:space="preserve">ome </w:t>
      </w:r>
      <w:r w:rsidRPr="008C20C8">
        <w:rPr>
          <w:rFonts w:ascii="Times New Roman" w:hAnsi="Times New Roman"/>
          <w:sz w:val="20"/>
        </w:rPr>
        <w:t xml:space="preserve">political Acts, such as the Act of Settlement 1701, which contains a guarantee of tenure for judges in its Article 3. </w:t>
      </w:r>
    </w:p>
  </w:footnote>
  <w:footnote w:id="81">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Pr>
          <w:rFonts w:ascii="Times New Roman" w:hAnsi="Times New Roman"/>
          <w:sz w:val="20"/>
        </w:rPr>
        <w:t xml:space="preserve"> CRA 2005, s </w:t>
      </w:r>
      <w:r w:rsidRPr="008C20C8">
        <w:rPr>
          <w:rFonts w:ascii="Times New Roman" w:hAnsi="Times New Roman"/>
          <w:sz w:val="20"/>
        </w:rPr>
        <w:t>1.</w:t>
      </w:r>
    </w:p>
  </w:footnote>
  <w:footnote w:id="82">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3D40E1">
        <w:rPr>
          <w:rFonts w:ascii="Times New Roman" w:hAnsi="Times New Roman"/>
          <w:sz w:val="20"/>
        </w:rPr>
        <w:t xml:space="preserve">JM Jacob, </w:t>
      </w:r>
      <w:r w:rsidRPr="002D2F48">
        <w:rPr>
          <w:rFonts w:ascii="Times New Roman" w:hAnsi="Times New Roman"/>
          <w:i/>
          <w:sz w:val="20"/>
        </w:rPr>
        <w:t xml:space="preserve">Civil Justice in the Age of Human Rights </w:t>
      </w:r>
      <w:r>
        <w:rPr>
          <w:rFonts w:ascii="Times New Roman" w:hAnsi="Times New Roman"/>
          <w:sz w:val="20"/>
        </w:rPr>
        <w:t>(Ashgate</w:t>
      </w:r>
      <w:r w:rsidRPr="008C20C8">
        <w:rPr>
          <w:rFonts w:ascii="Times New Roman" w:hAnsi="Times New Roman"/>
          <w:sz w:val="20"/>
        </w:rPr>
        <w:t xml:space="preserve"> 2007).</w:t>
      </w:r>
    </w:p>
  </w:footnote>
  <w:footnote w:id="83">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T Bingham, </w:t>
      </w:r>
      <w:r>
        <w:rPr>
          <w:rFonts w:ascii="Times New Roman" w:hAnsi="Times New Roman"/>
          <w:sz w:val="20"/>
        </w:rPr>
        <w:t>‘</w:t>
      </w:r>
      <w:r w:rsidRPr="003D40E1">
        <w:rPr>
          <w:rFonts w:ascii="Times New Roman" w:hAnsi="Times New Roman"/>
          <w:sz w:val="20"/>
        </w:rPr>
        <w:t>The old order changeth</w:t>
      </w:r>
      <w:r>
        <w:rPr>
          <w:rFonts w:ascii="Times New Roman" w:hAnsi="Times New Roman"/>
          <w:sz w:val="20"/>
        </w:rPr>
        <w:t>’</w:t>
      </w:r>
      <w:r w:rsidRPr="008C20C8">
        <w:rPr>
          <w:rFonts w:ascii="Times New Roman" w:hAnsi="Times New Roman"/>
          <w:sz w:val="20"/>
        </w:rPr>
        <w:t xml:space="preserve"> </w:t>
      </w:r>
      <w:r>
        <w:rPr>
          <w:rFonts w:ascii="Times New Roman" w:hAnsi="Times New Roman"/>
          <w:sz w:val="20"/>
        </w:rPr>
        <w:t xml:space="preserve">(2006) </w:t>
      </w:r>
      <w:r w:rsidRPr="008C20C8">
        <w:rPr>
          <w:rFonts w:ascii="Times New Roman" w:hAnsi="Times New Roman"/>
          <w:sz w:val="20"/>
        </w:rPr>
        <w:t xml:space="preserve">122 </w:t>
      </w:r>
      <w:r w:rsidRPr="008C20C8">
        <w:rPr>
          <w:rFonts w:ascii="Times New Roman" w:eastAsiaTheme="minorHAnsi" w:hAnsi="Times New Roman" w:cs="Verdana"/>
          <w:sz w:val="20"/>
          <w:szCs w:val="26"/>
          <w:lang w:val="en-US"/>
        </w:rPr>
        <w:t>LQR 211</w:t>
      </w:r>
      <w:r w:rsidRPr="008C20C8">
        <w:rPr>
          <w:rFonts w:ascii="Times New Roman" w:eastAsiaTheme="minorHAnsi" w:hAnsi="Times New Roman"/>
          <w:sz w:val="20"/>
          <w:lang w:val="en-US"/>
        </w:rPr>
        <w:t>.</w:t>
      </w:r>
    </w:p>
  </w:footnote>
  <w:footnote w:id="84">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 xml:space="preserve">The latter first appear as ‘rights’ in </w:t>
      </w:r>
      <w:r w:rsidRPr="002D2F48">
        <w:rPr>
          <w:rFonts w:ascii="Times New Roman" w:hAnsi="Times New Roman"/>
          <w:i/>
          <w:sz w:val="20"/>
          <w:lang w:eastAsia="en-GB"/>
        </w:rPr>
        <w:t>Dr Bentley’s Case</w:t>
      </w:r>
      <w:r w:rsidRPr="008C20C8">
        <w:rPr>
          <w:rFonts w:ascii="Times New Roman" w:hAnsi="Times New Roman"/>
          <w:sz w:val="20"/>
          <w:lang w:eastAsia="en-GB"/>
        </w:rPr>
        <w:t>, 8 Mod 148, 88 ER 111 (1669</w:t>
      </w:r>
      <w:r w:rsidRPr="008C20C8">
        <w:rPr>
          <w:rFonts w:ascii="Menlo Regular" w:hAnsi="Menlo Regular" w:cs="Menlo Regular"/>
          <w:sz w:val="20"/>
          <w:lang w:eastAsia="en-GB"/>
        </w:rPr>
        <w:t>‐</w:t>
      </w:r>
      <w:r w:rsidRPr="008C20C8">
        <w:rPr>
          <w:rFonts w:ascii="Times New Roman" w:hAnsi="Times New Roman"/>
          <w:sz w:val="20"/>
          <w:lang w:eastAsia="en-GB"/>
        </w:rPr>
        <w:t>1732); and</w:t>
      </w:r>
      <w:r w:rsidRPr="008C20C8">
        <w:rPr>
          <w:rFonts w:ascii="Times New Roman" w:hAnsi="Times New Roman"/>
          <w:i/>
          <w:sz w:val="20"/>
          <w:lang w:eastAsia="en-GB"/>
        </w:rPr>
        <w:t xml:space="preserve"> </w:t>
      </w:r>
      <w:r w:rsidRPr="002D2F48">
        <w:rPr>
          <w:rFonts w:ascii="Times New Roman" w:hAnsi="Times New Roman"/>
          <w:i/>
          <w:sz w:val="20"/>
          <w:lang w:eastAsia="en-GB"/>
        </w:rPr>
        <w:t>Board of Education v Rice</w:t>
      </w:r>
      <w:r w:rsidRPr="008C20C8">
        <w:rPr>
          <w:rFonts w:ascii="Times New Roman" w:hAnsi="Times New Roman"/>
          <w:sz w:val="20"/>
          <w:lang w:eastAsia="en-GB"/>
        </w:rPr>
        <w:t xml:space="preserve"> [1911] AC 718 (HL).</w:t>
      </w:r>
    </w:p>
  </w:footnote>
  <w:footnote w:id="85">
    <w:p w:rsidR="00D43B4E" w:rsidRPr="008C20C8" w:rsidRDefault="00D43B4E" w:rsidP="00827DD4">
      <w:pPr>
        <w:pStyle w:val="FootnoteText"/>
        <w:rPr>
          <w:rFonts w:ascii="Times New Roman" w:hAnsi="Times New Roman"/>
          <w:sz w:val="20"/>
          <w:lang w:val="en-US"/>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8C20C8">
        <w:rPr>
          <w:rFonts w:ascii="Times New Roman" w:hAnsi="Times New Roman"/>
          <w:sz w:val="20"/>
          <w:lang w:val="en-US"/>
        </w:rPr>
        <w:t xml:space="preserve">A Zuckerman, </w:t>
      </w:r>
      <w:r>
        <w:rPr>
          <w:rFonts w:ascii="Times New Roman" w:hAnsi="Times New Roman"/>
          <w:sz w:val="20"/>
          <w:lang w:val="en-US"/>
        </w:rPr>
        <w:t>‘</w:t>
      </w:r>
      <w:r w:rsidRPr="003D40E1">
        <w:rPr>
          <w:rFonts w:ascii="Times New Roman" w:hAnsi="Times New Roman"/>
          <w:sz w:val="20"/>
          <w:lang w:val="en-US"/>
        </w:rPr>
        <w:t>Rule making and precedent under the Civil Procedure Rules: still an unsettled field</w:t>
      </w:r>
      <w:r>
        <w:rPr>
          <w:rFonts w:ascii="Times New Roman" w:hAnsi="Times New Roman"/>
          <w:sz w:val="20"/>
          <w:lang w:val="en-US"/>
        </w:rPr>
        <w:t>’</w:t>
      </w:r>
      <w:r w:rsidRPr="008C20C8">
        <w:rPr>
          <w:rFonts w:ascii="Times New Roman" w:hAnsi="Times New Roman"/>
          <w:i/>
          <w:sz w:val="20"/>
          <w:lang w:val="en-US"/>
        </w:rPr>
        <w:t xml:space="preserve"> </w:t>
      </w:r>
      <w:r w:rsidRPr="008C20C8">
        <w:rPr>
          <w:rFonts w:ascii="Times New Roman" w:hAnsi="Times New Roman"/>
          <w:sz w:val="20"/>
          <w:lang w:val="en-US"/>
        </w:rPr>
        <w:t>(2010)</w:t>
      </w:r>
      <w:r>
        <w:rPr>
          <w:rFonts w:ascii="Times New Roman" w:hAnsi="Times New Roman"/>
          <w:sz w:val="20"/>
          <w:lang w:val="en-US"/>
        </w:rPr>
        <w:t xml:space="preserve"> </w:t>
      </w:r>
      <w:r w:rsidRPr="008C20C8">
        <w:rPr>
          <w:rFonts w:ascii="Times New Roman" w:hAnsi="Times New Roman"/>
          <w:sz w:val="20"/>
          <w:lang w:val="en-US"/>
        </w:rPr>
        <w:t xml:space="preserve">29 CJQ 1, citing </w:t>
      </w:r>
      <w:r w:rsidRPr="003D40E1">
        <w:rPr>
          <w:rFonts w:ascii="Times New Roman" w:hAnsi="Times New Roman"/>
          <w:sz w:val="20"/>
          <w:lang w:val="en-US"/>
        </w:rPr>
        <w:t xml:space="preserve">S Rosenbaum, The Rule-Making Authority in the English Supreme Court </w:t>
      </w:r>
      <w:r w:rsidRPr="008C20C8">
        <w:rPr>
          <w:rFonts w:ascii="Times New Roman" w:hAnsi="Times New Roman"/>
          <w:sz w:val="20"/>
          <w:lang w:val="en-US"/>
        </w:rPr>
        <w:t>(Boston</w:t>
      </w:r>
      <w:r w:rsidR="00007B05">
        <w:rPr>
          <w:rFonts w:ascii="Times New Roman" w:hAnsi="Times New Roman"/>
          <w:sz w:val="20"/>
          <w:lang w:val="en-US"/>
        </w:rPr>
        <w:t xml:space="preserve"> Book Co.</w:t>
      </w:r>
      <w:r w:rsidRPr="008C20C8">
        <w:rPr>
          <w:rFonts w:ascii="Times New Roman" w:hAnsi="Times New Roman"/>
          <w:sz w:val="20"/>
          <w:lang w:val="en-US"/>
        </w:rPr>
        <w:t xml:space="preserve"> 1917, repr Fred B Rothamn &amp; co</w:t>
      </w:r>
      <w:r>
        <w:rPr>
          <w:rFonts w:ascii="Times New Roman" w:hAnsi="Times New Roman"/>
          <w:sz w:val="20"/>
          <w:lang w:val="en-US"/>
        </w:rPr>
        <w:t>.</w:t>
      </w:r>
      <w:r w:rsidRPr="008C20C8">
        <w:rPr>
          <w:rFonts w:ascii="Times New Roman" w:hAnsi="Times New Roman"/>
          <w:sz w:val="20"/>
          <w:lang w:val="en-US"/>
        </w:rPr>
        <w:t xml:space="preserve"> 1993</w:t>
      </w:r>
      <w:r>
        <w:rPr>
          <w:rFonts w:ascii="Times New Roman" w:hAnsi="Times New Roman"/>
          <w:sz w:val="20"/>
          <w:lang w:val="en-US"/>
        </w:rPr>
        <w:t>)</w:t>
      </w:r>
      <w:r w:rsidRPr="008C20C8">
        <w:rPr>
          <w:rFonts w:ascii="Times New Roman" w:hAnsi="Times New Roman"/>
          <w:sz w:val="20"/>
          <w:lang w:val="en-US"/>
        </w:rPr>
        <w:t>.</w:t>
      </w:r>
    </w:p>
  </w:footnote>
  <w:footnote w:id="86">
    <w:p w:rsidR="00D43B4E" w:rsidRPr="00B20F5B" w:rsidRDefault="00D43B4E">
      <w:pPr>
        <w:pStyle w:val="FootnoteText"/>
        <w:rPr>
          <w:rFonts w:ascii="Times New Roman" w:hAnsi="Times New Roman"/>
          <w:sz w:val="20"/>
        </w:rPr>
      </w:pPr>
      <w:r w:rsidRPr="00B20F5B">
        <w:rPr>
          <w:rStyle w:val="FootnoteReference"/>
          <w:rFonts w:ascii="Times New Roman" w:hAnsi="Times New Roman"/>
          <w:sz w:val="20"/>
        </w:rPr>
        <w:footnoteRef/>
      </w:r>
      <w:r w:rsidRPr="00B20F5B">
        <w:rPr>
          <w:rFonts w:ascii="Times New Roman" w:hAnsi="Times New Roman"/>
          <w:sz w:val="20"/>
        </w:rPr>
        <w:t xml:space="preserve"> Zuckerman</w:t>
      </w:r>
      <w:r>
        <w:rPr>
          <w:rFonts w:ascii="Times New Roman" w:hAnsi="Times New Roman"/>
          <w:sz w:val="20"/>
        </w:rPr>
        <w:t>,</w:t>
      </w:r>
      <w:r w:rsidRPr="00B20F5B">
        <w:rPr>
          <w:rFonts w:ascii="Times New Roman" w:hAnsi="Times New Roman"/>
          <w:sz w:val="20"/>
        </w:rPr>
        <w:t xml:space="preserve"> </w:t>
      </w:r>
      <w:r>
        <w:rPr>
          <w:rFonts w:ascii="Times New Roman" w:hAnsi="Times New Roman"/>
          <w:sz w:val="20"/>
        </w:rPr>
        <w:t xml:space="preserve">‘Dismissal for Delay’ </w:t>
      </w:r>
      <w:r w:rsidRPr="00B20F5B">
        <w:rPr>
          <w:rFonts w:ascii="Times New Roman" w:hAnsi="Times New Roman"/>
          <w:sz w:val="20"/>
        </w:rPr>
        <w:t xml:space="preserve">(n </w:t>
      </w:r>
      <w:r w:rsidRPr="00B20F5B">
        <w:rPr>
          <w:rFonts w:ascii="Times New Roman" w:hAnsi="Times New Roman"/>
          <w:sz w:val="20"/>
        </w:rPr>
        <w:fldChar w:fldCharType="begin"/>
      </w:r>
      <w:r w:rsidRPr="00B20F5B">
        <w:rPr>
          <w:rFonts w:ascii="Times New Roman" w:hAnsi="Times New Roman"/>
          <w:sz w:val="20"/>
        </w:rPr>
        <w:instrText xml:space="preserve"> NOTEREF _Ref232395571 \h </w:instrText>
      </w:r>
      <w:r w:rsidRPr="00844364">
        <w:rPr>
          <w:rFonts w:ascii="Times New Roman" w:hAnsi="Times New Roman"/>
          <w:sz w:val="20"/>
        </w:rPr>
      </w:r>
      <w:r w:rsidRPr="00B20F5B">
        <w:rPr>
          <w:rFonts w:ascii="Times New Roman" w:hAnsi="Times New Roman"/>
          <w:sz w:val="20"/>
        </w:rPr>
        <w:fldChar w:fldCharType="separate"/>
      </w:r>
      <w:r w:rsidR="00007B05">
        <w:rPr>
          <w:rFonts w:ascii="Times New Roman" w:hAnsi="Times New Roman"/>
          <w:sz w:val="20"/>
        </w:rPr>
        <w:t>46</w:t>
      </w:r>
      <w:r w:rsidRPr="00B20F5B">
        <w:rPr>
          <w:rFonts w:ascii="Times New Roman" w:hAnsi="Times New Roman"/>
          <w:sz w:val="20"/>
        </w:rPr>
        <w:fldChar w:fldCharType="end"/>
      </w:r>
      <w:r w:rsidRPr="00B20F5B">
        <w:rPr>
          <w:rFonts w:ascii="Times New Roman" w:hAnsi="Times New Roman"/>
          <w:sz w:val="20"/>
        </w:rPr>
        <w:t>).</w:t>
      </w:r>
    </w:p>
  </w:footnote>
  <w:footnote w:id="87">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i/>
          <w:sz w:val="20"/>
        </w:rPr>
        <w:t xml:space="preserve">Birkett v James </w:t>
      </w:r>
      <w:r>
        <w:rPr>
          <w:rFonts w:ascii="Times New Roman" w:hAnsi="Times New Roman"/>
          <w:sz w:val="20"/>
        </w:rPr>
        <w:t xml:space="preserve">(n </w:t>
      </w:r>
      <w:r>
        <w:rPr>
          <w:rFonts w:ascii="Times New Roman" w:hAnsi="Times New Roman"/>
          <w:sz w:val="20"/>
        </w:rPr>
        <w:fldChar w:fldCharType="begin"/>
      </w:r>
      <w:r>
        <w:rPr>
          <w:rFonts w:ascii="Times New Roman" w:hAnsi="Times New Roman"/>
          <w:sz w:val="20"/>
        </w:rPr>
        <w:instrText xml:space="preserve"> NOTEREF _Ref232399258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47</w:t>
      </w:r>
      <w:r>
        <w:rPr>
          <w:rFonts w:ascii="Times New Roman" w:hAnsi="Times New Roman"/>
          <w:sz w:val="20"/>
        </w:rPr>
        <w:fldChar w:fldCharType="end"/>
      </w:r>
      <w:r>
        <w:rPr>
          <w:rFonts w:ascii="Times New Roman" w:hAnsi="Times New Roman"/>
          <w:sz w:val="20"/>
        </w:rPr>
        <w:t xml:space="preserve">). </w:t>
      </w:r>
      <w:r w:rsidRPr="008C20C8">
        <w:rPr>
          <w:rFonts w:ascii="Times New Roman" w:hAnsi="Times New Roman"/>
          <w:sz w:val="20"/>
        </w:rPr>
        <w:t xml:space="preserve">In addition, the philosophy is apparent in decisions where the court looks not to the non-compliance of one party, but beyond it to </w:t>
      </w:r>
      <w:r>
        <w:rPr>
          <w:rFonts w:ascii="Times New Roman" w:hAnsi="Times New Roman"/>
          <w:sz w:val="20"/>
        </w:rPr>
        <w:t>‘</w:t>
      </w:r>
      <w:r w:rsidRPr="008C20C8">
        <w:rPr>
          <w:rFonts w:ascii="Times New Roman" w:hAnsi="Times New Roman"/>
          <w:sz w:val="20"/>
        </w:rPr>
        <w:t>whether a trial is still possible</w:t>
      </w:r>
      <w:r>
        <w:rPr>
          <w:rFonts w:ascii="Times New Roman" w:hAnsi="Times New Roman"/>
          <w:sz w:val="20"/>
        </w:rPr>
        <w:t>’</w:t>
      </w:r>
      <w:r w:rsidRPr="008C20C8">
        <w:rPr>
          <w:rFonts w:ascii="Times New Roman" w:hAnsi="Times New Roman"/>
          <w:sz w:val="20"/>
        </w:rPr>
        <w:t xml:space="preserve">: this factor haunts the pre-2013 version of CPR 3.9, at letter (g), although in that rule it is limited to a regard for the trial </w:t>
      </w:r>
      <w:r w:rsidRPr="008C20C8">
        <w:rPr>
          <w:rFonts w:ascii="Times New Roman" w:hAnsi="Times New Roman"/>
          <w:i/>
          <w:sz w:val="20"/>
        </w:rPr>
        <w:t>date</w:t>
      </w:r>
      <w:r w:rsidRPr="008C20C8">
        <w:rPr>
          <w:rFonts w:ascii="Times New Roman" w:hAnsi="Times New Roman"/>
          <w:sz w:val="20"/>
        </w:rPr>
        <w:t>, rather than the trial itself.</w:t>
      </w:r>
    </w:p>
  </w:footnote>
  <w:footnote w:id="88">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Zuckerman</w:t>
      </w:r>
      <w:r>
        <w:rPr>
          <w:rFonts w:ascii="Times New Roman" w:hAnsi="Times New Roman"/>
          <w:sz w:val="20"/>
        </w:rPr>
        <w:t xml:space="preserve">, ‘Dismissal for Delay’ (n </w:t>
      </w:r>
      <w:r>
        <w:rPr>
          <w:rFonts w:ascii="Times New Roman" w:hAnsi="Times New Roman"/>
          <w:sz w:val="20"/>
        </w:rPr>
        <w:fldChar w:fldCharType="begin"/>
      </w:r>
      <w:r>
        <w:rPr>
          <w:rFonts w:ascii="Times New Roman" w:hAnsi="Times New Roman"/>
          <w:sz w:val="20"/>
        </w:rPr>
        <w:instrText xml:space="preserve"> NOTEREF _Ref232395571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46</w:t>
      </w:r>
      <w:r>
        <w:rPr>
          <w:rFonts w:ascii="Times New Roman" w:hAnsi="Times New Roman"/>
          <w:sz w:val="20"/>
        </w:rPr>
        <w:fldChar w:fldCharType="end"/>
      </w:r>
      <w:r>
        <w:rPr>
          <w:rFonts w:ascii="Times New Roman" w:hAnsi="Times New Roman"/>
          <w:sz w:val="20"/>
        </w:rPr>
        <w:t>)</w:t>
      </w:r>
      <w:r w:rsidRPr="008C20C8">
        <w:rPr>
          <w:rFonts w:ascii="Times New Roman" w:hAnsi="Times New Roman"/>
          <w:sz w:val="20"/>
        </w:rPr>
        <w:t xml:space="preserve"> 223, points out that, in </w:t>
      </w:r>
      <w:r w:rsidRPr="002D2F48">
        <w:rPr>
          <w:rFonts w:ascii="Times New Roman" w:hAnsi="Times New Roman"/>
          <w:i/>
          <w:sz w:val="20"/>
        </w:rPr>
        <w:t xml:space="preserve">Birkett v James </w:t>
      </w:r>
      <w:r w:rsidRPr="008C20C8">
        <w:rPr>
          <w:rFonts w:ascii="Times New Roman" w:hAnsi="Times New Roman"/>
          <w:sz w:val="20"/>
        </w:rPr>
        <w:t xml:space="preserve">itself, </w:t>
      </w:r>
      <w:r>
        <w:rPr>
          <w:rFonts w:ascii="Times New Roman" w:hAnsi="Times New Roman"/>
          <w:sz w:val="20"/>
        </w:rPr>
        <w:t>‘</w:t>
      </w:r>
      <w:r w:rsidRPr="008C20C8">
        <w:rPr>
          <w:rFonts w:ascii="Times New Roman" w:hAnsi="Times New Roman"/>
          <w:sz w:val="20"/>
          <w:szCs w:val="26"/>
          <w:lang w:val="en-US"/>
        </w:rPr>
        <w:t>the prevention of delay is not an objective of Lord Diplock's test. Rather, it is designed, first, to protect the authority of the court and, second, to prevent prejudice to defendants.</w:t>
      </w:r>
      <w:r>
        <w:rPr>
          <w:rFonts w:ascii="Times New Roman" w:hAnsi="Times New Roman"/>
          <w:sz w:val="20"/>
          <w:szCs w:val="26"/>
          <w:lang w:val="en-US"/>
        </w:rPr>
        <w:t>’</w:t>
      </w:r>
    </w:p>
  </w:footnote>
  <w:footnote w:id="89">
    <w:p w:rsidR="00D43B4E" w:rsidRPr="008C20C8" w:rsidRDefault="00D43B4E" w:rsidP="00827DD4">
      <w:pPr>
        <w:widowControl w:val="0"/>
        <w:autoSpaceDE w:val="0"/>
        <w:autoSpaceDN w:val="0"/>
        <w:adjustRightInd w:val="0"/>
        <w:rPr>
          <w:rFonts w:ascii="Times New Roman" w:eastAsiaTheme="minorHAnsi" w:hAnsi="Times New Roman" w:cs="Trebuchet MS"/>
          <w:b/>
          <w:bCs/>
          <w:sz w:val="20"/>
          <w:szCs w:val="30"/>
          <w:lang w:val="en-US"/>
        </w:rPr>
      </w:pPr>
      <w:r w:rsidRPr="008C20C8">
        <w:rPr>
          <w:rStyle w:val="FootnoteReference"/>
          <w:rFonts w:ascii="Times New Roman" w:hAnsi="Times New Roman"/>
          <w:sz w:val="20"/>
        </w:rPr>
        <w:footnoteRef/>
      </w:r>
      <w:r w:rsidRPr="008C20C8">
        <w:rPr>
          <w:rFonts w:ascii="Times New Roman" w:hAnsi="Times New Roman"/>
          <w:sz w:val="20"/>
        </w:rPr>
        <w:t xml:space="preserve"> Although reference is often made, in the case-law on striking out, to the parallel, and distinguishable, powers of the court to punish contempt of its process: see C Crifò, </w:t>
      </w:r>
      <w:r>
        <w:rPr>
          <w:rFonts w:ascii="Times New Roman" w:hAnsi="Times New Roman"/>
          <w:sz w:val="20"/>
        </w:rPr>
        <w:t>‘</w:t>
      </w:r>
      <w:r w:rsidRPr="003D40E1">
        <w:rPr>
          <w:rFonts w:ascii="Times New Roman" w:eastAsiaTheme="minorHAnsi" w:hAnsi="Times New Roman" w:cs="Trebuchet MS"/>
          <w:bCs/>
          <w:sz w:val="20"/>
          <w:szCs w:val="30"/>
          <w:lang w:val="en-US"/>
        </w:rPr>
        <w:t xml:space="preserve">The limits of civil contempt as a measure of compulsion: </w:t>
      </w:r>
      <w:r w:rsidRPr="002D2F48">
        <w:rPr>
          <w:rFonts w:ascii="Times New Roman" w:eastAsiaTheme="minorHAnsi" w:hAnsi="Times New Roman" w:cs="Trebuchet MS"/>
          <w:bCs/>
          <w:i/>
          <w:sz w:val="20"/>
          <w:szCs w:val="30"/>
          <w:lang w:val="en-US"/>
        </w:rPr>
        <w:t>JSC BTA Bank v Mukhtar Ablyazov</w:t>
      </w:r>
      <w:r>
        <w:rPr>
          <w:rFonts w:ascii="Times New Roman" w:eastAsiaTheme="minorHAnsi" w:hAnsi="Times New Roman" w:cs="Trebuchet MS"/>
          <w:bCs/>
          <w:sz w:val="20"/>
          <w:szCs w:val="30"/>
          <w:lang w:val="en-US"/>
        </w:rPr>
        <w:t>’</w:t>
      </w:r>
      <w:r w:rsidRPr="008C20C8">
        <w:rPr>
          <w:rFonts w:ascii="Times New Roman" w:eastAsiaTheme="minorHAnsi" w:hAnsi="Times New Roman" w:cs="Trebuchet MS"/>
          <w:b/>
          <w:bCs/>
          <w:i/>
          <w:sz w:val="20"/>
          <w:szCs w:val="30"/>
          <w:lang w:val="en-US"/>
        </w:rPr>
        <w:t xml:space="preserve"> </w:t>
      </w:r>
      <w:r>
        <w:rPr>
          <w:rFonts w:ascii="Times New Roman" w:eastAsiaTheme="minorHAnsi" w:hAnsi="Times New Roman" w:cs="Trebuchet MS"/>
          <w:b/>
          <w:bCs/>
          <w:i/>
          <w:sz w:val="20"/>
          <w:szCs w:val="30"/>
          <w:lang w:val="en-US"/>
        </w:rPr>
        <w:t xml:space="preserve"> </w:t>
      </w:r>
      <w:r w:rsidRPr="002D2F48">
        <w:rPr>
          <w:rFonts w:ascii="Times New Roman" w:eastAsiaTheme="minorHAnsi" w:hAnsi="Times New Roman" w:cs="Trebuchet MS"/>
          <w:bCs/>
          <w:sz w:val="20"/>
          <w:szCs w:val="30"/>
          <w:lang w:val="en-US"/>
        </w:rPr>
        <w:t>(2013)</w:t>
      </w:r>
      <w:r>
        <w:rPr>
          <w:rFonts w:ascii="Times New Roman" w:eastAsiaTheme="minorHAnsi" w:hAnsi="Times New Roman" w:cs="Trebuchet MS"/>
          <w:bCs/>
          <w:sz w:val="20"/>
          <w:szCs w:val="30"/>
          <w:lang w:val="en-US"/>
        </w:rPr>
        <w:t xml:space="preserve"> </w:t>
      </w:r>
      <w:r w:rsidRPr="008C20C8">
        <w:rPr>
          <w:rFonts w:ascii="Times New Roman" w:eastAsiaTheme="minorHAnsi" w:hAnsi="Times New Roman" w:cs="Trebuchet MS"/>
          <w:bCs/>
          <w:sz w:val="20"/>
          <w:szCs w:val="30"/>
          <w:lang w:val="en-US"/>
        </w:rPr>
        <w:t>32</w:t>
      </w:r>
      <w:r w:rsidRPr="008C20C8">
        <w:rPr>
          <w:rFonts w:ascii="Times New Roman" w:eastAsiaTheme="minorHAnsi" w:hAnsi="Times New Roman" w:cs="Verdana"/>
          <w:sz w:val="20"/>
          <w:szCs w:val="26"/>
          <w:lang w:val="en-US"/>
        </w:rPr>
        <w:t xml:space="preserve"> CJQ 14.</w:t>
      </w:r>
    </w:p>
  </w:footnote>
  <w:footnote w:id="90">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A Zuckerman, </w:t>
      </w:r>
      <w:r>
        <w:rPr>
          <w:rFonts w:ascii="Times New Roman" w:hAnsi="Times New Roman"/>
          <w:sz w:val="20"/>
        </w:rPr>
        <w:t>‘</w:t>
      </w:r>
      <w:r w:rsidRPr="003D40E1">
        <w:rPr>
          <w:rFonts w:ascii="Times New Roman" w:eastAsiaTheme="minorHAnsi" w:hAnsi="Times New Roman" w:cs="Trebuchet MS"/>
          <w:bCs/>
          <w:sz w:val="20"/>
          <w:szCs w:val="30"/>
          <w:lang w:val="en-US"/>
        </w:rPr>
        <w:t>Civil litigation: a public service for the enforcement of civil rights</w:t>
      </w:r>
      <w:r>
        <w:rPr>
          <w:rFonts w:ascii="Times New Roman" w:eastAsiaTheme="minorHAnsi" w:hAnsi="Times New Roman" w:cs="Trebuchet MS"/>
          <w:bCs/>
          <w:sz w:val="20"/>
          <w:szCs w:val="30"/>
          <w:lang w:val="en-US"/>
        </w:rPr>
        <w:t>’</w:t>
      </w:r>
      <w:r w:rsidRPr="008C20C8">
        <w:rPr>
          <w:rFonts w:ascii="Times New Roman" w:eastAsiaTheme="minorHAnsi" w:hAnsi="Times New Roman" w:cs="Trebuchet MS"/>
          <w:bCs/>
          <w:sz w:val="20"/>
          <w:szCs w:val="30"/>
          <w:lang w:val="en-US"/>
        </w:rPr>
        <w:t xml:space="preserve"> (2007)</w:t>
      </w:r>
      <w:r>
        <w:rPr>
          <w:rFonts w:ascii="Times New Roman" w:eastAsiaTheme="minorHAnsi" w:hAnsi="Times New Roman" w:cs="Trebuchet MS"/>
          <w:bCs/>
          <w:sz w:val="20"/>
          <w:szCs w:val="30"/>
          <w:lang w:val="en-US"/>
        </w:rPr>
        <w:t xml:space="preserve"> </w:t>
      </w:r>
      <w:r w:rsidRPr="008C20C8">
        <w:rPr>
          <w:rFonts w:ascii="Times New Roman" w:eastAsiaTheme="minorHAnsi" w:hAnsi="Times New Roman" w:cs="Trebuchet MS"/>
          <w:bCs/>
          <w:sz w:val="20"/>
          <w:szCs w:val="30"/>
          <w:lang w:val="en-US"/>
        </w:rPr>
        <w:t>26 CJQ 1.</w:t>
      </w:r>
    </w:p>
  </w:footnote>
  <w:footnote w:id="91">
    <w:p w:rsidR="00D43B4E" w:rsidRDefault="00D43B4E">
      <w:pPr>
        <w:pStyle w:val="FootnoteText"/>
      </w:pPr>
      <w:r w:rsidRPr="004C43B3">
        <w:rPr>
          <w:rStyle w:val="FootnoteReference"/>
          <w:rFonts w:ascii="Times New Roman" w:hAnsi="Times New Roman"/>
          <w:sz w:val="20"/>
        </w:rPr>
        <w:footnoteRef/>
      </w:r>
      <w:r>
        <w:rPr>
          <w:rFonts w:ascii="Times New Roman" w:hAnsi="Times New Roman"/>
          <w:sz w:val="20"/>
        </w:rPr>
        <w:t xml:space="preserve"> i</w:t>
      </w:r>
      <w:r w:rsidRPr="004C43B3">
        <w:rPr>
          <w:rFonts w:ascii="Times New Roman" w:hAnsi="Times New Roman"/>
          <w:sz w:val="20"/>
        </w:rPr>
        <w:t xml:space="preserve">bid; also Higgins (n </w:t>
      </w:r>
      <w:r w:rsidRPr="004C43B3">
        <w:rPr>
          <w:rFonts w:ascii="Times New Roman" w:hAnsi="Times New Roman"/>
          <w:sz w:val="20"/>
        </w:rPr>
        <w:fldChar w:fldCharType="begin"/>
      </w:r>
      <w:r w:rsidRPr="004C43B3">
        <w:rPr>
          <w:rFonts w:ascii="Times New Roman" w:hAnsi="Times New Roman"/>
          <w:sz w:val="20"/>
        </w:rPr>
        <w:instrText xml:space="preserve"> NOTEREF _Ref232398091 \h </w:instrText>
      </w:r>
      <w:r w:rsidRPr="00844364">
        <w:rPr>
          <w:rFonts w:ascii="Times New Roman" w:hAnsi="Times New Roman"/>
          <w:sz w:val="20"/>
        </w:rPr>
      </w:r>
      <w:r w:rsidRPr="004C43B3">
        <w:rPr>
          <w:rFonts w:ascii="Times New Roman" w:hAnsi="Times New Roman"/>
          <w:sz w:val="20"/>
        </w:rPr>
        <w:fldChar w:fldCharType="separate"/>
      </w:r>
      <w:r w:rsidR="00007B05">
        <w:rPr>
          <w:rFonts w:ascii="Times New Roman" w:hAnsi="Times New Roman"/>
          <w:sz w:val="20"/>
        </w:rPr>
        <w:t>69</w:t>
      </w:r>
      <w:r w:rsidRPr="004C43B3">
        <w:rPr>
          <w:rFonts w:ascii="Times New Roman" w:hAnsi="Times New Roman"/>
          <w:sz w:val="20"/>
        </w:rPr>
        <w:fldChar w:fldCharType="end"/>
      </w:r>
      <w:r w:rsidRPr="004C43B3">
        <w:rPr>
          <w:rFonts w:ascii="Times New Roman" w:hAnsi="Times New Roman"/>
          <w:sz w:val="20"/>
        </w:rPr>
        <w:t>).</w:t>
      </w:r>
    </w:p>
  </w:footnote>
  <w:footnote w:id="92">
    <w:p w:rsidR="00D43B4E" w:rsidRPr="008C20C8" w:rsidRDefault="00D43B4E" w:rsidP="00827DD4">
      <w:pPr>
        <w:pStyle w:val="FootnoteText"/>
        <w:rPr>
          <w:rFonts w:ascii="Times New Roman" w:hAnsi="Times New Roman"/>
          <w:sz w:val="20"/>
        </w:rPr>
      </w:pPr>
      <w:r>
        <w:rPr>
          <w:rStyle w:val="FootnoteReference"/>
          <w:rFonts w:ascii="Times New Roman" w:hAnsi="Times New Roman"/>
          <w:sz w:val="20"/>
        </w:rPr>
        <w:footnoteRef/>
      </w:r>
      <w:r w:rsidRPr="003D40E1">
        <w:rPr>
          <w:rFonts w:ascii="Times New Roman" w:hAnsi="Times New Roman"/>
          <w:sz w:val="20"/>
        </w:rPr>
        <w:t xml:space="preserve"> S</w:t>
      </w:r>
      <w:r w:rsidRPr="008C20C8">
        <w:rPr>
          <w:rFonts w:ascii="Times New Roman" w:hAnsi="Times New Roman"/>
          <w:sz w:val="20"/>
        </w:rPr>
        <w:t xml:space="preserve">ection </w:t>
      </w:r>
      <w:r>
        <w:rPr>
          <w:rFonts w:ascii="Times New Roman" w:hAnsi="Times New Roman"/>
          <w:sz w:val="20"/>
        </w:rPr>
        <w:t>3 above</w:t>
      </w:r>
      <w:r w:rsidRPr="008C20C8">
        <w:rPr>
          <w:rFonts w:ascii="Times New Roman" w:hAnsi="Times New Roman"/>
          <w:sz w:val="20"/>
        </w:rPr>
        <w:t>.</w:t>
      </w:r>
    </w:p>
  </w:footnote>
  <w:footnote w:id="93">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For </w:t>
      </w:r>
      <w:r>
        <w:rPr>
          <w:rFonts w:ascii="Times New Roman" w:hAnsi="Times New Roman"/>
          <w:sz w:val="20"/>
        </w:rPr>
        <w:t xml:space="preserve">the majority of </w:t>
      </w:r>
      <w:r w:rsidRPr="008C20C8">
        <w:rPr>
          <w:rFonts w:ascii="Times New Roman" w:hAnsi="Times New Roman"/>
          <w:sz w:val="20"/>
        </w:rPr>
        <w:t>civil claims, with</w:t>
      </w:r>
      <w:r>
        <w:rPr>
          <w:rFonts w:ascii="Times New Roman" w:hAnsi="Times New Roman"/>
          <w:sz w:val="20"/>
        </w:rPr>
        <w:t xml:space="preserve"> few</w:t>
      </w:r>
      <w:r w:rsidRPr="008C20C8">
        <w:rPr>
          <w:rFonts w:ascii="Times New Roman" w:hAnsi="Times New Roman"/>
          <w:sz w:val="20"/>
        </w:rPr>
        <w:t xml:space="preserve"> exception</w:t>
      </w:r>
      <w:r>
        <w:rPr>
          <w:rFonts w:ascii="Times New Roman" w:hAnsi="Times New Roman"/>
          <w:sz w:val="20"/>
        </w:rPr>
        <w:t>s: County Courts Act</w:t>
      </w:r>
      <w:r w:rsidRPr="008C20C8">
        <w:rPr>
          <w:rFonts w:ascii="Times New Roman" w:hAnsi="Times New Roman"/>
          <w:sz w:val="20"/>
        </w:rPr>
        <w:t xml:space="preserve"> 1984.</w:t>
      </w:r>
    </w:p>
  </w:footnote>
  <w:footnote w:id="94">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P Schlag, </w:t>
      </w:r>
      <w:r>
        <w:rPr>
          <w:rFonts w:ascii="Times New Roman" w:hAnsi="Times New Roman"/>
          <w:sz w:val="20"/>
        </w:rPr>
        <w:t>‘</w:t>
      </w:r>
      <w:r w:rsidRPr="003D40E1">
        <w:rPr>
          <w:rFonts w:ascii="Times New Roman" w:hAnsi="Times New Roman"/>
          <w:sz w:val="20"/>
        </w:rPr>
        <w:t>Formalism and Realism in Ruins (Mapping the Logics of Collapse)</w:t>
      </w:r>
      <w:r>
        <w:rPr>
          <w:rFonts w:ascii="Times New Roman" w:hAnsi="Times New Roman"/>
          <w:sz w:val="20"/>
        </w:rPr>
        <w:t>’</w:t>
      </w:r>
      <w:r w:rsidRPr="00C11EE0">
        <w:rPr>
          <w:rFonts w:ascii="Times New Roman" w:hAnsi="Times New Roman"/>
          <w:sz w:val="20"/>
        </w:rPr>
        <w:t xml:space="preserve"> </w:t>
      </w:r>
      <w:r w:rsidRPr="008C20C8">
        <w:rPr>
          <w:rFonts w:ascii="Times New Roman" w:hAnsi="Times New Roman"/>
          <w:sz w:val="20"/>
        </w:rPr>
        <w:t>(2009-2010)</w:t>
      </w:r>
      <w:r>
        <w:rPr>
          <w:rFonts w:ascii="Times New Roman" w:hAnsi="Times New Roman"/>
          <w:sz w:val="20"/>
        </w:rPr>
        <w:t xml:space="preserve"> </w:t>
      </w:r>
      <w:r w:rsidRPr="008C20C8">
        <w:rPr>
          <w:rFonts w:ascii="Times New Roman" w:hAnsi="Times New Roman"/>
          <w:sz w:val="20"/>
        </w:rPr>
        <w:t xml:space="preserve">95 </w:t>
      </w:r>
      <w:r w:rsidRPr="003D40E1">
        <w:rPr>
          <w:rFonts w:ascii="Times New Roman" w:hAnsi="Times New Roman"/>
          <w:sz w:val="20"/>
        </w:rPr>
        <w:t>Iowa L Rev</w:t>
      </w:r>
      <w:r w:rsidRPr="008C20C8">
        <w:rPr>
          <w:rFonts w:ascii="Times New Roman" w:hAnsi="Times New Roman"/>
          <w:smallCaps/>
          <w:sz w:val="20"/>
        </w:rPr>
        <w:t xml:space="preserve"> </w:t>
      </w:r>
      <w:r w:rsidRPr="008C20C8">
        <w:rPr>
          <w:rFonts w:ascii="Times New Roman" w:hAnsi="Times New Roman"/>
          <w:sz w:val="20"/>
        </w:rPr>
        <w:t>195.</w:t>
      </w:r>
    </w:p>
  </w:footnote>
  <w:footnote w:id="95">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 xml:space="preserve">ibid </w:t>
      </w:r>
      <w:r w:rsidRPr="008C20C8">
        <w:rPr>
          <w:rFonts w:ascii="Times New Roman" w:hAnsi="Times New Roman"/>
          <w:sz w:val="20"/>
        </w:rPr>
        <w:t>236.</w:t>
      </w:r>
    </w:p>
  </w:footnote>
  <w:footnote w:id="96">
    <w:p w:rsidR="00D43B4E" w:rsidRPr="008C20C8" w:rsidRDefault="00D43B4E" w:rsidP="00827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w:color w:val="000000"/>
          <w:sz w:val="20"/>
          <w:szCs w:val="21"/>
          <w:lang w:val="en-US"/>
        </w:rPr>
      </w:pPr>
      <w:r w:rsidRPr="008C20C8">
        <w:rPr>
          <w:rStyle w:val="FootnoteReference"/>
          <w:rFonts w:ascii="Times New Roman" w:hAnsi="Times New Roman"/>
          <w:sz w:val="20"/>
        </w:rPr>
        <w:footnoteRef/>
      </w:r>
      <w:r>
        <w:rPr>
          <w:rFonts w:ascii="Times New Roman" w:hAnsi="Times New Roman"/>
          <w:sz w:val="20"/>
        </w:rPr>
        <w:t xml:space="preserve"> To the extent that ‘</w:t>
      </w:r>
      <w:r w:rsidRPr="008C20C8">
        <w:rPr>
          <w:rFonts w:ascii="Times New Roman" w:eastAsiaTheme="minorHAnsi" w:hAnsi="Times New Roman" w:cs="Times"/>
          <w:color w:val="000000"/>
          <w:sz w:val="20"/>
          <w:szCs w:val="21"/>
          <w:lang w:val="en-US"/>
        </w:rPr>
        <w:t xml:space="preserve">meaning can be </w:t>
      </w:r>
      <w:r>
        <w:rPr>
          <w:rFonts w:ascii="Times New Roman" w:eastAsiaTheme="minorHAnsi" w:hAnsi="Times New Roman" w:cs="Times"/>
          <w:color w:val="000000"/>
          <w:sz w:val="20"/>
          <w:szCs w:val="21"/>
          <w:lang w:val="en-US"/>
        </w:rPr>
        <w:t>“</w:t>
      </w:r>
      <w:r w:rsidRPr="008C20C8">
        <w:rPr>
          <w:rFonts w:ascii="Times New Roman" w:eastAsiaTheme="minorHAnsi" w:hAnsi="Times New Roman" w:cs="Times"/>
          <w:color w:val="000000"/>
          <w:sz w:val="20"/>
          <w:szCs w:val="21"/>
          <w:lang w:val="en-US"/>
        </w:rPr>
        <w:t>contextual</w:t>
      </w:r>
      <w:r>
        <w:rPr>
          <w:rFonts w:ascii="Times New Roman" w:eastAsiaTheme="minorHAnsi" w:hAnsi="Times New Roman" w:cs="Times"/>
          <w:color w:val="000000"/>
          <w:sz w:val="20"/>
          <w:szCs w:val="21"/>
          <w:lang w:val="en-US"/>
        </w:rPr>
        <w:t>”</w:t>
      </w:r>
      <w:r w:rsidRPr="008C20C8">
        <w:rPr>
          <w:rFonts w:ascii="Times New Roman" w:eastAsiaTheme="minorHAnsi" w:hAnsi="Times New Roman" w:cs="Times"/>
          <w:color w:val="000000"/>
          <w:sz w:val="20"/>
          <w:szCs w:val="21"/>
          <w:lang w:val="en-US"/>
        </w:rPr>
        <w:t xml:space="preserve"> </w:t>
      </w:r>
      <w:r w:rsidRPr="008C20C8">
        <w:rPr>
          <w:rFonts w:ascii="Times New Roman" w:eastAsiaTheme="minorHAnsi" w:hAnsi="Times New Roman" w:cs="Times"/>
          <w:color w:val="000000"/>
          <w:sz w:val="20"/>
          <w:szCs w:val="22"/>
          <w:lang w:val="en-US"/>
        </w:rPr>
        <w:t xml:space="preserve">in </w:t>
      </w:r>
      <w:r w:rsidRPr="008C20C8">
        <w:rPr>
          <w:rFonts w:ascii="Times New Roman" w:eastAsiaTheme="minorHAnsi" w:hAnsi="Times New Roman" w:cs="Times"/>
          <w:color w:val="000000"/>
          <w:sz w:val="20"/>
          <w:szCs w:val="21"/>
          <w:lang w:val="en-US"/>
        </w:rPr>
        <w:t xml:space="preserve">the sense </w:t>
      </w:r>
      <w:r w:rsidRPr="008C20C8">
        <w:rPr>
          <w:rFonts w:ascii="Times New Roman" w:eastAsiaTheme="minorHAnsi" w:hAnsi="Times New Roman" w:cs="Times"/>
          <w:color w:val="000000"/>
          <w:sz w:val="20"/>
          <w:szCs w:val="22"/>
          <w:lang w:val="en-US"/>
        </w:rPr>
        <w:t xml:space="preserve">that that </w:t>
      </w:r>
      <w:r w:rsidRPr="008C20C8">
        <w:rPr>
          <w:rFonts w:ascii="Times New Roman" w:eastAsiaTheme="minorHAnsi" w:hAnsi="Times New Roman" w:cs="Times"/>
          <w:color w:val="000000"/>
          <w:sz w:val="20"/>
          <w:szCs w:val="21"/>
          <w:lang w:val="en-US"/>
        </w:rPr>
        <w:t>meaning draws on no other context besides those understandings shared among virtually all speakers of English</w:t>
      </w:r>
      <w:r>
        <w:rPr>
          <w:rFonts w:ascii="Times New Roman" w:eastAsiaTheme="minorHAnsi" w:hAnsi="Times New Roman" w:cs="Times"/>
          <w:color w:val="000000"/>
          <w:sz w:val="20"/>
          <w:szCs w:val="21"/>
          <w:lang w:val="en-US"/>
        </w:rPr>
        <w:t>’</w:t>
      </w:r>
      <w:r w:rsidRPr="008C20C8">
        <w:rPr>
          <w:rFonts w:ascii="Times New Roman" w:eastAsiaTheme="minorHAnsi" w:hAnsi="Times New Roman" w:cs="Times"/>
          <w:color w:val="000000"/>
          <w:sz w:val="20"/>
          <w:szCs w:val="21"/>
          <w:lang w:val="en-US"/>
        </w:rPr>
        <w:t xml:space="preserve">: </w:t>
      </w:r>
      <w:r w:rsidRPr="008C20C8">
        <w:rPr>
          <w:rFonts w:ascii="Times New Roman" w:hAnsi="Times New Roman"/>
          <w:sz w:val="20"/>
        </w:rPr>
        <w:t>F</w:t>
      </w:r>
      <w:r>
        <w:rPr>
          <w:rFonts w:ascii="Times New Roman" w:hAnsi="Times New Roman"/>
          <w:sz w:val="20"/>
        </w:rPr>
        <w:t>F</w:t>
      </w:r>
      <w:r w:rsidRPr="008C20C8">
        <w:rPr>
          <w:rFonts w:ascii="Times New Roman" w:hAnsi="Times New Roman"/>
          <w:sz w:val="20"/>
        </w:rPr>
        <w:t xml:space="preserve"> Schauer, </w:t>
      </w:r>
      <w:r>
        <w:rPr>
          <w:rFonts w:ascii="Times New Roman" w:hAnsi="Times New Roman"/>
          <w:sz w:val="20"/>
        </w:rPr>
        <w:t>‘</w:t>
      </w:r>
      <w:r w:rsidRPr="003D40E1">
        <w:rPr>
          <w:rFonts w:ascii="Times New Roman" w:hAnsi="Times New Roman"/>
          <w:sz w:val="20"/>
        </w:rPr>
        <w:t>Formalism</w:t>
      </w:r>
      <w:r>
        <w:rPr>
          <w:rFonts w:ascii="Times New Roman" w:hAnsi="Times New Roman"/>
          <w:sz w:val="20"/>
        </w:rPr>
        <w:t>’</w:t>
      </w:r>
      <w:r w:rsidRPr="008C20C8">
        <w:rPr>
          <w:rFonts w:ascii="Times New Roman" w:hAnsi="Times New Roman"/>
          <w:sz w:val="20"/>
        </w:rPr>
        <w:t xml:space="preserve"> (1988)</w:t>
      </w:r>
      <w:r>
        <w:rPr>
          <w:rFonts w:ascii="Times New Roman" w:hAnsi="Times New Roman"/>
          <w:sz w:val="20"/>
        </w:rPr>
        <w:t xml:space="preserve"> </w:t>
      </w:r>
      <w:r w:rsidRPr="008C20C8">
        <w:rPr>
          <w:rFonts w:ascii="Times New Roman" w:hAnsi="Times New Roman"/>
          <w:sz w:val="20"/>
        </w:rPr>
        <w:t xml:space="preserve">97 </w:t>
      </w:r>
      <w:r w:rsidRPr="003D40E1">
        <w:rPr>
          <w:rFonts w:ascii="Times New Roman" w:hAnsi="Times New Roman"/>
          <w:sz w:val="20"/>
        </w:rPr>
        <w:t>Yale LJ</w:t>
      </w:r>
      <w:r w:rsidRPr="008C20C8">
        <w:rPr>
          <w:rFonts w:ascii="Times New Roman" w:hAnsi="Times New Roman"/>
          <w:sz w:val="20"/>
        </w:rPr>
        <w:t xml:space="preserve"> 509, 528.</w:t>
      </w:r>
    </w:p>
  </w:footnote>
  <w:footnote w:id="97">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szCs w:val="20"/>
        </w:rPr>
        <w:footnoteRef/>
      </w:r>
      <w:r w:rsidRPr="008C20C8">
        <w:rPr>
          <w:rFonts w:ascii="Times New Roman" w:hAnsi="Times New Roman"/>
          <w:sz w:val="20"/>
        </w:rPr>
        <w:t xml:space="preserve"> </w:t>
      </w:r>
      <w:r>
        <w:rPr>
          <w:rFonts w:ascii="Times New Roman" w:hAnsi="Times New Roman"/>
          <w:sz w:val="20"/>
        </w:rPr>
        <w:t>ibid</w:t>
      </w:r>
      <w:r w:rsidRPr="003D40E1">
        <w:rPr>
          <w:rFonts w:ascii="Times New Roman" w:hAnsi="Times New Roman"/>
          <w:sz w:val="20"/>
        </w:rPr>
        <w:t xml:space="preserve"> </w:t>
      </w:r>
      <w:r w:rsidRPr="008C20C8">
        <w:rPr>
          <w:rFonts w:ascii="Times New Roman" w:hAnsi="Times New Roman"/>
          <w:sz w:val="20"/>
        </w:rPr>
        <w:t xml:space="preserve">531. </w:t>
      </w:r>
    </w:p>
  </w:footnote>
  <w:footnote w:id="98">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 xml:space="preserve">ibid </w:t>
      </w:r>
      <w:r w:rsidRPr="008C20C8">
        <w:rPr>
          <w:rFonts w:ascii="Times New Roman" w:hAnsi="Times New Roman"/>
          <w:sz w:val="20"/>
        </w:rPr>
        <w:t>536.</w:t>
      </w:r>
    </w:p>
  </w:footnote>
  <w:footnote w:id="99">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Kennedy </w:t>
      </w:r>
      <w:r>
        <w:rPr>
          <w:rFonts w:ascii="Times New Roman" w:hAnsi="Times New Roman"/>
          <w:sz w:val="20"/>
        </w:rPr>
        <w:t>(</w:t>
      </w:r>
      <w:r w:rsidRPr="008C20C8">
        <w:rPr>
          <w:rFonts w:ascii="Times New Roman" w:hAnsi="Times New Roman"/>
          <w:sz w:val="20"/>
        </w:rPr>
        <w:t xml:space="preserve">n </w:t>
      </w:r>
      <w:r>
        <w:rPr>
          <w:rFonts w:ascii="Times New Roman" w:hAnsi="Times New Roman"/>
          <w:sz w:val="20"/>
        </w:rPr>
        <w:fldChar w:fldCharType="begin"/>
      </w:r>
      <w:r>
        <w:rPr>
          <w:rFonts w:ascii="Times New Roman" w:hAnsi="Times New Roman"/>
          <w:sz w:val="20"/>
        </w:rPr>
        <w:instrText xml:space="preserve"> NOTEREF _Ref232393655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17</w:t>
      </w:r>
      <w:r>
        <w:rPr>
          <w:rFonts w:ascii="Times New Roman" w:hAnsi="Times New Roman"/>
          <w:sz w:val="20"/>
        </w:rPr>
        <w:fldChar w:fldCharType="end"/>
      </w:r>
      <w:r>
        <w:rPr>
          <w:rFonts w:ascii="Times New Roman" w:hAnsi="Times New Roman"/>
          <w:sz w:val="20"/>
        </w:rPr>
        <w:t>)</w:t>
      </w:r>
      <w:r w:rsidRPr="008C20C8">
        <w:rPr>
          <w:rFonts w:ascii="Times New Roman" w:hAnsi="Times New Roman"/>
          <w:sz w:val="20"/>
        </w:rPr>
        <w:t>.</w:t>
      </w:r>
    </w:p>
  </w:footnote>
  <w:footnote w:id="100">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Schauer</w:t>
      </w:r>
      <w:r>
        <w:rPr>
          <w:rFonts w:ascii="Times New Roman" w:hAnsi="Times New Roman"/>
          <w:sz w:val="20"/>
        </w:rPr>
        <w:t xml:space="preserve"> (n </w:t>
      </w:r>
      <w:r>
        <w:rPr>
          <w:rFonts w:ascii="Times New Roman" w:hAnsi="Times New Roman"/>
          <w:sz w:val="20"/>
        </w:rPr>
        <w:fldChar w:fldCharType="begin"/>
      </w:r>
      <w:r>
        <w:rPr>
          <w:rFonts w:ascii="Times New Roman" w:hAnsi="Times New Roman"/>
          <w:sz w:val="20"/>
        </w:rPr>
        <w:instrText xml:space="preserve"> NOTEREF _Ref232401941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95</w:t>
      </w:r>
      <w:r>
        <w:rPr>
          <w:rFonts w:ascii="Times New Roman" w:hAnsi="Times New Roman"/>
          <w:sz w:val="20"/>
        </w:rPr>
        <w:fldChar w:fldCharType="end"/>
      </w:r>
      <w:r>
        <w:rPr>
          <w:rFonts w:ascii="Times New Roman" w:hAnsi="Times New Roman"/>
          <w:sz w:val="20"/>
        </w:rPr>
        <w:t>) 539-</w:t>
      </w:r>
      <w:r w:rsidRPr="008C20C8">
        <w:rPr>
          <w:rFonts w:ascii="Times New Roman" w:hAnsi="Times New Roman"/>
          <w:sz w:val="20"/>
        </w:rPr>
        <w:t>43.</w:t>
      </w:r>
    </w:p>
  </w:footnote>
  <w:footnote w:id="101">
    <w:p w:rsidR="00D43B4E" w:rsidRPr="008C20C8" w:rsidRDefault="00D43B4E">
      <w:pPr>
        <w:pStyle w:val="FootnoteText"/>
        <w:rPr>
          <w:rFonts w:ascii="Times New Roman" w:hAnsi="Times New Roman"/>
          <w:sz w:val="20"/>
        </w:rPr>
      </w:pPr>
      <w:r w:rsidRPr="003D40E1">
        <w:rPr>
          <w:rStyle w:val="FootnoteReference"/>
          <w:rFonts w:ascii="Times New Roman" w:hAnsi="Times New Roman"/>
          <w:sz w:val="20"/>
        </w:rPr>
        <w:footnoteRef/>
      </w:r>
      <w:r w:rsidRPr="003D40E1">
        <w:rPr>
          <w:rFonts w:ascii="Times New Roman" w:hAnsi="Times New Roman"/>
          <w:sz w:val="20"/>
        </w:rPr>
        <w:t xml:space="preserve"> </w:t>
      </w:r>
      <w:r>
        <w:rPr>
          <w:rFonts w:ascii="Times New Roman" w:hAnsi="Times New Roman"/>
          <w:sz w:val="20"/>
        </w:rPr>
        <w:t>Levy (n</w:t>
      </w:r>
      <w:r w:rsidRPr="003D40E1">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NOTEREF _Ref232402233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71</w:t>
      </w:r>
      <w:r>
        <w:rPr>
          <w:rFonts w:ascii="Times New Roman" w:hAnsi="Times New Roman"/>
          <w:sz w:val="20"/>
        </w:rPr>
        <w:fldChar w:fldCharType="end"/>
      </w:r>
      <w:r>
        <w:rPr>
          <w:rFonts w:ascii="Times New Roman" w:hAnsi="Times New Roman"/>
          <w:sz w:val="20"/>
        </w:rPr>
        <w:t>).</w:t>
      </w:r>
    </w:p>
  </w:footnote>
  <w:footnote w:id="102">
    <w:p w:rsidR="00D43B4E" w:rsidRPr="008C20C8" w:rsidRDefault="00D43B4E">
      <w:pPr>
        <w:pStyle w:val="FootnoteText"/>
        <w:rPr>
          <w:rFonts w:ascii="Times New Roman" w:hAnsi="Times New Roman"/>
          <w:sz w:val="20"/>
        </w:rPr>
      </w:pPr>
      <w:r w:rsidRPr="003D40E1">
        <w:rPr>
          <w:rStyle w:val="FootnoteReference"/>
          <w:rFonts w:ascii="Times New Roman" w:hAnsi="Times New Roman"/>
          <w:sz w:val="20"/>
        </w:rPr>
        <w:footnoteRef/>
      </w:r>
      <w:r>
        <w:rPr>
          <w:rFonts w:ascii="Times New Roman" w:hAnsi="Times New Roman"/>
          <w:sz w:val="20"/>
        </w:rPr>
        <w:t xml:space="preserve"> Levy (n </w:t>
      </w:r>
      <w:r>
        <w:rPr>
          <w:rFonts w:ascii="Times New Roman" w:hAnsi="Times New Roman"/>
          <w:sz w:val="20"/>
        </w:rPr>
        <w:fldChar w:fldCharType="begin"/>
      </w:r>
      <w:r>
        <w:rPr>
          <w:rFonts w:ascii="Times New Roman" w:hAnsi="Times New Roman"/>
          <w:sz w:val="20"/>
        </w:rPr>
        <w:instrText xml:space="preserve"> NOTEREF _Ref232402233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71</w:t>
      </w:r>
      <w:r>
        <w:rPr>
          <w:rFonts w:ascii="Times New Roman" w:hAnsi="Times New Roman"/>
          <w:sz w:val="20"/>
        </w:rPr>
        <w:fldChar w:fldCharType="end"/>
      </w:r>
      <w:r>
        <w:rPr>
          <w:rFonts w:ascii="Times New Roman" w:hAnsi="Times New Roman"/>
          <w:sz w:val="20"/>
        </w:rPr>
        <w:t xml:space="preserve">) </w:t>
      </w:r>
      <w:r w:rsidRPr="003D40E1">
        <w:rPr>
          <w:rFonts w:ascii="Times New Roman" w:hAnsi="Times New Roman"/>
          <w:sz w:val="20"/>
        </w:rPr>
        <w:t>148.</w:t>
      </w:r>
    </w:p>
  </w:footnote>
  <w:footnote w:id="103">
    <w:p w:rsidR="00D43B4E" w:rsidRPr="008C20C8" w:rsidRDefault="00D43B4E">
      <w:pPr>
        <w:pStyle w:val="FootnoteText"/>
        <w:rPr>
          <w:rFonts w:ascii="Times New Roman" w:hAnsi="Times New Roman"/>
          <w:sz w:val="20"/>
        </w:rPr>
      </w:pPr>
      <w:r w:rsidRPr="003D40E1">
        <w:rPr>
          <w:rStyle w:val="FootnoteReference"/>
          <w:rFonts w:ascii="Times New Roman" w:hAnsi="Times New Roman"/>
          <w:sz w:val="20"/>
        </w:rPr>
        <w:footnoteRef/>
      </w:r>
      <w:r w:rsidRPr="003D40E1">
        <w:rPr>
          <w:rFonts w:ascii="Times New Roman" w:hAnsi="Times New Roman"/>
          <w:sz w:val="20"/>
        </w:rPr>
        <w:t xml:space="preserve"> </w:t>
      </w:r>
      <w:r>
        <w:rPr>
          <w:rFonts w:ascii="Times New Roman" w:hAnsi="Times New Roman"/>
          <w:sz w:val="20"/>
        </w:rPr>
        <w:t xml:space="preserve">Levy (n </w:t>
      </w:r>
      <w:r w:rsidRPr="003D40E1">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NOTEREF _Ref232402233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71</w:t>
      </w:r>
      <w:r>
        <w:rPr>
          <w:rFonts w:ascii="Times New Roman" w:hAnsi="Times New Roman"/>
          <w:sz w:val="20"/>
        </w:rPr>
        <w:fldChar w:fldCharType="end"/>
      </w:r>
      <w:r>
        <w:rPr>
          <w:rFonts w:ascii="Times New Roman" w:hAnsi="Times New Roman"/>
          <w:sz w:val="20"/>
        </w:rPr>
        <w:t xml:space="preserve">) </w:t>
      </w:r>
      <w:r w:rsidRPr="003D40E1">
        <w:rPr>
          <w:rFonts w:ascii="Times New Roman" w:hAnsi="Times New Roman"/>
          <w:sz w:val="20"/>
        </w:rPr>
        <w:t>152.</w:t>
      </w:r>
    </w:p>
  </w:footnote>
  <w:footnote w:id="104">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It would appear to be a case of the rule </w:t>
      </w:r>
      <w:r>
        <w:rPr>
          <w:rFonts w:ascii="Times New Roman" w:hAnsi="Times New Roman"/>
          <w:sz w:val="20"/>
        </w:rPr>
        <w:t>‘</w:t>
      </w:r>
      <w:r w:rsidRPr="008C20C8">
        <w:rPr>
          <w:rFonts w:ascii="Times New Roman" w:hAnsi="Times New Roman"/>
          <w:sz w:val="20"/>
        </w:rPr>
        <w:t>meaning what it says</w:t>
      </w:r>
      <w:r>
        <w:rPr>
          <w:rFonts w:ascii="Times New Roman" w:hAnsi="Times New Roman"/>
          <w:sz w:val="20"/>
        </w:rPr>
        <w:t>’</w:t>
      </w:r>
      <w:r w:rsidRPr="008C20C8">
        <w:rPr>
          <w:rFonts w:ascii="Times New Roman" w:hAnsi="Times New Roman"/>
          <w:sz w:val="20"/>
        </w:rPr>
        <w:t xml:space="preserve"> but not necessarily </w:t>
      </w:r>
      <w:r>
        <w:rPr>
          <w:rFonts w:ascii="Times New Roman" w:hAnsi="Times New Roman"/>
          <w:sz w:val="20"/>
        </w:rPr>
        <w:t>‘</w:t>
      </w:r>
      <w:r w:rsidRPr="008C20C8">
        <w:rPr>
          <w:rFonts w:ascii="Times New Roman" w:hAnsi="Times New Roman"/>
          <w:sz w:val="20"/>
        </w:rPr>
        <w:t>saying what it means</w:t>
      </w:r>
      <w:r>
        <w:rPr>
          <w:rFonts w:ascii="Times New Roman" w:hAnsi="Times New Roman"/>
          <w:sz w:val="20"/>
        </w:rPr>
        <w:t>’</w:t>
      </w:r>
      <w:r w:rsidRPr="008C20C8">
        <w:rPr>
          <w:rFonts w:ascii="Times New Roman" w:hAnsi="Times New Roman"/>
          <w:sz w:val="20"/>
        </w:rPr>
        <w:t>.</w:t>
      </w:r>
      <w:r>
        <w:rPr>
          <w:rFonts w:ascii="Times New Roman" w:hAnsi="Times New Roman"/>
          <w:sz w:val="20"/>
        </w:rPr>
        <w:t xml:space="preserve"> For the proposition that judicial discretion, even when apparently unfettered, is never absolute, A Barak, </w:t>
      </w:r>
      <w:r w:rsidRPr="00B21C81">
        <w:rPr>
          <w:rFonts w:ascii="Times New Roman" w:hAnsi="Times New Roman"/>
          <w:i/>
          <w:sz w:val="20"/>
        </w:rPr>
        <w:t>Judicial Discretion</w:t>
      </w:r>
      <w:r>
        <w:rPr>
          <w:rFonts w:ascii="Times New Roman" w:hAnsi="Times New Roman"/>
          <w:sz w:val="20"/>
        </w:rPr>
        <w:t xml:space="preserve"> (Yale University Press 1989) 19-21, citing in particular Lord Scarman in </w:t>
      </w:r>
      <w:r w:rsidRPr="00B21C81">
        <w:rPr>
          <w:rFonts w:ascii="Times New Roman" w:hAnsi="Times New Roman"/>
          <w:i/>
          <w:sz w:val="20"/>
        </w:rPr>
        <w:t>Duport Steels Ltd v Sirs</w:t>
      </w:r>
      <w:r>
        <w:rPr>
          <w:rFonts w:ascii="Times New Roman" w:hAnsi="Times New Roman"/>
          <w:sz w:val="20"/>
        </w:rPr>
        <w:t xml:space="preserve"> [1980] 1 All ER 529 (HL), 551: ‘Legal systems differ in the width of the discretionary power granted to judges; but in developed societies limits are invariably set, beyond which the judges may not go.’</w:t>
      </w:r>
    </w:p>
  </w:footnote>
  <w:footnote w:id="105">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Pr>
          <w:rFonts w:ascii="Times New Roman" w:eastAsiaTheme="minorHAnsi" w:hAnsi="Times New Roman" w:cs="Verdana"/>
          <w:iCs/>
          <w:sz w:val="20"/>
          <w:szCs w:val="20"/>
          <w:lang w:val="en-US"/>
        </w:rPr>
        <w:t xml:space="preserve"> </w:t>
      </w:r>
      <w:r w:rsidRPr="00B21C81">
        <w:rPr>
          <w:rFonts w:ascii="Times New Roman" w:eastAsiaTheme="minorHAnsi" w:hAnsi="Times New Roman" w:cs="Verdana"/>
          <w:i/>
          <w:iCs/>
          <w:sz w:val="20"/>
          <w:szCs w:val="20"/>
          <w:lang w:val="en-US"/>
        </w:rPr>
        <w:t>Aon Risk Services Australia Ltd v Australian National University</w:t>
      </w:r>
      <w:r w:rsidRPr="008C20C8">
        <w:rPr>
          <w:rFonts w:ascii="Times New Roman" w:eastAsiaTheme="minorHAnsi" w:hAnsi="Times New Roman" w:cs="Verdana"/>
          <w:sz w:val="20"/>
          <w:szCs w:val="20"/>
          <w:lang w:val="en-US"/>
        </w:rPr>
        <w:t xml:space="preserve"> (2009) 239 CLR 175 [89]-[90] </w:t>
      </w:r>
      <w:r w:rsidRPr="003D40E1">
        <w:rPr>
          <w:rFonts w:ascii="Times New Roman" w:eastAsiaTheme="minorHAnsi" w:hAnsi="Times New Roman" w:cs="Verdana"/>
          <w:sz w:val="20"/>
          <w:szCs w:val="20"/>
          <w:lang w:val="en-US"/>
        </w:rPr>
        <w:t>(</w:t>
      </w:r>
      <w:r w:rsidRPr="008C20C8">
        <w:rPr>
          <w:rFonts w:ascii="Times New Roman" w:eastAsiaTheme="minorHAnsi" w:hAnsi="Times New Roman" w:cs="Verdana"/>
          <w:sz w:val="20"/>
          <w:szCs w:val="20"/>
          <w:lang w:val="en-US"/>
        </w:rPr>
        <w:t>Gummow, Hayne, Crennan, Kiefel and Bell JJ</w:t>
      </w:r>
      <w:r>
        <w:rPr>
          <w:rFonts w:ascii="Times New Roman" w:eastAsiaTheme="minorHAnsi" w:hAnsi="Times New Roman" w:cs="Verdana"/>
          <w:sz w:val="20"/>
          <w:szCs w:val="20"/>
          <w:lang w:val="en-US"/>
        </w:rPr>
        <w:t>)</w:t>
      </w:r>
      <w:r w:rsidRPr="008C20C8">
        <w:rPr>
          <w:rFonts w:ascii="Times New Roman" w:eastAsiaTheme="minorHAnsi" w:hAnsi="Times New Roman" w:cs="Verdana"/>
          <w:sz w:val="20"/>
          <w:szCs w:val="20"/>
          <w:lang w:val="en-US"/>
        </w:rPr>
        <w:t xml:space="preserve">, applying </w:t>
      </w:r>
      <w:r w:rsidRPr="00B21C81">
        <w:rPr>
          <w:rFonts w:ascii="Times New Roman" w:eastAsiaTheme="minorHAnsi" w:hAnsi="Times New Roman" w:cs="Verdana"/>
          <w:i/>
          <w:iCs/>
          <w:sz w:val="20"/>
          <w:szCs w:val="20"/>
          <w:lang w:val="en-US"/>
        </w:rPr>
        <w:t xml:space="preserve">Jago v District Court of New South Wales </w:t>
      </w:r>
      <w:r w:rsidRPr="008C20C8">
        <w:rPr>
          <w:rFonts w:ascii="Times New Roman" w:eastAsiaTheme="minorHAnsi" w:hAnsi="Times New Roman" w:cs="Verdana"/>
          <w:sz w:val="20"/>
          <w:szCs w:val="20"/>
          <w:lang w:val="en-US"/>
        </w:rPr>
        <w:t>(1989)</w:t>
      </w:r>
      <w:r>
        <w:rPr>
          <w:rFonts w:ascii="Times New Roman" w:eastAsiaTheme="minorHAnsi" w:hAnsi="Times New Roman" w:cs="Verdana"/>
          <w:sz w:val="20"/>
          <w:szCs w:val="20"/>
          <w:lang w:val="en-US"/>
        </w:rPr>
        <w:t xml:space="preserve"> </w:t>
      </w:r>
      <w:r w:rsidRPr="008C20C8">
        <w:rPr>
          <w:rFonts w:ascii="Times New Roman" w:eastAsiaTheme="minorHAnsi" w:hAnsi="Times New Roman" w:cs="Verdana"/>
          <w:sz w:val="20"/>
          <w:szCs w:val="20"/>
          <w:lang w:val="en-US"/>
        </w:rPr>
        <w:t>168 CLR 23</w:t>
      </w:r>
      <w:r>
        <w:rPr>
          <w:rFonts w:ascii="Times New Roman" w:eastAsiaTheme="minorHAnsi" w:hAnsi="Times New Roman" w:cs="Verdana"/>
          <w:sz w:val="20"/>
          <w:szCs w:val="20"/>
          <w:lang w:val="en-US"/>
        </w:rPr>
        <w:t>,</w:t>
      </w:r>
      <w:r w:rsidRPr="008C20C8">
        <w:rPr>
          <w:rFonts w:ascii="Times New Roman" w:eastAsiaTheme="minorHAnsi" w:hAnsi="Times New Roman" w:cs="Verdana"/>
          <w:sz w:val="20"/>
          <w:szCs w:val="20"/>
          <w:lang w:val="en-US"/>
        </w:rPr>
        <w:t xml:space="preserve"> 75-77.</w:t>
      </w:r>
    </w:p>
  </w:footnote>
  <w:footnote w:id="106">
    <w:p w:rsidR="00D43B4E" w:rsidRPr="008C20C8" w:rsidRDefault="00D43B4E" w:rsidP="00827DD4">
      <w:pPr>
        <w:jc w:val="both"/>
        <w:rPr>
          <w:rFonts w:ascii="Times New Roman" w:eastAsiaTheme="minorHAnsi" w:hAnsi="Times New Roman"/>
          <w:b/>
          <w:sz w:val="20"/>
          <w:lang w:val="en-US"/>
        </w:rPr>
      </w:pPr>
      <w:r w:rsidRPr="008C20C8">
        <w:rPr>
          <w:rStyle w:val="FootnoteReference"/>
          <w:rFonts w:ascii="Times New Roman" w:hAnsi="Times New Roman"/>
          <w:sz w:val="20"/>
        </w:rPr>
        <w:footnoteRef/>
      </w:r>
      <w:r w:rsidRPr="008C20C8">
        <w:rPr>
          <w:rFonts w:ascii="Times New Roman" w:hAnsi="Times New Roman"/>
          <w:sz w:val="20"/>
        </w:rPr>
        <w:t xml:space="preserve"> </w:t>
      </w:r>
      <w:r w:rsidRPr="008C20C8">
        <w:rPr>
          <w:rFonts w:ascii="Times New Roman" w:eastAsiaTheme="minorHAnsi" w:hAnsi="Times New Roman" w:cs="Verdana"/>
          <w:sz w:val="20"/>
          <w:szCs w:val="26"/>
          <w:lang w:val="en-US"/>
        </w:rPr>
        <w:t xml:space="preserve">B </w:t>
      </w:r>
      <w:r w:rsidRPr="008C20C8">
        <w:rPr>
          <w:rFonts w:ascii="Times New Roman" w:eastAsiaTheme="minorHAnsi" w:hAnsi="Times New Roman" w:cs="Verdana"/>
          <w:bCs/>
          <w:sz w:val="20"/>
          <w:szCs w:val="26"/>
          <w:lang w:val="en-US"/>
        </w:rPr>
        <w:t>Cairns,</w:t>
      </w:r>
      <w:r w:rsidRPr="008C20C8">
        <w:rPr>
          <w:rFonts w:ascii="Times New Roman" w:eastAsiaTheme="minorHAnsi" w:hAnsi="Times New Roman"/>
          <w:sz w:val="20"/>
          <w:lang w:val="en-US"/>
        </w:rPr>
        <w:t xml:space="preserve"> </w:t>
      </w:r>
      <w:r>
        <w:rPr>
          <w:rFonts w:ascii="Times New Roman" w:eastAsiaTheme="minorHAnsi" w:hAnsi="Times New Roman"/>
          <w:sz w:val="20"/>
          <w:lang w:val="en-US"/>
        </w:rPr>
        <w:t>‘</w:t>
      </w:r>
      <w:r w:rsidRPr="003D40E1">
        <w:rPr>
          <w:rFonts w:ascii="Times New Roman" w:eastAsiaTheme="minorHAnsi" w:hAnsi="Times New Roman" w:cs="Trebuchet MS"/>
          <w:bCs/>
          <w:sz w:val="20"/>
          <w:szCs w:val="30"/>
          <w:lang w:val="en-US"/>
        </w:rPr>
        <w:t>Discretionary litigation processes and rules of court</w:t>
      </w:r>
      <w:r>
        <w:rPr>
          <w:rFonts w:ascii="Times New Roman" w:eastAsiaTheme="minorHAnsi" w:hAnsi="Times New Roman" w:cs="Trebuchet MS"/>
          <w:bCs/>
          <w:sz w:val="20"/>
          <w:szCs w:val="30"/>
          <w:lang w:val="en-US"/>
        </w:rPr>
        <w:t>’</w:t>
      </w:r>
      <w:r w:rsidRPr="008C20C8">
        <w:rPr>
          <w:rFonts w:ascii="Times New Roman" w:eastAsiaTheme="minorHAnsi" w:hAnsi="Times New Roman" w:cs="Trebuchet MS"/>
          <w:bCs/>
          <w:sz w:val="20"/>
          <w:szCs w:val="30"/>
          <w:lang w:val="en-US"/>
        </w:rPr>
        <w:t xml:space="preserve"> (</w:t>
      </w:r>
      <w:r w:rsidRPr="008C20C8">
        <w:rPr>
          <w:rFonts w:ascii="Times New Roman" w:eastAsiaTheme="minorHAnsi" w:hAnsi="Times New Roman" w:cs="Verdana"/>
          <w:sz w:val="20"/>
          <w:szCs w:val="20"/>
          <w:lang w:val="en-US"/>
        </w:rPr>
        <w:t>2011)</w:t>
      </w:r>
      <w:r>
        <w:rPr>
          <w:rFonts w:ascii="Times New Roman" w:eastAsiaTheme="minorHAnsi" w:hAnsi="Times New Roman" w:cs="Verdana"/>
          <w:sz w:val="20"/>
          <w:szCs w:val="20"/>
          <w:lang w:val="en-US"/>
        </w:rPr>
        <w:t xml:space="preserve"> </w:t>
      </w:r>
      <w:r w:rsidRPr="008C20C8">
        <w:rPr>
          <w:rFonts w:ascii="Times New Roman" w:eastAsiaTheme="minorHAnsi" w:hAnsi="Times New Roman" w:cs="Trebuchet MS"/>
          <w:bCs/>
          <w:sz w:val="20"/>
          <w:szCs w:val="30"/>
          <w:lang w:val="en-US"/>
        </w:rPr>
        <w:t>30 CJQ 444, 448.</w:t>
      </w:r>
    </w:p>
  </w:footnote>
  <w:footnote w:id="107">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 xml:space="preserve">A </w:t>
      </w:r>
      <w:r w:rsidRPr="008C20C8">
        <w:rPr>
          <w:rFonts w:ascii="Times New Roman" w:hAnsi="Times New Roman"/>
          <w:sz w:val="20"/>
        </w:rPr>
        <w:t xml:space="preserve">Zuckerman, </w:t>
      </w:r>
      <w:r>
        <w:rPr>
          <w:rFonts w:ascii="Times New Roman" w:hAnsi="Times New Roman"/>
          <w:sz w:val="20"/>
        </w:rPr>
        <w:t>’How seriously should unless orders be taken?’ (2008) 27 CJQ 1</w:t>
      </w:r>
      <w:r w:rsidRPr="008C20C8">
        <w:rPr>
          <w:rFonts w:ascii="Times New Roman" w:hAnsi="Times New Roman"/>
          <w:sz w:val="20"/>
        </w:rPr>
        <w:t>.</w:t>
      </w:r>
    </w:p>
  </w:footnote>
  <w:footnote w:id="108">
    <w:p w:rsidR="00D43B4E" w:rsidRPr="008C20C8" w:rsidRDefault="00D43B4E" w:rsidP="00572DA9">
      <w:pPr>
        <w:widowControl w:val="0"/>
        <w:autoSpaceDE w:val="0"/>
        <w:autoSpaceDN w:val="0"/>
        <w:adjustRightInd w:val="0"/>
        <w:rPr>
          <w:rFonts w:ascii="Times New Roman" w:eastAsiaTheme="minorHAnsi" w:hAnsi="Times New Roman" w:cs="Helvetica"/>
          <w:sz w:val="20"/>
          <w:lang w:val="en-US"/>
        </w:rPr>
      </w:pPr>
      <w:r w:rsidRPr="008C20C8">
        <w:rPr>
          <w:rStyle w:val="FootnoteReference"/>
          <w:rFonts w:ascii="Times New Roman" w:hAnsi="Times New Roman"/>
          <w:sz w:val="20"/>
        </w:rPr>
        <w:footnoteRef/>
      </w:r>
      <w:r w:rsidRPr="008C20C8">
        <w:rPr>
          <w:rFonts w:ascii="Times New Roman" w:hAnsi="Times New Roman"/>
          <w:sz w:val="20"/>
        </w:rPr>
        <w:t xml:space="preserve"> See for all, T Williams, </w:t>
      </w:r>
      <w:r>
        <w:rPr>
          <w:rFonts w:ascii="Times New Roman" w:hAnsi="Times New Roman"/>
          <w:sz w:val="20"/>
        </w:rPr>
        <w:t>‘</w:t>
      </w:r>
      <w:r w:rsidRPr="003D40E1">
        <w:rPr>
          <w:rFonts w:ascii="Times New Roman" w:hAnsi="Times New Roman"/>
          <w:sz w:val="20"/>
        </w:rPr>
        <w:t>The Source of Authority for Rules of Court Affecting Procedure</w:t>
      </w:r>
      <w:r>
        <w:rPr>
          <w:rFonts w:ascii="Times New Roman" w:hAnsi="Times New Roman"/>
          <w:sz w:val="20"/>
        </w:rPr>
        <w:t xml:space="preserve">’ </w:t>
      </w:r>
      <w:r w:rsidRPr="008C20C8">
        <w:rPr>
          <w:rFonts w:ascii="Times New Roman" w:hAnsi="Times New Roman"/>
          <w:sz w:val="20"/>
        </w:rPr>
        <w:t>(1937)</w:t>
      </w:r>
      <w:r>
        <w:rPr>
          <w:rFonts w:ascii="Times New Roman" w:hAnsi="Times New Roman"/>
          <w:sz w:val="20"/>
        </w:rPr>
        <w:t xml:space="preserve"> </w:t>
      </w:r>
      <w:r w:rsidRPr="008C20C8">
        <w:rPr>
          <w:rFonts w:ascii="Times New Roman" w:hAnsi="Times New Roman"/>
          <w:sz w:val="20"/>
        </w:rPr>
        <w:t xml:space="preserve">22 </w:t>
      </w:r>
      <w:r w:rsidRPr="003D40E1">
        <w:rPr>
          <w:rFonts w:ascii="Times New Roman" w:hAnsi="Times New Roman"/>
          <w:sz w:val="20"/>
        </w:rPr>
        <w:t>Wash ULQ</w:t>
      </w:r>
      <w:r w:rsidRPr="008C20C8">
        <w:rPr>
          <w:rFonts w:ascii="Times New Roman" w:hAnsi="Times New Roman"/>
          <w:sz w:val="20"/>
        </w:rPr>
        <w:t xml:space="preserve"> 459; </w:t>
      </w:r>
      <w:r w:rsidRPr="008C20C8">
        <w:rPr>
          <w:rFonts w:ascii="Times New Roman" w:eastAsiaTheme="minorHAnsi" w:hAnsi="Times New Roman" w:cs="Helvetica"/>
          <w:sz w:val="20"/>
          <w:lang w:val="en-US"/>
        </w:rPr>
        <w:t>Burbank</w:t>
      </w:r>
      <w:r>
        <w:rPr>
          <w:rFonts w:ascii="Times New Roman" w:eastAsiaTheme="minorHAnsi" w:hAnsi="Times New Roman" w:cs="Helvetica"/>
          <w:sz w:val="20"/>
          <w:lang w:val="en-US"/>
        </w:rPr>
        <w:t xml:space="preserve"> ‘The Rules Enabling Act’ (</w:t>
      </w:r>
      <w:r w:rsidRPr="008C20C8">
        <w:rPr>
          <w:rFonts w:ascii="Times New Roman" w:eastAsiaTheme="minorHAnsi" w:hAnsi="Times New Roman" w:cs="Helvetica"/>
          <w:sz w:val="20"/>
          <w:lang w:val="en-US"/>
        </w:rPr>
        <w:t xml:space="preserve">n </w:t>
      </w:r>
      <w:r>
        <w:rPr>
          <w:rFonts w:ascii="Times New Roman" w:eastAsiaTheme="minorHAnsi" w:hAnsi="Times New Roman" w:cs="Helvetica"/>
          <w:sz w:val="20"/>
          <w:lang w:val="en-US"/>
        </w:rPr>
        <w:fldChar w:fldCharType="begin"/>
      </w:r>
      <w:r>
        <w:rPr>
          <w:rFonts w:ascii="Times New Roman" w:eastAsiaTheme="minorHAnsi" w:hAnsi="Times New Roman" w:cs="Helvetica"/>
          <w:sz w:val="20"/>
          <w:lang w:val="en-US"/>
        </w:rPr>
        <w:instrText xml:space="preserve"> NOTEREF _Ref232407538 \h </w:instrText>
      </w:r>
      <w:r w:rsidRPr="00844364">
        <w:rPr>
          <w:rFonts w:ascii="Times New Roman" w:eastAsiaTheme="minorHAnsi" w:hAnsi="Times New Roman" w:cs="Helvetica"/>
          <w:sz w:val="20"/>
          <w:lang w:val="en-US"/>
        </w:rPr>
      </w:r>
      <w:r>
        <w:rPr>
          <w:rFonts w:ascii="Times New Roman" w:eastAsiaTheme="minorHAnsi" w:hAnsi="Times New Roman" w:cs="Helvetica"/>
          <w:sz w:val="20"/>
          <w:lang w:val="en-US"/>
        </w:rPr>
        <w:fldChar w:fldCharType="separate"/>
      </w:r>
      <w:r w:rsidR="00007B05">
        <w:rPr>
          <w:rFonts w:ascii="Times New Roman" w:eastAsiaTheme="minorHAnsi" w:hAnsi="Times New Roman" w:cs="Helvetica"/>
          <w:sz w:val="20"/>
          <w:lang w:val="en-US"/>
        </w:rPr>
        <w:t>75</w:t>
      </w:r>
      <w:r>
        <w:rPr>
          <w:rFonts w:ascii="Times New Roman" w:eastAsiaTheme="minorHAnsi" w:hAnsi="Times New Roman" w:cs="Helvetica"/>
          <w:sz w:val="20"/>
          <w:lang w:val="en-US"/>
        </w:rPr>
        <w:fldChar w:fldCharType="end"/>
      </w:r>
      <w:r>
        <w:rPr>
          <w:rFonts w:ascii="Times New Roman" w:eastAsiaTheme="minorHAnsi" w:hAnsi="Times New Roman" w:cs="Helvetica"/>
          <w:sz w:val="20"/>
          <w:lang w:val="en-US"/>
        </w:rPr>
        <w:t>)</w:t>
      </w:r>
      <w:r w:rsidRPr="008C20C8">
        <w:rPr>
          <w:rFonts w:ascii="Times New Roman" w:eastAsiaTheme="minorHAnsi" w:hAnsi="Times New Roman" w:cs="Helvetica"/>
          <w:sz w:val="20"/>
          <w:lang w:val="en-US"/>
        </w:rPr>
        <w:t>;</w:t>
      </w:r>
      <w:r>
        <w:rPr>
          <w:rFonts w:ascii="Times New Roman" w:eastAsiaTheme="minorHAnsi" w:hAnsi="Times New Roman" w:cs="Helvetica"/>
          <w:sz w:val="20"/>
          <w:lang w:val="en-US"/>
        </w:rPr>
        <w:t xml:space="preserve"> </w:t>
      </w:r>
      <w:r w:rsidRPr="008C20C8">
        <w:rPr>
          <w:rFonts w:ascii="Times New Roman" w:eastAsiaTheme="minorHAnsi" w:hAnsi="Times New Roman" w:cs="Helvetica"/>
          <w:sz w:val="20"/>
          <w:lang w:val="en-US"/>
        </w:rPr>
        <w:t>Pushaw,</w:t>
      </w:r>
      <w:r>
        <w:rPr>
          <w:rFonts w:ascii="Times New Roman" w:eastAsiaTheme="minorHAnsi" w:hAnsi="Times New Roman" w:cs="Helvetica"/>
          <w:sz w:val="20"/>
          <w:lang w:val="en-US"/>
        </w:rPr>
        <w:t xml:space="preserve"> (n </w:t>
      </w:r>
      <w:r>
        <w:rPr>
          <w:rFonts w:ascii="Times New Roman" w:eastAsiaTheme="minorHAnsi" w:hAnsi="Times New Roman" w:cs="Helvetica"/>
          <w:sz w:val="20"/>
          <w:lang w:val="en-US"/>
        </w:rPr>
        <w:fldChar w:fldCharType="begin"/>
      </w:r>
      <w:r>
        <w:rPr>
          <w:rFonts w:ascii="Times New Roman" w:eastAsiaTheme="minorHAnsi" w:hAnsi="Times New Roman" w:cs="Helvetica"/>
          <w:sz w:val="20"/>
          <w:lang w:val="en-US"/>
        </w:rPr>
        <w:instrText xml:space="preserve"> NOTEREF _Ref232407609 \h </w:instrText>
      </w:r>
      <w:r w:rsidRPr="00844364">
        <w:rPr>
          <w:rFonts w:ascii="Times New Roman" w:eastAsiaTheme="minorHAnsi" w:hAnsi="Times New Roman" w:cs="Helvetica"/>
          <w:sz w:val="20"/>
          <w:lang w:val="en-US"/>
        </w:rPr>
      </w:r>
      <w:r>
        <w:rPr>
          <w:rFonts w:ascii="Times New Roman" w:eastAsiaTheme="minorHAnsi" w:hAnsi="Times New Roman" w:cs="Helvetica"/>
          <w:sz w:val="20"/>
          <w:lang w:val="en-US"/>
        </w:rPr>
        <w:fldChar w:fldCharType="separate"/>
      </w:r>
      <w:r w:rsidR="00007B05">
        <w:rPr>
          <w:rFonts w:ascii="Times New Roman" w:eastAsiaTheme="minorHAnsi" w:hAnsi="Times New Roman" w:cs="Helvetica"/>
          <w:sz w:val="20"/>
          <w:lang w:val="en-US"/>
        </w:rPr>
        <w:t>32</w:t>
      </w:r>
      <w:r>
        <w:rPr>
          <w:rFonts w:ascii="Times New Roman" w:eastAsiaTheme="minorHAnsi" w:hAnsi="Times New Roman" w:cs="Helvetica"/>
          <w:sz w:val="20"/>
          <w:lang w:val="en-US"/>
        </w:rPr>
        <w:fldChar w:fldCharType="end"/>
      </w:r>
      <w:r>
        <w:rPr>
          <w:rFonts w:ascii="Times New Roman" w:eastAsiaTheme="minorHAnsi" w:hAnsi="Times New Roman" w:cs="Helvetica"/>
          <w:sz w:val="20"/>
          <w:lang w:val="en-US"/>
        </w:rPr>
        <w:t>)</w:t>
      </w:r>
      <w:r w:rsidRPr="008C20C8">
        <w:rPr>
          <w:rFonts w:ascii="Times New Roman" w:eastAsiaTheme="minorHAnsi" w:hAnsi="Times New Roman" w:cs="Helvetica"/>
          <w:sz w:val="20"/>
          <w:lang w:val="en-US"/>
        </w:rPr>
        <w:t xml:space="preserve">; </w:t>
      </w:r>
      <w:r>
        <w:rPr>
          <w:rFonts w:ascii="Times New Roman" w:eastAsiaTheme="minorHAnsi" w:hAnsi="Times New Roman" w:cs="Helvetica"/>
          <w:sz w:val="20"/>
          <w:lang w:val="en-US"/>
        </w:rPr>
        <w:t>P</w:t>
      </w:r>
      <w:r w:rsidRPr="008C20C8">
        <w:rPr>
          <w:rFonts w:ascii="Times New Roman" w:eastAsiaTheme="minorHAnsi" w:hAnsi="Times New Roman" w:cs="Helvetica"/>
          <w:sz w:val="20"/>
          <w:lang w:val="en-US"/>
        </w:rPr>
        <w:t xml:space="preserve">D Carrington, </w:t>
      </w:r>
      <w:r>
        <w:rPr>
          <w:rFonts w:ascii="Times New Roman" w:eastAsiaTheme="minorHAnsi" w:hAnsi="Times New Roman" w:cs="Helvetica"/>
          <w:sz w:val="20"/>
          <w:lang w:val="en-US"/>
        </w:rPr>
        <w:t>‘</w:t>
      </w:r>
      <w:r w:rsidRPr="003D40E1">
        <w:rPr>
          <w:rFonts w:ascii="Times New Roman" w:eastAsiaTheme="minorHAnsi" w:hAnsi="Times New Roman" w:cs="Helvetica"/>
          <w:sz w:val="20"/>
          <w:lang w:val="en-US"/>
        </w:rPr>
        <w:t>Substance and Procedure in the Rules Enabling Act</w:t>
      </w:r>
      <w:r>
        <w:rPr>
          <w:rFonts w:ascii="Times New Roman" w:eastAsiaTheme="minorHAnsi" w:hAnsi="Times New Roman" w:cs="Helvetica"/>
          <w:sz w:val="20"/>
          <w:lang w:val="en-US"/>
        </w:rPr>
        <w:t>’</w:t>
      </w:r>
      <w:r w:rsidRPr="00DE7CAF">
        <w:rPr>
          <w:rFonts w:ascii="Times New Roman" w:eastAsiaTheme="minorHAnsi" w:hAnsi="Times New Roman" w:cs="Helvetica"/>
          <w:sz w:val="20"/>
          <w:lang w:val="en-US"/>
        </w:rPr>
        <w:t xml:space="preserve"> </w:t>
      </w:r>
      <w:r w:rsidRPr="008C20C8">
        <w:rPr>
          <w:rFonts w:ascii="Times New Roman" w:eastAsiaTheme="minorHAnsi" w:hAnsi="Times New Roman" w:cs="Helvetica"/>
          <w:sz w:val="20"/>
          <w:lang w:val="en-US"/>
        </w:rPr>
        <w:t xml:space="preserve">1989 </w:t>
      </w:r>
      <w:r w:rsidRPr="003D40E1">
        <w:rPr>
          <w:rFonts w:ascii="Times New Roman" w:eastAsiaTheme="minorHAnsi" w:hAnsi="Times New Roman" w:cs="Helvetica"/>
          <w:sz w:val="20"/>
          <w:lang w:val="en-US"/>
        </w:rPr>
        <w:t>Duke LJ</w:t>
      </w:r>
      <w:r w:rsidRPr="008C20C8">
        <w:rPr>
          <w:rFonts w:ascii="Times New Roman" w:eastAsiaTheme="minorHAnsi" w:hAnsi="Times New Roman" w:cs="Helvetica"/>
          <w:sz w:val="20"/>
          <w:lang w:val="en-US"/>
        </w:rPr>
        <w:t xml:space="preserve"> 281.</w:t>
      </w:r>
    </w:p>
  </w:footnote>
  <w:footnote w:id="109">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Burbank</w:t>
      </w:r>
      <w:r>
        <w:rPr>
          <w:rFonts w:ascii="Times New Roman" w:hAnsi="Times New Roman"/>
          <w:i/>
          <w:sz w:val="20"/>
        </w:rPr>
        <w:t xml:space="preserve"> </w:t>
      </w:r>
      <w:r>
        <w:rPr>
          <w:rFonts w:ascii="Times New Roman" w:hAnsi="Times New Roman"/>
          <w:sz w:val="20"/>
        </w:rPr>
        <w:t>‘The Rules Enabling Act’ (</w:t>
      </w:r>
      <w:r w:rsidRPr="008C20C8">
        <w:rPr>
          <w:rFonts w:ascii="Times New Roman" w:hAnsi="Times New Roman"/>
          <w:sz w:val="20"/>
        </w:rPr>
        <w:t xml:space="preserve">n </w:t>
      </w:r>
      <w:r>
        <w:rPr>
          <w:rFonts w:ascii="Times New Roman" w:hAnsi="Times New Roman"/>
          <w:sz w:val="20"/>
        </w:rPr>
        <w:fldChar w:fldCharType="begin"/>
      </w:r>
      <w:r>
        <w:rPr>
          <w:rFonts w:ascii="Times New Roman" w:hAnsi="Times New Roman"/>
          <w:sz w:val="20"/>
        </w:rPr>
        <w:instrText xml:space="preserve"> NOTEREF _Ref232407538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75</w:t>
      </w:r>
      <w:r>
        <w:rPr>
          <w:rFonts w:ascii="Times New Roman" w:hAnsi="Times New Roman"/>
          <w:sz w:val="20"/>
        </w:rPr>
        <w:fldChar w:fldCharType="end"/>
      </w:r>
      <w:r>
        <w:rPr>
          <w:rFonts w:ascii="Times New Roman" w:hAnsi="Times New Roman"/>
          <w:sz w:val="20"/>
        </w:rPr>
        <w:t>)</w:t>
      </w:r>
      <w:r w:rsidRPr="008C20C8">
        <w:rPr>
          <w:rFonts w:ascii="Times New Roman" w:hAnsi="Times New Roman"/>
          <w:sz w:val="20"/>
        </w:rPr>
        <w:t xml:space="preserve"> 1116.</w:t>
      </w:r>
    </w:p>
  </w:footnote>
  <w:footnote w:id="110">
    <w:p w:rsidR="00D43B4E" w:rsidRPr="008C20C8" w:rsidRDefault="00D43B4E" w:rsidP="00827DD4">
      <w:pPr>
        <w:pStyle w:val="FootnoteText"/>
        <w:rPr>
          <w:rFonts w:ascii="Times New Roman" w:hAnsi="Times New Roman"/>
          <w:sz w:val="20"/>
        </w:rPr>
      </w:pPr>
      <w:r>
        <w:rPr>
          <w:rStyle w:val="FootnoteReference"/>
          <w:rFonts w:ascii="Times New Roman" w:hAnsi="Times New Roman"/>
          <w:sz w:val="20"/>
        </w:rPr>
        <w:footnoteRef/>
      </w:r>
      <w:r w:rsidRPr="003D40E1">
        <w:rPr>
          <w:rFonts w:ascii="Times New Roman" w:hAnsi="Times New Roman"/>
          <w:sz w:val="20"/>
        </w:rPr>
        <w:t xml:space="preserve"> Pushaw</w:t>
      </w:r>
      <w:r w:rsidRPr="008C20C8">
        <w:rPr>
          <w:rFonts w:ascii="Times New Roman" w:hAnsi="Times New Roman"/>
          <w:i/>
          <w:sz w:val="20"/>
        </w:rPr>
        <w:t xml:space="preserve"> </w:t>
      </w:r>
      <w:r>
        <w:rPr>
          <w:rFonts w:ascii="Times New Roman" w:hAnsi="Times New Roman"/>
          <w:sz w:val="20"/>
        </w:rPr>
        <w:t>(</w:t>
      </w:r>
      <w:r w:rsidRPr="008C20C8">
        <w:rPr>
          <w:rFonts w:ascii="Times New Roman" w:hAnsi="Times New Roman"/>
          <w:sz w:val="20"/>
        </w:rPr>
        <w:t xml:space="preserve">n </w:t>
      </w:r>
      <w:r>
        <w:rPr>
          <w:rFonts w:ascii="Times New Roman" w:hAnsi="Times New Roman"/>
          <w:sz w:val="20"/>
        </w:rPr>
        <w:fldChar w:fldCharType="begin"/>
      </w:r>
      <w:r>
        <w:rPr>
          <w:rFonts w:ascii="Times New Roman" w:hAnsi="Times New Roman"/>
          <w:sz w:val="20"/>
        </w:rPr>
        <w:instrText xml:space="preserve"> NOTEREF _Ref232407609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32</w:t>
      </w:r>
      <w:r>
        <w:rPr>
          <w:rFonts w:ascii="Times New Roman" w:hAnsi="Times New Roman"/>
          <w:sz w:val="20"/>
        </w:rPr>
        <w:fldChar w:fldCharType="end"/>
      </w:r>
      <w:r>
        <w:rPr>
          <w:rFonts w:ascii="Times New Roman" w:hAnsi="Times New Roman"/>
          <w:sz w:val="20"/>
        </w:rPr>
        <w:t>)</w:t>
      </w:r>
      <w:r w:rsidRPr="008C20C8">
        <w:rPr>
          <w:rFonts w:ascii="Times New Roman" w:hAnsi="Times New Roman"/>
          <w:sz w:val="20"/>
        </w:rPr>
        <w:t xml:space="preserve"> 847.</w:t>
      </w:r>
    </w:p>
  </w:footnote>
  <w:footnote w:id="111">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Burbank</w:t>
      </w:r>
      <w:r>
        <w:rPr>
          <w:rFonts w:ascii="Times New Roman" w:hAnsi="Times New Roman"/>
          <w:sz w:val="20"/>
        </w:rPr>
        <w:t xml:space="preserve"> ‘The Rules Enabling Act’</w:t>
      </w:r>
      <w:r w:rsidRPr="008C20C8">
        <w:rPr>
          <w:rFonts w:ascii="Times New Roman" w:hAnsi="Times New Roman"/>
          <w:sz w:val="20"/>
        </w:rPr>
        <w:t xml:space="preserve"> </w:t>
      </w:r>
      <w:r>
        <w:rPr>
          <w:rFonts w:ascii="Times New Roman" w:hAnsi="Times New Roman"/>
          <w:sz w:val="20"/>
        </w:rPr>
        <w:t>(</w:t>
      </w:r>
      <w:r w:rsidRPr="008C20C8">
        <w:rPr>
          <w:rFonts w:ascii="Times New Roman" w:hAnsi="Times New Roman"/>
          <w:sz w:val="20"/>
        </w:rPr>
        <w:t>n</w:t>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NOTEREF _Ref232407538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75</w:t>
      </w:r>
      <w:r>
        <w:rPr>
          <w:rFonts w:ascii="Times New Roman" w:hAnsi="Times New Roman"/>
          <w:sz w:val="20"/>
        </w:rPr>
        <w:fldChar w:fldCharType="end"/>
      </w:r>
      <w:r>
        <w:rPr>
          <w:rFonts w:ascii="Times New Roman" w:hAnsi="Times New Roman"/>
          <w:sz w:val="20"/>
        </w:rPr>
        <w:t>)</w:t>
      </w:r>
      <w:r w:rsidRPr="008C20C8">
        <w:rPr>
          <w:rFonts w:ascii="Times New Roman" w:hAnsi="Times New Roman"/>
          <w:sz w:val="20"/>
        </w:rPr>
        <w:t xml:space="preserve"> 1686 citing </w:t>
      </w:r>
      <w:r w:rsidRPr="00B21C81">
        <w:rPr>
          <w:rFonts w:ascii="Times New Roman" w:hAnsi="Times New Roman"/>
          <w:i/>
          <w:sz w:val="20"/>
        </w:rPr>
        <w:t xml:space="preserve">US v Hudson &amp; Goodwin </w:t>
      </w:r>
      <w:r w:rsidRPr="008C20C8">
        <w:rPr>
          <w:rFonts w:ascii="Times New Roman" w:hAnsi="Times New Roman"/>
          <w:sz w:val="20"/>
        </w:rPr>
        <w:t>11 US (7 Cranch) 32, 34</w:t>
      </w:r>
      <w:r>
        <w:rPr>
          <w:rFonts w:ascii="Times New Roman" w:hAnsi="Times New Roman"/>
          <w:sz w:val="20"/>
        </w:rPr>
        <w:t xml:space="preserve"> (1812)</w:t>
      </w:r>
      <w:r w:rsidRPr="008C20C8">
        <w:rPr>
          <w:rFonts w:ascii="Times New Roman" w:hAnsi="Times New Roman"/>
          <w:sz w:val="20"/>
        </w:rPr>
        <w:t xml:space="preserve"> for the first definition and </w:t>
      </w:r>
      <w:r w:rsidRPr="004E292A">
        <w:rPr>
          <w:rFonts w:ascii="Times New Roman" w:hAnsi="Times New Roman"/>
          <w:i/>
          <w:sz w:val="20"/>
        </w:rPr>
        <w:t>Ex parte Peterson</w:t>
      </w:r>
      <w:r w:rsidRPr="008C20C8">
        <w:rPr>
          <w:rFonts w:ascii="Times New Roman" w:hAnsi="Times New Roman"/>
          <w:sz w:val="20"/>
        </w:rPr>
        <w:t xml:space="preserve"> 253 US 300, 312 (1920), and </w:t>
      </w:r>
      <w:r w:rsidRPr="004E292A">
        <w:rPr>
          <w:rFonts w:ascii="Times New Roman" w:hAnsi="Times New Roman"/>
          <w:i/>
          <w:sz w:val="20"/>
        </w:rPr>
        <w:t xml:space="preserve">Link v Wabash </w:t>
      </w:r>
      <w:r>
        <w:rPr>
          <w:rFonts w:ascii="Times New Roman" w:hAnsi="Times New Roman"/>
          <w:sz w:val="20"/>
        </w:rPr>
        <w:t xml:space="preserve">(n 30) </w:t>
      </w:r>
      <w:r w:rsidRPr="008C20C8">
        <w:rPr>
          <w:rFonts w:ascii="Times New Roman" w:hAnsi="Times New Roman"/>
          <w:sz w:val="20"/>
        </w:rPr>
        <w:t xml:space="preserve">for the second. </w:t>
      </w:r>
    </w:p>
  </w:footnote>
  <w:footnote w:id="112">
    <w:p w:rsidR="00D43B4E" w:rsidRPr="008C20C8" w:rsidRDefault="00D43B4E" w:rsidP="00922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 xml:space="preserve">Text at n </w:t>
      </w:r>
      <w:r>
        <w:rPr>
          <w:rFonts w:ascii="Times New Roman" w:hAnsi="Times New Roman"/>
          <w:sz w:val="20"/>
        </w:rPr>
        <w:fldChar w:fldCharType="begin"/>
      </w:r>
      <w:r>
        <w:rPr>
          <w:rFonts w:ascii="Times New Roman" w:hAnsi="Times New Roman"/>
          <w:sz w:val="20"/>
        </w:rPr>
        <w:instrText xml:space="preserve"> NOTEREF _Ref232407609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32</w:t>
      </w:r>
      <w:r>
        <w:rPr>
          <w:rFonts w:ascii="Times New Roman" w:hAnsi="Times New Roman"/>
          <w:sz w:val="20"/>
        </w:rPr>
        <w:fldChar w:fldCharType="end"/>
      </w:r>
      <w:r>
        <w:rPr>
          <w:rFonts w:ascii="Times New Roman" w:hAnsi="Times New Roman"/>
          <w:sz w:val="20"/>
        </w:rPr>
        <w:t>.</w:t>
      </w:r>
    </w:p>
  </w:footnote>
  <w:footnote w:id="113">
    <w:p w:rsidR="00D43B4E" w:rsidRPr="008C20C8" w:rsidRDefault="00D43B4E" w:rsidP="00922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Pr>
          <w:rStyle w:val="FootnoteReference"/>
          <w:rFonts w:ascii="Times New Roman" w:hAnsi="Times New Roman"/>
          <w:sz w:val="20"/>
        </w:rPr>
        <w:footnoteRef/>
      </w:r>
      <w:r w:rsidRPr="003D40E1">
        <w:rPr>
          <w:rFonts w:ascii="Times New Roman" w:hAnsi="Times New Roman"/>
          <w:sz w:val="20"/>
        </w:rPr>
        <w:t xml:space="preserve"> Jacob</w:t>
      </w:r>
      <w:r>
        <w:rPr>
          <w:rFonts w:ascii="Times New Roman" w:hAnsi="Times New Roman"/>
          <w:sz w:val="20"/>
        </w:rPr>
        <w:t>,</w:t>
      </w:r>
      <w:r>
        <w:rPr>
          <w:rFonts w:ascii="Times New Roman" w:hAnsi="Times New Roman"/>
          <w:i/>
          <w:sz w:val="20"/>
        </w:rPr>
        <w:t xml:space="preserve"> Fabric </w:t>
      </w:r>
      <w:r>
        <w:rPr>
          <w:rFonts w:ascii="Times New Roman" w:hAnsi="Times New Roman"/>
          <w:sz w:val="20"/>
        </w:rPr>
        <w:t>(</w:t>
      </w:r>
      <w:r w:rsidRPr="008C20C8">
        <w:rPr>
          <w:rFonts w:ascii="Times New Roman" w:hAnsi="Times New Roman"/>
          <w:sz w:val="20"/>
        </w:rPr>
        <w:t>n</w:t>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NOTEREF _Ref232408124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66</w:t>
      </w:r>
      <w:r>
        <w:rPr>
          <w:rFonts w:ascii="Times New Roman" w:hAnsi="Times New Roman"/>
          <w:sz w:val="20"/>
        </w:rPr>
        <w:fldChar w:fldCharType="end"/>
      </w:r>
      <w:r>
        <w:rPr>
          <w:rFonts w:ascii="Times New Roman" w:hAnsi="Times New Roman"/>
          <w:sz w:val="20"/>
        </w:rPr>
        <w:t>)</w:t>
      </w:r>
      <w:r w:rsidRPr="008C20C8">
        <w:rPr>
          <w:rFonts w:ascii="Times New Roman" w:hAnsi="Times New Roman"/>
          <w:sz w:val="20"/>
        </w:rPr>
        <w:t xml:space="preserve"> 53</w:t>
      </w:r>
      <w:r>
        <w:rPr>
          <w:rFonts w:ascii="Times New Roman" w:hAnsi="Times New Roman"/>
          <w:sz w:val="20"/>
        </w:rPr>
        <w:t>;</w:t>
      </w:r>
      <w:r w:rsidRPr="008C20C8">
        <w:rPr>
          <w:rFonts w:ascii="Times New Roman" w:hAnsi="Times New Roman"/>
          <w:sz w:val="20"/>
        </w:rPr>
        <w:t xml:space="preserve"> Zuckerman</w:t>
      </w:r>
      <w:r>
        <w:rPr>
          <w:rFonts w:ascii="Times New Roman" w:hAnsi="Times New Roman"/>
          <w:sz w:val="20"/>
        </w:rPr>
        <w:t xml:space="preserve"> ‘Rule-making’</w:t>
      </w:r>
      <w:r w:rsidRPr="008C20C8">
        <w:rPr>
          <w:rFonts w:ascii="Times New Roman" w:hAnsi="Times New Roman"/>
          <w:sz w:val="20"/>
        </w:rPr>
        <w:t xml:space="preserve"> </w:t>
      </w:r>
      <w:r>
        <w:rPr>
          <w:rFonts w:ascii="Times New Roman" w:hAnsi="Times New Roman"/>
          <w:sz w:val="20"/>
        </w:rPr>
        <w:t>(</w:t>
      </w:r>
      <w:r w:rsidRPr="008C20C8">
        <w:rPr>
          <w:rFonts w:ascii="Times New Roman" w:hAnsi="Times New Roman"/>
          <w:sz w:val="20"/>
        </w:rPr>
        <w:t xml:space="preserve">n </w:t>
      </w:r>
      <w:r>
        <w:rPr>
          <w:rFonts w:ascii="Times New Roman" w:hAnsi="Times New Roman"/>
          <w:sz w:val="20"/>
        </w:rPr>
        <w:fldChar w:fldCharType="begin"/>
      </w:r>
      <w:r>
        <w:rPr>
          <w:rFonts w:ascii="Times New Roman" w:hAnsi="Times New Roman"/>
          <w:sz w:val="20"/>
        </w:rPr>
        <w:instrText xml:space="preserve"> NOTEREF _Ref232408172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84</w:t>
      </w:r>
      <w:r>
        <w:rPr>
          <w:rFonts w:ascii="Times New Roman" w:hAnsi="Times New Roman"/>
          <w:sz w:val="20"/>
        </w:rPr>
        <w:fldChar w:fldCharType="end"/>
      </w:r>
      <w:r>
        <w:rPr>
          <w:rFonts w:ascii="Times New Roman" w:hAnsi="Times New Roman"/>
          <w:sz w:val="20"/>
        </w:rPr>
        <w:t>)</w:t>
      </w:r>
      <w:r w:rsidRPr="008C20C8">
        <w:rPr>
          <w:rFonts w:ascii="Times New Roman" w:hAnsi="Times New Roman"/>
          <w:sz w:val="20"/>
        </w:rPr>
        <w:t>.</w:t>
      </w:r>
    </w:p>
  </w:footnote>
  <w:footnote w:id="114">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D</w:t>
      </w:r>
      <w:r w:rsidRPr="008C20C8">
        <w:rPr>
          <w:rFonts w:ascii="Times New Roman" w:hAnsi="Times New Roman"/>
          <w:sz w:val="20"/>
        </w:rPr>
        <w:t xml:space="preserve">erived from </w:t>
      </w:r>
      <w:r>
        <w:rPr>
          <w:rFonts w:ascii="Times New Roman" w:hAnsi="Times New Roman"/>
          <w:sz w:val="20"/>
        </w:rPr>
        <w:t>the Superior Court Act 1981, ss</w:t>
      </w:r>
      <w:r w:rsidRPr="008C20C8">
        <w:rPr>
          <w:rFonts w:ascii="Times New Roman" w:hAnsi="Times New Roman"/>
          <w:sz w:val="20"/>
        </w:rPr>
        <w:t xml:space="preserve"> 84 and 87.</w:t>
      </w:r>
    </w:p>
  </w:footnote>
  <w:footnote w:id="115">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Pr>
          <w:rFonts w:ascii="Times New Roman" w:hAnsi="Times New Roman"/>
          <w:sz w:val="20"/>
        </w:rPr>
        <w:t xml:space="preserve"> Civil Procedure Act 1833 s 3, see JIH Jacob, ‘</w:t>
      </w:r>
      <w:r w:rsidRPr="003D40E1">
        <w:rPr>
          <w:rFonts w:ascii="Times New Roman" w:hAnsi="Times New Roman"/>
          <w:sz w:val="20"/>
        </w:rPr>
        <w:t>Civil Procedure since 1800</w:t>
      </w:r>
      <w:r>
        <w:rPr>
          <w:rFonts w:ascii="Times New Roman" w:hAnsi="Times New Roman"/>
          <w:sz w:val="20"/>
        </w:rPr>
        <w:t>’</w:t>
      </w:r>
      <w:r w:rsidRPr="008C20C8">
        <w:rPr>
          <w:rFonts w:ascii="Times New Roman" w:hAnsi="Times New Roman"/>
          <w:sz w:val="20"/>
        </w:rPr>
        <w:t xml:space="preserve">, in </w:t>
      </w:r>
      <w:r w:rsidRPr="00F10B91">
        <w:rPr>
          <w:rFonts w:ascii="Times New Roman" w:hAnsi="Times New Roman"/>
          <w:sz w:val="20"/>
        </w:rPr>
        <w:t xml:space="preserve">JIH Jacob, </w:t>
      </w:r>
      <w:r w:rsidRPr="004E292A">
        <w:rPr>
          <w:rFonts w:ascii="Times New Roman" w:hAnsi="Times New Roman"/>
          <w:i/>
          <w:sz w:val="20"/>
        </w:rPr>
        <w:t xml:space="preserve">The Reform of Civil Procedural Law </w:t>
      </w:r>
      <w:r w:rsidRPr="008C20C8">
        <w:rPr>
          <w:rFonts w:ascii="Times New Roman" w:hAnsi="Times New Roman"/>
          <w:sz w:val="20"/>
        </w:rPr>
        <w:t>(Sweet</w:t>
      </w:r>
      <w:r>
        <w:rPr>
          <w:rFonts w:ascii="Times New Roman" w:hAnsi="Times New Roman"/>
          <w:sz w:val="20"/>
        </w:rPr>
        <w:t xml:space="preserve"> </w:t>
      </w:r>
      <w:r w:rsidRPr="008C20C8">
        <w:rPr>
          <w:rFonts w:ascii="Times New Roman" w:hAnsi="Times New Roman"/>
          <w:sz w:val="20"/>
        </w:rPr>
        <w:t>&amp;</w:t>
      </w:r>
      <w:r>
        <w:rPr>
          <w:rFonts w:ascii="Times New Roman" w:hAnsi="Times New Roman"/>
          <w:sz w:val="20"/>
        </w:rPr>
        <w:t xml:space="preserve"> </w:t>
      </w:r>
      <w:r w:rsidRPr="008C20C8">
        <w:rPr>
          <w:rFonts w:ascii="Times New Roman" w:hAnsi="Times New Roman"/>
          <w:sz w:val="20"/>
        </w:rPr>
        <w:t>Maxwell 1982) 213.</w:t>
      </w:r>
    </w:p>
  </w:footnote>
  <w:footnote w:id="116">
    <w:p w:rsidR="00D43B4E" w:rsidRPr="008C20C8" w:rsidRDefault="00D43B4E" w:rsidP="00827DD4">
      <w:pPr>
        <w:pStyle w:val="FootnoteText"/>
        <w:rPr>
          <w:rFonts w:ascii="Times New Roman" w:hAnsi="Times New Roman"/>
          <w:sz w:val="20"/>
        </w:rPr>
      </w:pPr>
      <w:r>
        <w:rPr>
          <w:rStyle w:val="FootnoteReference"/>
          <w:rFonts w:ascii="Times New Roman" w:hAnsi="Times New Roman"/>
          <w:sz w:val="20"/>
        </w:rPr>
        <w:footnoteRef/>
      </w:r>
      <w:r w:rsidRPr="003D40E1">
        <w:rPr>
          <w:rFonts w:ascii="Times New Roman" w:hAnsi="Times New Roman"/>
          <w:sz w:val="20"/>
        </w:rPr>
        <w:t xml:space="preserve"> The composition is now set in the Civil Procedure Act 1997 s 2.</w:t>
      </w:r>
    </w:p>
  </w:footnote>
  <w:footnote w:id="117">
    <w:p w:rsidR="00D43B4E" w:rsidRPr="008C20C8" w:rsidRDefault="00D43B4E" w:rsidP="00827DD4">
      <w:pPr>
        <w:pStyle w:val="FootnoteText"/>
        <w:rPr>
          <w:rFonts w:ascii="Times New Roman" w:hAnsi="Times New Roman"/>
          <w:sz w:val="20"/>
        </w:rPr>
      </w:pPr>
      <w:r>
        <w:rPr>
          <w:rStyle w:val="FootnoteReference"/>
          <w:rFonts w:ascii="Times New Roman" w:hAnsi="Times New Roman"/>
          <w:sz w:val="20"/>
        </w:rPr>
        <w:footnoteRef/>
      </w:r>
      <w:r w:rsidRPr="003D40E1">
        <w:rPr>
          <w:rFonts w:ascii="Times New Roman" w:hAnsi="Times New Roman"/>
          <w:sz w:val="20"/>
        </w:rPr>
        <w:t xml:space="preserve"> Jacob</w:t>
      </w:r>
      <w:r>
        <w:rPr>
          <w:rFonts w:ascii="Times New Roman" w:hAnsi="Times New Roman"/>
          <w:sz w:val="20"/>
        </w:rPr>
        <w:t xml:space="preserve">, </w:t>
      </w:r>
      <w:r>
        <w:rPr>
          <w:rFonts w:ascii="Times New Roman" w:hAnsi="Times New Roman"/>
          <w:i/>
          <w:sz w:val="20"/>
        </w:rPr>
        <w:t>Fabric</w:t>
      </w:r>
      <w:r w:rsidRPr="008C20C8">
        <w:rPr>
          <w:rFonts w:ascii="Times New Roman" w:hAnsi="Times New Roman"/>
          <w:sz w:val="20"/>
        </w:rPr>
        <w:t xml:space="preserve"> </w:t>
      </w:r>
      <w:r>
        <w:rPr>
          <w:rFonts w:ascii="Times New Roman" w:hAnsi="Times New Roman"/>
          <w:sz w:val="20"/>
        </w:rPr>
        <w:t>(</w:t>
      </w:r>
      <w:r w:rsidRPr="008C20C8">
        <w:rPr>
          <w:rFonts w:ascii="Times New Roman" w:hAnsi="Times New Roman"/>
          <w:sz w:val="20"/>
        </w:rPr>
        <w:t>n</w:t>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NOTEREF _Ref232408124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66</w:t>
      </w:r>
      <w:r>
        <w:rPr>
          <w:rFonts w:ascii="Times New Roman" w:hAnsi="Times New Roman"/>
          <w:sz w:val="20"/>
        </w:rPr>
        <w:fldChar w:fldCharType="end"/>
      </w:r>
      <w:r>
        <w:rPr>
          <w:rFonts w:ascii="Times New Roman" w:hAnsi="Times New Roman"/>
          <w:sz w:val="20"/>
        </w:rPr>
        <w:t>)</w:t>
      </w:r>
      <w:r w:rsidRPr="008C20C8">
        <w:rPr>
          <w:rFonts w:ascii="Times New Roman" w:hAnsi="Times New Roman"/>
          <w:sz w:val="20"/>
        </w:rPr>
        <w:t xml:space="preserve"> 60, referring to JIH Jacob, </w:t>
      </w:r>
      <w:r>
        <w:rPr>
          <w:rFonts w:ascii="Times New Roman" w:hAnsi="Times New Roman"/>
          <w:sz w:val="20"/>
        </w:rPr>
        <w:t>‘</w:t>
      </w:r>
      <w:r w:rsidRPr="003D40E1">
        <w:rPr>
          <w:rFonts w:ascii="Times New Roman" w:hAnsi="Times New Roman"/>
          <w:sz w:val="20"/>
        </w:rPr>
        <w:t>The Inherent Jurisdiction of the Court</w:t>
      </w:r>
      <w:r>
        <w:rPr>
          <w:rFonts w:ascii="Times New Roman" w:hAnsi="Times New Roman"/>
          <w:sz w:val="20"/>
        </w:rPr>
        <w:t>’</w:t>
      </w:r>
      <w:r w:rsidRPr="008C20C8">
        <w:rPr>
          <w:rFonts w:ascii="Times New Roman" w:hAnsi="Times New Roman"/>
          <w:sz w:val="20"/>
        </w:rPr>
        <w:t xml:space="preserve">, in </w:t>
      </w:r>
      <w:r w:rsidRPr="003D40E1">
        <w:rPr>
          <w:rFonts w:ascii="Times New Roman" w:hAnsi="Times New Roman"/>
          <w:sz w:val="20"/>
        </w:rPr>
        <w:t xml:space="preserve">Jacob, </w:t>
      </w:r>
      <w:r w:rsidRPr="004E292A">
        <w:rPr>
          <w:rFonts w:ascii="Times New Roman" w:hAnsi="Times New Roman"/>
          <w:i/>
          <w:sz w:val="20"/>
        </w:rPr>
        <w:t xml:space="preserve">Reform </w:t>
      </w:r>
      <w:r>
        <w:rPr>
          <w:rFonts w:ascii="Times New Roman" w:hAnsi="Times New Roman"/>
          <w:sz w:val="20"/>
        </w:rPr>
        <w:t xml:space="preserve">(n 114) </w:t>
      </w:r>
      <w:r w:rsidRPr="008C20C8">
        <w:rPr>
          <w:rFonts w:ascii="Times New Roman" w:hAnsi="Times New Roman"/>
          <w:sz w:val="20"/>
        </w:rPr>
        <w:t xml:space="preserve">221, and noting that </w:t>
      </w:r>
      <w:r>
        <w:rPr>
          <w:rFonts w:ascii="Times New Roman" w:hAnsi="Times New Roman"/>
          <w:sz w:val="20"/>
        </w:rPr>
        <w:t xml:space="preserve">the definition was approved in </w:t>
      </w:r>
      <w:r w:rsidRPr="008C20C8">
        <w:rPr>
          <w:rFonts w:ascii="Times New Roman" w:hAnsi="Times New Roman"/>
          <w:sz w:val="20"/>
        </w:rPr>
        <w:t xml:space="preserve">several Commonwealth courts (Canada, New Zealand) and the House of Lords. </w:t>
      </w:r>
    </w:p>
  </w:footnote>
  <w:footnote w:id="118">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w:t>
      </w:r>
      <w:r>
        <w:rPr>
          <w:rFonts w:ascii="Times New Roman" w:hAnsi="Times New Roman"/>
          <w:sz w:val="20"/>
        </w:rPr>
        <w:t>i</w:t>
      </w:r>
      <w:r w:rsidRPr="003D40E1">
        <w:rPr>
          <w:rFonts w:ascii="Times New Roman" w:hAnsi="Times New Roman"/>
          <w:sz w:val="20"/>
        </w:rPr>
        <w:t>bid</w:t>
      </w:r>
      <w:r w:rsidRPr="00494CF0">
        <w:rPr>
          <w:rFonts w:ascii="Times New Roman" w:hAnsi="Times New Roman"/>
          <w:sz w:val="20"/>
        </w:rPr>
        <w:t>.</w:t>
      </w:r>
    </w:p>
  </w:footnote>
  <w:footnote w:id="119">
    <w:p w:rsidR="00D43B4E" w:rsidRPr="008C20C8" w:rsidRDefault="00D43B4E" w:rsidP="00827DD4">
      <w:pPr>
        <w:pStyle w:val="FootnoteText"/>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Burbank</w:t>
      </w:r>
      <w:r>
        <w:rPr>
          <w:rFonts w:ascii="Times New Roman" w:hAnsi="Times New Roman"/>
          <w:sz w:val="20"/>
        </w:rPr>
        <w:t>, polemically,</w:t>
      </w:r>
      <w:r w:rsidRPr="008C20C8">
        <w:rPr>
          <w:rFonts w:ascii="Times New Roman" w:hAnsi="Times New Roman"/>
          <w:sz w:val="20"/>
        </w:rPr>
        <w:t xml:space="preserve"> </w:t>
      </w:r>
      <w:r>
        <w:rPr>
          <w:rFonts w:ascii="Times New Roman" w:hAnsi="Times New Roman"/>
          <w:sz w:val="20"/>
        </w:rPr>
        <w:t xml:space="preserve">discounts the existence of </w:t>
      </w:r>
      <w:r w:rsidRPr="008C20C8">
        <w:rPr>
          <w:rFonts w:ascii="Times New Roman" w:hAnsi="Times New Roman"/>
          <w:sz w:val="20"/>
        </w:rPr>
        <w:t xml:space="preserve">even a ‘weak’, gap-filling inherent power in the case of federal local court rulemaking: SB Burbank, </w:t>
      </w:r>
      <w:r>
        <w:rPr>
          <w:rFonts w:ascii="Times New Roman" w:hAnsi="Times New Roman"/>
          <w:sz w:val="20"/>
        </w:rPr>
        <w:t>‘</w:t>
      </w:r>
      <w:r w:rsidRPr="003D40E1">
        <w:rPr>
          <w:rFonts w:ascii="Times New Roman" w:hAnsi="Times New Roman"/>
          <w:sz w:val="20"/>
        </w:rPr>
        <w:t>Procedure, Politics and Power: the Role of Congress</w:t>
      </w:r>
      <w:r>
        <w:rPr>
          <w:rFonts w:ascii="Times New Roman" w:hAnsi="Times New Roman"/>
          <w:sz w:val="20"/>
        </w:rPr>
        <w:t>’</w:t>
      </w:r>
      <w:r w:rsidRPr="008C20C8">
        <w:rPr>
          <w:rFonts w:ascii="Times New Roman" w:hAnsi="Times New Roman"/>
          <w:sz w:val="20"/>
        </w:rPr>
        <w:t xml:space="preserve"> (2004) 79 </w:t>
      </w:r>
      <w:r w:rsidRPr="003D40E1">
        <w:rPr>
          <w:rFonts w:ascii="Times New Roman" w:hAnsi="Times New Roman"/>
          <w:sz w:val="20"/>
        </w:rPr>
        <w:t>Notre Dame L Rev</w:t>
      </w:r>
      <w:r w:rsidRPr="00494CF0">
        <w:rPr>
          <w:rFonts w:ascii="Times New Roman" w:hAnsi="Times New Roman"/>
          <w:sz w:val="20"/>
        </w:rPr>
        <w:t xml:space="preserve"> </w:t>
      </w:r>
      <w:r w:rsidRPr="008C20C8">
        <w:rPr>
          <w:rFonts w:ascii="Times New Roman" w:hAnsi="Times New Roman"/>
          <w:sz w:val="20"/>
        </w:rPr>
        <w:t>101</w:t>
      </w:r>
      <w:r>
        <w:rPr>
          <w:rFonts w:ascii="Times New Roman" w:hAnsi="Times New Roman"/>
          <w:sz w:val="20"/>
        </w:rPr>
        <w:t xml:space="preserve">, </w:t>
      </w:r>
      <w:r w:rsidRPr="008C20C8">
        <w:rPr>
          <w:rFonts w:ascii="Times New Roman" w:hAnsi="Times New Roman"/>
          <w:sz w:val="20"/>
        </w:rPr>
        <w:t>105.</w:t>
      </w:r>
    </w:p>
  </w:footnote>
  <w:footnote w:id="120">
    <w:p w:rsidR="00D43B4E" w:rsidRPr="008C20C8" w:rsidRDefault="00D43B4E" w:rsidP="00827DD4">
      <w:pPr>
        <w:jc w:val="both"/>
        <w:rPr>
          <w:rFonts w:ascii="Times New Roman" w:hAnsi="Times New Roman"/>
          <w:sz w:val="20"/>
        </w:rPr>
      </w:pPr>
      <w:r w:rsidRPr="008C20C8">
        <w:rPr>
          <w:rStyle w:val="FootnoteReference"/>
          <w:rFonts w:ascii="Times New Roman" w:hAnsi="Times New Roman"/>
          <w:sz w:val="20"/>
        </w:rPr>
        <w:footnoteRef/>
      </w:r>
      <w:r w:rsidRPr="008C20C8">
        <w:rPr>
          <w:rFonts w:ascii="Times New Roman" w:hAnsi="Times New Roman"/>
          <w:sz w:val="20"/>
        </w:rPr>
        <w:t xml:space="preserve"> The conclusion that process enforcement rules in the US system stem from inherent power, rather than rule-making, is also bolstered by the positive antipathy of judges and reformers for mandatory, rather than permissive, sanctioning rules: Burbank</w:t>
      </w:r>
      <w:r>
        <w:rPr>
          <w:rFonts w:ascii="Times New Roman" w:hAnsi="Times New Roman"/>
          <w:sz w:val="20"/>
        </w:rPr>
        <w:t>, ‘Rule 11’</w:t>
      </w:r>
      <w:r w:rsidRPr="008C20C8">
        <w:rPr>
          <w:rFonts w:ascii="Times New Roman" w:hAnsi="Times New Roman"/>
          <w:sz w:val="20"/>
        </w:rPr>
        <w:t xml:space="preserve"> </w:t>
      </w:r>
      <w:r>
        <w:rPr>
          <w:rFonts w:ascii="Times New Roman" w:hAnsi="Times New Roman"/>
          <w:sz w:val="20"/>
        </w:rPr>
        <w:t>(</w:t>
      </w:r>
      <w:r w:rsidRPr="008C20C8">
        <w:rPr>
          <w:rFonts w:ascii="Times New Roman" w:hAnsi="Times New Roman"/>
          <w:sz w:val="20"/>
        </w:rPr>
        <w:t>n</w:t>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NOTEREF _Ref232394964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10</w:t>
      </w:r>
      <w:r>
        <w:rPr>
          <w:rFonts w:ascii="Times New Roman" w:hAnsi="Times New Roman"/>
          <w:sz w:val="20"/>
        </w:rPr>
        <w:fldChar w:fldCharType="end"/>
      </w:r>
      <w:r>
        <w:rPr>
          <w:rFonts w:ascii="Times New Roman" w:hAnsi="Times New Roman"/>
          <w:sz w:val="20"/>
        </w:rPr>
        <w:t>)</w:t>
      </w:r>
      <w:r w:rsidRPr="008C20C8">
        <w:rPr>
          <w:rFonts w:ascii="Times New Roman" w:hAnsi="Times New Roman"/>
          <w:sz w:val="20"/>
        </w:rPr>
        <w:t xml:space="preserve">. </w:t>
      </w:r>
    </w:p>
  </w:footnote>
  <w:footnote w:id="121">
    <w:p w:rsidR="00D43B4E" w:rsidRPr="008C20C8" w:rsidRDefault="00D43B4E" w:rsidP="00B476CA">
      <w:pPr>
        <w:pStyle w:val="FootnoteText"/>
        <w:rPr>
          <w:rFonts w:ascii="Times New Roman" w:hAnsi="Times New Roman"/>
          <w:sz w:val="20"/>
        </w:rPr>
      </w:pPr>
      <w:r>
        <w:rPr>
          <w:rStyle w:val="FootnoteReference"/>
          <w:rFonts w:ascii="Times New Roman" w:hAnsi="Times New Roman"/>
          <w:sz w:val="20"/>
        </w:rPr>
        <w:footnoteRef/>
      </w:r>
      <w:r w:rsidRPr="003D40E1">
        <w:rPr>
          <w:rFonts w:ascii="Times New Roman" w:hAnsi="Times New Roman"/>
          <w:sz w:val="20"/>
        </w:rPr>
        <w:t xml:space="preserve"> Jacob</w:t>
      </w:r>
      <w:r>
        <w:rPr>
          <w:rFonts w:ascii="Times New Roman" w:hAnsi="Times New Roman"/>
          <w:sz w:val="20"/>
        </w:rPr>
        <w:t xml:space="preserve">, </w:t>
      </w:r>
      <w:r>
        <w:rPr>
          <w:rFonts w:ascii="Times New Roman" w:hAnsi="Times New Roman"/>
          <w:i/>
          <w:sz w:val="20"/>
        </w:rPr>
        <w:t>Fabric</w:t>
      </w:r>
      <w:r>
        <w:rPr>
          <w:rFonts w:ascii="Times New Roman" w:hAnsi="Times New Roman"/>
          <w:smallCaps/>
          <w:sz w:val="20"/>
        </w:rPr>
        <w:t xml:space="preserve"> (</w:t>
      </w:r>
      <w:r>
        <w:rPr>
          <w:rFonts w:ascii="Times New Roman" w:hAnsi="Times New Roman"/>
          <w:sz w:val="20"/>
        </w:rPr>
        <w:t xml:space="preserve">n </w:t>
      </w:r>
      <w:r>
        <w:rPr>
          <w:rFonts w:ascii="Times New Roman" w:hAnsi="Times New Roman"/>
          <w:sz w:val="20"/>
        </w:rPr>
        <w:fldChar w:fldCharType="begin"/>
      </w:r>
      <w:r>
        <w:rPr>
          <w:rFonts w:ascii="Times New Roman" w:hAnsi="Times New Roman"/>
          <w:sz w:val="20"/>
        </w:rPr>
        <w:instrText xml:space="preserve"> NOTEREF _Ref232408124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66</w:t>
      </w:r>
      <w:r>
        <w:rPr>
          <w:rFonts w:ascii="Times New Roman" w:hAnsi="Times New Roman"/>
          <w:sz w:val="20"/>
        </w:rPr>
        <w:fldChar w:fldCharType="end"/>
      </w:r>
      <w:r>
        <w:rPr>
          <w:rFonts w:ascii="Times New Roman" w:hAnsi="Times New Roman"/>
          <w:sz w:val="20"/>
        </w:rPr>
        <w:t xml:space="preserve">) </w:t>
      </w:r>
      <w:r w:rsidRPr="008C20C8">
        <w:rPr>
          <w:rFonts w:ascii="Times New Roman" w:hAnsi="Times New Roman"/>
          <w:sz w:val="20"/>
        </w:rPr>
        <w:t>60.</w:t>
      </w:r>
    </w:p>
  </w:footnote>
  <w:footnote w:id="122">
    <w:p w:rsidR="00D43B4E" w:rsidRPr="008C20C8" w:rsidRDefault="00D43B4E" w:rsidP="00572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w:color w:val="000000"/>
          <w:sz w:val="20"/>
          <w:szCs w:val="18"/>
          <w:lang w:val="en-US"/>
        </w:rPr>
      </w:pPr>
      <w:r>
        <w:rPr>
          <w:rStyle w:val="FootnoteReference"/>
          <w:rFonts w:ascii="Times New Roman" w:hAnsi="Times New Roman"/>
          <w:sz w:val="20"/>
        </w:rPr>
        <w:footnoteRef/>
      </w:r>
      <w:r w:rsidRPr="003D40E1">
        <w:rPr>
          <w:rFonts w:ascii="Times New Roman" w:hAnsi="Times New Roman"/>
          <w:sz w:val="20"/>
        </w:rPr>
        <w:t xml:space="preserve"> For an overview, PD </w:t>
      </w:r>
      <w:r w:rsidRPr="003D40E1">
        <w:rPr>
          <w:rFonts w:ascii="Times New Roman" w:eastAsiaTheme="minorHAnsi" w:hAnsi="Times New Roman" w:cs="Times"/>
          <w:color w:val="000000"/>
          <w:sz w:val="20"/>
          <w:szCs w:val="18"/>
          <w:lang w:val="en-US"/>
        </w:rPr>
        <w:t xml:space="preserve">Carrington, </w:t>
      </w:r>
      <w:r>
        <w:rPr>
          <w:rFonts w:ascii="Times New Roman" w:eastAsiaTheme="minorHAnsi" w:hAnsi="Times New Roman" w:cs="Times"/>
          <w:color w:val="000000"/>
          <w:sz w:val="20"/>
          <w:szCs w:val="18"/>
          <w:lang w:val="en-US"/>
        </w:rPr>
        <w:t>‘</w:t>
      </w:r>
      <w:r w:rsidRPr="003D40E1">
        <w:rPr>
          <w:rFonts w:ascii="Times New Roman" w:eastAsiaTheme="minorHAnsi" w:hAnsi="Times New Roman" w:cs="Times"/>
          <w:iCs/>
          <w:color w:val="000000"/>
          <w:sz w:val="20"/>
          <w:szCs w:val="18"/>
          <w:lang w:val="en-US"/>
        </w:rPr>
        <w:t>Continuing Work on the Civil Rules: The Summons</w:t>
      </w:r>
      <w:r>
        <w:rPr>
          <w:rFonts w:ascii="Times New Roman" w:eastAsiaTheme="minorHAnsi" w:hAnsi="Times New Roman" w:cs="Times"/>
          <w:iCs/>
          <w:color w:val="000000"/>
          <w:sz w:val="20"/>
          <w:szCs w:val="18"/>
          <w:lang w:val="en-US"/>
        </w:rPr>
        <w:t>’</w:t>
      </w:r>
      <w:r w:rsidRPr="003D40E1">
        <w:rPr>
          <w:rFonts w:ascii="Times New Roman" w:eastAsiaTheme="minorHAnsi" w:hAnsi="Times New Roman" w:cs="Times"/>
          <w:i/>
          <w:iCs/>
          <w:color w:val="000000"/>
          <w:sz w:val="20"/>
          <w:szCs w:val="18"/>
          <w:lang w:val="en-US"/>
        </w:rPr>
        <w:t xml:space="preserve"> </w:t>
      </w:r>
      <w:r w:rsidRPr="003D40E1">
        <w:rPr>
          <w:rFonts w:ascii="Times New Roman" w:eastAsiaTheme="minorHAnsi" w:hAnsi="Times New Roman" w:cs="Times"/>
          <w:color w:val="000000"/>
          <w:sz w:val="20"/>
          <w:szCs w:val="17"/>
          <w:lang w:val="en-US"/>
        </w:rPr>
        <w:t>(1988)</w:t>
      </w:r>
      <w:r>
        <w:rPr>
          <w:rFonts w:ascii="Times New Roman" w:eastAsiaTheme="minorHAnsi" w:hAnsi="Times New Roman" w:cs="Times"/>
          <w:color w:val="000000"/>
          <w:sz w:val="20"/>
          <w:szCs w:val="17"/>
          <w:lang w:val="en-US"/>
        </w:rPr>
        <w:t xml:space="preserve"> </w:t>
      </w:r>
      <w:r w:rsidRPr="003D40E1">
        <w:rPr>
          <w:rFonts w:ascii="Times New Roman" w:eastAsiaTheme="minorHAnsi" w:hAnsi="Times New Roman" w:cs="Times"/>
          <w:color w:val="000000"/>
          <w:sz w:val="20"/>
          <w:szCs w:val="17"/>
          <w:lang w:val="en-US"/>
        </w:rPr>
        <w:t xml:space="preserve">63 </w:t>
      </w:r>
      <w:r w:rsidRPr="00A73B7C">
        <w:rPr>
          <w:rFonts w:ascii="Times New Roman" w:eastAsiaTheme="minorHAnsi" w:hAnsi="Times New Roman" w:cs="Times"/>
          <w:color w:val="000000"/>
          <w:sz w:val="20"/>
          <w:szCs w:val="18"/>
          <w:lang w:val="en-US"/>
        </w:rPr>
        <w:t>No</w:t>
      </w:r>
      <w:r w:rsidRPr="00A73B7C">
        <w:rPr>
          <w:rFonts w:ascii="Times New Roman" w:eastAsiaTheme="minorHAnsi" w:hAnsi="Times New Roman" w:cs="Times"/>
          <w:color w:val="000000"/>
          <w:sz w:val="20"/>
          <w:szCs w:val="15"/>
          <w:lang w:val="en-US"/>
        </w:rPr>
        <w:t xml:space="preserve">tre </w:t>
      </w:r>
      <w:r w:rsidRPr="003D40E1">
        <w:rPr>
          <w:rFonts w:ascii="Times New Roman" w:eastAsiaTheme="minorHAnsi" w:hAnsi="Times New Roman" w:cs="Times"/>
          <w:color w:val="000000"/>
          <w:sz w:val="20"/>
          <w:szCs w:val="15"/>
          <w:lang w:val="en-US"/>
        </w:rPr>
        <w:t>D</w:t>
      </w:r>
      <w:r>
        <w:rPr>
          <w:rFonts w:ascii="Times New Roman" w:eastAsiaTheme="minorHAnsi" w:hAnsi="Times New Roman" w:cs="Times"/>
          <w:color w:val="000000"/>
          <w:sz w:val="20"/>
          <w:szCs w:val="15"/>
          <w:lang w:val="en-US"/>
        </w:rPr>
        <w:t>ame</w:t>
      </w:r>
      <w:r w:rsidRPr="003D40E1">
        <w:rPr>
          <w:rFonts w:ascii="Times New Roman" w:eastAsiaTheme="minorHAnsi" w:hAnsi="Times New Roman" w:cs="Times"/>
          <w:color w:val="000000"/>
          <w:sz w:val="20"/>
          <w:szCs w:val="15"/>
          <w:lang w:val="en-US"/>
        </w:rPr>
        <w:t xml:space="preserve"> </w:t>
      </w:r>
      <w:r w:rsidRPr="003D40E1">
        <w:rPr>
          <w:rFonts w:ascii="Times New Roman" w:eastAsiaTheme="minorHAnsi" w:hAnsi="Times New Roman" w:cs="Times"/>
          <w:color w:val="000000"/>
          <w:sz w:val="20"/>
          <w:szCs w:val="17"/>
          <w:lang w:val="en-US"/>
        </w:rPr>
        <w:t>L</w:t>
      </w:r>
      <w:r w:rsidRPr="00A73B7C">
        <w:rPr>
          <w:rFonts w:ascii="Times New Roman" w:eastAsiaTheme="minorHAnsi" w:hAnsi="Times New Roman" w:cs="Times"/>
          <w:color w:val="000000"/>
          <w:sz w:val="20"/>
          <w:szCs w:val="17"/>
          <w:lang w:val="en-US"/>
        </w:rPr>
        <w:t xml:space="preserve"> </w:t>
      </w:r>
      <w:r w:rsidRPr="003D40E1">
        <w:rPr>
          <w:rFonts w:ascii="Times New Roman" w:eastAsiaTheme="minorHAnsi" w:hAnsi="Times New Roman" w:cs="Times"/>
          <w:color w:val="000000"/>
          <w:sz w:val="20"/>
          <w:szCs w:val="16"/>
          <w:lang w:val="en-US"/>
        </w:rPr>
        <w:t>R</w:t>
      </w:r>
      <w:r>
        <w:rPr>
          <w:rFonts w:ascii="Times New Roman" w:eastAsiaTheme="minorHAnsi" w:hAnsi="Times New Roman" w:cs="Times"/>
          <w:color w:val="000000"/>
          <w:sz w:val="20"/>
          <w:szCs w:val="16"/>
          <w:lang w:val="en-US"/>
        </w:rPr>
        <w:t>ev</w:t>
      </w:r>
      <w:r w:rsidRPr="003D40E1">
        <w:rPr>
          <w:rFonts w:ascii="Times New Roman" w:eastAsiaTheme="minorHAnsi" w:hAnsi="Times New Roman" w:cs="Times"/>
          <w:color w:val="000000"/>
          <w:sz w:val="20"/>
          <w:szCs w:val="16"/>
          <w:lang w:val="en-US"/>
        </w:rPr>
        <w:t xml:space="preserve"> </w:t>
      </w:r>
      <w:r w:rsidRPr="003D40E1">
        <w:rPr>
          <w:rFonts w:ascii="Times New Roman" w:eastAsiaTheme="minorHAnsi" w:hAnsi="Times New Roman" w:cs="Times"/>
          <w:color w:val="000000"/>
          <w:sz w:val="20"/>
          <w:szCs w:val="17"/>
          <w:lang w:val="en-US"/>
        </w:rPr>
        <w:t xml:space="preserve">733, </w:t>
      </w:r>
      <w:r w:rsidRPr="003D40E1">
        <w:rPr>
          <w:rFonts w:ascii="Times New Roman" w:eastAsiaTheme="minorHAnsi" w:hAnsi="Times New Roman" w:cs="Times"/>
          <w:color w:val="000000"/>
          <w:sz w:val="20"/>
          <w:szCs w:val="16"/>
          <w:lang w:val="en-US"/>
        </w:rPr>
        <w:t>741</w:t>
      </w:r>
      <w:r w:rsidRPr="003D40E1">
        <w:rPr>
          <w:rFonts w:ascii="Times New Roman" w:eastAsiaTheme="minorHAnsi" w:hAnsi="Times New Roman" w:cs="Times"/>
          <w:color w:val="000000"/>
          <w:sz w:val="20"/>
          <w:szCs w:val="17"/>
          <w:lang w:val="en-US"/>
        </w:rPr>
        <w:t xml:space="preserve">; </w:t>
      </w:r>
      <w:r w:rsidRPr="003D40E1">
        <w:rPr>
          <w:rFonts w:ascii="Times New Roman" w:eastAsiaTheme="minorHAnsi" w:hAnsi="Times New Roman" w:cs="Helvetica"/>
          <w:sz w:val="20"/>
          <w:szCs w:val="18"/>
          <w:lang w:val="en-US"/>
        </w:rPr>
        <w:t xml:space="preserve">GC Hazard, Jr., </w:t>
      </w:r>
      <w:r>
        <w:rPr>
          <w:rFonts w:ascii="Times New Roman" w:eastAsiaTheme="minorHAnsi" w:hAnsi="Times New Roman" w:cs="Helvetica"/>
          <w:sz w:val="20"/>
          <w:szCs w:val="18"/>
          <w:lang w:val="en-US"/>
        </w:rPr>
        <w:t>‘</w:t>
      </w:r>
      <w:r w:rsidRPr="003D40E1">
        <w:rPr>
          <w:rFonts w:ascii="Times New Roman" w:eastAsiaTheme="minorHAnsi" w:hAnsi="Times New Roman" w:cs="Helvetica"/>
          <w:sz w:val="20"/>
          <w:szCs w:val="18"/>
          <w:lang w:val="en-US"/>
        </w:rPr>
        <w:t>Discovery Vices and Trans-Substantive Virtues in the Federal Rules of Civil Procedure</w:t>
      </w:r>
      <w:r>
        <w:rPr>
          <w:rFonts w:ascii="Times New Roman" w:eastAsiaTheme="minorHAnsi" w:hAnsi="Times New Roman" w:cs="Helvetica"/>
          <w:sz w:val="20"/>
          <w:szCs w:val="18"/>
          <w:lang w:val="en-US"/>
        </w:rPr>
        <w:t>’</w:t>
      </w:r>
      <w:r w:rsidRPr="003D40E1">
        <w:rPr>
          <w:rFonts w:ascii="Times New Roman" w:eastAsiaTheme="minorHAnsi" w:hAnsi="Times New Roman" w:cs="Helvetica"/>
          <w:sz w:val="20"/>
          <w:szCs w:val="18"/>
          <w:lang w:val="en-US"/>
        </w:rPr>
        <w:t xml:space="preserve"> </w:t>
      </w:r>
      <w:r>
        <w:rPr>
          <w:rFonts w:ascii="Times New Roman" w:eastAsiaTheme="minorHAnsi" w:hAnsi="Times New Roman" w:cs="Times"/>
          <w:sz w:val="20"/>
          <w:szCs w:val="16"/>
          <w:lang w:val="en-US"/>
        </w:rPr>
        <w:t>(</w:t>
      </w:r>
      <w:r w:rsidRPr="003D40E1">
        <w:rPr>
          <w:rFonts w:ascii="Times New Roman" w:eastAsiaTheme="minorHAnsi" w:hAnsi="Times New Roman" w:cs="Times"/>
          <w:sz w:val="20"/>
          <w:szCs w:val="16"/>
          <w:lang w:val="en-US"/>
        </w:rPr>
        <w:t>1988-1989</w:t>
      </w:r>
      <w:r>
        <w:rPr>
          <w:rFonts w:ascii="Times New Roman" w:eastAsiaTheme="minorHAnsi" w:hAnsi="Times New Roman" w:cs="Times"/>
          <w:sz w:val="20"/>
          <w:szCs w:val="16"/>
          <w:lang w:val="en-US"/>
        </w:rPr>
        <w:t xml:space="preserve">) </w:t>
      </w:r>
      <w:r w:rsidRPr="003D40E1">
        <w:rPr>
          <w:rFonts w:ascii="Times New Roman" w:eastAsiaTheme="minorHAnsi" w:hAnsi="Times New Roman" w:cs="Times"/>
          <w:sz w:val="20"/>
          <w:szCs w:val="16"/>
          <w:lang w:val="en-US"/>
        </w:rPr>
        <w:t>137 U Pa L Rev 2237</w:t>
      </w:r>
      <w:r w:rsidRPr="008C20C8">
        <w:rPr>
          <w:rFonts w:ascii="Times New Roman" w:eastAsiaTheme="minorHAnsi" w:hAnsi="Times New Roman" w:cs="Helvetica"/>
          <w:sz w:val="20"/>
          <w:szCs w:val="18"/>
          <w:lang w:val="en-US"/>
        </w:rPr>
        <w:t xml:space="preserve">; </w:t>
      </w:r>
      <w:r w:rsidRPr="008C20C8">
        <w:rPr>
          <w:rFonts w:ascii="Times New Roman" w:eastAsiaTheme="minorHAnsi" w:hAnsi="Times New Roman"/>
          <w:sz w:val="20"/>
          <w:szCs w:val="21"/>
          <w:lang w:val="en-US"/>
        </w:rPr>
        <w:t>SN S</w:t>
      </w:r>
      <w:r w:rsidRPr="008C20C8">
        <w:rPr>
          <w:rFonts w:ascii="Times New Roman" w:eastAsiaTheme="minorHAnsi" w:hAnsi="Times New Roman"/>
          <w:sz w:val="20"/>
          <w:szCs w:val="17"/>
          <w:lang w:val="en-US"/>
        </w:rPr>
        <w:t xml:space="preserve">ubrin, </w:t>
      </w:r>
      <w:r>
        <w:rPr>
          <w:rFonts w:ascii="Times New Roman" w:eastAsiaTheme="minorHAnsi" w:hAnsi="Times New Roman"/>
          <w:sz w:val="20"/>
          <w:szCs w:val="17"/>
          <w:lang w:val="en-US"/>
        </w:rPr>
        <w:t>‘</w:t>
      </w:r>
      <w:r w:rsidRPr="003D40E1">
        <w:rPr>
          <w:rFonts w:ascii="Times New Roman" w:eastAsiaTheme="minorHAnsi" w:hAnsi="Times New Roman"/>
          <w:sz w:val="20"/>
          <w:szCs w:val="27"/>
          <w:lang w:val="en-US"/>
        </w:rPr>
        <w:t>T</w:t>
      </w:r>
      <w:r w:rsidRPr="003D40E1">
        <w:rPr>
          <w:rFonts w:ascii="Times New Roman" w:eastAsiaTheme="minorHAnsi" w:hAnsi="Times New Roman"/>
          <w:sz w:val="20"/>
          <w:szCs w:val="21"/>
          <w:lang w:val="en-US"/>
        </w:rPr>
        <w:t xml:space="preserve">he </w:t>
      </w:r>
      <w:r w:rsidRPr="003D40E1">
        <w:rPr>
          <w:rFonts w:ascii="Times New Roman" w:eastAsiaTheme="minorHAnsi" w:hAnsi="Times New Roman"/>
          <w:sz w:val="20"/>
          <w:szCs w:val="27"/>
          <w:lang w:val="en-US"/>
        </w:rPr>
        <w:t>L</w:t>
      </w:r>
      <w:r w:rsidRPr="003D40E1">
        <w:rPr>
          <w:rFonts w:ascii="Times New Roman" w:eastAsiaTheme="minorHAnsi" w:hAnsi="Times New Roman"/>
          <w:sz w:val="20"/>
          <w:szCs w:val="21"/>
          <w:lang w:val="en-US"/>
        </w:rPr>
        <w:t xml:space="preserve">imitations Of </w:t>
      </w:r>
      <w:r w:rsidRPr="003D40E1">
        <w:rPr>
          <w:rFonts w:ascii="Times New Roman" w:eastAsiaTheme="minorHAnsi" w:hAnsi="Times New Roman"/>
          <w:sz w:val="20"/>
          <w:szCs w:val="27"/>
          <w:lang w:val="en-US"/>
        </w:rPr>
        <w:t>T</w:t>
      </w:r>
      <w:r w:rsidRPr="003D40E1">
        <w:rPr>
          <w:rFonts w:ascii="Times New Roman" w:eastAsiaTheme="minorHAnsi" w:hAnsi="Times New Roman"/>
          <w:sz w:val="20"/>
          <w:szCs w:val="21"/>
          <w:lang w:val="en-US"/>
        </w:rPr>
        <w:t xml:space="preserve">ranssubstantive </w:t>
      </w:r>
      <w:r w:rsidRPr="003D40E1">
        <w:rPr>
          <w:rFonts w:ascii="Times New Roman" w:eastAsiaTheme="minorHAnsi" w:hAnsi="Times New Roman"/>
          <w:sz w:val="20"/>
          <w:szCs w:val="27"/>
          <w:lang w:val="en-US"/>
        </w:rPr>
        <w:t>P</w:t>
      </w:r>
      <w:r w:rsidRPr="003D40E1">
        <w:rPr>
          <w:rFonts w:ascii="Times New Roman" w:eastAsiaTheme="minorHAnsi" w:hAnsi="Times New Roman"/>
          <w:sz w:val="20"/>
          <w:szCs w:val="21"/>
          <w:lang w:val="en-US"/>
        </w:rPr>
        <w:t>rocedure</w:t>
      </w:r>
      <w:r w:rsidRPr="003D40E1">
        <w:rPr>
          <w:rFonts w:ascii="Times New Roman" w:eastAsiaTheme="minorHAnsi" w:hAnsi="Times New Roman"/>
          <w:sz w:val="20"/>
          <w:szCs w:val="27"/>
          <w:lang w:val="en-US"/>
        </w:rPr>
        <w:t>: A</w:t>
      </w:r>
      <w:r w:rsidRPr="003D40E1">
        <w:rPr>
          <w:rFonts w:ascii="Times New Roman" w:eastAsiaTheme="minorHAnsi" w:hAnsi="Times New Roman"/>
          <w:sz w:val="20"/>
          <w:szCs w:val="21"/>
          <w:lang w:val="en-US"/>
        </w:rPr>
        <w:t xml:space="preserve">n </w:t>
      </w:r>
      <w:r w:rsidRPr="003D40E1">
        <w:rPr>
          <w:rFonts w:ascii="Times New Roman" w:eastAsiaTheme="minorHAnsi" w:hAnsi="Times New Roman"/>
          <w:sz w:val="20"/>
          <w:szCs w:val="27"/>
          <w:lang w:val="en-US"/>
        </w:rPr>
        <w:t>E</w:t>
      </w:r>
      <w:r w:rsidRPr="003D40E1">
        <w:rPr>
          <w:rFonts w:ascii="Times New Roman" w:eastAsiaTheme="minorHAnsi" w:hAnsi="Times New Roman"/>
          <w:sz w:val="20"/>
          <w:szCs w:val="21"/>
          <w:lang w:val="en-US"/>
        </w:rPr>
        <w:t xml:space="preserve">ssay On </w:t>
      </w:r>
      <w:r w:rsidRPr="003D40E1">
        <w:rPr>
          <w:rFonts w:ascii="Times New Roman" w:eastAsiaTheme="minorHAnsi" w:hAnsi="Times New Roman"/>
          <w:sz w:val="20"/>
          <w:szCs w:val="27"/>
          <w:lang w:val="en-US"/>
        </w:rPr>
        <w:t>A</w:t>
      </w:r>
      <w:r w:rsidRPr="003D40E1">
        <w:rPr>
          <w:rFonts w:ascii="Times New Roman" w:eastAsiaTheme="minorHAnsi" w:hAnsi="Times New Roman"/>
          <w:sz w:val="20"/>
          <w:szCs w:val="21"/>
          <w:lang w:val="en-US"/>
        </w:rPr>
        <w:t xml:space="preserve">djusting The </w:t>
      </w:r>
      <w:r w:rsidRPr="003D40E1">
        <w:rPr>
          <w:rFonts w:ascii="Times New Roman" w:eastAsiaTheme="minorHAnsi" w:hAnsi="Times New Roman"/>
          <w:sz w:val="20"/>
          <w:szCs w:val="27"/>
          <w:lang w:val="en-US"/>
        </w:rPr>
        <w:t>“O</w:t>
      </w:r>
      <w:r w:rsidRPr="003D40E1">
        <w:rPr>
          <w:rFonts w:ascii="Times New Roman" w:eastAsiaTheme="minorHAnsi" w:hAnsi="Times New Roman"/>
          <w:sz w:val="20"/>
          <w:szCs w:val="21"/>
          <w:lang w:val="en-US"/>
        </w:rPr>
        <w:t xml:space="preserve">ne </w:t>
      </w:r>
      <w:r w:rsidRPr="003D40E1">
        <w:rPr>
          <w:rFonts w:ascii="Times New Roman" w:eastAsiaTheme="minorHAnsi" w:hAnsi="Times New Roman"/>
          <w:sz w:val="20"/>
          <w:szCs w:val="27"/>
          <w:lang w:val="en-US"/>
        </w:rPr>
        <w:t>S</w:t>
      </w:r>
      <w:r w:rsidRPr="003D40E1">
        <w:rPr>
          <w:rFonts w:ascii="Times New Roman" w:eastAsiaTheme="minorHAnsi" w:hAnsi="Times New Roman"/>
          <w:sz w:val="20"/>
          <w:szCs w:val="21"/>
          <w:lang w:val="en-US"/>
        </w:rPr>
        <w:t xml:space="preserve">ize </w:t>
      </w:r>
      <w:r w:rsidRPr="003D40E1">
        <w:rPr>
          <w:rFonts w:ascii="Times New Roman" w:eastAsiaTheme="minorHAnsi" w:hAnsi="Times New Roman"/>
          <w:sz w:val="20"/>
          <w:szCs w:val="27"/>
          <w:lang w:val="en-US"/>
        </w:rPr>
        <w:t>F</w:t>
      </w:r>
      <w:r w:rsidRPr="003D40E1">
        <w:rPr>
          <w:rFonts w:ascii="Times New Roman" w:eastAsiaTheme="minorHAnsi" w:hAnsi="Times New Roman"/>
          <w:sz w:val="20"/>
          <w:szCs w:val="21"/>
          <w:lang w:val="en-US"/>
        </w:rPr>
        <w:t xml:space="preserve">its </w:t>
      </w:r>
      <w:r w:rsidRPr="003D40E1">
        <w:rPr>
          <w:rFonts w:ascii="Times New Roman" w:eastAsiaTheme="minorHAnsi" w:hAnsi="Times New Roman"/>
          <w:sz w:val="20"/>
          <w:szCs w:val="27"/>
          <w:lang w:val="en-US"/>
        </w:rPr>
        <w:t>A</w:t>
      </w:r>
      <w:r w:rsidRPr="003D40E1">
        <w:rPr>
          <w:rFonts w:ascii="Times New Roman" w:eastAsiaTheme="minorHAnsi" w:hAnsi="Times New Roman"/>
          <w:sz w:val="20"/>
          <w:szCs w:val="21"/>
          <w:lang w:val="en-US"/>
        </w:rPr>
        <w:t>ll</w:t>
      </w:r>
      <w:r w:rsidRPr="003D40E1">
        <w:rPr>
          <w:rFonts w:ascii="Times New Roman" w:eastAsiaTheme="minorHAnsi" w:hAnsi="Times New Roman"/>
          <w:sz w:val="20"/>
          <w:szCs w:val="27"/>
          <w:lang w:val="en-US"/>
        </w:rPr>
        <w:t>” A</w:t>
      </w:r>
      <w:r w:rsidRPr="003D40E1">
        <w:rPr>
          <w:rFonts w:ascii="Times New Roman" w:eastAsiaTheme="minorHAnsi" w:hAnsi="Times New Roman"/>
          <w:sz w:val="20"/>
          <w:szCs w:val="21"/>
          <w:lang w:val="en-US"/>
        </w:rPr>
        <w:t>ssumption</w:t>
      </w:r>
      <w:r>
        <w:rPr>
          <w:rFonts w:ascii="Times New Roman" w:eastAsiaTheme="minorHAnsi" w:hAnsi="Times New Roman"/>
          <w:sz w:val="20"/>
          <w:szCs w:val="21"/>
          <w:lang w:val="en-US"/>
        </w:rPr>
        <w:t>’</w:t>
      </w:r>
      <w:r w:rsidRPr="003D40E1">
        <w:rPr>
          <w:rFonts w:ascii="Times New Roman" w:eastAsiaTheme="minorHAnsi" w:hAnsi="Times New Roman"/>
          <w:sz w:val="20"/>
          <w:szCs w:val="21"/>
          <w:lang w:val="en-US"/>
        </w:rPr>
        <w:t xml:space="preserve"> (2010)</w:t>
      </w:r>
      <w:r>
        <w:rPr>
          <w:rFonts w:ascii="Times New Roman" w:eastAsiaTheme="minorHAnsi" w:hAnsi="Times New Roman"/>
          <w:sz w:val="20"/>
          <w:szCs w:val="21"/>
          <w:lang w:val="en-US"/>
        </w:rPr>
        <w:t xml:space="preserve"> </w:t>
      </w:r>
      <w:r w:rsidRPr="003D40E1">
        <w:rPr>
          <w:rFonts w:ascii="Times New Roman" w:eastAsiaTheme="minorHAnsi" w:hAnsi="Times New Roman"/>
          <w:sz w:val="20"/>
          <w:szCs w:val="21"/>
          <w:lang w:val="en-US"/>
        </w:rPr>
        <w:t xml:space="preserve">87 </w:t>
      </w:r>
      <w:r w:rsidRPr="003D40E1">
        <w:rPr>
          <w:rFonts w:ascii="Times New Roman" w:eastAsiaTheme="minorHAnsi" w:hAnsi="Times New Roman"/>
          <w:iCs/>
          <w:sz w:val="20"/>
          <w:szCs w:val="21"/>
          <w:lang w:val="en-US"/>
        </w:rPr>
        <w:t>Denv U L.Rev</w:t>
      </w:r>
      <w:r w:rsidRPr="003D40E1">
        <w:rPr>
          <w:rFonts w:ascii="Times New Roman" w:eastAsiaTheme="minorHAnsi" w:hAnsi="Times New Roman"/>
          <w:sz w:val="20"/>
          <w:szCs w:val="21"/>
          <w:lang w:val="en-US"/>
        </w:rPr>
        <w:t xml:space="preserve"> 377</w:t>
      </w:r>
      <w:r>
        <w:rPr>
          <w:rFonts w:ascii="Times New Roman" w:eastAsiaTheme="minorHAnsi" w:hAnsi="Times New Roman"/>
          <w:sz w:val="20"/>
          <w:szCs w:val="21"/>
          <w:lang w:val="en-US"/>
        </w:rPr>
        <w:t>; Burbank, ‘Rule 11’ (</w:t>
      </w:r>
      <w:r w:rsidRPr="003D40E1">
        <w:rPr>
          <w:rFonts w:ascii="Times New Roman" w:eastAsiaTheme="minorHAnsi" w:hAnsi="Times New Roman"/>
          <w:sz w:val="20"/>
          <w:szCs w:val="21"/>
          <w:lang w:val="en-US"/>
        </w:rPr>
        <w:t>n</w:t>
      </w:r>
      <w:r>
        <w:rPr>
          <w:rFonts w:ascii="Times New Roman" w:eastAsiaTheme="minorHAnsi" w:hAnsi="Times New Roman"/>
          <w:sz w:val="20"/>
          <w:szCs w:val="21"/>
          <w:lang w:val="en-US"/>
        </w:rPr>
        <w:t xml:space="preserve"> </w:t>
      </w:r>
      <w:r>
        <w:rPr>
          <w:rFonts w:ascii="Times New Roman" w:eastAsiaTheme="minorHAnsi" w:hAnsi="Times New Roman"/>
          <w:sz w:val="20"/>
          <w:szCs w:val="21"/>
          <w:lang w:val="en-US"/>
        </w:rPr>
        <w:fldChar w:fldCharType="begin"/>
      </w:r>
      <w:r>
        <w:rPr>
          <w:rFonts w:ascii="Times New Roman" w:eastAsiaTheme="minorHAnsi" w:hAnsi="Times New Roman"/>
          <w:sz w:val="20"/>
          <w:szCs w:val="21"/>
          <w:lang w:val="en-US"/>
        </w:rPr>
        <w:instrText xml:space="preserve"> NOTEREF _Ref232394964 \h </w:instrText>
      </w:r>
      <w:r w:rsidRPr="00844364">
        <w:rPr>
          <w:rFonts w:ascii="Times New Roman" w:eastAsiaTheme="minorHAnsi" w:hAnsi="Times New Roman"/>
          <w:sz w:val="20"/>
          <w:szCs w:val="21"/>
          <w:lang w:val="en-US"/>
        </w:rPr>
      </w:r>
      <w:r>
        <w:rPr>
          <w:rFonts w:ascii="Times New Roman" w:eastAsiaTheme="minorHAnsi" w:hAnsi="Times New Roman"/>
          <w:sz w:val="20"/>
          <w:szCs w:val="21"/>
          <w:lang w:val="en-US"/>
        </w:rPr>
        <w:fldChar w:fldCharType="separate"/>
      </w:r>
      <w:r w:rsidR="00007B05">
        <w:rPr>
          <w:rFonts w:ascii="Times New Roman" w:eastAsiaTheme="minorHAnsi" w:hAnsi="Times New Roman"/>
          <w:sz w:val="20"/>
          <w:szCs w:val="21"/>
          <w:lang w:val="en-US"/>
        </w:rPr>
        <w:t>10</w:t>
      </w:r>
      <w:r>
        <w:rPr>
          <w:rFonts w:ascii="Times New Roman" w:eastAsiaTheme="minorHAnsi" w:hAnsi="Times New Roman"/>
          <w:sz w:val="20"/>
          <w:szCs w:val="21"/>
          <w:lang w:val="en-US"/>
        </w:rPr>
        <w:fldChar w:fldCharType="end"/>
      </w:r>
      <w:r>
        <w:rPr>
          <w:rFonts w:ascii="Times New Roman" w:eastAsiaTheme="minorHAnsi" w:hAnsi="Times New Roman"/>
          <w:sz w:val="20"/>
          <w:szCs w:val="21"/>
          <w:lang w:val="en-US"/>
        </w:rPr>
        <w:t>)</w:t>
      </w:r>
      <w:r w:rsidRPr="003D40E1">
        <w:rPr>
          <w:rFonts w:ascii="Times New Roman" w:eastAsiaTheme="minorHAnsi" w:hAnsi="Times New Roman"/>
          <w:sz w:val="20"/>
          <w:szCs w:val="21"/>
          <w:lang w:val="en-US"/>
        </w:rPr>
        <w:t xml:space="preserve"> </w:t>
      </w:r>
      <w:r w:rsidRPr="003D40E1">
        <w:rPr>
          <w:rFonts w:ascii="Times New Roman" w:hAnsi="Times New Roman"/>
          <w:sz w:val="20"/>
        </w:rPr>
        <w:t>1934-</w:t>
      </w:r>
      <w:r>
        <w:rPr>
          <w:rFonts w:ascii="Times New Roman" w:hAnsi="Times New Roman"/>
          <w:sz w:val="20"/>
        </w:rPr>
        <w:t>3</w:t>
      </w:r>
      <w:r w:rsidRPr="003D40E1">
        <w:rPr>
          <w:rFonts w:ascii="Times New Roman" w:hAnsi="Times New Roman"/>
          <w:sz w:val="20"/>
        </w:rPr>
        <w:t>5.</w:t>
      </w:r>
    </w:p>
  </w:footnote>
  <w:footnote w:id="123">
    <w:p w:rsidR="00D43B4E" w:rsidRPr="008C20C8" w:rsidRDefault="00D43B4E" w:rsidP="00827DD4">
      <w:pPr>
        <w:pStyle w:val="FootnoteText"/>
        <w:rPr>
          <w:rFonts w:ascii="Times New Roman" w:hAnsi="Times New Roman"/>
          <w:sz w:val="20"/>
        </w:rPr>
      </w:pPr>
      <w:r>
        <w:rPr>
          <w:rStyle w:val="FootnoteReference"/>
          <w:rFonts w:ascii="Times New Roman" w:hAnsi="Times New Roman"/>
          <w:sz w:val="20"/>
        </w:rPr>
        <w:footnoteRef/>
      </w:r>
      <w:r w:rsidRPr="003D40E1">
        <w:rPr>
          <w:rFonts w:ascii="Times New Roman" w:hAnsi="Times New Roman"/>
          <w:sz w:val="20"/>
        </w:rPr>
        <w:t xml:space="preserve"> WS Holdsworth, </w:t>
      </w:r>
      <w:r>
        <w:rPr>
          <w:rFonts w:ascii="Times New Roman" w:hAnsi="Times New Roman"/>
          <w:sz w:val="20"/>
        </w:rPr>
        <w:t>‘</w:t>
      </w:r>
      <w:r w:rsidRPr="003D40E1">
        <w:rPr>
          <w:rFonts w:ascii="Times New Roman" w:hAnsi="Times New Roman"/>
          <w:sz w:val="20"/>
        </w:rPr>
        <w:t>The New Rules of Pleading of the Hilary Term, 1834</w:t>
      </w:r>
      <w:r>
        <w:rPr>
          <w:rFonts w:ascii="Times New Roman" w:hAnsi="Times New Roman"/>
          <w:sz w:val="20"/>
        </w:rPr>
        <w:t>’</w:t>
      </w:r>
      <w:r w:rsidRPr="003D40E1">
        <w:rPr>
          <w:rFonts w:ascii="Times New Roman" w:hAnsi="Times New Roman"/>
          <w:sz w:val="20"/>
        </w:rPr>
        <w:t xml:space="preserve"> (1923) CLJ 1, 261.</w:t>
      </w:r>
    </w:p>
  </w:footnote>
  <w:footnote w:id="124">
    <w:p w:rsidR="00D43B4E" w:rsidRPr="008C20C8" w:rsidRDefault="00D43B4E" w:rsidP="00827DD4">
      <w:pPr>
        <w:pStyle w:val="FootnoteText"/>
        <w:rPr>
          <w:rFonts w:ascii="Times New Roman" w:eastAsiaTheme="minorHAnsi" w:hAnsi="Times New Roman"/>
          <w:sz w:val="20"/>
          <w:lang w:val="en-US"/>
        </w:rPr>
      </w:pPr>
      <w:r>
        <w:rPr>
          <w:rStyle w:val="FootnoteReference"/>
          <w:rFonts w:ascii="Times New Roman" w:hAnsi="Times New Roman"/>
          <w:sz w:val="20"/>
        </w:rPr>
        <w:footnoteRef/>
      </w:r>
      <w:r>
        <w:rPr>
          <w:rFonts w:ascii="Times New Roman" w:hAnsi="Times New Roman"/>
          <w:sz w:val="20"/>
        </w:rPr>
        <w:t xml:space="preserve"> </w:t>
      </w:r>
      <w:r w:rsidRPr="003D40E1">
        <w:rPr>
          <w:rFonts w:ascii="Times New Roman" w:hAnsi="Times New Roman"/>
          <w:sz w:val="20"/>
        </w:rPr>
        <w:t>Jolowicz</w:t>
      </w:r>
      <w:r>
        <w:rPr>
          <w:rFonts w:ascii="Times New Roman" w:hAnsi="Times New Roman"/>
          <w:sz w:val="20"/>
        </w:rPr>
        <w:t xml:space="preserve"> (n </w:t>
      </w:r>
      <w:r>
        <w:rPr>
          <w:rFonts w:ascii="Times New Roman" w:hAnsi="Times New Roman"/>
          <w:sz w:val="20"/>
        </w:rPr>
        <w:fldChar w:fldCharType="begin"/>
      </w:r>
      <w:r>
        <w:rPr>
          <w:rFonts w:ascii="Times New Roman" w:hAnsi="Times New Roman"/>
          <w:sz w:val="20"/>
        </w:rPr>
        <w:instrText xml:space="preserve"> NOTEREF _Ref232408614 \h </w:instrText>
      </w:r>
      <w:r w:rsidRPr="00844364">
        <w:rPr>
          <w:rFonts w:ascii="Times New Roman" w:hAnsi="Times New Roman"/>
          <w:sz w:val="20"/>
        </w:rPr>
      </w:r>
      <w:r>
        <w:rPr>
          <w:rFonts w:ascii="Times New Roman" w:hAnsi="Times New Roman"/>
          <w:sz w:val="20"/>
        </w:rPr>
        <w:fldChar w:fldCharType="separate"/>
      </w:r>
      <w:r w:rsidR="00007B05">
        <w:rPr>
          <w:rFonts w:ascii="Times New Roman" w:hAnsi="Times New Roman"/>
          <w:sz w:val="20"/>
        </w:rPr>
        <w:t>21</w:t>
      </w:r>
      <w:r>
        <w:rPr>
          <w:rFonts w:ascii="Times New Roman" w:hAnsi="Times New Roman"/>
          <w:sz w:val="20"/>
        </w:rPr>
        <w:fldChar w:fldCharType="end"/>
      </w:r>
      <w:r>
        <w:rPr>
          <w:rFonts w:ascii="Times New Roman" w:hAnsi="Times New Roman"/>
          <w:sz w:val="20"/>
        </w:rPr>
        <w:t>)</w:t>
      </w:r>
      <w:r w:rsidRPr="003D40E1">
        <w:rPr>
          <w:rFonts w:ascii="Times New Roman" w:hAnsi="Times New Roman"/>
          <w:sz w:val="20"/>
        </w:rPr>
        <w:t xml:space="preserve"> </w:t>
      </w:r>
      <w:r>
        <w:rPr>
          <w:rFonts w:ascii="Times New Roman" w:eastAsiaTheme="minorHAnsi" w:hAnsi="Times New Roman"/>
          <w:sz w:val="20"/>
          <w:lang w:val="en-US"/>
        </w:rPr>
        <w:t>359-</w:t>
      </w:r>
      <w:r w:rsidRPr="003D40E1">
        <w:rPr>
          <w:rFonts w:ascii="Times New Roman" w:eastAsiaTheme="minorHAnsi" w:hAnsi="Times New Roman"/>
          <w:sz w:val="20"/>
          <w:lang w:val="en-US"/>
        </w:rPr>
        <w:t>61.</w:t>
      </w:r>
    </w:p>
  </w:footnote>
  <w:footnote w:id="125">
    <w:p w:rsidR="00D43B4E" w:rsidRPr="008C20C8" w:rsidRDefault="00D43B4E" w:rsidP="00827DD4">
      <w:pPr>
        <w:pStyle w:val="FootnoteText"/>
        <w:rPr>
          <w:rFonts w:ascii="Times New Roman" w:hAnsi="Times New Roman"/>
          <w:sz w:val="20"/>
        </w:rPr>
      </w:pPr>
      <w:r>
        <w:rPr>
          <w:rStyle w:val="FootnoteReference"/>
          <w:rFonts w:ascii="Times New Roman" w:hAnsi="Times New Roman"/>
          <w:sz w:val="20"/>
        </w:rPr>
        <w:footnoteRef/>
      </w:r>
      <w:r w:rsidRPr="003D40E1">
        <w:rPr>
          <w:rFonts w:ascii="Times New Roman" w:hAnsi="Times New Roman"/>
          <w:sz w:val="20"/>
        </w:rPr>
        <w:t xml:space="preserve"> The defence of the idea that rules of civil procedure are value-neutral and general only appears where there </w:t>
      </w:r>
      <w:r>
        <w:rPr>
          <w:rFonts w:ascii="Times New Roman" w:hAnsi="Times New Roman"/>
          <w:sz w:val="20"/>
        </w:rPr>
        <w:t>is a danger</w:t>
      </w:r>
      <w:r w:rsidRPr="003D40E1">
        <w:rPr>
          <w:rFonts w:ascii="Times New Roman" w:hAnsi="Times New Roman"/>
          <w:sz w:val="20"/>
        </w:rPr>
        <w:t xml:space="preserve"> of </w:t>
      </w:r>
      <w:r>
        <w:rPr>
          <w:rFonts w:ascii="Times New Roman" w:hAnsi="Times New Roman"/>
          <w:sz w:val="20"/>
        </w:rPr>
        <w:t>‘</w:t>
      </w:r>
      <w:r w:rsidRPr="003D40E1">
        <w:rPr>
          <w:rFonts w:ascii="Times New Roman" w:hAnsi="Times New Roman"/>
          <w:sz w:val="20"/>
        </w:rPr>
        <w:t>Balkanising</w:t>
      </w:r>
      <w:r>
        <w:rPr>
          <w:rFonts w:ascii="Times New Roman" w:hAnsi="Times New Roman"/>
          <w:sz w:val="20"/>
        </w:rPr>
        <w:t>’</w:t>
      </w:r>
      <w:r w:rsidRPr="003D40E1">
        <w:rPr>
          <w:rFonts w:ascii="Times New Roman" w:hAnsi="Times New Roman"/>
          <w:sz w:val="20"/>
        </w:rPr>
        <w:t xml:space="preserve"> the rules: for example, A Zuckerman, </w:t>
      </w:r>
      <w:r>
        <w:rPr>
          <w:rFonts w:ascii="Times New Roman" w:hAnsi="Times New Roman"/>
          <w:sz w:val="20"/>
        </w:rPr>
        <w:t>‘</w:t>
      </w:r>
      <w:r w:rsidRPr="003D40E1">
        <w:rPr>
          <w:rFonts w:ascii="Times New Roman" w:eastAsiaTheme="minorHAnsi" w:hAnsi="Times New Roman" w:cs="Trebuchet MS"/>
          <w:bCs/>
          <w:sz w:val="20"/>
          <w:szCs w:val="30"/>
          <w:lang w:val="en-US"/>
        </w:rPr>
        <w:t>The Jackson Final Report on Costs: plastering the cracks to shore up a dysfunctional system</w:t>
      </w:r>
      <w:r>
        <w:rPr>
          <w:rFonts w:ascii="Times New Roman" w:eastAsiaTheme="minorHAnsi" w:hAnsi="Times New Roman" w:cs="Trebuchet MS"/>
          <w:bCs/>
          <w:sz w:val="20"/>
          <w:szCs w:val="30"/>
          <w:lang w:val="en-US"/>
        </w:rPr>
        <w:t>’</w:t>
      </w:r>
      <w:r w:rsidRPr="003D40E1">
        <w:rPr>
          <w:rFonts w:ascii="Times New Roman" w:eastAsiaTheme="minorHAnsi" w:hAnsi="Times New Roman" w:cs="Trebuchet MS"/>
          <w:bCs/>
          <w:sz w:val="20"/>
          <w:szCs w:val="30"/>
          <w:lang w:val="en-US"/>
        </w:rPr>
        <w:t xml:space="preserve"> </w:t>
      </w:r>
      <w:r w:rsidRPr="003D40E1">
        <w:rPr>
          <w:rFonts w:ascii="Times New Roman" w:eastAsiaTheme="minorHAnsi" w:hAnsi="Times New Roman" w:cs="Verdana"/>
          <w:sz w:val="20"/>
          <w:szCs w:val="26"/>
          <w:lang w:val="en-US"/>
        </w:rPr>
        <w:t>(2010)</w:t>
      </w:r>
      <w:r>
        <w:rPr>
          <w:rFonts w:ascii="Times New Roman" w:eastAsiaTheme="minorHAnsi" w:hAnsi="Times New Roman" w:cs="Verdana"/>
          <w:sz w:val="20"/>
          <w:szCs w:val="26"/>
          <w:lang w:val="en-US"/>
        </w:rPr>
        <w:t xml:space="preserve"> </w:t>
      </w:r>
      <w:r w:rsidRPr="003D40E1">
        <w:rPr>
          <w:rFonts w:ascii="Times New Roman" w:eastAsiaTheme="minorHAnsi" w:hAnsi="Times New Roman" w:cs="Trebuchet MS"/>
          <w:bCs/>
          <w:sz w:val="20"/>
          <w:szCs w:val="30"/>
          <w:lang w:val="en-US"/>
        </w:rPr>
        <w:t xml:space="preserve">29 </w:t>
      </w:r>
      <w:r w:rsidRPr="003D40E1">
        <w:rPr>
          <w:rFonts w:ascii="Times New Roman" w:eastAsiaTheme="minorHAnsi" w:hAnsi="Times New Roman" w:cs="Verdana"/>
          <w:sz w:val="20"/>
          <w:szCs w:val="26"/>
          <w:lang w:val="en-US"/>
        </w:rPr>
        <w:t xml:space="preserve">CJQ 263, 276. </w:t>
      </w:r>
    </w:p>
  </w:footnote>
  <w:footnote w:id="126">
    <w:p w:rsidR="00D43B4E" w:rsidRPr="008C20C8" w:rsidRDefault="00D43B4E" w:rsidP="00827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w:i/>
          <w:iCs/>
          <w:color w:val="000000"/>
          <w:sz w:val="20"/>
          <w:szCs w:val="18"/>
          <w:lang w:val="en-US"/>
        </w:rPr>
      </w:pPr>
      <w:r>
        <w:rPr>
          <w:rStyle w:val="FootnoteReference"/>
          <w:rFonts w:ascii="Times New Roman" w:hAnsi="Times New Roman"/>
          <w:sz w:val="20"/>
        </w:rPr>
        <w:footnoteRef/>
      </w:r>
      <w:r w:rsidRPr="003D40E1">
        <w:rPr>
          <w:rFonts w:ascii="Times New Roman" w:hAnsi="Times New Roman"/>
          <w:sz w:val="20"/>
        </w:rPr>
        <w:t xml:space="preserve"> JB Weinstein, </w:t>
      </w:r>
      <w:r>
        <w:rPr>
          <w:rFonts w:ascii="Times New Roman" w:hAnsi="Times New Roman"/>
          <w:sz w:val="20"/>
        </w:rPr>
        <w:t>‘</w:t>
      </w:r>
      <w:r w:rsidRPr="003D40E1">
        <w:rPr>
          <w:rFonts w:ascii="Times New Roman" w:eastAsiaTheme="minorHAnsi" w:hAnsi="Times New Roman" w:cs="Times"/>
          <w:iCs/>
          <w:color w:val="000000"/>
          <w:sz w:val="20"/>
          <w:szCs w:val="18"/>
          <w:lang w:val="en-US"/>
        </w:rPr>
        <w:t xml:space="preserve">After Fifty </w:t>
      </w:r>
      <w:r w:rsidRPr="003D40E1">
        <w:rPr>
          <w:rFonts w:ascii="Times New Roman" w:eastAsiaTheme="minorHAnsi" w:hAnsi="Times New Roman" w:cs="Times"/>
          <w:iCs/>
          <w:color w:val="000000"/>
          <w:sz w:val="20"/>
          <w:szCs w:val="17"/>
          <w:lang w:val="en-US"/>
        </w:rPr>
        <w:t xml:space="preserve">Years </w:t>
      </w:r>
      <w:r w:rsidRPr="003D40E1">
        <w:rPr>
          <w:rFonts w:ascii="Times New Roman" w:eastAsiaTheme="minorHAnsi" w:hAnsi="Times New Roman" w:cs="Times"/>
          <w:iCs/>
          <w:color w:val="000000"/>
          <w:sz w:val="20"/>
          <w:szCs w:val="19"/>
          <w:lang w:val="en-US"/>
        </w:rPr>
        <w:t xml:space="preserve">of </w:t>
      </w:r>
      <w:r w:rsidRPr="003D40E1">
        <w:rPr>
          <w:rFonts w:ascii="Times New Roman" w:eastAsiaTheme="minorHAnsi" w:hAnsi="Times New Roman" w:cs="Times"/>
          <w:iCs/>
          <w:color w:val="000000"/>
          <w:sz w:val="20"/>
          <w:szCs w:val="17"/>
          <w:lang w:val="en-US"/>
        </w:rPr>
        <w:t xml:space="preserve">the </w:t>
      </w:r>
      <w:r w:rsidRPr="003D40E1">
        <w:rPr>
          <w:rFonts w:ascii="Times New Roman" w:eastAsiaTheme="minorHAnsi" w:hAnsi="Times New Roman" w:cs="Times"/>
          <w:iCs/>
          <w:color w:val="000000"/>
          <w:sz w:val="20"/>
          <w:szCs w:val="18"/>
          <w:lang w:val="en-US"/>
        </w:rPr>
        <w:t xml:space="preserve">Federal Rules </w:t>
      </w:r>
      <w:r w:rsidRPr="003D40E1">
        <w:rPr>
          <w:rFonts w:ascii="Times New Roman" w:eastAsiaTheme="minorHAnsi" w:hAnsi="Times New Roman" w:cs="Times"/>
          <w:iCs/>
          <w:color w:val="000000"/>
          <w:sz w:val="20"/>
          <w:szCs w:val="19"/>
          <w:lang w:val="en-US"/>
        </w:rPr>
        <w:t xml:space="preserve">of </w:t>
      </w:r>
      <w:r w:rsidRPr="003D40E1">
        <w:rPr>
          <w:rFonts w:ascii="Times New Roman" w:eastAsiaTheme="minorHAnsi" w:hAnsi="Times New Roman" w:cs="Times"/>
          <w:iCs/>
          <w:color w:val="000000"/>
          <w:sz w:val="20"/>
          <w:szCs w:val="18"/>
          <w:lang w:val="en-US"/>
        </w:rPr>
        <w:t xml:space="preserve">Civil Procedure: Are </w:t>
      </w:r>
      <w:r w:rsidRPr="003D40E1">
        <w:rPr>
          <w:rFonts w:ascii="Times New Roman" w:eastAsiaTheme="minorHAnsi" w:hAnsi="Times New Roman" w:cs="Times"/>
          <w:iCs/>
          <w:color w:val="000000"/>
          <w:sz w:val="20"/>
          <w:szCs w:val="17"/>
          <w:lang w:val="en-US"/>
        </w:rPr>
        <w:t xml:space="preserve">the </w:t>
      </w:r>
      <w:r w:rsidRPr="003D40E1">
        <w:rPr>
          <w:rFonts w:ascii="Times New Roman" w:eastAsiaTheme="minorHAnsi" w:hAnsi="Times New Roman" w:cs="Times"/>
          <w:iCs/>
          <w:color w:val="000000"/>
          <w:sz w:val="20"/>
          <w:szCs w:val="19"/>
          <w:lang w:val="en-US"/>
        </w:rPr>
        <w:t xml:space="preserve">Barriers </w:t>
      </w:r>
      <w:r w:rsidRPr="003D40E1">
        <w:rPr>
          <w:rFonts w:ascii="Times New Roman" w:eastAsiaTheme="minorHAnsi" w:hAnsi="Times New Roman" w:cs="Times"/>
          <w:iCs/>
          <w:color w:val="000000"/>
          <w:sz w:val="20"/>
          <w:szCs w:val="17"/>
          <w:lang w:val="en-US"/>
        </w:rPr>
        <w:t xml:space="preserve">to </w:t>
      </w:r>
      <w:r w:rsidRPr="003D40E1">
        <w:rPr>
          <w:rFonts w:ascii="Times New Roman" w:eastAsiaTheme="minorHAnsi" w:hAnsi="Times New Roman" w:cs="Times"/>
          <w:iCs/>
          <w:color w:val="000000"/>
          <w:sz w:val="20"/>
          <w:szCs w:val="18"/>
          <w:lang w:val="en-US"/>
        </w:rPr>
        <w:t>Justice Being Raised?</w:t>
      </w:r>
      <w:r>
        <w:rPr>
          <w:rFonts w:ascii="Times New Roman" w:eastAsiaTheme="minorHAnsi" w:hAnsi="Times New Roman" w:cs="Times"/>
          <w:iCs/>
          <w:color w:val="000000"/>
          <w:sz w:val="20"/>
          <w:szCs w:val="18"/>
          <w:lang w:val="en-US"/>
        </w:rPr>
        <w:t>’</w:t>
      </w:r>
      <w:r w:rsidRPr="001E1B3F">
        <w:rPr>
          <w:rFonts w:ascii="Times New Roman" w:eastAsiaTheme="minorHAnsi" w:hAnsi="Times New Roman" w:cs="Times"/>
          <w:color w:val="000000"/>
          <w:sz w:val="20"/>
          <w:szCs w:val="17"/>
          <w:lang w:val="en-US"/>
        </w:rPr>
        <w:t xml:space="preserve"> </w:t>
      </w:r>
      <w:r w:rsidRPr="003D40E1">
        <w:rPr>
          <w:rFonts w:ascii="Times New Roman" w:eastAsiaTheme="minorHAnsi" w:hAnsi="Times New Roman" w:cs="Times"/>
          <w:color w:val="000000"/>
          <w:sz w:val="20"/>
          <w:szCs w:val="17"/>
          <w:lang w:val="en-US"/>
        </w:rPr>
        <w:t>(1989)</w:t>
      </w:r>
      <w:r w:rsidRPr="003D40E1">
        <w:rPr>
          <w:rFonts w:ascii="Times New Roman" w:eastAsiaTheme="minorHAnsi" w:hAnsi="Times New Roman" w:cs="Times"/>
          <w:iCs/>
          <w:color w:val="000000"/>
          <w:sz w:val="20"/>
          <w:szCs w:val="18"/>
          <w:lang w:val="en-US"/>
        </w:rPr>
        <w:t xml:space="preserve"> </w:t>
      </w:r>
      <w:r w:rsidRPr="003D40E1">
        <w:rPr>
          <w:rFonts w:ascii="Times New Roman" w:eastAsiaTheme="minorHAnsi" w:hAnsi="Times New Roman" w:cs="Times"/>
          <w:color w:val="000000"/>
          <w:sz w:val="20"/>
          <w:szCs w:val="16"/>
          <w:lang w:val="en-US"/>
        </w:rPr>
        <w:t xml:space="preserve">137 </w:t>
      </w:r>
      <w:r>
        <w:rPr>
          <w:rFonts w:ascii="Times New Roman" w:eastAsiaTheme="minorHAnsi" w:hAnsi="Times New Roman" w:cs="Times"/>
          <w:color w:val="000000"/>
          <w:sz w:val="20"/>
          <w:szCs w:val="18"/>
          <w:lang w:val="en-US"/>
        </w:rPr>
        <w:t>U</w:t>
      </w:r>
      <w:r w:rsidRPr="003D40E1">
        <w:rPr>
          <w:rFonts w:ascii="Times New Roman" w:eastAsiaTheme="minorHAnsi" w:hAnsi="Times New Roman" w:cs="Times"/>
          <w:color w:val="000000"/>
          <w:sz w:val="20"/>
          <w:szCs w:val="18"/>
          <w:lang w:val="en-US"/>
        </w:rPr>
        <w:t xml:space="preserve"> </w:t>
      </w:r>
      <w:r w:rsidRPr="003D40E1">
        <w:rPr>
          <w:rFonts w:ascii="Times New Roman" w:eastAsiaTheme="minorHAnsi" w:hAnsi="Times New Roman" w:cs="Times"/>
          <w:color w:val="000000"/>
          <w:sz w:val="20"/>
          <w:szCs w:val="16"/>
          <w:lang w:val="en-US"/>
        </w:rPr>
        <w:t>P</w:t>
      </w:r>
      <w:r>
        <w:rPr>
          <w:rFonts w:ascii="Times New Roman" w:eastAsiaTheme="minorHAnsi" w:hAnsi="Times New Roman" w:cs="Times"/>
          <w:color w:val="000000"/>
          <w:sz w:val="20"/>
          <w:szCs w:val="16"/>
          <w:lang w:val="en-US"/>
        </w:rPr>
        <w:t>a</w:t>
      </w:r>
      <w:r w:rsidRPr="003D40E1">
        <w:rPr>
          <w:rFonts w:ascii="Times New Roman" w:eastAsiaTheme="minorHAnsi" w:hAnsi="Times New Roman" w:cs="Times"/>
          <w:color w:val="000000"/>
          <w:sz w:val="20"/>
          <w:szCs w:val="16"/>
          <w:lang w:val="en-US"/>
        </w:rPr>
        <w:t xml:space="preserve"> </w:t>
      </w:r>
      <w:r w:rsidRPr="003D40E1">
        <w:rPr>
          <w:rFonts w:ascii="Times New Roman" w:eastAsiaTheme="minorHAnsi" w:hAnsi="Times New Roman" w:cs="Times"/>
          <w:color w:val="000000"/>
          <w:sz w:val="20"/>
          <w:szCs w:val="18"/>
          <w:lang w:val="en-US"/>
        </w:rPr>
        <w:t xml:space="preserve">L </w:t>
      </w:r>
      <w:r w:rsidRPr="003D40E1">
        <w:rPr>
          <w:rFonts w:ascii="Times New Roman" w:eastAsiaTheme="minorHAnsi" w:hAnsi="Times New Roman" w:cs="Times"/>
          <w:color w:val="000000"/>
          <w:sz w:val="20"/>
          <w:szCs w:val="16"/>
          <w:lang w:val="en-US"/>
        </w:rPr>
        <w:t>R</w:t>
      </w:r>
      <w:r>
        <w:rPr>
          <w:rFonts w:ascii="Times New Roman" w:eastAsiaTheme="minorHAnsi" w:hAnsi="Times New Roman" w:cs="Times"/>
          <w:color w:val="000000"/>
          <w:sz w:val="20"/>
          <w:szCs w:val="16"/>
          <w:lang w:val="en-US"/>
        </w:rPr>
        <w:t>ev</w:t>
      </w:r>
      <w:r w:rsidRPr="003D40E1">
        <w:rPr>
          <w:rFonts w:ascii="Times New Roman" w:eastAsiaTheme="minorHAnsi" w:hAnsi="Times New Roman" w:cs="Times"/>
          <w:color w:val="000000"/>
          <w:sz w:val="20"/>
          <w:szCs w:val="16"/>
          <w:lang w:val="en-US"/>
        </w:rPr>
        <w:t xml:space="preserve"> 1901</w:t>
      </w:r>
      <w:r w:rsidRPr="00A73B7C">
        <w:rPr>
          <w:rFonts w:ascii="Times New Roman" w:eastAsiaTheme="minorHAnsi" w:hAnsi="Times New Roman" w:cs="Times"/>
          <w:color w:val="000000"/>
          <w:sz w:val="20"/>
          <w:szCs w:val="16"/>
          <w:lang w:val="en-US"/>
        </w:rPr>
        <w:t xml:space="preserve">, </w:t>
      </w:r>
      <w:r w:rsidRPr="00A73B7C">
        <w:rPr>
          <w:rFonts w:ascii="Times New Roman" w:eastAsiaTheme="minorHAnsi" w:hAnsi="Times New Roman" w:cs="Times"/>
          <w:color w:val="000000"/>
          <w:sz w:val="20"/>
          <w:szCs w:val="17"/>
          <w:lang w:val="en-US"/>
        </w:rPr>
        <w:t>1903</w:t>
      </w:r>
      <w:r>
        <w:rPr>
          <w:rFonts w:ascii="Times New Roman" w:eastAsiaTheme="minorHAnsi" w:hAnsi="Times New Roman" w:cs="Times"/>
          <w:color w:val="000000"/>
          <w:sz w:val="20"/>
          <w:szCs w:val="17"/>
          <w:lang w:val="en-US"/>
        </w:rPr>
        <w:t>.</w:t>
      </w:r>
    </w:p>
  </w:footnote>
  <w:footnote w:id="127">
    <w:p w:rsidR="00D43B4E" w:rsidRDefault="00D43B4E">
      <w:pPr>
        <w:pStyle w:val="FootnoteText"/>
      </w:pPr>
      <w:r>
        <w:rPr>
          <w:rStyle w:val="FootnoteReference"/>
        </w:rPr>
        <w:footnoteRef/>
      </w:r>
      <w:r>
        <w:rPr>
          <w:rFonts w:ascii="Times New Roman" w:hAnsi="Times New Roman"/>
          <w:sz w:val="20"/>
        </w:rPr>
        <w:t xml:space="preserve"> From Lord Woolf’s incipit ‘</w:t>
      </w:r>
      <w:r w:rsidRPr="00A6528B">
        <w:rPr>
          <w:rFonts w:ascii="Times New Roman" w:hAnsi="Times New Roman"/>
          <w:sz w:val="20"/>
        </w:rPr>
        <w:t>These rule</w:t>
      </w:r>
      <w:r>
        <w:rPr>
          <w:rFonts w:ascii="Times New Roman" w:hAnsi="Times New Roman"/>
          <w:sz w:val="20"/>
        </w:rPr>
        <w:t>s are a new procedural code’</w:t>
      </w:r>
      <w:r w:rsidRPr="00A6528B">
        <w:rPr>
          <w:rFonts w:ascii="Times New Roman" w:hAnsi="Times New Roman"/>
          <w:sz w:val="20"/>
        </w:rPr>
        <w:t xml:space="preserve"> (CPR 1.1) to Jackson’s acceptance that the previ</w:t>
      </w:r>
      <w:r>
        <w:rPr>
          <w:rFonts w:ascii="Times New Roman" w:hAnsi="Times New Roman"/>
          <w:sz w:val="20"/>
        </w:rPr>
        <w:t>ous version of CPR 3.9 was too ‘open’</w:t>
      </w:r>
      <w:r w:rsidRPr="00A6528B">
        <w:rPr>
          <w:rFonts w:ascii="Times New Roman" w:hAnsi="Times New Roman"/>
          <w:sz w:val="20"/>
        </w:rPr>
        <w:t xml:space="preserve"> and the current version, with its emphasis on rule compliance and efficiency.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BA9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42AA26"/>
    <w:lvl w:ilvl="0">
      <w:start w:val="1"/>
      <w:numFmt w:val="decimal"/>
      <w:lvlText w:val="%1."/>
      <w:lvlJc w:val="left"/>
      <w:pPr>
        <w:tabs>
          <w:tab w:val="num" w:pos="1492"/>
        </w:tabs>
        <w:ind w:left="1492" w:hanging="360"/>
      </w:pPr>
    </w:lvl>
  </w:abstractNum>
  <w:abstractNum w:abstractNumId="2">
    <w:nsid w:val="FFFFFF7D"/>
    <w:multiLevelType w:val="singleLevel"/>
    <w:tmpl w:val="FA2E6F7C"/>
    <w:lvl w:ilvl="0">
      <w:start w:val="1"/>
      <w:numFmt w:val="decimal"/>
      <w:lvlText w:val="%1."/>
      <w:lvlJc w:val="left"/>
      <w:pPr>
        <w:tabs>
          <w:tab w:val="num" w:pos="1209"/>
        </w:tabs>
        <w:ind w:left="1209" w:hanging="360"/>
      </w:pPr>
    </w:lvl>
  </w:abstractNum>
  <w:abstractNum w:abstractNumId="3">
    <w:nsid w:val="FFFFFF7E"/>
    <w:multiLevelType w:val="singleLevel"/>
    <w:tmpl w:val="65EA54AC"/>
    <w:lvl w:ilvl="0">
      <w:start w:val="1"/>
      <w:numFmt w:val="decimal"/>
      <w:lvlText w:val="%1."/>
      <w:lvlJc w:val="left"/>
      <w:pPr>
        <w:tabs>
          <w:tab w:val="num" w:pos="926"/>
        </w:tabs>
        <w:ind w:left="926" w:hanging="360"/>
      </w:pPr>
    </w:lvl>
  </w:abstractNum>
  <w:abstractNum w:abstractNumId="4">
    <w:nsid w:val="FFFFFF7F"/>
    <w:multiLevelType w:val="singleLevel"/>
    <w:tmpl w:val="8788080A"/>
    <w:lvl w:ilvl="0">
      <w:start w:val="1"/>
      <w:numFmt w:val="decimal"/>
      <w:lvlText w:val="%1."/>
      <w:lvlJc w:val="left"/>
      <w:pPr>
        <w:tabs>
          <w:tab w:val="num" w:pos="643"/>
        </w:tabs>
        <w:ind w:left="643" w:hanging="360"/>
      </w:pPr>
    </w:lvl>
  </w:abstractNum>
  <w:abstractNum w:abstractNumId="5">
    <w:nsid w:val="FFFFFF80"/>
    <w:multiLevelType w:val="singleLevel"/>
    <w:tmpl w:val="4FE45A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3B431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1882B6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407D5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A3EBCA4"/>
    <w:lvl w:ilvl="0">
      <w:start w:val="1"/>
      <w:numFmt w:val="decimal"/>
      <w:lvlText w:val="%1."/>
      <w:lvlJc w:val="left"/>
      <w:pPr>
        <w:tabs>
          <w:tab w:val="num" w:pos="360"/>
        </w:tabs>
        <w:ind w:left="360" w:hanging="360"/>
      </w:pPr>
    </w:lvl>
  </w:abstractNum>
  <w:abstractNum w:abstractNumId="10">
    <w:nsid w:val="FFFFFF89"/>
    <w:multiLevelType w:val="singleLevel"/>
    <w:tmpl w:val="B066AB64"/>
    <w:lvl w:ilvl="0">
      <w:start w:val="1"/>
      <w:numFmt w:val="bullet"/>
      <w:lvlText w:val=""/>
      <w:lvlJc w:val="left"/>
      <w:pPr>
        <w:tabs>
          <w:tab w:val="num" w:pos="360"/>
        </w:tabs>
        <w:ind w:left="360" w:hanging="360"/>
      </w:pPr>
      <w:rPr>
        <w:rFonts w:ascii="Symbol" w:hAnsi="Symbol" w:hint="default"/>
      </w:rPr>
    </w:lvl>
  </w:abstractNum>
  <w:abstractNum w:abstractNumId="11">
    <w:nsid w:val="077E1DE2"/>
    <w:multiLevelType w:val="hybridMultilevel"/>
    <w:tmpl w:val="DE3C4E2C"/>
    <w:lvl w:ilvl="0" w:tplc="10C6EC74">
      <w:start w:val="1"/>
      <w:numFmt w:val="bullet"/>
      <w:lvlText w:val=""/>
      <w:lvlJc w:val="left"/>
      <w:pPr>
        <w:ind w:left="720" w:hanging="360"/>
      </w:pPr>
      <w:rPr>
        <w:rFonts w:ascii="Wingdings" w:eastAsia="Cambria" w:hAnsi="Wingdings"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0E7F17"/>
    <w:multiLevelType w:val="hybridMultilevel"/>
    <w:tmpl w:val="C6A8B7C4"/>
    <w:lvl w:ilvl="0" w:tplc="7B807ABA">
      <w:start w:val="1"/>
      <w:numFmt w:val="decimal"/>
      <w:lvlText w:val="(%1)"/>
      <w:lvlJc w:val="left"/>
      <w:pPr>
        <w:ind w:left="1501" w:hanging="7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3">
    <w:nsid w:val="181878DF"/>
    <w:multiLevelType w:val="hybridMultilevel"/>
    <w:tmpl w:val="8C5661FE"/>
    <w:lvl w:ilvl="0" w:tplc="AD7AB03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3A2EC8"/>
    <w:multiLevelType w:val="hybridMultilevel"/>
    <w:tmpl w:val="31F86F3E"/>
    <w:lvl w:ilvl="0" w:tplc="B1F2222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DE7776"/>
    <w:multiLevelType w:val="hybridMultilevel"/>
    <w:tmpl w:val="5DB2E06E"/>
    <w:lvl w:ilvl="0" w:tplc="384631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65236"/>
    <w:multiLevelType w:val="hybridMultilevel"/>
    <w:tmpl w:val="BABAEE54"/>
    <w:lvl w:ilvl="0" w:tplc="4048953C">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A3F59"/>
    <w:multiLevelType w:val="hybridMultilevel"/>
    <w:tmpl w:val="6A640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F2D39"/>
    <w:multiLevelType w:val="hybridMultilevel"/>
    <w:tmpl w:val="A53090B2"/>
    <w:lvl w:ilvl="0" w:tplc="02FE1290">
      <w:start w:val="1"/>
      <w:numFmt w:val="decimal"/>
      <w:lvlText w:val="(%1)"/>
      <w:lvlJc w:val="left"/>
      <w:pPr>
        <w:ind w:left="720" w:hanging="360"/>
      </w:pPr>
      <w:rPr>
        <w:rFonts w:eastAsia="Cambr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E7785"/>
    <w:multiLevelType w:val="hybridMultilevel"/>
    <w:tmpl w:val="D5C4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A3928"/>
    <w:multiLevelType w:val="hybridMultilevel"/>
    <w:tmpl w:val="A462E752"/>
    <w:lvl w:ilvl="0" w:tplc="EEC49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CD3E5B"/>
    <w:multiLevelType w:val="hybridMultilevel"/>
    <w:tmpl w:val="10FCF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621ED2"/>
    <w:multiLevelType w:val="hybridMultilevel"/>
    <w:tmpl w:val="6F9E9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493299"/>
    <w:multiLevelType w:val="hybridMultilevel"/>
    <w:tmpl w:val="785A73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442004"/>
    <w:multiLevelType w:val="hybridMultilevel"/>
    <w:tmpl w:val="1864001E"/>
    <w:lvl w:ilvl="0" w:tplc="056EB91C">
      <w:start w:val="1"/>
      <w:numFmt w:val="bullet"/>
      <w:lvlText w:val=""/>
      <w:lvlJc w:val="left"/>
      <w:pPr>
        <w:ind w:left="720" w:hanging="360"/>
      </w:pPr>
      <w:rPr>
        <w:rFonts w:ascii="Wingdings" w:eastAsia="Cambria" w:hAnsi="Wingdings"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10088A"/>
    <w:multiLevelType w:val="hybridMultilevel"/>
    <w:tmpl w:val="9D8204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1"/>
  </w:num>
  <w:num w:numId="4">
    <w:abstractNumId w:val="24"/>
  </w:num>
  <w:num w:numId="5">
    <w:abstractNumId w:val="16"/>
  </w:num>
  <w:num w:numId="6">
    <w:abstractNumId w:val="17"/>
  </w:num>
  <w:num w:numId="7">
    <w:abstractNumId w:val="15"/>
  </w:num>
  <w:num w:numId="8">
    <w:abstractNumId w:val="20"/>
  </w:num>
  <w:num w:numId="9">
    <w:abstractNumId w:val="25"/>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19"/>
  </w:num>
  <w:num w:numId="23">
    <w:abstractNumId w:val="23"/>
  </w:num>
  <w:num w:numId="24">
    <w:abstractNumId w:val="14"/>
  </w:num>
  <w:num w:numId="25">
    <w:abstractNumId w:val="1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827DD4"/>
    <w:rsid w:val="00005C46"/>
    <w:rsid w:val="0000785A"/>
    <w:rsid w:val="00007B05"/>
    <w:rsid w:val="0001388B"/>
    <w:rsid w:val="00037C4C"/>
    <w:rsid w:val="00055C2F"/>
    <w:rsid w:val="0006060C"/>
    <w:rsid w:val="00074DB7"/>
    <w:rsid w:val="00077810"/>
    <w:rsid w:val="000910DD"/>
    <w:rsid w:val="00094843"/>
    <w:rsid w:val="000A0AB5"/>
    <w:rsid w:val="000B0213"/>
    <w:rsid w:val="000C24EF"/>
    <w:rsid w:val="000C2521"/>
    <w:rsid w:val="00102083"/>
    <w:rsid w:val="00103B93"/>
    <w:rsid w:val="00183853"/>
    <w:rsid w:val="00186F22"/>
    <w:rsid w:val="00187EAC"/>
    <w:rsid w:val="001C4B8D"/>
    <w:rsid w:val="001E1B3F"/>
    <w:rsid w:val="00216A5D"/>
    <w:rsid w:val="00224735"/>
    <w:rsid w:val="0023788E"/>
    <w:rsid w:val="00256C8D"/>
    <w:rsid w:val="00263E79"/>
    <w:rsid w:val="002B1B80"/>
    <w:rsid w:val="002C5A08"/>
    <w:rsid w:val="002D2F48"/>
    <w:rsid w:val="002D58CE"/>
    <w:rsid w:val="0031749A"/>
    <w:rsid w:val="00321327"/>
    <w:rsid w:val="00323432"/>
    <w:rsid w:val="00330636"/>
    <w:rsid w:val="00361DD8"/>
    <w:rsid w:val="00364B93"/>
    <w:rsid w:val="003A2A43"/>
    <w:rsid w:val="003A2A44"/>
    <w:rsid w:val="003B35D6"/>
    <w:rsid w:val="003B384E"/>
    <w:rsid w:val="003D0D83"/>
    <w:rsid w:val="003D40E1"/>
    <w:rsid w:val="003E2174"/>
    <w:rsid w:val="0040350C"/>
    <w:rsid w:val="004162EA"/>
    <w:rsid w:val="00444053"/>
    <w:rsid w:val="00447C64"/>
    <w:rsid w:val="0045481E"/>
    <w:rsid w:val="00454944"/>
    <w:rsid w:val="00494CF0"/>
    <w:rsid w:val="0049798F"/>
    <w:rsid w:val="004B3012"/>
    <w:rsid w:val="004C43B3"/>
    <w:rsid w:val="004C7894"/>
    <w:rsid w:val="004D4D87"/>
    <w:rsid w:val="004D5B9E"/>
    <w:rsid w:val="004E15EC"/>
    <w:rsid w:val="004E292A"/>
    <w:rsid w:val="00501D93"/>
    <w:rsid w:val="00531BC0"/>
    <w:rsid w:val="00532AE0"/>
    <w:rsid w:val="00535A36"/>
    <w:rsid w:val="00550983"/>
    <w:rsid w:val="0055719A"/>
    <w:rsid w:val="00566F89"/>
    <w:rsid w:val="00572DA9"/>
    <w:rsid w:val="00580FAD"/>
    <w:rsid w:val="005844A4"/>
    <w:rsid w:val="005879CD"/>
    <w:rsid w:val="005A12F6"/>
    <w:rsid w:val="005A4F4A"/>
    <w:rsid w:val="005A54BE"/>
    <w:rsid w:val="005C3ED2"/>
    <w:rsid w:val="005C5BD1"/>
    <w:rsid w:val="005C72E0"/>
    <w:rsid w:val="005F5416"/>
    <w:rsid w:val="005F5FF6"/>
    <w:rsid w:val="006024C1"/>
    <w:rsid w:val="00623DF8"/>
    <w:rsid w:val="0066000C"/>
    <w:rsid w:val="00666F86"/>
    <w:rsid w:val="00676844"/>
    <w:rsid w:val="00684252"/>
    <w:rsid w:val="006869B8"/>
    <w:rsid w:val="006A182C"/>
    <w:rsid w:val="006B1D42"/>
    <w:rsid w:val="006B3C70"/>
    <w:rsid w:val="0070361D"/>
    <w:rsid w:val="00706492"/>
    <w:rsid w:val="00716CEE"/>
    <w:rsid w:val="00717F96"/>
    <w:rsid w:val="00730E30"/>
    <w:rsid w:val="00731D6A"/>
    <w:rsid w:val="00735212"/>
    <w:rsid w:val="0076086F"/>
    <w:rsid w:val="00765A52"/>
    <w:rsid w:val="00766879"/>
    <w:rsid w:val="00794392"/>
    <w:rsid w:val="007B1A21"/>
    <w:rsid w:val="007B3DF4"/>
    <w:rsid w:val="007B7C56"/>
    <w:rsid w:val="007F6914"/>
    <w:rsid w:val="00804876"/>
    <w:rsid w:val="00823186"/>
    <w:rsid w:val="00826CC0"/>
    <w:rsid w:val="00827DD4"/>
    <w:rsid w:val="00844364"/>
    <w:rsid w:val="00852728"/>
    <w:rsid w:val="00881284"/>
    <w:rsid w:val="008B72E1"/>
    <w:rsid w:val="008C20C8"/>
    <w:rsid w:val="008E05F3"/>
    <w:rsid w:val="008E2391"/>
    <w:rsid w:val="008F0D79"/>
    <w:rsid w:val="008F2E45"/>
    <w:rsid w:val="00903596"/>
    <w:rsid w:val="00911B4E"/>
    <w:rsid w:val="00922BB5"/>
    <w:rsid w:val="009254BF"/>
    <w:rsid w:val="00932B27"/>
    <w:rsid w:val="009400D1"/>
    <w:rsid w:val="009600A1"/>
    <w:rsid w:val="009637A9"/>
    <w:rsid w:val="009665D1"/>
    <w:rsid w:val="009865EF"/>
    <w:rsid w:val="00986849"/>
    <w:rsid w:val="00994ED2"/>
    <w:rsid w:val="009C1C6B"/>
    <w:rsid w:val="009C2570"/>
    <w:rsid w:val="009F7143"/>
    <w:rsid w:val="00A07F7E"/>
    <w:rsid w:val="00A377DD"/>
    <w:rsid w:val="00A45654"/>
    <w:rsid w:val="00A53046"/>
    <w:rsid w:val="00A549D1"/>
    <w:rsid w:val="00A558EC"/>
    <w:rsid w:val="00A6528B"/>
    <w:rsid w:val="00A73B7C"/>
    <w:rsid w:val="00A74B76"/>
    <w:rsid w:val="00A751EA"/>
    <w:rsid w:val="00A76364"/>
    <w:rsid w:val="00A82DC6"/>
    <w:rsid w:val="00A84D3C"/>
    <w:rsid w:val="00AC4CF0"/>
    <w:rsid w:val="00AE0889"/>
    <w:rsid w:val="00AF1232"/>
    <w:rsid w:val="00AF1693"/>
    <w:rsid w:val="00AF4AA0"/>
    <w:rsid w:val="00B01F9A"/>
    <w:rsid w:val="00B0321F"/>
    <w:rsid w:val="00B12AD3"/>
    <w:rsid w:val="00B20F5B"/>
    <w:rsid w:val="00B21C81"/>
    <w:rsid w:val="00B376AE"/>
    <w:rsid w:val="00B476CA"/>
    <w:rsid w:val="00B90733"/>
    <w:rsid w:val="00BA4F96"/>
    <w:rsid w:val="00BD4653"/>
    <w:rsid w:val="00BF5AD6"/>
    <w:rsid w:val="00C04C6A"/>
    <w:rsid w:val="00C11EE0"/>
    <w:rsid w:val="00C16308"/>
    <w:rsid w:val="00C225C3"/>
    <w:rsid w:val="00C336D5"/>
    <w:rsid w:val="00C34D2D"/>
    <w:rsid w:val="00C35950"/>
    <w:rsid w:val="00C52C75"/>
    <w:rsid w:val="00C62557"/>
    <w:rsid w:val="00CA32A9"/>
    <w:rsid w:val="00CB0300"/>
    <w:rsid w:val="00CB046C"/>
    <w:rsid w:val="00CB4B6C"/>
    <w:rsid w:val="00CC2CF7"/>
    <w:rsid w:val="00CD251F"/>
    <w:rsid w:val="00CE7D6F"/>
    <w:rsid w:val="00D139E8"/>
    <w:rsid w:val="00D30845"/>
    <w:rsid w:val="00D37947"/>
    <w:rsid w:val="00D439A0"/>
    <w:rsid w:val="00D43B4E"/>
    <w:rsid w:val="00DB436E"/>
    <w:rsid w:val="00DC79B2"/>
    <w:rsid w:val="00DE760B"/>
    <w:rsid w:val="00DE7CAF"/>
    <w:rsid w:val="00DF0748"/>
    <w:rsid w:val="00DF4C1E"/>
    <w:rsid w:val="00E05F29"/>
    <w:rsid w:val="00E264A5"/>
    <w:rsid w:val="00E37714"/>
    <w:rsid w:val="00E51086"/>
    <w:rsid w:val="00E60AB1"/>
    <w:rsid w:val="00E80ACB"/>
    <w:rsid w:val="00E90B10"/>
    <w:rsid w:val="00E92F24"/>
    <w:rsid w:val="00EA5BE7"/>
    <w:rsid w:val="00EB070E"/>
    <w:rsid w:val="00EB29AC"/>
    <w:rsid w:val="00F06AA2"/>
    <w:rsid w:val="00F10B91"/>
    <w:rsid w:val="00F20A93"/>
    <w:rsid w:val="00F262D6"/>
    <w:rsid w:val="00F41F0D"/>
    <w:rsid w:val="00F546FF"/>
    <w:rsid w:val="00F5767D"/>
    <w:rsid w:val="00F65607"/>
    <w:rsid w:val="00F71A37"/>
    <w:rsid w:val="00F73B1B"/>
    <w:rsid w:val="00FC5542"/>
    <w:rsid w:val="00FE5FE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D4"/>
    <w:rPr>
      <w:rFonts w:ascii="Cambria" w:eastAsia="Cambria" w:hAnsi="Cambria" w:cs="Times New Roman"/>
      <w:lang w:val="en-GB"/>
    </w:rPr>
  </w:style>
  <w:style w:type="paragraph" w:styleId="Heading1">
    <w:name w:val="heading 1"/>
    <w:basedOn w:val="Normal"/>
    <w:next w:val="Normal"/>
    <w:link w:val="Heading1Char"/>
    <w:uiPriority w:val="9"/>
    <w:qFormat/>
    <w:rsid w:val="00827DD4"/>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827DD4"/>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semiHidden/>
    <w:unhideWhenUsed/>
    <w:qFormat/>
    <w:rsid w:val="00827D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27DD4"/>
    <w:rPr>
      <w:rFonts w:ascii="Lucida Grande" w:hAnsi="Lucida Grande"/>
      <w:sz w:val="18"/>
      <w:szCs w:val="18"/>
    </w:rPr>
  </w:style>
  <w:style w:type="character" w:customStyle="1" w:styleId="BalloonTextChar">
    <w:name w:val="Balloon Text Char"/>
    <w:basedOn w:val="DefaultParagraphFont"/>
    <w:uiPriority w:val="99"/>
    <w:semiHidden/>
    <w:rsid w:val="008275EF"/>
    <w:rPr>
      <w:rFonts w:ascii="Lucida Grande" w:hAnsi="Lucida Grande"/>
      <w:sz w:val="18"/>
      <w:szCs w:val="18"/>
    </w:rPr>
  </w:style>
  <w:style w:type="character" w:customStyle="1" w:styleId="Heading1Char">
    <w:name w:val="Heading 1 Char"/>
    <w:basedOn w:val="DefaultParagraphFont"/>
    <w:link w:val="Heading1"/>
    <w:uiPriority w:val="9"/>
    <w:rsid w:val="00827DD4"/>
    <w:rPr>
      <w:rFonts w:ascii="Calibri" w:eastAsia="Times New Roman" w:hAnsi="Calibri" w:cs="Times New Roman"/>
      <w:b/>
      <w:bCs/>
      <w:color w:val="345A8A"/>
      <w:sz w:val="32"/>
      <w:szCs w:val="32"/>
      <w:lang w:val="en-GB"/>
    </w:rPr>
  </w:style>
  <w:style w:type="character" w:customStyle="1" w:styleId="Heading2Char">
    <w:name w:val="Heading 2 Char"/>
    <w:basedOn w:val="DefaultParagraphFont"/>
    <w:link w:val="Heading2"/>
    <w:uiPriority w:val="9"/>
    <w:rsid w:val="00827DD4"/>
    <w:rPr>
      <w:rFonts w:ascii="Calibri" w:eastAsia="Times New Roman" w:hAnsi="Calibri" w:cs="Times New Roman"/>
      <w:b/>
      <w:bCs/>
      <w:color w:val="4F81BD"/>
      <w:sz w:val="26"/>
      <w:szCs w:val="26"/>
      <w:lang w:val="en-GB"/>
    </w:rPr>
  </w:style>
  <w:style w:type="character" w:customStyle="1" w:styleId="Heading3Char">
    <w:name w:val="Heading 3 Char"/>
    <w:basedOn w:val="DefaultParagraphFont"/>
    <w:link w:val="Heading3"/>
    <w:uiPriority w:val="9"/>
    <w:semiHidden/>
    <w:rsid w:val="00827DD4"/>
    <w:rPr>
      <w:rFonts w:asciiTheme="majorHAnsi" w:eastAsiaTheme="majorEastAsia" w:hAnsiTheme="majorHAnsi" w:cstheme="majorBidi"/>
      <w:b/>
      <w:bCs/>
      <w:color w:val="4F81BD" w:themeColor="accent1"/>
      <w:sz w:val="24"/>
      <w:szCs w:val="24"/>
      <w:lang w:val="en-GB"/>
    </w:rPr>
  </w:style>
  <w:style w:type="paragraph" w:styleId="FootnoteText">
    <w:name w:val="footnote text"/>
    <w:basedOn w:val="Normal"/>
    <w:link w:val="FootnoteTextChar"/>
    <w:uiPriority w:val="99"/>
    <w:unhideWhenUsed/>
    <w:rsid w:val="00827DD4"/>
  </w:style>
  <w:style w:type="character" w:customStyle="1" w:styleId="FootnoteTextChar">
    <w:name w:val="Footnote Text Char"/>
    <w:basedOn w:val="DefaultParagraphFont"/>
    <w:link w:val="FootnoteText"/>
    <w:uiPriority w:val="99"/>
    <w:rsid w:val="00827DD4"/>
    <w:rPr>
      <w:rFonts w:ascii="Cambria" w:eastAsia="Cambria" w:hAnsi="Cambria" w:cs="Times New Roman"/>
      <w:sz w:val="24"/>
      <w:szCs w:val="24"/>
      <w:lang w:val="en-GB"/>
    </w:rPr>
  </w:style>
  <w:style w:type="character" w:styleId="FootnoteReference">
    <w:name w:val="footnote reference"/>
    <w:unhideWhenUsed/>
    <w:rsid w:val="00827DD4"/>
    <w:rPr>
      <w:vertAlign w:val="superscript"/>
    </w:rPr>
  </w:style>
  <w:style w:type="character" w:styleId="Hyperlink">
    <w:name w:val="Hyperlink"/>
    <w:uiPriority w:val="99"/>
    <w:unhideWhenUsed/>
    <w:rsid w:val="00827DD4"/>
    <w:rPr>
      <w:color w:val="0000FF"/>
      <w:u w:val="single"/>
    </w:rPr>
  </w:style>
  <w:style w:type="paragraph" w:styleId="ListParagraph">
    <w:name w:val="List Paragraph"/>
    <w:basedOn w:val="Normal"/>
    <w:uiPriority w:val="34"/>
    <w:qFormat/>
    <w:rsid w:val="00827DD4"/>
    <w:pPr>
      <w:ind w:left="720"/>
      <w:contextualSpacing/>
    </w:pPr>
  </w:style>
  <w:style w:type="character" w:styleId="CommentReference">
    <w:name w:val="annotation reference"/>
    <w:uiPriority w:val="99"/>
    <w:semiHidden/>
    <w:unhideWhenUsed/>
    <w:rsid w:val="00827DD4"/>
    <w:rPr>
      <w:sz w:val="18"/>
      <w:szCs w:val="18"/>
    </w:rPr>
  </w:style>
  <w:style w:type="paragraph" w:styleId="CommentText">
    <w:name w:val="annotation text"/>
    <w:basedOn w:val="Normal"/>
    <w:link w:val="CommentTextChar"/>
    <w:uiPriority w:val="99"/>
    <w:semiHidden/>
    <w:unhideWhenUsed/>
    <w:rsid w:val="00827DD4"/>
  </w:style>
  <w:style w:type="character" w:customStyle="1" w:styleId="CommentTextChar">
    <w:name w:val="Comment Text Char"/>
    <w:basedOn w:val="DefaultParagraphFont"/>
    <w:link w:val="CommentText"/>
    <w:uiPriority w:val="99"/>
    <w:semiHidden/>
    <w:rsid w:val="00827DD4"/>
    <w:rPr>
      <w:rFonts w:ascii="Cambria" w:eastAsia="Cambria" w:hAnsi="Cambria"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27DD4"/>
    <w:rPr>
      <w:b/>
      <w:bCs/>
      <w:sz w:val="20"/>
      <w:szCs w:val="20"/>
    </w:rPr>
  </w:style>
  <w:style w:type="character" w:customStyle="1" w:styleId="CommentSubjectChar">
    <w:name w:val="Comment Subject Char"/>
    <w:basedOn w:val="CommentTextChar"/>
    <w:link w:val="CommentSubject"/>
    <w:uiPriority w:val="99"/>
    <w:semiHidden/>
    <w:rsid w:val="00827DD4"/>
    <w:rPr>
      <w:rFonts w:ascii="Cambria" w:eastAsia="Cambria" w:hAnsi="Cambria" w:cs="Times New Roman"/>
      <w:b/>
      <w:bCs/>
      <w:sz w:val="24"/>
      <w:szCs w:val="24"/>
      <w:lang w:val="en-GB"/>
    </w:rPr>
  </w:style>
  <w:style w:type="character" w:customStyle="1" w:styleId="BalloonTextChar1">
    <w:name w:val="Balloon Text Char1"/>
    <w:basedOn w:val="DefaultParagraphFont"/>
    <w:link w:val="BalloonText"/>
    <w:uiPriority w:val="99"/>
    <w:semiHidden/>
    <w:rsid w:val="00827DD4"/>
    <w:rPr>
      <w:rFonts w:ascii="Lucida Grande" w:eastAsia="Cambria" w:hAnsi="Lucida Grande" w:cs="Times New Roman"/>
      <w:sz w:val="18"/>
      <w:szCs w:val="18"/>
      <w:lang w:val="en-GB"/>
    </w:rPr>
  </w:style>
  <w:style w:type="character" w:customStyle="1" w:styleId="informationalsmall">
    <w:name w:val="informationalsmall"/>
    <w:basedOn w:val="DefaultParagraphFont"/>
    <w:rsid w:val="00827DD4"/>
  </w:style>
  <w:style w:type="character" w:customStyle="1" w:styleId="searchterm">
    <w:name w:val="searchterm"/>
    <w:basedOn w:val="DefaultParagraphFont"/>
    <w:rsid w:val="00827DD4"/>
  </w:style>
  <w:style w:type="character" w:customStyle="1" w:styleId="documentbody">
    <w:name w:val="documentbody"/>
    <w:basedOn w:val="DefaultParagraphFont"/>
    <w:rsid w:val="00827DD4"/>
  </w:style>
  <w:style w:type="character" w:customStyle="1" w:styleId="starpage">
    <w:name w:val="starpage"/>
    <w:basedOn w:val="DefaultParagraphFont"/>
    <w:rsid w:val="00827DD4"/>
  </w:style>
  <w:style w:type="character" w:styleId="FollowedHyperlink">
    <w:name w:val="FollowedHyperlink"/>
    <w:basedOn w:val="DefaultParagraphFont"/>
    <w:uiPriority w:val="99"/>
    <w:semiHidden/>
    <w:unhideWhenUsed/>
    <w:rsid w:val="00827DD4"/>
    <w:rPr>
      <w:color w:val="800080" w:themeColor="followedHyperlink"/>
      <w:u w:val="single"/>
    </w:rPr>
  </w:style>
  <w:style w:type="character" w:customStyle="1" w:styleId="Normal1">
    <w:name w:val="Normal1"/>
    <w:basedOn w:val="DefaultParagraphFont"/>
    <w:rsid w:val="00827DD4"/>
  </w:style>
  <w:style w:type="paragraph" w:styleId="NormalWeb">
    <w:name w:val="Normal (Web)"/>
    <w:basedOn w:val="Normal"/>
    <w:uiPriority w:val="99"/>
    <w:semiHidden/>
    <w:unhideWhenUsed/>
    <w:rsid w:val="00827DD4"/>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827DD4"/>
    <w:rPr>
      <w:b/>
      <w:bCs/>
    </w:rPr>
  </w:style>
  <w:style w:type="paragraph" w:styleId="Header">
    <w:name w:val="header"/>
    <w:basedOn w:val="Normal"/>
    <w:link w:val="HeaderChar"/>
    <w:uiPriority w:val="99"/>
    <w:semiHidden/>
    <w:unhideWhenUsed/>
    <w:rsid w:val="00827DD4"/>
    <w:pPr>
      <w:tabs>
        <w:tab w:val="center" w:pos="4320"/>
        <w:tab w:val="right" w:pos="8640"/>
      </w:tabs>
    </w:pPr>
  </w:style>
  <w:style w:type="character" w:customStyle="1" w:styleId="HeaderChar">
    <w:name w:val="Header Char"/>
    <w:basedOn w:val="DefaultParagraphFont"/>
    <w:link w:val="Header"/>
    <w:uiPriority w:val="99"/>
    <w:semiHidden/>
    <w:rsid w:val="00827DD4"/>
    <w:rPr>
      <w:rFonts w:ascii="Cambria" w:eastAsia="Cambria" w:hAnsi="Cambria" w:cs="Times New Roman"/>
      <w:sz w:val="24"/>
      <w:szCs w:val="24"/>
      <w:lang w:val="en-GB"/>
    </w:rPr>
  </w:style>
  <w:style w:type="character" w:styleId="PageNumber">
    <w:name w:val="page number"/>
    <w:basedOn w:val="DefaultParagraphFont"/>
    <w:uiPriority w:val="99"/>
    <w:semiHidden/>
    <w:unhideWhenUsed/>
    <w:rsid w:val="00827DD4"/>
  </w:style>
</w:styles>
</file>

<file path=word/webSettings.xml><?xml version="1.0" encoding="utf-8"?>
<w:webSettings xmlns:r="http://schemas.openxmlformats.org/officeDocument/2006/relationships" xmlns:w="http://schemas.openxmlformats.org/wordprocessingml/2006/main">
  <w:divs>
    <w:div w:id="393623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32</Pages>
  <Words>10208</Words>
  <Characters>58187</Characters>
  <Application>Microsoft Macintosh Word</Application>
  <DocSecurity>0</DocSecurity>
  <Lines>484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7</cp:revision>
  <cp:lastPrinted>2013-07-20T18:57:00Z</cp:lastPrinted>
  <dcterms:created xsi:type="dcterms:W3CDTF">2013-07-18T19:34:00Z</dcterms:created>
  <dcterms:modified xsi:type="dcterms:W3CDTF">2013-07-20T18:57:00Z</dcterms:modified>
</cp:coreProperties>
</file>