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3A510" w14:textId="77777777" w:rsidR="0035185F" w:rsidRDefault="0035185F" w:rsidP="0035185F">
      <w:pPr>
        <w:spacing w:after="0" w:line="480" w:lineRule="auto"/>
        <w:jc w:val="center"/>
        <w:rPr>
          <w:rFonts w:ascii="Times New Roman" w:eastAsia="Calibri" w:hAnsi="Times New Roman" w:cs="Times New Roman"/>
          <w:b/>
          <w:i/>
          <w:sz w:val="28"/>
          <w:szCs w:val="28"/>
          <w:lang w:val="en-GB"/>
        </w:rPr>
      </w:pPr>
      <w:bookmarkStart w:id="0" w:name="_GoBack"/>
      <w:bookmarkEnd w:id="0"/>
      <w:r>
        <w:rPr>
          <w:rFonts w:ascii="Times New Roman" w:eastAsia="Calibri" w:hAnsi="Times New Roman" w:cs="Times New Roman"/>
          <w:b/>
          <w:i/>
          <w:sz w:val="28"/>
          <w:szCs w:val="28"/>
          <w:lang w:val="en-GB"/>
        </w:rPr>
        <w:t>Reassessing Policy Drift: Social Policy Change in the United States</w:t>
      </w:r>
    </w:p>
    <w:p w14:paraId="5E501FDE" w14:textId="77777777" w:rsidR="0035185F" w:rsidRDefault="0035185F" w:rsidP="0035185F">
      <w:pPr>
        <w:spacing w:after="0" w:line="480" w:lineRule="auto"/>
        <w:jc w:val="center"/>
        <w:rPr>
          <w:rFonts w:ascii="Times New Roman" w:eastAsia="Calibri" w:hAnsi="Times New Roman" w:cs="Times New Roman"/>
          <w:sz w:val="24"/>
          <w:szCs w:val="24"/>
          <w:vertAlign w:val="superscript"/>
          <w:lang w:val="en-GB"/>
        </w:rPr>
      </w:pPr>
      <w:r>
        <w:rPr>
          <w:rFonts w:ascii="Times New Roman" w:eastAsia="Calibri" w:hAnsi="Times New Roman" w:cs="Times New Roman"/>
          <w:sz w:val="24"/>
          <w:szCs w:val="24"/>
          <w:lang w:val="en-GB"/>
        </w:rPr>
        <w:t xml:space="preserve">Daniel </w:t>
      </w:r>
      <w:proofErr w:type="spellStart"/>
      <w:r>
        <w:rPr>
          <w:rFonts w:ascii="Times New Roman" w:eastAsia="Calibri" w:hAnsi="Times New Roman" w:cs="Times New Roman"/>
          <w:sz w:val="24"/>
          <w:szCs w:val="24"/>
          <w:lang w:val="en-GB"/>
        </w:rPr>
        <w:t>Béland</w:t>
      </w:r>
      <w:r>
        <w:rPr>
          <w:rFonts w:ascii="Times New Roman" w:eastAsia="Calibri" w:hAnsi="Times New Roman" w:cs="Times New Roman"/>
          <w:sz w:val="24"/>
          <w:szCs w:val="24"/>
          <w:vertAlign w:val="superscript"/>
          <w:lang w:val="en-GB"/>
        </w:rPr>
        <w:t>a</w:t>
      </w:r>
      <w:proofErr w:type="spellEnd"/>
      <w:r>
        <w:rPr>
          <w:rFonts w:ascii="Times New Roman" w:eastAsia="Calibri" w:hAnsi="Times New Roman" w:cs="Times New Roman"/>
          <w:sz w:val="24"/>
          <w:szCs w:val="24"/>
          <w:lang w:val="en-GB"/>
        </w:rPr>
        <w:t xml:space="preserve">, Philip </w:t>
      </w:r>
      <w:proofErr w:type="spellStart"/>
      <w:r>
        <w:rPr>
          <w:rFonts w:ascii="Times New Roman" w:eastAsia="Calibri" w:hAnsi="Times New Roman" w:cs="Times New Roman"/>
          <w:sz w:val="24"/>
          <w:szCs w:val="24"/>
          <w:lang w:val="en-GB"/>
        </w:rPr>
        <w:t>Rocco</w:t>
      </w:r>
      <w:r>
        <w:rPr>
          <w:rFonts w:ascii="Times New Roman" w:eastAsia="Calibri" w:hAnsi="Times New Roman" w:cs="Times New Roman"/>
          <w:sz w:val="24"/>
          <w:szCs w:val="24"/>
          <w:vertAlign w:val="superscript"/>
          <w:lang w:val="en-GB"/>
        </w:rPr>
        <w:t>b</w:t>
      </w:r>
      <w:proofErr w:type="spellEnd"/>
      <w:r>
        <w:rPr>
          <w:rFonts w:ascii="Times New Roman" w:eastAsia="Calibri" w:hAnsi="Times New Roman" w:cs="Times New Roman"/>
          <w:sz w:val="24"/>
          <w:szCs w:val="24"/>
          <w:lang w:val="en-GB"/>
        </w:rPr>
        <w:t xml:space="preserve"> and Alex </w:t>
      </w:r>
      <w:proofErr w:type="spellStart"/>
      <w:r>
        <w:rPr>
          <w:rFonts w:ascii="Times New Roman" w:eastAsia="Calibri" w:hAnsi="Times New Roman" w:cs="Times New Roman"/>
          <w:sz w:val="24"/>
          <w:szCs w:val="24"/>
          <w:lang w:val="en-GB"/>
        </w:rPr>
        <w:t>Waddan</w:t>
      </w:r>
      <w:r>
        <w:rPr>
          <w:rFonts w:ascii="Times New Roman" w:eastAsia="Calibri" w:hAnsi="Times New Roman" w:cs="Times New Roman"/>
          <w:sz w:val="24"/>
          <w:szCs w:val="24"/>
          <w:vertAlign w:val="superscript"/>
          <w:lang w:val="en-GB"/>
        </w:rPr>
        <w:t>c</w:t>
      </w:r>
      <w:proofErr w:type="spellEnd"/>
    </w:p>
    <w:p w14:paraId="42E3654F" w14:textId="77777777" w:rsidR="0035185F" w:rsidRDefault="0035185F" w:rsidP="0035185F">
      <w:pPr>
        <w:spacing w:after="0" w:line="480" w:lineRule="auto"/>
        <w:jc w:val="center"/>
        <w:rPr>
          <w:rFonts w:ascii="Times New Roman" w:eastAsia="Calibri" w:hAnsi="Times New Roman" w:cs="Times New Roman"/>
          <w:sz w:val="24"/>
          <w:szCs w:val="24"/>
          <w:vertAlign w:val="superscript"/>
          <w:lang w:val="en-GB"/>
        </w:rPr>
      </w:pPr>
      <w:proofErr w:type="gramStart"/>
      <w:r>
        <w:rPr>
          <w:rFonts w:ascii="Times New Roman" w:eastAsia="Calibri" w:hAnsi="Times New Roman" w:cs="Times New Roman"/>
          <w:sz w:val="24"/>
          <w:szCs w:val="24"/>
          <w:vertAlign w:val="superscript"/>
          <w:lang w:val="en-GB"/>
        </w:rPr>
        <w:t>a</w:t>
      </w:r>
      <w:proofErr w:type="gramEnd"/>
      <w:r>
        <w:rPr>
          <w:rFonts w:ascii="Times New Roman" w:eastAsia="Calibri" w:hAnsi="Times New Roman" w:cs="Times New Roman"/>
          <w:sz w:val="24"/>
          <w:szCs w:val="24"/>
          <w:lang w:val="en-GB"/>
        </w:rPr>
        <w:t xml:space="preserve"> Johnson-</w:t>
      </w:r>
      <w:proofErr w:type="spellStart"/>
      <w:r>
        <w:rPr>
          <w:rFonts w:ascii="Times New Roman" w:eastAsia="Calibri" w:hAnsi="Times New Roman" w:cs="Times New Roman"/>
          <w:sz w:val="24"/>
          <w:szCs w:val="24"/>
          <w:lang w:val="en-GB"/>
        </w:rPr>
        <w:t>Shoyama</w:t>
      </w:r>
      <w:proofErr w:type="spellEnd"/>
      <w:r>
        <w:rPr>
          <w:rFonts w:ascii="Times New Roman" w:eastAsia="Calibri" w:hAnsi="Times New Roman" w:cs="Times New Roman"/>
          <w:sz w:val="24"/>
          <w:szCs w:val="24"/>
          <w:lang w:val="en-GB"/>
        </w:rPr>
        <w:t xml:space="preserve"> Graduate School of Public Policy, University of Saskatchewan</w:t>
      </w:r>
    </w:p>
    <w:p w14:paraId="28B2637D" w14:textId="77777777" w:rsidR="0035185F" w:rsidRDefault="0035185F" w:rsidP="0035185F">
      <w:pPr>
        <w:spacing w:after="0" w:line="480" w:lineRule="auto"/>
        <w:jc w:val="center"/>
        <w:rPr>
          <w:rFonts w:ascii="Times New Roman" w:eastAsia="Calibri" w:hAnsi="Times New Roman" w:cs="Times New Roman"/>
          <w:sz w:val="24"/>
          <w:szCs w:val="24"/>
          <w:vertAlign w:val="superscript"/>
          <w:lang w:val="en-GB"/>
        </w:rPr>
      </w:pPr>
      <w:proofErr w:type="gramStart"/>
      <w:r>
        <w:rPr>
          <w:rFonts w:ascii="Times New Roman" w:eastAsia="Calibri" w:hAnsi="Times New Roman" w:cs="Times New Roman"/>
          <w:sz w:val="24"/>
          <w:szCs w:val="24"/>
          <w:vertAlign w:val="superscript"/>
          <w:lang w:val="en-GB"/>
        </w:rPr>
        <w:t>b</w:t>
      </w:r>
      <w:proofErr w:type="gramEnd"/>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US"/>
        </w:rPr>
        <w:t>Health Policy Institute, University of Pittsburgh</w:t>
      </w:r>
    </w:p>
    <w:p w14:paraId="5E9F7971" w14:textId="77777777" w:rsidR="0035185F" w:rsidRDefault="0035185F" w:rsidP="0035185F">
      <w:pPr>
        <w:spacing w:after="0" w:line="480" w:lineRule="auto"/>
        <w:jc w:val="center"/>
        <w:rPr>
          <w:rFonts w:ascii="Times New Roman" w:eastAsia="Calibri" w:hAnsi="Times New Roman" w:cs="Times New Roman"/>
          <w:sz w:val="24"/>
          <w:szCs w:val="24"/>
          <w:lang w:val="en-GB"/>
        </w:rPr>
      </w:pPr>
      <w:proofErr w:type="gramStart"/>
      <w:r>
        <w:rPr>
          <w:rFonts w:ascii="Times New Roman" w:eastAsia="Calibri" w:hAnsi="Times New Roman" w:cs="Times New Roman"/>
          <w:sz w:val="24"/>
          <w:szCs w:val="24"/>
          <w:vertAlign w:val="superscript"/>
          <w:lang w:val="en-GB"/>
        </w:rPr>
        <w:t>c</w:t>
      </w:r>
      <w:proofErr w:type="gramEnd"/>
      <w:r>
        <w:rPr>
          <w:rFonts w:ascii="Times New Roman" w:eastAsia="Calibri" w:hAnsi="Times New Roman" w:cs="Times New Roman"/>
          <w:sz w:val="24"/>
          <w:szCs w:val="24"/>
          <w:lang w:val="en-GB"/>
        </w:rPr>
        <w:t xml:space="preserve"> Department of Politics and International Relations, University of Leicester</w:t>
      </w:r>
    </w:p>
    <w:p w14:paraId="2702C562" w14:textId="77777777" w:rsidR="0035185F" w:rsidRDefault="0035185F" w:rsidP="0035185F">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Abstract</w:t>
      </w:r>
    </w:p>
    <w:p w14:paraId="305B1892" w14:textId="77777777" w:rsidR="0035185F" w:rsidRDefault="0035185F" w:rsidP="0035185F">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As formulated by Jacob Hacker, the concept of policy drift turned institutional theories of public policy on their heads by suggesting that consequential policy changes often happen in the absence of reform. Especially prevalent in times of political gridlock or stasis, policy drift is a useful concept for capturing how inaction can gradually diminish the effectiveness of social programs over time. By highlighting cases of difficult-to-see policy inaction, however, Hacker’s concept sets a high bar for empirical scholarship. In this article, we suggest that analysing policy drift requires attention to comparative policy outcomes, the implementation of reforms intended to alleviate drift, and the time frame of the study. With these insights in mind, we analyse the impact of drift on US retirement security and health care coverage to reflect policy changes that have occurred since Hacker’s original analysis was published.  </w:t>
      </w:r>
    </w:p>
    <w:p w14:paraId="31CA55F5" w14:textId="77777777" w:rsidR="0035185F" w:rsidRDefault="0035185F" w:rsidP="0035185F">
      <w:pPr>
        <w:spacing w:after="0"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Keywords</w:t>
      </w:r>
    </w:p>
    <w:p w14:paraId="3A506555" w14:textId="77777777" w:rsidR="0035185F" w:rsidRDefault="0035185F" w:rsidP="0035185F">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Social Policy; Policy Drift; Policy Change; Pensions; Health Insurance; United States</w:t>
      </w:r>
    </w:p>
    <w:p w14:paraId="394C32BD" w14:textId="77777777" w:rsidR="0035185F" w:rsidRDefault="0035185F" w:rsidP="0035185F">
      <w:pPr>
        <w:rPr>
          <w:rFonts w:ascii="Times New Roman" w:hAnsi="Times New Roman" w:cs="Times New Roman"/>
          <w:b/>
          <w:sz w:val="24"/>
          <w:szCs w:val="24"/>
          <w:lang w:val="en-CA"/>
        </w:rPr>
      </w:pPr>
      <w:r>
        <w:rPr>
          <w:rFonts w:ascii="Times New Roman" w:hAnsi="Times New Roman" w:cs="Times New Roman"/>
          <w:b/>
          <w:sz w:val="24"/>
          <w:szCs w:val="24"/>
        </w:rPr>
        <w:t>Acknowledgements</w:t>
      </w:r>
    </w:p>
    <w:p w14:paraId="3B4353BA" w14:textId="77777777" w:rsidR="0035185F" w:rsidRDefault="0035185F" w:rsidP="003518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authors thank Rachel Hatcher, Martin Powell, and the reviewers for their comments and suggestions. Daniel </w:t>
      </w:r>
      <w:proofErr w:type="spellStart"/>
      <w:r>
        <w:rPr>
          <w:rFonts w:ascii="Times New Roman" w:hAnsi="Times New Roman" w:cs="Times New Roman"/>
          <w:sz w:val="24"/>
          <w:szCs w:val="24"/>
        </w:rPr>
        <w:t>Béland</w:t>
      </w:r>
      <w:proofErr w:type="spellEnd"/>
      <w:r>
        <w:rPr>
          <w:rFonts w:ascii="Times New Roman" w:hAnsi="Times New Roman" w:cs="Times New Roman"/>
          <w:sz w:val="24"/>
          <w:szCs w:val="24"/>
        </w:rPr>
        <w:t xml:space="preserve"> acknowledges support from the Canada Research Chairs Program. </w:t>
      </w:r>
    </w:p>
    <w:p w14:paraId="3D56642F" w14:textId="77777777" w:rsidR="00C015F1" w:rsidRPr="007C4490" w:rsidRDefault="0002501E" w:rsidP="00871051">
      <w:pPr>
        <w:jc w:val="both"/>
        <w:rPr>
          <w:rFonts w:ascii="Times New Roman" w:hAnsi="Times New Roman" w:cs="Times New Roman"/>
          <w:b/>
          <w:sz w:val="24"/>
          <w:szCs w:val="24"/>
          <w:lang w:val="en-GB"/>
        </w:rPr>
      </w:pPr>
      <w:r w:rsidRPr="007C4490">
        <w:rPr>
          <w:rFonts w:ascii="Times New Roman" w:hAnsi="Times New Roman" w:cs="Times New Roman"/>
          <w:b/>
          <w:sz w:val="24"/>
          <w:szCs w:val="24"/>
          <w:lang w:val="en-GB"/>
        </w:rPr>
        <w:t>Introduction</w:t>
      </w:r>
    </w:p>
    <w:p w14:paraId="364E353E" w14:textId="77777777" w:rsidR="008F5032" w:rsidRPr="007C4490" w:rsidRDefault="00E72AD7" w:rsidP="008F5032">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The last two decades have seen major shifts </w:t>
      </w:r>
      <w:r w:rsidR="00136A29" w:rsidRPr="007C4490">
        <w:rPr>
          <w:rFonts w:ascii="Times New Roman" w:hAnsi="Times New Roman" w:cs="Times New Roman"/>
          <w:sz w:val="24"/>
          <w:szCs w:val="24"/>
          <w:lang w:val="en-GB"/>
        </w:rPr>
        <w:t xml:space="preserve">in </w:t>
      </w:r>
      <w:r w:rsidRPr="007C4490">
        <w:rPr>
          <w:rFonts w:ascii="Times New Roman" w:hAnsi="Times New Roman" w:cs="Times New Roman"/>
          <w:sz w:val="24"/>
          <w:szCs w:val="24"/>
          <w:lang w:val="en-GB"/>
        </w:rPr>
        <w:t xml:space="preserve">how </w:t>
      </w:r>
      <w:r w:rsidR="00DF59D3" w:rsidRPr="007C4490">
        <w:rPr>
          <w:rFonts w:ascii="Times New Roman" w:hAnsi="Times New Roman" w:cs="Times New Roman"/>
          <w:sz w:val="24"/>
          <w:szCs w:val="24"/>
          <w:lang w:val="en-GB"/>
        </w:rPr>
        <w:t>researchers</w:t>
      </w:r>
      <w:r w:rsidRPr="007C4490">
        <w:rPr>
          <w:rFonts w:ascii="Times New Roman" w:hAnsi="Times New Roman" w:cs="Times New Roman"/>
          <w:sz w:val="24"/>
          <w:szCs w:val="24"/>
          <w:lang w:val="en-GB"/>
        </w:rPr>
        <w:t xml:space="preserve"> conceptualize change in the welfare state. Whereas institutional theories once emphasized the </w:t>
      </w:r>
      <w:r w:rsidR="00D64AD1" w:rsidRPr="007C4490">
        <w:rPr>
          <w:rFonts w:ascii="Times New Roman" w:hAnsi="Times New Roman" w:cs="Times New Roman"/>
          <w:sz w:val="24"/>
          <w:szCs w:val="24"/>
          <w:lang w:val="en-GB"/>
        </w:rPr>
        <w:t>resilience</w:t>
      </w:r>
      <w:r w:rsidRPr="007C4490">
        <w:rPr>
          <w:rFonts w:ascii="Times New Roman" w:hAnsi="Times New Roman" w:cs="Times New Roman"/>
          <w:sz w:val="24"/>
          <w:szCs w:val="24"/>
          <w:lang w:val="en-GB"/>
        </w:rPr>
        <w:t xml:space="preserve"> of social policy, </w:t>
      </w:r>
      <w:r w:rsidRPr="007C4490">
        <w:rPr>
          <w:rFonts w:ascii="Times New Roman" w:hAnsi="Times New Roman" w:cs="Times New Roman"/>
          <w:sz w:val="24"/>
          <w:szCs w:val="24"/>
          <w:lang w:val="en-GB"/>
        </w:rPr>
        <w:lastRenderedPageBreak/>
        <w:t xml:space="preserve">especially in settings </w:t>
      </w:r>
      <w:r w:rsidR="00106B80" w:rsidRPr="007C4490">
        <w:rPr>
          <w:rFonts w:ascii="Times New Roman" w:hAnsi="Times New Roman" w:cs="Times New Roman"/>
          <w:sz w:val="24"/>
          <w:szCs w:val="24"/>
          <w:lang w:val="en-GB"/>
        </w:rPr>
        <w:t xml:space="preserve">characterized by numerous veto points and political resistance to </w:t>
      </w:r>
      <w:r w:rsidRPr="007C4490">
        <w:rPr>
          <w:rFonts w:ascii="Times New Roman" w:hAnsi="Times New Roman" w:cs="Times New Roman"/>
          <w:sz w:val="24"/>
          <w:szCs w:val="24"/>
          <w:lang w:val="en-GB"/>
        </w:rPr>
        <w:t>retrenchment,</w:t>
      </w:r>
      <w:r w:rsidR="00106B80"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 xml:space="preserve">a now-voluminous literature reveals that policies often evolve outside of formal </w:t>
      </w:r>
      <w:r w:rsidR="00C22937" w:rsidRPr="007C4490">
        <w:rPr>
          <w:rFonts w:ascii="Times New Roman" w:hAnsi="Times New Roman" w:cs="Times New Roman"/>
          <w:sz w:val="24"/>
          <w:szCs w:val="24"/>
          <w:lang w:val="en-GB"/>
        </w:rPr>
        <w:t xml:space="preserve">venues—through gradual and often </w:t>
      </w:r>
      <w:r w:rsidR="00D64AD1" w:rsidRPr="007C4490">
        <w:rPr>
          <w:rFonts w:ascii="Times New Roman" w:hAnsi="Times New Roman" w:cs="Times New Roman"/>
          <w:sz w:val="24"/>
          <w:szCs w:val="24"/>
          <w:lang w:val="en-GB"/>
        </w:rPr>
        <w:t>low-profile</w:t>
      </w:r>
      <w:r w:rsidR="00C22937" w:rsidRPr="007C4490">
        <w:rPr>
          <w:rFonts w:ascii="Times New Roman" w:hAnsi="Times New Roman" w:cs="Times New Roman"/>
          <w:sz w:val="24"/>
          <w:szCs w:val="24"/>
          <w:lang w:val="en-GB"/>
        </w:rPr>
        <w:t xml:space="preserve"> shifts in their meaning</w:t>
      </w:r>
      <w:r w:rsidR="00106B80" w:rsidRPr="007C4490">
        <w:rPr>
          <w:rFonts w:ascii="Times New Roman" w:hAnsi="Times New Roman" w:cs="Times New Roman"/>
          <w:sz w:val="24"/>
          <w:szCs w:val="24"/>
          <w:lang w:val="en-GB"/>
        </w:rPr>
        <w:t xml:space="preserve"> </w:t>
      </w:r>
      <w:r w:rsidR="00136A29" w:rsidRPr="007C4490">
        <w:rPr>
          <w:rFonts w:ascii="Times New Roman" w:hAnsi="Times New Roman" w:cs="Times New Roman"/>
          <w:sz w:val="24"/>
          <w:szCs w:val="24"/>
          <w:lang w:val="en-GB"/>
        </w:rPr>
        <w:t>(</w:t>
      </w:r>
      <w:proofErr w:type="spellStart"/>
      <w:r w:rsidR="00136A29" w:rsidRPr="007C4490">
        <w:rPr>
          <w:rFonts w:ascii="Times New Roman" w:hAnsi="Times New Roman" w:cs="Times New Roman"/>
          <w:sz w:val="24"/>
          <w:szCs w:val="24"/>
          <w:lang w:val="en-GB"/>
        </w:rPr>
        <w:t>Béland</w:t>
      </w:r>
      <w:proofErr w:type="spellEnd"/>
      <w:r w:rsidR="00136A29" w:rsidRPr="007C4490">
        <w:rPr>
          <w:rFonts w:ascii="Times New Roman" w:hAnsi="Times New Roman" w:cs="Times New Roman"/>
          <w:sz w:val="24"/>
          <w:szCs w:val="24"/>
          <w:lang w:val="en-GB"/>
        </w:rPr>
        <w:t xml:space="preserve"> and Waddan</w:t>
      </w:r>
      <w:r w:rsidR="006A4FBF" w:rsidRPr="007C4490">
        <w:rPr>
          <w:rFonts w:ascii="Times New Roman" w:hAnsi="Times New Roman" w:cs="Times New Roman"/>
          <w:sz w:val="24"/>
          <w:szCs w:val="24"/>
          <w:lang w:val="en-GB"/>
        </w:rPr>
        <w:t xml:space="preserve"> 2012</w:t>
      </w:r>
      <w:r w:rsidR="0091244E" w:rsidRPr="007C4490">
        <w:rPr>
          <w:rFonts w:ascii="Times New Roman" w:hAnsi="Times New Roman" w:cs="Times New Roman"/>
          <w:sz w:val="24"/>
          <w:szCs w:val="24"/>
          <w:lang w:val="en-GB"/>
        </w:rPr>
        <w:t>a</w:t>
      </w:r>
      <w:r w:rsidR="006A4FBF" w:rsidRPr="007C4490">
        <w:rPr>
          <w:rFonts w:ascii="Times New Roman" w:hAnsi="Times New Roman" w:cs="Times New Roman"/>
          <w:sz w:val="24"/>
          <w:szCs w:val="24"/>
          <w:lang w:val="en-GB"/>
        </w:rPr>
        <w:t xml:space="preserve">; </w:t>
      </w:r>
      <w:r w:rsidR="00DF59D3" w:rsidRPr="007C4490">
        <w:rPr>
          <w:rFonts w:ascii="Times New Roman" w:hAnsi="Times New Roman" w:cs="Times New Roman"/>
          <w:sz w:val="24"/>
          <w:szCs w:val="24"/>
          <w:lang w:val="en-GB"/>
        </w:rPr>
        <w:t xml:space="preserve">Bhatia 2010; </w:t>
      </w:r>
      <w:proofErr w:type="spellStart"/>
      <w:r w:rsidR="00D045BB" w:rsidRPr="007C4490">
        <w:rPr>
          <w:rFonts w:ascii="Times New Roman" w:hAnsi="Times New Roman" w:cs="Times New Roman"/>
          <w:sz w:val="24"/>
          <w:szCs w:val="24"/>
          <w:lang w:val="en-GB"/>
        </w:rPr>
        <w:t>Gildiner</w:t>
      </w:r>
      <w:proofErr w:type="spellEnd"/>
      <w:r w:rsidR="00D045BB" w:rsidRPr="007C4490">
        <w:rPr>
          <w:rFonts w:ascii="Times New Roman" w:hAnsi="Times New Roman" w:cs="Times New Roman"/>
          <w:sz w:val="24"/>
          <w:szCs w:val="24"/>
          <w:lang w:val="en-GB"/>
        </w:rPr>
        <w:t xml:space="preserve"> 2007; </w:t>
      </w:r>
      <w:r w:rsidR="00136A29" w:rsidRPr="007C4490">
        <w:rPr>
          <w:rFonts w:ascii="Times New Roman" w:hAnsi="Times New Roman" w:cs="Times New Roman"/>
          <w:sz w:val="24"/>
          <w:szCs w:val="24"/>
          <w:lang w:val="en-GB"/>
        </w:rPr>
        <w:t>Hacker</w:t>
      </w:r>
      <w:r w:rsidR="00863B4B" w:rsidRPr="007C4490">
        <w:rPr>
          <w:rFonts w:ascii="Times New Roman" w:hAnsi="Times New Roman" w:cs="Times New Roman"/>
          <w:sz w:val="24"/>
          <w:szCs w:val="24"/>
          <w:lang w:val="en-GB"/>
        </w:rPr>
        <w:t xml:space="preserve"> 2004; </w:t>
      </w:r>
      <w:r w:rsidR="00136A29" w:rsidRPr="007C4490">
        <w:rPr>
          <w:rFonts w:ascii="Times New Roman" w:hAnsi="Times New Roman" w:cs="Times New Roman"/>
          <w:sz w:val="24"/>
          <w:szCs w:val="24"/>
          <w:lang w:val="en-GB"/>
        </w:rPr>
        <w:t xml:space="preserve">Mahoney and </w:t>
      </w:r>
      <w:proofErr w:type="spellStart"/>
      <w:r w:rsidR="00136A29" w:rsidRPr="007C4490">
        <w:rPr>
          <w:rFonts w:ascii="Times New Roman" w:hAnsi="Times New Roman" w:cs="Times New Roman"/>
          <w:sz w:val="24"/>
          <w:szCs w:val="24"/>
          <w:lang w:val="en-GB"/>
        </w:rPr>
        <w:t>Thelen</w:t>
      </w:r>
      <w:proofErr w:type="spellEnd"/>
      <w:r w:rsidR="00863B4B" w:rsidRPr="007C4490">
        <w:rPr>
          <w:rFonts w:ascii="Times New Roman" w:hAnsi="Times New Roman" w:cs="Times New Roman"/>
          <w:sz w:val="24"/>
          <w:szCs w:val="24"/>
          <w:lang w:val="en-GB"/>
        </w:rPr>
        <w:t xml:space="preserve"> 2009; </w:t>
      </w:r>
      <w:r w:rsidR="00136A29" w:rsidRPr="007C4490">
        <w:rPr>
          <w:rFonts w:ascii="Times New Roman" w:hAnsi="Times New Roman" w:cs="Times New Roman"/>
          <w:sz w:val="24"/>
          <w:szCs w:val="24"/>
          <w:lang w:val="en-GB"/>
        </w:rPr>
        <w:t>Rocco and Thurston</w:t>
      </w:r>
      <w:r w:rsidR="004D2E91" w:rsidRPr="007C4490">
        <w:rPr>
          <w:rFonts w:ascii="Times New Roman" w:hAnsi="Times New Roman" w:cs="Times New Roman"/>
          <w:sz w:val="24"/>
          <w:szCs w:val="24"/>
          <w:lang w:val="en-GB"/>
        </w:rPr>
        <w:t xml:space="preserve"> 2014; </w:t>
      </w:r>
      <w:proofErr w:type="spellStart"/>
      <w:r w:rsidR="00136A29" w:rsidRPr="007C4490">
        <w:rPr>
          <w:rFonts w:ascii="Times New Roman" w:hAnsi="Times New Roman" w:cs="Times New Roman"/>
          <w:sz w:val="24"/>
          <w:szCs w:val="24"/>
          <w:lang w:val="en-GB"/>
        </w:rPr>
        <w:t>Streeck</w:t>
      </w:r>
      <w:proofErr w:type="spellEnd"/>
      <w:r w:rsidR="00136A29" w:rsidRPr="007C4490">
        <w:rPr>
          <w:rFonts w:ascii="Times New Roman" w:hAnsi="Times New Roman" w:cs="Times New Roman"/>
          <w:sz w:val="24"/>
          <w:szCs w:val="24"/>
          <w:lang w:val="en-GB"/>
        </w:rPr>
        <w:t xml:space="preserve"> and </w:t>
      </w:r>
      <w:proofErr w:type="spellStart"/>
      <w:r w:rsidR="00136A29" w:rsidRPr="007C4490">
        <w:rPr>
          <w:rFonts w:ascii="Times New Roman" w:hAnsi="Times New Roman" w:cs="Times New Roman"/>
          <w:sz w:val="24"/>
          <w:szCs w:val="24"/>
          <w:lang w:val="en-GB"/>
        </w:rPr>
        <w:t>Thelen</w:t>
      </w:r>
      <w:proofErr w:type="spellEnd"/>
      <w:r w:rsidR="00DF59D3" w:rsidRPr="007C4490">
        <w:rPr>
          <w:rFonts w:ascii="Times New Roman" w:hAnsi="Times New Roman" w:cs="Times New Roman"/>
          <w:sz w:val="24"/>
          <w:szCs w:val="24"/>
          <w:lang w:val="en-GB"/>
        </w:rPr>
        <w:t xml:space="preserve"> 2005; </w:t>
      </w:r>
      <w:proofErr w:type="spellStart"/>
      <w:r w:rsidR="00136A29" w:rsidRPr="007C4490">
        <w:rPr>
          <w:rFonts w:ascii="Times New Roman" w:hAnsi="Times New Roman" w:cs="Times New Roman"/>
          <w:sz w:val="24"/>
          <w:szCs w:val="24"/>
          <w:lang w:val="en-GB"/>
        </w:rPr>
        <w:t>Thelen</w:t>
      </w:r>
      <w:proofErr w:type="spellEnd"/>
      <w:r w:rsidR="00863B4B" w:rsidRPr="007C4490">
        <w:rPr>
          <w:rFonts w:ascii="Times New Roman" w:hAnsi="Times New Roman" w:cs="Times New Roman"/>
          <w:sz w:val="24"/>
          <w:szCs w:val="24"/>
          <w:lang w:val="en-GB"/>
        </w:rPr>
        <w:t xml:space="preserve"> 2004). </w:t>
      </w:r>
      <w:r w:rsidR="00C22937" w:rsidRPr="007C4490">
        <w:rPr>
          <w:rFonts w:ascii="Times New Roman" w:hAnsi="Times New Roman" w:cs="Times New Roman"/>
          <w:sz w:val="24"/>
          <w:szCs w:val="24"/>
          <w:lang w:val="en-GB"/>
        </w:rPr>
        <w:t xml:space="preserve">A central concept in gradual theories of institutional </w:t>
      </w:r>
      <w:r w:rsidR="00331128" w:rsidRPr="007C4490">
        <w:rPr>
          <w:rFonts w:ascii="Times New Roman" w:hAnsi="Times New Roman" w:cs="Times New Roman"/>
          <w:sz w:val="24"/>
          <w:szCs w:val="24"/>
          <w:lang w:val="en-GB"/>
        </w:rPr>
        <w:t>change is that of ‘policy drift</w:t>
      </w:r>
      <w:r w:rsidR="00C22937" w:rsidRPr="007C4490">
        <w:rPr>
          <w:rFonts w:ascii="Times New Roman" w:hAnsi="Times New Roman" w:cs="Times New Roman"/>
          <w:sz w:val="24"/>
          <w:szCs w:val="24"/>
          <w:lang w:val="en-GB"/>
        </w:rPr>
        <w:t>’</w:t>
      </w:r>
      <w:r w:rsidR="00331128" w:rsidRPr="007C4490">
        <w:rPr>
          <w:rFonts w:ascii="Times New Roman" w:hAnsi="Times New Roman" w:cs="Times New Roman"/>
          <w:sz w:val="24"/>
          <w:szCs w:val="24"/>
          <w:lang w:val="en-GB"/>
        </w:rPr>
        <w:t>,</w:t>
      </w:r>
      <w:r w:rsidR="00C22937" w:rsidRPr="007C4490">
        <w:rPr>
          <w:rFonts w:ascii="Times New Roman" w:hAnsi="Times New Roman" w:cs="Times New Roman"/>
          <w:sz w:val="24"/>
          <w:szCs w:val="24"/>
          <w:lang w:val="en-GB"/>
        </w:rPr>
        <w:t xml:space="preserve"> formulated by Jacob Hacker (2004)</w:t>
      </w:r>
      <w:r w:rsidR="003B64B9" w:rsidRPr="007C4490">
        <w:rPr>
          <w:rFonts w:ascii="Times New Roman" w:hAnsi="Times New Roman" w:cs="Times New Roman"/>
          <w:sz w:val="24"/>
          <w:szCs w:val="24"/>
          <w:lang w:val="en-GB"/>
        </w:rPr>
        <w:t>.</w:t>
      </w:r>
      <w:r w:rsidR="008F5032" w:rsidRPr="007C4490">
        <w:rPr>
          <w:rFonts w:ascii="Times New Roman" w:hAnsi="Times New Roman" w:cs="Times New Roman"/>
          <w:sz w:val="24"/>
          <w:szCs w:val="24"/>
          <w:lang w:val="en-GB"/>
        </w:rPr>
        <w:t xml:space="preserve"> </w:t>
      </w:r>
      <w:r w:rsidR="003B64B9" w:rsidRPr="007C4490">
        <w:rPr>
          <w:rFonts w:ascii="Times New Roman" w:hAnsi="Times New Roman" w:cs="Times New Roman"/>
          <w:sz w:val="24"/>
          <w:szCs w:val="24"/>
          <w:lang w:val="en-GB"/>
        </w:rPr>
        <w:t>Policy drift</w:t>
      </w:r>
      <w:r w:rsidR="008F5032" w:rsidRPr="007C4490">
        <w:rPr>
          <w:rFonts w:ascii="Times New Roman" w:hAnsi="Times New Roman" w:cs="Times New Roman"/>
          <w:sz w:val="24"/>
          <w:szCs w:val="24"/>
          <w:lang w:val="en-GB"/>
        </w:rPr>
        <w:t xml:space="preserve"> refers to cases of institutional change that r</w:t>
      </w:r>
      <w:r w:rsidR="00331128" w:rsidRPr="007C4490">
        <w:rPr>
          <w:rFonts w:ascii="Times New Roman" w:hAnsi="Times New Roman" w:cs="Times New Roman"/>
          <w:sz w:val="24"/>
          <w:szCs w:val="24"/>
          <w:lang w:val="en-GB"/>
        </w:rPr>
        <w:t>esult not from ‘formal revision</w:t>
      </w:r>
      <w:r w:rsidR="008F5032" w:rsidRPr="007C4490">
        <w:rPr>
          <w:rFonts w:ascii="Times New Roman" w:hAnsi="Times New Roman" w:cs="Times New Roman"/>
          <w:sz w:val="24"/>
          <w:szCs w:val="24"/>
          <w:lang w:val="en-GB"/>
        </w:rPr>
        <w:t>’</w:t>
      </w:r>
      <w:r w:rsidR="00331128" w:rsidRPr="007C4490">
        <w:rPr>
          <w:rFonts w:ascii="Times New Roman" w:hAnsi="Times New Roman" w:cs="Times New Roman"/>
          <w:sz w:val="24"/>
          <w:szCs w:val="24"/>
          <w:lang w:val="en-GB"/>
        </w:rPr>
        <w:t>,</w:t>
      </w:r>
      <w:r w:rsidR="008F5032" w:rsidRPr="007C4490">
        <w:rPr>
          <w:rFonts w:ascii="Times New Roman" w:hAnsi="Times New Roman" w:cs="Times New Roman"/>
          <w:sz w:val="24"/>
          <w:szCs w:val="24"/>
          <w:lang w:val="en-GB"/>
        </w:rPr>
        <w:t xml:space="preserve"> but from policies’ failure to adapt to shifts in their social or economic context. Policy drift is a particularly ubiquitous process in contexts dominated by both political and institutional ave</w:t>
      </w:r>
      <w:r w:rsidR="003B64B9" w:rsidRPr="007C4490">
        <w:rPr>
          <w:rFonts w:ascii="Times New Roman" w:hAnsi="Times New Roman" w:cs="Times New Roman"/>
          <w:sz w:val="24"/>
          <w:szCs w:val="24"/>
          <w:lang w:val="en-GB"/>
        </w:rPr>
        <w:t xml:space="preserve">rsion to change (Hacker, </w:t>
      </w:r>
      <w:proofErr w:type="spellStart"/>
      <w:r w:rsidR="003B64B9" w:rsidRPr="007C4490">
        <w:rPr>
          <w:rFonts w:ascii="Times New Roman" w:hAnsi="Times New Roman" w:cs="Times New Roman"/>
          <w:sz w:val="24"/>
          <w:szCs w:val="24"/>
          <w:lang w:val="en-GB"/>
        </w:rPr>
        <w:t>Thelen</w:t>
      </w:r>
      <w:proofErr w:type="spellEnd"/>
      <w:r w:rsidR="008F5032" w:rsidRPr="007C4490">
        <w:rPr>
          <w:rFonts w:ascii="Times New Roman" w:hAnsi="Times New Roman" w:cs="Times New Roman"/>
          <w:sz w:val="24"/>
          <w:szCs w:val="24"/>
          <w:lang w:val="en-GB"/>
        </w:rPr>
        <w:t xml:space="preserve"> and Pierson 2013).  While processes of conversion (the redeployment of existing rules) and layering (the introduction of new rules alongside existing ones) respectively require institutional discretion or political opportunities for change, policy drift often occurs</w:t>
      </w:r>
      <w:r w:rsidR="00500257" w:rsidRPr="007C4490">
        <w:rPr>
          <w:rFonts w:ascii="Times New Roman" w:hAnsi="Times New Roman" w:cs="Times New Roman"/>
          <w:sz w:val="24"/>
          <w:szCs w:val="24"/>
          <w:lang w:val="en-GB"/>
        </w:rPr>
        <w:t xml:space="preserve"> in the face of </w:t>
      </w:r>
      <w:r w:rsidR="00D64AD1" w:rsidRPr="007C4490">
        <w:rPr>
          <w:rFonts w:ascii="Times New Roman" w:hAnsi="Times New Roman" w:cs="Times New Roman"/>
          <w:sz w:val="24"/>
          <w:szCs w:val="24"/>
          <w:lang w:val="en-GB"/>
        </w:rPr>
        <w:t>legislative stasis</w:t>
      </w:r>
      <w:r w:rsidR="00500257" w:rsidRPr="007C4490">
        <w:rPr>
          <w:rFonts w:ascii="Times New Roman" w:hAnsi="Times New Roman" w:cs="Times New Roman"/>
          <w:sz w:val="24"/>
          <w:szCs w:val="24"/>
          <w:lang w:val="en-GB"/>
        </w:rPr>
        <w:t xml:space="preserve">. </w:t>
      </w:r>
      <w:r w:rsidR="008F5032" w:rsidRPr="007C4490">
        <w:rPr>
          <w:rFonts w:ascii="Times New Roman" w:hAnsi="Times New Roman" w:cs="Times New Roman"/>
          <w:sz w:val="24"/>
          <w:szCs w:val="24"/>
          <w:lang w:val="en-GB"/>
        </w:rPr>
        <w:t xml:space="preserve"> </w:t>
      </w:r>
    </w:p>
    <w:p w14:paraId="715D6104" w14:textId="64E3C7C0" w:rsidR="00CF69F9" w:rsidRPr="007C4490" w:rsidRDefault="00E119A7" w:rsidP="008F5032">
      <w:pPr>
        <w:spacing w:after="0" w:line="480" w:lineRule="auto"/>
        <w:ind w:firstLine="720"/>
        <w:jc w:val="both"/>
        <w:rPr>
          <w:rFonts w:ascii="Times New Roman" w:hAnsi="Times New Roman" w:cs="Times New Roman"/>
          <w:sz w:val="24"/>
          <w:szCs w:val="24"/>
          <w:lang w:val="en-GB"/>
        </w:rPr>
      </w:pPr>
      <w:proofErr w:type="gramStart"/>
      <w:r w:rsidRPr="007C4490">
        <w:rPr>
          <w:rFonts w:ascii="Times New Roman" w:hAnsi="Times New Roman" w:cs="Times New Roman"/>
          <w:sz w:val="24"/>
          <w:szCs w:val="24"/>
          <w:lang w:val="en-GB"/>
        </w:rPr>
        <w:t xml:space="preserve">However ubiquitous, drift is notoriously difficult to study empirically, especially because it </w:t>
      </w:r>
      <w:r w:rsidR="00C22937" w:rsidRPr="007C4490">
        <w:rPr>
          <w:rFonts w:ascii="Times New Roman" w:hAnsi="Times New Roman" w:cs="Times New Roman"/>
          <w:sz w:val="24"/>
          <w:szCs w:val="24"/>
          <w:lang w:val="en-GB"/>
        </w:rPr>
        <w:t xml:space="preserve">refers to change through inaction, or </w:t>
      </w:r>
      <w:r w:rsidR="006A4FBF" w:rsidRPr="007C4490">
        <w:rPr>
          <w:rFonts w:ascii="Times New Roman" w:hAnsi="Times New Roman" w:cs="Times New Roman"/>
          <w:sz w:val="24"/>
          <w:szCs w:val="24"/>
          <w:lang w:val="en-GB"/>
        </w:rPr>
        <w:t>‘</w:t>
      </w:r>
      <w:r w:rsidR="00863B4B" w:rsidRPr="007C4490">
        <w:rPr>
          <w:rFonts w:ascii="Times New Roman" w:hAnsi="Times New Roman" w:cs="Times New Roman"/>
          <w:sz w:val="24"/>
          <w:szCs w:val="24"/>
          <w:lang w:val="en-GB"/>
        </w:rPr>
        <w:t>Transformation of stable policy due to changing circumstances</w:t>
      </w:r>
      <w:r w:rsidR="006A4FBF" w:rsidRPr="007C4490">
        <w:rPr>
          <w:rFonts w:ascii="Times New Roman" w:hAnsi="Times New Roman" w:cs="Times New Roman"/>
          <w:sz w:val="24"/>
          <w:szCs w:val="24"/>
          <w:lang w:val="en-GB"/>
        </w:rPr>
        <w:t>’</w:t>
      </w:r>
      <w:r w:rsidR="0076666F" w:rsidRPr="007C4490">
        <w:rPr>
          <w:rFonts w:ascii="Times New Roman" w:hAnsi="Times New Roman" w:cs="Times New Roman"/>
          <w:sz w:val="24"/>
          <w:szCs w:val="24"/>
          <w:lang w:val="en-GB"/>
        </w:rPr>
        <w:t xml:space="preserve"> (Hacker</w:t>
      </w:r>
      <w:r w:rsidR="00863B4B" w:rsidRPr="007C4490">
        <w:rPr>
          <w:rFonts w:ascii="Times New Roman" w:hAnsi="Times New Roman" w:cs="Times New Roman"/>
          <w:sz w:val="24"/>
          <w:szCs w:val="24"/>
          <w:lang w:val="en-GB"/>
        </w:rPr>
        <w:t xml:space="preserve"> 2004: 248</w:t>
      </w:r>
      <w:r w:rsidRPr="007C4490">
        <w:rPr>
          <w:rFonts w:ascii="Times New Roman" w:hAnsi="Times New Roman" w:cs="Times New Roman"/>
          <w:sz w:val="24"/>
          <w:szCs w:val="24"/>
          <w:lang w:val="en-GB"/>
        </w:rPr>
        <w:t>).</w:t>
      </w:r>
      <w:proofErr w:type="gramEnd"/>
      <w:r w:rsidRPr="007C4490">
        <w:rPr>
          <w:rFonts w:ascii="Times New Roman" w:hAnsi="Times New Roman" w:cs="Times New Roman"/>
          <w:sz w:val="24"/>
          <w:szCs w:val="24"/>
          <w:lang w:val="en-GB"/>
        </w:rPr>
        <w:t xml:space="preserve">  As R</w:t>
      </w:r>
      <w:r w:rsidR="00C22937" w:rsidRPr="007C4490">
        <w:rPr>
          <w:rFonts w:ascii="Times New Roman" w:hAnsi="Times New Roman" w:cs="Times New Roman"/>
          <w:sz w:val="24"/>
          <w:szCs w:val="24"/>
          <w:lang w:val="en-GB"/>
        </w:rPr>
        <w:t>occo and Thurston (2014</w:t>
      </w:r>
      <w:r w:rsidR="0076666F"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36</w:t>
      </w:r>
      <w:r w:rsidR="00C22937" w:rsidRPr="007C4490">
        <w:rPr>
          <w:rFonts w:ascii="Times New Roman" w:hAnsi="Times New Roman" w:cs="Times New Roman"/>
          <w:sz w:val="24"/>
          <w:szCs w:val="24"/>
          <w:lang w:val="en-GB"/>
        </w:rPr>
        <w:t xml:space="preserve">) suggest, </w:t>
      </w:r>
      <w:r w:rsidRPr="007C4490">
        <w:rPr>
          <w:rFonts w:ascii="Times New Roman" w:hAnsi="Times New Roman" w:cs="Times New Roman"/>
          <w:sz w:val="24"/>
          <w:szCs w:val="24"/>
          <w:lang w:val="en-GB"/>
        </w:rPr>
        <w:t xml:space="preserve">the invisibility of drift makes it difficult to track with the </w:t>
      </w:r>
      <w:r w:rsidR="00500257"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standard tools for </w:t>
      </w:r>
      <w:r w:rsidR="00331128" w:rsidRPr="007C4490">
        <w:rPr>
          <w:rFonts w:ascii="Times New Roman" w:hAnsi="Times New Roman" w:cs="Times New Roman"/>
          <w:sz w:val="24"/>
          <w:szCs w:val="24"/>
          <w:lang w:val="en-GB"/>
        </w:rPr>
        <w:t>observing institutional change</w:t>
      </w:r>
      <w:r w:rsidR="00500257" w:rsidRPr="007C4490">
        <w:rPr>
          <w:rFonts w:ascii="Times New Roman" w:hAnsi="Times New Roman" w:cs="Times New Roman"/>
          <w:sz w:val="24"/>
          <w:szCs w:val="24"/>
          <w:lang w:val="en-GB"/>
        </w:rPr>
        <w:t>’</w:t>
      </w:r>
      <w:r w:rsidR="00331128"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00E318B6" w:rsidRPr="007C4490">
        <w:rPr>
          <w:rFonts w:ascii="Times New Roman" w:hAnsi="Times New Roman" w:cs="Times New Roman"/>
          <w:sz w:val="24"/>
          <w:szCs w:val="24"/>
          <w:lang w:val="en-GB"/>
        </w:rPr>
        <w:t xml:space="preserve">In this article, we address these challenges and re-examine the concept of policy drift and its insightfulness for research on social policy change by </w:t>
      </w:r>
      <w:r w:rsidRPr="007C4490">
        <w:rPr>
          <w:rFonts w:ascii="Times New Roman" w:hAnsi="Times New Roman" w:cs="Times New Roman"/>
          <w:sz w:val="24"/>
          <w:szCs w:val="24"/>
          <w:lang w:val="en-GB"/>
        </w:rPr>
        <w:t>revisiting</w:t>
      </w:r>
      <w:r w:rsidR="00E318B6" w:rsidRPr="007C4490">
        <w:rPr>
          <w:rFonts w:ascii="Times New Roman" w:hAnsi="Times New Roman" w:cs="Times New Roman"/>
          <w:sz w:val="24"/>
          <w:szCs w:val="24"/>
          <w:lang w:val="en-GB"/>
        </w:rPr>
        <w:t xml:space="preserve"> Hacker’s (2004) original contribution, both analytically and empirically.</w:t>
      </w:r>
      <w:r w:rsidR="005D37BC" w:rsidRPr="007C4490">
        <w:rPr>
          <w:rFonts w:ascii="Times New Roman" w:hAnsi="Times New Roman" w:cs="Times New Roman"/>
          <w:sz w:val="24"/>
          <w:szCs w:val="24"/>
          <w:lang w:val="en-GB"/>
        </w:rPr>
        <w:t xml:space="preserve"> First, we discusses how Hacker (2004) frames the concept of policy dr</w:t>
      </w:r>
      <w:r w:rsidR="00D76AF7" w:rsidRPr="007C4490">
        <w:rPr>
          <w:rFonts w:ascii="Times New Roman" w:hAnsi="Times New Roman" w:cs="Times New Roman"/>
          <w:sz w:val="24"/>
          <w:szCs w:val="24"/>
          <w:lang w:val="en-GB"/>
        </w:rPr>
        <w:t xml:space="preserve">ift, before exploring a number of analytical issues that </w:t>
      </w:r>
      <w:r w:rsidR="0032633B" w:rsidRPr="007C4490">
        <w:rPr>
          <w:rFonts w:ascii="Times New Roman" w:hAnsi="Times New Roman" w:cs="Times New Roman"/>
          <w:sz w:val="24"/>
          <w:szCs w:val="24"/>
          <w:lang w:val="en-GB"/>
        </w:rPr>
        <w:t>must be addressed in order to facilitate more sys</w:t>
      </w:r>
      <w:r w:rsidR="00D76AF7" w:rsidRPr="007C4490">
        <w:rPr>
          <w:rFonts w:ascii="Times New Roman" w:hAnsi="Times New Roman" w:cs="Times New Roman"/>
          <w:sz w:val="24"/>
          <w:szCs w:val="24"/>
          <w:lang w:val="en-GB"/>
        </w:rPr>
        <w:t>tematic empirical research on</w:t>
      </w:r>
      <w:r w:rsidR="0032633B" w:rsidRPr="007C4490">
        <w:rPr>
          <w:rFonts w:ascii="Times New Roman" w:hAnsi="Times New Roman" w:cs="Times New Roman"/>
          <w:sz w:val="24"/>
          <w:szCs w:val="24"/>
          <w:lang w:val="en-GB"/>
        </w:rPr>
        <w:t xml:space="preserve"> policy drift. </w:t>
      </w:r>
      <w:r w:rsidR="00936942" w:rsidRPr="007C4490">
        <w:rPr>
          <w:rFonts w:ascii="Times New Roman" w:hAnsi="Times New Roman" w:cs="Times New Roman"/>
          <w:sz w:val="24"/>
          <w:szCs w:val="24"/>
          <w:lang w:val="en-GB"/>
        </w:rPr>
        <w:t xml:space="preserve">In particular, we suggest that closer attention to </w:t>
      </w:r>
      <w:r w:rsidR="007B6649">
        <w:rPr>
          <w:rFonts w:ascii="Times New Roman" w:hAnsi="Times New Roman" w:cs="Times New Roman"/>
          <w:sz w:val="24"/>
          <w:szCs w:val="24"/>
          <w:lang w:val="en-GB"/>
        </w:rPr>
        <w:t>case-specific empirical implications</w:t>
      </w:r>
      <w:r w:rsidR="00936942" w:rsidRPr="007C4490">
        <w:rPr>
          <w:rFonts w:ascii="Times New Roman" w:hAnsi="Times New Roman" w:cs="Times New Roman"/>
          <w:sz w:val="24"/>
          <w:szCs w:val="24"/>
          <w:lang w:val="en-GB"/>
        </w:rPr>
        <w:t xml:space="preserve"> </w:t>
      </w:r>
      <w:r w:rsidR="007B6649">
        <w:rPr>
          <w:rFonts w:ascii="Times New Roman" w:hAnsi="Times New Roman" w:cs="Times New Roman"/>
          <w:sz w:val="24"/>
          <w:szCs w:val="24"/>
          <w:lang w:val="en-GB"/>
        </w:rPr>
        <w:t>of the effectiveness of</w:t>
      </w:r>
      <w:r w:rsidR="00936942" w:rsidRPr="007C4490">
        <w:rPr>
          <w:rFonts w:ascii="Times New Roman" w:hAnsi="Times New Roman" w:cs="Times New Roman"/>
          <w:sz w:val="24"/>
          <w:szCs w:val="24"/>
          <w:lang w:val="en-GB"/>
        </w:rPr>
        <w:t xml:space="preserve"> policy implementation</w:t>
      </w:r>
      <w:r w:rsidR="00AC6EB6">
        <w:rPr>
          <w:rFonts w:ascii="Times New Roman" w:hAnsi="Times New Roman" w:cs="Times New Roman"/>
          <w:sz w:val="24"/>
          <w:szCs w:val="24"/>
          <w:lang w:val="en-GB"/>
        </w:rPr>
        <w:t>, especially in contexts where authority is delegated to sub-national governments</w:t>
      </w:r>
      <w:proofErr w:type="gramStart"/>
      <w:r w:rsidR="00AC6EB6">
        <w:rPr>
          <w:rFonts w:ascii="Times New Roman" w:hAnsi="Times New Roman" w:cs="Times New Roman"/>
          <w:sz w:val="24"/>
          <w:szCs w:val="24"/>
          <w:lang w:val="en-GB"/>
        </w:rPr>
        <w:t xml:space="preserve">, </w:t>
      </w:r>
      <w:r w:rsidR="00936942" w:rsidRPr="007C4490">
        <w:rPr>
          <w:rFonts w:ascii="Times New Roman" w:hAnsi="Times New Roman" w:cs="Times New Roman"/>
          <w:sz w:val="24"/>
          <w:szCs w:val="24"/>
          <w:lang w:val="en-GB"/>
        </w:rPr>
        <w:t xml:space="preserve"> and</w:t>
      </w:r>
      <w:proofErr w:type="gramEnd"/>
      <w:r w:rsidR="00936942" w:rsidRPr="007C4490">
        <w:rPr>
          <w:rFonts w:ascii="Times New Roman" w:hAnsi="Times New Roman" w:cs="Times New Roman"/>
          <w:sz w:val="24"/>
          <w:szCs w:val="24"/>
          <w:lang w:val="en-GB"/>
        </w:rPr>
        <w:t xml:space="preserve"> </w:t>
      </w:r>
      <w:r w:rsidR="007B6649">
        <w:rPr>
          <w:rFonts w:ascii="Times New Roman" w:hAnsi="Times New Roman" w:cs="Times New Roman"/>
          <w:sz w:val="24"/>
          <w:szCs w:val="24"/>
          <w:lang w:val="en-GB"/>
        </w:rPr>
        <w:t xml:space="preserve">the </w:t>
      </w:r>
      <w:r w:rsidR="00936942" w:rsidRPr="007C4490">
        <w:rPr>
          <w:rFonts w:ascii="Times New Roman" w:hAnsi="Times New Roman" w:cs="Times New Roman"/>
          <w:sz w:val="24"/>
          <w:szCs w:val="24"/>
          <w:lang w:val="en-GB"/>
        </w:rPr>
        <w:t xml:space="preserve">timeframe </w:t>
      </w:r>
      <w:r w:rsidR="007B6649">
        <w:rPr>
          <w:rFonts w:ascii="Times New Roman" w:hAnsi="Times New Roman" w:cs="Times New Roman"/>
          <w:sz w:val="24"/>
          <w:szCs w:val="24"/>
          <w:lang w:val="en-GB"/>
        </w:rPr>
        <w:t xml:space="preserve">of the analysis </w:t>
      </w:r>
      <w:r w:rsidR="00936942" w:rsidRPr="007C4490">
        <w:rPr>
          <w:rFonts w:ascii="Times New Roman" w:hAnsi="Times New Roman" w:cs="Times New Roman"/>
          <w:sz w:val="24"/>
          <w:szCs w:val="24"/>
          <w:lang w:val="en-GB"/>
        </w:rPr>
        <w:lastRenderedPageBreak/>
        <w:t xml:space="preserve">make drift a more tractable concept. </w:t>
      </w:r>
      <w:r w:rsidR="00D76AF7" w:rsidRPr="007C4490">
        <w:rPr>
          <w:rFonts w:ascii="Times New Roman" w:hAnsi="Times New Roman" w:cs="Times New Roman"/>
          <w:sz w:val="24"/>
          <w:szCs w:val="24"/>
          <w:lang w:val="en-GB"/>
        </w:rPr>
        <w:t xml:space="preserve">Second, in order to empirically examine and illustrate these issues, the article revisits and updates the two case studies featured in Hacker’s seminal 2004 article: health insurance and retirement security. Re-examining these case studies now is especially relevant for two reasons. On one hand, the scope of the 2008 financial crisis and of </w:t>
      </w:r>
      <w:r w:rsidR="0076666F" w:rsidRPr="007C4490">
        <w:rPr>
          <w:rFonts w:ascii="Times New Roman" w:hAnsi="Times New Roman" w:cs="Times New Roman"/>
          <w:sz w:val="24"/>
          <w:szCs w:val="24"/>
          <w:lang w:val="en-GB"/>
        </w:rPr>
        <w:t>the Great Recession</w:t>
      </w:r>
      <w:r w:rsidR="00D76AF7" w:rsidRPr="007C4490">
        <w:rPr>
          <w:rFonts w:ascii="Times New Roman" w:hAnsi="Times New Roman" w:cs="Times New Roman"/>
          <w:sz w:val="24"/>
          <w:szCs w:val="24"/>
          <w:lang w:val="en-GB"/>
        </w:rPr>
        <w:t xml:space="preserve"> </w:t>
      </w:r>
      <w:r w:rsidR="005D5C20" w:rsidRPr="007C4490">
        <w:rPr>
          <w:rFonts w:ascii="Times New Roman" w:hAnsi="Times New Roman" w:cs="Times New Roman"/>
          <w:sz w:val="24"/>
          <w:szCs w:val="24"/>
          <w:lang w:val="en-GB"/>
        </w:rPr>
        <w:t>only deepen</w:t>
      </w:r>
      <w:r w:rsidR="007C4490">
        <w:rPr>
          <w:rFonts w:ascii="Times New Roman" w:hAnsi="Times New Roman" w:cs="Times New Roman"/>
          <w:sz w:val="24"/>
          <w:szCs w:val="24"/>
          <w:lang w:val="en-GB"/>
        </w:rPr>
        <w:t>ed</w:t>
      </w:r>
      <w:r w:rsidR="005D5C20" w:rsidRPr="007C4490">
        <w:rPr>
          <w:rFonts w:ascii="Times New Roman" w:hAnsi="Times New Roman" w:cs="Times New Roman"/>
          <w:sz w:val="24"/>
          <w:szCs w:val="24"/>
          <w:lang w:val="en-GB"/>
        </w:rPr>
        <w:t xml:space="preserve"> the trends</w:t>
      </w:r>
      <w:r w:rsidR="000B47A6" w:rsidRPr="007C4490">
        <w:rPr>
          <w:rFonts w:ascii="Times New Roman" w:hAnsi="Times New Roman" w:cs="Times New Roman"/>
          <w:sz w:val="24"/>
          <w:szCs w:val="24"/>
          <w:lang w:val="en-GB"/>
        </w:rPr>
        <w:t xml:space="preserve"> towards drift</w:t>
      </w:r>
      <w:r w:rsidR="005D5C20" w:rsidRPr="007C4490">
        <w:rPr>
          <w:rFonts w:ascii="Times New Roman" w:hAnsi="Times New Roman" w:cs="Times New Roman"/>
          <w:sz w:val="24"/>
          <w:szCs w:val="24"/>
          <w:lang w:val="en-GB"/>
        </w:rPr>
        <w:t xml:space="preserve"> initially reported by Hacker</w:t>
      </w:r>
      <w:r w:rsidR="000B47A6" w:rsidRPr="007C4490">
        <w:rPr>
          <w:rFonts w:ascii="Times New Roman" w:hAnsi="Times New Roman" w:cs="Times New Roman"/>
          <w:sz w:val="24"/>
          <w:szCs w:val="24"/>
          <w:lang w:val="en-GB"/>
        </w:rPr>
        <w:t xml:space="preserve">. </w:t>
      </w:r>
      <w:r w:rsidR="00D76AF7" w:rsidRPr="007C4490">
        <w:rPr>
          <w:rFonts w:ascii="Times New Roman" w:hAnsi="Times New Roman" w:cs="Times New Roman"/>
          <w:sz w:val="24"/>
          <w:szCs w:val="24"/>
          <w:lang w:val="en-GB"/>
        </w:rPr>
        <w:t xml:space="preserve">On the other hand, </w:t>
      </w:r>
      <w:r w:rsidR="003C6362" w:rsidRPr="007C4490">
        <w:rPr>
          <w:rFonts w:ascii="Times New Roman" w:hAnsi="Times New Roman" w:cs="Times New Roman"/>
          <w:sz w:val="24"/>
          <w:szCs w:val="24"/>
          <w:lang w:val="en-GB"/>
        </w:rPr>
        <w:t xml:space="preserve">the </w:t>
      </w:r>
      <w:r w:rsidR="00936942" w:rsidRPr="007C4490">
        <w:rPr>
          <w:rFonts w:ascii="Times New Roman" w:hAnsi="Times New Roman" w:cs="Times New Roman"/>
          <w:sz w:val="24"/>
          <w:szCs w:val="24"/>
          <w:lang w:val="en-GB"/>
        </w:rPr>
        <w:t xml:space="preserve">US </w:t>
      </w:r>
      <w:r w:rsidR="000B47A6" w:rsidRPr="007C4490">
        <w:rPr>
          <w:rFonts w:ascii="Times New Roman" w:hAnsi="Times New Roman" w:cs="Times New Roman"/>
          <w:sz w:val="24"/>
          <w:szCs w:val="24"/>
          <w:lang w:val="en-GB"/>
        </w:rPr>
        <w:t>government’</w:t>
      </w:r>
      <w:r w:rsidR="007C4490">
        <w:rPr>
          <w:rFonts w:ascii="Times New Roman" w:hAnsi="Times New Roman" w:cs="Times New Roman"/>
          <w:sz w:val="24"/>
          <w:szCs w:val="24"/>
          <w:lang w:val="en-GB"/>
        </w:rPr>
        <w:t>s response was</w:t>
      </w:r>
      <w:r w:rsidR="000B47A6" w:rsidRPr="007C4490">
        <w:rPr>
          <w:rFonts w:ascii="Times New Roman" w:hAnsi="Times New Roman" w:cs="Times New Roman"/>
          <w:sz w:val="24"/>
          <w:szCs w:val="24"/>
          <w:lang w:val="en-GB"/>
        </w:rPr>
        <w:t xml:space="preserve"> </w:t>
      </w:r>
      <w:r w:rsidR="008B6B65">
        <w:rPr>
          <w:rFonts w:ascii="Times New Roman" w:hAnsi="Times New Roman" w:cs="Times New Roman"/>
          <w:sz w:val="24"/>
          <w:szCs w:val="24"/>
          <w:lang w:val="en-GB"/>
        </w:rPr>
        <w:t>un</w:t>
      </w:r>
      <w:r w:rsidR="000B47A6" w:rsidRPr="007C4490">
        <w:rPr>
          <w:rFonts w:ascii="Times New Roman" w:hAnsi="Times New Roman" w:cs="Times New Roman"/>
          <w:sz w:val="24"/>
          <w:szCs w:val="24"/>
          <w:lang w:val="en-GB"/>
        </w:rPr>
        <w:t>even across policy domains:</w:t>
      </w:r>
      <w:r w:rsidR="00D76AF7" w:rsidRPr="007C4490">
        <w:rPr>
          <w:rFonts w:ascii="Times New Roman" w:hAnsi="Times New Roman" w:cs="Times New Roman"/>
          <w:sz w:val="24"/>
          <w:szCs w:val="24"/>
          <w:lang w:val="en-GB"/>
        </w:rPr>
        <w:t xml:space="preserve"> </w:t>
      </w:r>
      <w:r w:rsidR="00E41AD7" w:rsidRPr="007C4490">
        <w:rPr>
          <w:rFonts w:ascii="Times New Roman" w:hAnsi="Times New Roman" w:cs="Times New Roman"/>
          <w:sz w:val="24"/>
          <w:szCs w:val="24"/>
          <w:lang w:val="en-GB"/>
        </w:rPr>
        <w:t>whereas a major reform occurred in the field of</w:t>
      </w:r>
      <w:r w:rsidR="00D76AF7" w:rsidRPr="007C4490">
        <w:rPr>
          <w:rFonts w:ascii="Times New Roman" w:hAnsi="Times New Roman" w:cs="Times New Roman"/>
          <w:sz w:val="24"/>
          <w:szCs w:val="24"/>
          <w:lang w:val="en-GB"/>
        </w:rPr>
        <w:t xml:space="preserve"> health insurance (the 2010 Affordable Care Act)</w:t>
      </w:r>
      <w:r w:rsidR="00E41AD7" w:rsidRPr="007C4490">
        <w:rPr>
          <w:rFonts w:ascii="Times New Roman" w:hAnsi="Times New Roman" w:cs="Times New Roman"/>
          <w:sz w:val="24"/>
          <w:szCs w:val="24"/>
          <w:lang w:val="en-GB"/>
        </w:rPr>
        <w:t>, retirement security saw no reform</w:t>
      </w:r>
      <w:r w:rsidR="003C6362" w:rsidRPr="007C4490">
        <w:rPr>
          <w:rFonts w:ascii="Times New Roman" w:hAnsi="Times New Roman" w:cs="Times New Roman"/>
          <w:sz w:val="24"/>
          <w:szCs w:val="24"/>
          <w:lang w:val="en-GB"/>
        </w:rPr>
        <w:t xml:space="preserve"> (Hacker, </w:t>
      </w:r>
      <w:proofErr w:type="spellStart"/>
      <w:r w:rsidR="003C6362" w:rsidRPr="007C4490">
        <w:rPr>
          <w:rFonts w:ascii="Times New Roman" w:hAnsi="Times New Roman" w:cs="Times New Roman"/>
          <w:sz w:val="24"/>
          <w:szCs w:val="24"/>
          <w:lang w:val="en-GB"/>
        </w:rPr>
        <w:t>Thelen</w:t>
      </w:r>
      <w:proofErr w:type="spellEnd"/>
      <w:r w:rsidRPr="007C4490">
        <w:rPr>
          <w:rFonts w:ascii="Times New Roman" w:hAnsi="Times New Roman" w:cs="Times New Roman"/>
          <w:sz w:val="24"/>
          <w:szCs w:val="24"/>
          <w:lang w:val="en-GB"/>
        </w:rPr>
        <w:t xml:space="preserve"> and Pierson 2013)</w:t>
      </w:r>
      <w:r w:rsidR="00E41AD7"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By</w:t>
      </w:r>
      <w:r w:rsidR="00D76AF7" w:rsidRPr="007C4490">
        <w:rPr>
          <w:rFonts w:ascii="Times New Roman" w:hAnsi="Times New Roman" w:cs="Times New Roman"/>
          <w:sz w:val="24"/>
          <w:szCs w:val="24"/>
          <w:lang w:val="en-GB"/>
        </w:rPr>
        <w:t xml:space="preserve"> </w:t>
      </w:r>
      <w:r w:rsidR="00936942" w:rsidRPr="007C4490">
        <w:rPr>
          <w:rFonts w:ascii="Times New Roman" w:hAnsi="Times New Roman" w:cs="Times New Roman"/>
          <w:sz w:val="24"/>
          <w:szCs w:val="24"/>
          <w:lang w:val="en-GB"/>
        </w:rPr>
        <w:t xml:space="preserve">applying our analytical insights on drift, </w:t>
      </w:r>
      <w:r w:rsidR="00D76AF7" w:rsidRPr="007C4490">
        <w:rPr>
          <w:rFonts w:ascii="Times New Roman" w:hAnsi="Times New Roman" w:cs="Times New Roman"/>
          <w:sz w:val="24"/>
          <w:szCs w:val="24"/>
          <w:lang w:val="en-GB"/>
        </w:rPr>
        <w:t xml:space="preserve">the article suggests that, while policy drift has continued in the field of retirement security, the field </w:t>
      </w:r>
      <w:r w:rsidR="00043C0D" w:rsidRPr="007C4490">
        <w:rPr>
          <w:rFonts w:ascii="Times New Roman" w:hAnsi="Times New Roman" w:cs="Times New Roman"/>
          <w:sz w:val="24"/>
          <w:szCs w:val="24"/>
          <w:lang w:val="en-GB"/>
        </w:rPr>
        <w:t xml:space="preserve">of </w:t>
      </w:r>
      <w:r w:rsidR="00D76AF7" w:rsidRPr="007C4490">
        <w:rPr>
          <w:rFonts w:ascii="Times New Roman" w:hAnsi="Times New Roman" w:cs="Times New Roman"/>
          <w:sz w:val="24"/>
          <w:szCs w:val="24"/>
          <w:lang w:val="en-GB"/>
        </w:rPr>
        <w:t>health insurance has witnessed a</w:t>
      </w:r>
      <w:r w:rsidR="00043C0D" w:rsidRPr="007C4490">
        <w:rPr>
          <w:rFonts w:ascii="Times New Roman" w:hAnsi="Times New Roman" w:cs="Times New Roman"/>
          <w:sz w:val="24"/>
          <w:szCs w:val="24"/>
          <w:lang w:val="en-GB"/>
        </w:rPr>
        <w:t>n attempt to reverse the impact of</w:t>
      </w:r>
      <w:r w:rsidR="00D76AF7" w:rsidRPr="007C4490">
        <w:rPr>
          <w:rFonts w:ascii="Times New Roman" w:hAnsi="Times New Roman" w:cs="Times New Roman"/>
          <w:sz w:val="24"/>
          <w:szCs w:val="24"/>
          <w:lang w:val="en-GB"/>
        </w:rPr>
        <w:t xml:space="preserve"> policy</w:t>
      </w:r>
      <w:r w:rsidR="005D5C20" w:rsidRPr="007C4490">
        <w:rPr>
          <w:rFonts w:ascii="Times New Roman" w:hAnsi="Times New Roman" w:cs="Times New Roman"/>
          <w:sz w:val="24"/>
          <w:szCs w:val="24"/>
          <w:lang w:val="en-GB"/>
        </w:rPr>
        <w:t xml:space="preserve"> drift</w:t>
      </w:r>
      <w:r w:rsidR="00043C0D" w:rsidRPr="007C4490">
        <w:rPr>
          <w:rFonts w:ascii="Times New Roman" w:hAnsi="Times New Roman" w:cs="Times New Roman"/>
          <w:sz w:val="24"/>
          <w:szCs w:val="24"/>
          <w:lang w:val="en-GB"/>
        </w:rPr>
        <w:t>. Importantly, however,</w:t>
      </w:r>
      <w:r w:rsidR="00D76AF7" w:rsidRPr="007C4490">
        <w:rPr>
          <w:rFonts w:ascii="Times New Roman" w:hAnsi="Times New Roman" w:cs="Times New Roman"/>
          <w:sz w:val="24"/>
          <w:szCs w:val="24"/>
          <w:lang w:val="en-GB"/>
        </w:rPr>
        <w:t xml:space="preserve"> that</w:t>
      </w:r>
      <w:r w:rsidR="00043C0D" w:rsidRPr="007C4490">
        <w:rPr>
          <w:rFonts w:ascii="Times New Roman" w:hAnsi="Times New Roman" w:cs="Times New Roman"/>
          <w:sz w:val="24"/>
          <w:szCs w:val="24"/>
          <w:lang w:val="en-GB"/>
        </w:rPr>
        <w:t xml:space="preserve"> effort</w:t>
      </w:r>
      <w:r w:rsidR="00D76AF7" w:rsidRPr="007C4490">
        <w:rPr>
          <w:rFonts w:ascii="Times New Roman" w:hAnsi="Times New Roman" w:cs="Times New Roman"/>
          <w:sz w:val="24"/>
          <w:szCs w:val="24"/>
          <w:lang w:val="en-GB"/>
        </w:rPr>
        <w:t xml:space="preserve"> is </w:t>
      </w:r>
      <w:r w:rsidR="007B419E" w:rsidRPr="007C4490">
        <w:rPr>
          <w:rFonts w:ascii="Times New Roman" w:hAnsi="Times New Roman" w:cs="Times New Roman"/>
          <w:sz w:val="24"/>
          <w:szCs w:val="24"/>
          <w:lang w:val="en-GB"/>
        </w:rPr>
        <w:t xml:space="preserve">only </w:t>
      </w:r>
      <w:r w:rsidR="00D76AF7" w:rsidRPr="007C4490">
        <w:rPr>
          <w:rFonts w:ascii="Times New Roman" w:hAnsi="Times New Roman" w:cs="Times New Roman"/>
          <w:sz w:val="24"/>
          <w:szCs w:val="24"/>
          <w:lang w:val="en-GB"/>
        </w:rPr>
        <w:t xml:space="preserve">likely to </w:t>
      </w:r>
      <w:r w:rsidR="00043C0D" w:rsidRPr="007C4490">
        <w:rPr>
          <w:rFonts w:ascii="Times New Roman" w:hAnsi="Times New Roman" w:cs="Times New Roman"/>
          <w:sz w:val="24"/>
          <w:szCs w:val="24"/>
          <w:lang w:val="en-GB"/>
        </w:rPr>
        <w:t>fully succeed</w:t>
      </w:r>
      <w:r w:rsidR="007B419E" w:rsidRPr="007C4490">
        <w:rPr>
          <w:rFonts w:ascii="Times New Roman" w:hAnsi="Times New Roman" w:cs="Times New Roman"/>
          <w:sz w:val="24"/>
          <w:szCs w:val="24"/>
          <w:lang w:val="en-GB"/>
        </w:rPr>
        <w:t xml:space="preserve"> </w:t>
      </w:r>
      <w:r w:rsidR="00D76AF7" w:rsidRPr="007C4490">
        <w:rPr>
          <w:rFonts w:ascii="Times New Roman" w:hAnsi="Times New Roman" w:cs="Times New Roman"/>
          <w:sz w:val="24"/>
          <w:szCs w:val="24"/>
          <w:lang w:val="en-GB"/>
        </w:rPr>
        <w:t>if the Affordable Care Act</w:t>
      </w:r>
      <w:r w:rsidR="00EE69F9" w:rsidRPr="007C4490">
        <w:rPr>
          <w:rFonts w:ascii="Times New Roman" w:hAnsi="Times New Roman" w:cs="Times New Roman"/>
          <w:sz w:val="24"/>
          <w:szCs w:val="24"/>
          <w:lang w:val="en-GB"/>
        </w:rPr>
        <w:t xml:space="preserve"> (ACA)</w:t>
      </w:r>
      <w:r w:rsidR="00D76AF7" w:rsidRPr="007C4490">
        <w:rPr>
          <w:rFonts w:ascii="Times New Roman" w:hAnsi="Times New Roman" w:cs="Times New Roman"/>
          <w:sz w:val="24"/>
          <w:szCs w:val="24"/>
          <w:lang w:val="en-GB"/>
        </w:rPr>
        <w:t xml:space="preserve"> is successfully implemented, an issue that points to the relationship between policy drift and implementation, </w:t>
      </w:r>
      <w:r w:rsidR="007B419E" w:rsidRPr="007C4490">
        <w:rPr>
          <w:rFonts w:ascii="Times New Roman" w:hAnsi="Times New Roman" w:cs="Times New Roman"/>
          <w:sz w:val="24"/>
          <w:szCs w:val="24"/>
          <w:lang w:val="en-GB"/>
        </w:rPr>
        <w:t xml:space="preserve">something </w:t>
      </w:r>
      <w:r w:rsidR="00D76AF7" w:rsidRPr="007C4490">
        <w:rPr>
          <w:rFonts w:ascii="Times New Roman" w:hAnsi="Times New Roman" w:cs="Times New Roman"/>
          <w:sz w:val="24"/>
          <w:szCs w:val="24"/>
          <w:lang w:val="en-GB"/>
        </w:rPr>
        <w:t xml:space="preserve">which </w:t>
      </w:r>
      <w:r w:rsidR="007B419E" w:rsidRPr="007C4490">
        <w:rPr>
          <w:rFonts w:ascii="Times New Roman" w:hAnsi="Times New Roman" w:cs="Times New Roman"/>
          <w:sz w:val="24"/>
          <w:szCs w:val="24"/>
          <w:lang w:val="en-GB"/>
        </w:rPr>
        <w:t>Hacker (2004) does not tackle</w:t>
      </w:r>
      <w:r w:rsidR="00D76AF7" w:rsidRPr="007C4490">
        <w:rPr>
          <w:rFonts w:ascii="Times New Roman" w:hAnsi="Times New Roman" w:cs="Times New Roman"/>
          <w:sz w:val="24"/>
          <w:szCs w:val="24"/>
          <w:lang w:val="en-GB"/>
        </w:rPr>
        <w:t xml:space="preserve"> </w:t>
      </w:r>
      <w:r w:rsidR="007B419E" w:rsidRPr="007C4490">
        <w:rPr>
          <w:rFonts w:ascii="Times New Roman" w:hAnsi="Times New Roman" w:cs="Times New Roman"/>
          <w:sz w:val="24"/>
          <w:szCs w:val="24"/>
          <w:lang w:val="en-GB"/>
        </w:rPr>
        <w:t>systematically</w:t>
      </w:r>
      <w:r w:rsidR="00D76AF7" w:rsidRPr="007C4490">
        <w:rPr>
          <w:rFonts w:ascii="Times New Roman" w:hAnsi="Times New Roman" w:cs="Times New Roman"/>
          <w:sz w:val="24"/>
          <w:szCs w:val="24"/>
          <w:lang w:val="en-GB"/>
        </w:rPr>
        <w:t xml:space="preserve">. Overall, this article </w:t>
      </w:r>
      <w:r w:rsidR="005D5C20" w:rsidRPr="007C4490">
        <w:rPr>
          <w:rFonts w:ascii="Times New Roman" w:hAnsi="Times New Roman" w:cs="Times New Roman"/>
          <w:sz w:val="24"/>
          <w:szCs w:val="24"/>
          <w:lang w:val="en-GB"/>
        </w:rPr>
        <w:t xml:space="preserve">suggests that policy drift remains a useful concept for </w:t>
      </w:r>
      <w:r w:rsidR="00D76AF7" w:rsidRPr="007C4490">
        <w:rPr>
          <w:rFonts w:ascii="Times New Roman" w:hAnsi="Times New Roman" w:cs="Times New Roman"/>
          <w:sz w:val="24"/>
          <w:szCs w:val="24"/>
          <w:lang w:val="en-GB"/>
        </w:rPr>
        <w:t>social policy analysis while</w:t>
      </w:r>
      <w:r w:rsidR="00936942" w:rsidRPr="007C4490">
        <w:rPr>
          <w:rFonts w:ascii="Times New Roman" w:hAnsi="Times New Roman" w:cs="Times New Roman"/>
          <w:sz w:val="24"/>
          <w:szCs w:val="24"/>
          <w:lang w:val="en-GB"/>
        </w:rPr>
        <w:t xml:space="preserve"> also</w:t>
      </w:r>
      <w:r w:rsidR="00D76AF7" w:rsidRPr="007C4490">
        <w:rPr>
          <w:rFonts w:ascii="Times New Roman" w:hAnsi="Times New Roman" w:cs="Times New Roman"/>
          <w:sz w:val="24"/>
          <w:szCs w:val="24"/>
          <w:lang w:val="en-GB"/>
        </w:rPr>
        <w:t xml:space="preserve"> exploring key analytical and empirical issues </w:t>
      </w:r>
      <w:r w:rsidR="00384265" w:rsidRPr="007C4490">
        <w:rPr>
          <w:rFonts w:ascii="Times New Roman" w:hAnsi="Times New Roman" w:cs="Times New Roman"/>
          <w:sz w:val="24"/>
          <w:szCs w:val="24"/>
          <w:lang w:val="en-GB"/>
        </w:rPr>
        <w:t>that will allow future scholars to improve their precision when monitoring drift.</w:t>
      </w:r>
    </w:p>
    <w:p w14:paraId="265FB9F6" w14:textId="77777777" w:rsidR="006D1547" w:rsidRPr="007C4490" w:rsidRDefault="006D1547" w:rsidP="00282389">
      <w:pPr>
        <w:spacing w:after="0" w:line="480" w:lineRule="auto"/>
        <w:ind w:firstLine="720"/>
        <w:jc w:val="both"/>
        <w:rPr>
          <w:rFonts w:ascii="Times New Roman" w:hAnsi="Times New Roman" w:cs="Times New Roman"/>
          <w:b/>
          <w:sz w:val="24"/>
          <w:szCs w:val="24"/>
          <w:lang w:val="en-GB"/>
        </w:rPr>
      </w:pPr>
    </w:p>
    <w:p w14:paraId="416DCE3C" w14:textId="77777777" w:rsidR="00E1407C" w:rsidRPr="007C4490" w:rsidRDefault="009A0164" w:rsidP="00282389">
      <w:pPr>
        <w:spacing w:after="0" w:line="480" w:lineRule="auto"/>
        <w:jc w:val="both"/>
        <w:rPr>
          <w:rFonts w:ascii="Times New Roman" w:hAnsi="Times New Roman" w:cs="Times New Roman"/>
          <w:b/>
          <w:sz w:val="24"/>
          <w:szCs w:val="24"/>
          <w:lang w:val="en-GB"/>
        </w:rPr>
      </w:pPr>
      <w:r w:rsidRPr="007C4490">
        <w:rPr>
          <w:rFonts w:ascii="Times New Roman" w:hAnsi="Times New Roman" w:cs="Times New Roman"/>
          <w:b/>
          <w:sz w:val="24"/>
          <w:szCs w:val="24"/>
          <w:lang w:val="en-GB"/>
        </w:rPr>
        <w:t xml:space="preserve">How </w:t>
      </w:r>
      <w:r w:rsidR="0085290A" w:rsidRPr="007C4490">
        <w:rPr>
          <w:rFonts w:ascii="Times New Roman" w:hAnsi="Times New Roman" w:cs="Times New Roman"/>
          <w:b/>
          <w:sz w:val="24"/>
          <w:szCs w:val="24"/>
          <w:lang w:val="en-GB"/>
        </w:rPr>
        <w:t xml:space="preserve">the Concept of </w:t>
      </w:r>
      <w:r w:rsidR="001B0F28">
        <w:rPr>
          <w:rFonts w:ascii="Times New Roman" w:hAnsi="Times New Roman" w:cs="Times New Roman"/>
          <w:b/>
          <w:sz w:val="24"/>
          <w:szCs w:val="24"/>
          <w:lang w:val="en-GB"/>
        </w:rPr>
        <w:t xml:space="preserve">Policy </w:t>
      </w:r>
      <w:r w:rsidRPr="007C4490">
        <w:rPr>
          <w:rFonts w:ascii="Times New Roman" w:hAnsi="Times New Roman" w:cs="Times New Roman"/>
          <w:b/>
          <w:sz w:val="24"/>
          <w:szCs w:val="24"/>
          <w:lang w:val="en-GB"/>
        </w:rPr>
        <w:t xml:space="preserve">Drift </w:t>
      </w:r>
      <w:r w:rsidR="0085290A" w:rsidRPr="007C4490">
        <w:rPr>
          <w:rFonts w:ascii="Times New Roman" w:hAnsi="Times New Roman" w:cs="Times New Roman"/>
          <w:b/>
          <w:sz w:val="24"/>
          <w:szCs w:val="24"/>
          <w:lang w:val="en-GB"/>
        </w:rPr>
        <w:t>Challenges</w:t>
      </w:r>
      <w:r w:rsidRPr="007C4490">
        <w:rPr>
          <w:rFonts w:ascii="Times New Roman" w:hAnsi="Times New Roman" w:cs="Times New Roman"/>
          <w:b/>
          <w:sz w:val="24"/>
          <w:szCs w:val="24"/>
          <w:lang w:val="en-GB"/>
        </w:rPr>
        <w:t xml:space="preserve"> Theories of </w:t>
      </w:r>
      <w:r w:rsidR="001B0F28">
        <w:rPr>
          <w:rFonts w:ascii="Times New Roman" w:hAnsi="Times New Roman" w:cs="Times New Roman"/>
          <w:b/>
          <w:sz w:val="24"/>
          <w:szCs w:val="24"/>
          <w:lang w:val="en-GB"/>
        </w:rPr>
        <w:t>Social Policy Stability</w:t>
      </w:r>
    </w:p>
    <w:p w14:paraId="2C8DB2A8" w14:textId="77777777" w:rsidR="0052497C" w:rsidRPr="007C4490" w:rsidRDefault="00F90771" w:rsidP="00282389">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The primary concern of scholars who utilize the </w:t>
      </w:r>
      <w:r w:rsidR="00BA1A5C" w:rsidRPr="007C4490">
        <w:rPr>
          <w:rFonts w:ascii="Times New Roman" w:hAnsi="Times New Roman" w:cs="Times New Roman"/>
          <w:sz w:val="24"/>
          <w:szCs w:val="24"/>
          <w:lang w:val="en-GB"/>
        </w:rPr>
        <w:t>notion</w:t>
      </w:r>
      <w:r w:rsidRPr="007C4490">
        <w:rPr>
          <w:rFonts w:ascii="Times New Roman" w:hAnsi="Times New Roman" w:cs="Times New Roman"/>
          <w:sz w:val="24"/>
          <w:szCs w:val="24"/>
          <w:lang w:val="en-GB"/>
        </w:rPr>
        <w:t xml:space="preserve"> of policy drift, along with other</w:t>
      </w:r>
      <w:r w:rsidR="00BA1A5C" w:rsidRPr="007C4490">
        <w:rPr>
          <w:rFonts w:ascii="Times New Roman" w:hAnsi="Times New Roman" w:cs="Times New Roman"/>
          <w:sz w:val="24"/>
          <w:szCs w:val="24"/>
          <w:lang w:val="en-GB"/>
        </w:rPr>
        <w:t xml:space="preserve"> concepts such as ‘conversion’ and ‘layering</w:t>
      </w:r>
      <w:r w:rsidR="005259F4" w:rsidRPr="007C4490">
        <w:rPr>
          <w:rFonts w:ascii="Times New Roman" w:hAnsi="Times New Roman" w:cs="Times New Roman"/>
          <w:sz w:val="24"/>
          <w:szCs w:val="24"/>
          <w:lang w:val="en-GB"/>
        </w:rPr>
        <w:t>’</w:t>
      </w:r>
      <w:r w:rsidR="00331128"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is to </w:t>
      </w:r>
      <w:r w:rsidR="00BA1A5C" w:rsidRPr="007C4490">
        <w:rPr>
          <w:rFonts w:ascii="Times New Roman" w:hAnsi="Times New Roman" w:cs="Times New Roman"/>
          <w:sz w:val="24"/>
          <w:szCs w:val="24"/>
          <w:lang w:val="en-GB"/>
        </w:rPr>
        <w:t xml:space="preserve">explain how institutional change, </w:t>
      </w:r>
      <w:r w:rsidR="0052497C" w:rsidRPr="007C4490">
        <w:rPr>
          <w:rFonts w:ascii="Times New Roman" w:hAnsi="Times New Roman" w:cs="Times New Roman"/>
          <w:sz w:val="24"/>
          <w:szCs w:val="24"/>
          <w:lang w:val="en-GB"/>
        </w:rPr>
        <w:t>including</w:t>
      </w:r>
      <w:r w:rsidR="00BA1A5C" w:rsidRPr="007C4490">
        <w:rPr>
          <w:rFonts w:ascii="Times New Roman" w:hAnsi="Times New Roman" w:cs="Times New Roman"/>
          <w:sz w:val="24"/>
          <w:szCs w:val="24"/>
          <w:lang w:val="en-GB"/>
        </w:rPr>
        <w:t xml:space="preserve"> potentially significant change, occurs in the absence of formal revi</w:t>
      </w:r>
      <w:r w:rsidR="00C46936" w:rsidRPr="007C4490">
        <w:rPr>
          <w:rFonts w:ascii="Times New Roman" w:hAnsi="Times New Roman" w:cs="Times New Roman"/>
          <w:sz w:val="24"/>
          <w:szCs w:val="24"/>
          <w:lang w:val="en-GB"/>
        </w:rPr>
        <w:t>sion of existing policy (Hacker</w:t>
      </w:r>
      <w:r w:rsidR="00BA1A5C" w:rsidRPr="007C4490">
        <w:rPr>
          <w:rFonts w:ascii="Times New Roman" w:hAnsi="Times New Roman" w:cs="Times New Roman"/>
          <w:sz w:val="24"/>
          <w:szCs w:val="24"/>
          <w:lang w:val="en-GB"/>
        </w:rPr>
        <w:t xml:space="preserve"> 2004; 2</w:t>
      </w:r>
      <w:r w:rsidR="00C46936" w:rsidRPr="007C4490">
        <w:rPr>
          <w:rFonts w:ascii="Times New Roman" w:hAnsi="Times New Roman" w:cs="Times New Roman"/>
          <w:sz w:val="24"/>
          <w:szCs w:val="24"/>
          <w:lang w:val="en-GB"/>
        </w:rPr>
        <w:t xml:space="preserve">005; Hacker, </w:t>
      </w:r>
      <w:proofErr w:type="spellStart"/>
      <w:r w:rsidR="00C46936" w:rsidRPr="007C4490">
        <w:rPr>
          <w:rFonts w:ascii="Times New Roman" w:hAnsi="Times New Roman" w:cs="Times New Roman"/>
          <w:sz w:val="24"/>
          <w:szCs w:val="24"/>
          <w:lang w:val="en-GB"/>
        </w:rPr>
        <w:t>Thelen</w:t>
      </w:r>
      <w:proofErr w:type="spellEnd"/>
      <w:r w:rsidR="00C46936" w:rsidRPr="007C4490">
        <w:rPr>
          <w:rFonts w:ascii="Times New Roman" w:hAnsi="Times New Roman" w:cs="Times New Roman"/>
          <w:sz w:val="24"/>
          <w:szCs w:val="24"/>
          <w:lang w:val="en-GB"/>
        </w:rPr>
        <w:t xml:space="preserve"> and Pierson 2013; </w:t>
      </w:r>
      <w:proofErr w:type="spellStart"/>
      <w:r w:rsidR="00C46936" w:rsidRPr="007C4490">
        <w:rPr>
          <w:rFonts w:ascii="Times New Roman" w:hAnsi="Times New Roman" w:cs="Times New Roman"/>
          <w:sz w:val="24"/>
          <w:szCs w:val="24"/>
          <w:lang w:val="en-GB"/>
        </w:rPr>
        <w:t>Streeck</w:t>
      </w:r>
      <w:proofErr w:type="spellEnd"/>
      <w:r w:rsidR="00C46936" w:rsidRPr="007C4490">
        <w:rPr>
          <w:rFonts w:ascii="Times New Roman" w:hAnsi="Times New Roman" w:cs="Times New Roman"/>
          <w:sz w:val="24"/>
          <w:szCs w:val="24"/>
          <w:lang w:val="en-GB"/>
        </w:rPr>
        <w:t xml:space="preserve"> and </w:t>
      </w:r>
      <w:proofErr w:type="spellStart"/>
      <w:r w:rsidR="00C46936" w:rsidRPr="007C4490">
        <w:rPr>
          <w:rFonts w:ascii="Times New Roman" w:hAnsi="Times New Roman" w:cs="Times New Roman"/>
          <w:sz w:val="24"/>
          <w:szCs w:val="24"/>
          <w:lang w:val="en-GB"/>
        </w:rPr>
        <w:t>Thelen</w:t>
      </w:r>
      <w:proofErr w:type="spellEnd"/>
      <w:r w:rsidR="00BA1A5C" w:rsidRPr="007C4490">
        <w:rPr>
          <w:rFonts w:ascii="Times New Roman" w:hAnsi="Times New Roman" w:cs="Times New Roman"/>
          <w:sz w:val="24"/>
          <w:szCs w:val="24"/>
          <w:lang w:val="en-GB"/>
        </w:rPr>
        <w:t xml:space="preserve"> 2005). </w:t>
      </w:r>
      <w:r w:rsidR="009B63AF" w:rsidRPr="007C4490">
        <w:rPr>
          <w:rFonts w:ascii="Times New Roman" w:hAnsi="Times New Roman" w:cs="Times New Roman"/>
          <w:sz w:val="24"/>
          <w:szCs w:val="24"/>
          <w:lang w:val="en-GB"/>
        </w:rPr>
        <w:t xml:space="preserve">The introduction of these concepts marked a </w:t>
      </w:r>
      <w:r w:rsidR="00A20425" w:rsidRPr="007C4490">
        <w:rPr>
          <w:rFonts w:ascii="Times New Roman" w:hAnsi="Times New Roman" w:cs="Times New Roman"/>
          <w:sz w:val="24"/>
          <w:szCs w:val="24"/>
          <w:lang w:val="en-GB"/>
        </w:rPr>
        <w:t>challenge to the punctuated equilibrium model of political developm</w:t>
      </w:r>
      <w:r w:rsidR="00C46936" w:rsidRPr="007C4490">
        <w:rPr>
          <w:rFonts w:ascii="Times New Roman" w:hAnsi="Times New Roman" w:cs="Times New Roman"/>
          <w:sz w:val="24"/>
          <w:szCs w:val="24"/>
          <w:lang w:val="en-GB"/>
        </w:rPr>
        <w:t>ent (Baumgartner and Jones</w:t>
      </w:r>
      <w:r w:rsidR="00F333EF" w:rsidRPr="007C4490">
        <w:rPr>
          <w:rFonts w:ascii="Times New Roman" w:hAnsi="Times New Roman" w:cs="Times New Roman"/>
          <w:sz w:val="24"/>
          <w:szCs w:val="24"/>
          <w:lang w:val="en-GB"/>
        </w:rPr>
        <w:t xml:space="preserve"> 1993</w:t>
      </w:r>
      <w:r w:rsidR="00A20425" w:rsidRPr="007C4490">
        <w:rPr>
          <w:rFonts w:ascii="Times New Roman" w:hAnsi="Times New Roman" w:cs="Times New Roman"/>
          <w:sz w:val="24"/>
          <w:szCs w:val="24"/>
          <w:lang w:val="en-GB"/>
        </w:rPr>
        <w:t xml:space="preserve">), which </w:t>
      </w:r>
      <w:r w:rsidR="009B63AF" w:rsidRPr="007C4490">
        <w:rPr>
          <w:rFonts w:ascii="Times New Roman" w:hAnsi="Times New Roman" w:cs="Times New Roman"/>
          <w:sz w:val="24"/>
          <w:szCs w:val="24"/>
          <w:lang w:val="en-GB"/>
        </w:rPr>
        <w:t>suggests that</w:t>
      </w:r>
      <w:r w:rsidR="00A92940" w:rsidRPr="007C4490">
        <w:rPr>
          <w:rFonts w:ascii="Times New Roman" w:hAnsi="Times New Roman" w:cs="Times New Roman"/>
          <w:sz w:val="24"/>
          <w:szCs w:val="24"/>
          <w:lang w:val="en-GB"/>
        </w:rPr>
        <w:t xml:space="preserve"> </w:t>
      </w:r>
      <w:r w:rsidR="009B63AF" w:rsidRPr="007C4490">
        <w:rPr>
          <w:rFonts w:ascii="Times New Roman" w:hAnsi="Times New Roman" w:cs="Times New Roman"/>
          <w:sz w:val="24"/>
          <w:szCs w:val="24"/>
          <w:lang w:val="en-GB"/>
        </w:rPr>
        <w:t xml:space="preserve">significant changes depends on </w:t>
      </w:r>
      <w:r w:rsidR="00A92940" w:rsidRPr="007C4490">
        <w:rPr>
          <w:rFonts w:ascii="Times New Roman" w:hAnsi="Times New Roman" w:cs="Times New Roman"/>
          <w:sz w:val="24"/>
          <w:szCs w:val="24"/>
          <w:lang w:val="en-GB"/>
        </w:rPr>
        <w:t>exogenous disruption</w:t>
      </w:r>
      <w:r w:rsidR="009B63AF" w:rsidRPr="007C4490">
        <w:rPr>
          <w:rFonts w:ascii="Times New Roman" w:hAnsi="Times New Roman" w:cs="Times New Roman"/>
          <w:sz w:val="24"/>
          <w:szCs w:val="24"/>
          <w:lang w:val="en-GB"/>
        </w:rPr>
        <w:t>s</w:t>
      </w:r>
      <w:r w:rsidR="00A92940" w:rsidRPr="007C4490">
        <w:rPr>
          <w:rFonts w:ascii="Times New Roman" w:hAnsi="Times New Roman" w:cs="Times New Roman"/>
          <w:sz w:val="24"/>
          <w:szCs w:val="24"/>
          <w:lang w:val="en-GB"/>
        </w:rPr>
        <w:t xml:space="preserve"> to a previously stable political settlement </w:t>
      </w:r>
      <w:r w:rsidR="009B63AF" w:rsidRPr="007C4490">
        <w:rPr>
          <w:rFonts w:ascii="Times New Roman" w:hAnsi="Times New Roman" w:cs="Times New Roman"/>
          <w:sz w:val="24"/>
          <w:szCs w:val="24"/>
          <w:lang w:val="en-GB"/>
        </w:rPr>
        <w:t xml:space="preserve">that provide </w:t>
      </w:r>
      <w:r w:rsidR="009B63AF" w:rsidRPr="007C4490">
        <w:rPr>
          <w:rFonts w:ascii="Times New Roman" w:hAnsi="Times New Roman" w:cs="Times New Roman"/>
          <w:sz w:val="24"/>
          <w:szCs w:val="24"/>
          <w:lang w:val="en-GB"/>
        </w:rPr>
        <w:lastRenderedPageBreak/>
        <w:t>opportunities for formal policy revision</w:t>
      </w:r>
      <w:r w:rsidR="00A92940" w:rsidRPr="007C4490">
        <w:rPr>
          <w:rFonts w:ascii="Times New Roman" w:hAnsi="Times New Roman" w:cs="Times New Roman"/>
          <w:sz w:val="24"/>
          <w:szCs w:val="24"/>
          <w:lang w:val="en-GB"/>
        </w:rPr>
        <w:t xml:space="preserve">. Adopting concepts such as drift, conversion and layering is not to deny that there are critical junctures in political development that lead to </w:t>
      </w:r>
      <w:r w:rsidR="00C46936" w:rsidRPr="007C4490">
        <w:rPr>
          <w:rFonts w:ascii="Times New Roman" w:hAnsi="Times New Roman" w:cs="Times New Roman"/>
          <w:sz w:val="24"/>
          <w:szCs w:val="24"/>
          <w:lang w:val="en-GB"/>
        </w:rPr>
        <w:t>widespread institutional change;</w:t>
      </w:r>
      <w:r w:rsidR="00A92940" w:rsidRPr="007C4490">
        <w:rPr>
          <w:rFonts w:ascii="Times New Roman" w:hAnsi="Times New Roman" w:cs="Times New Roman"/>
          <w:sz w:val="24"/>
          <w:szCs w:val="24"/>
          <w:lang w:val="en-GB"/>
        </w:rPr>
        <w:t xml:space="preserve"> </w:t>
      </w:r>
      <w:r w:rsidR="00C46936" w:rsidRPr="007C4490">
        <w:rPr>
          <w:rFonts w:ascii="Times New Roman" w:hAnsi="Times New Roman" w:cs="Times New Roman"/>
          <w:sz w:val="24"/>
          <w:szCs w:val="24"/>
          <w:lang w:val="en-GB"/>
        </w:rPr>
        <w:t xml:space="preserve">rather, </w:t>
      </w:r>
      <w:r w:rsidR="00A92940" w:rsidRPr="007C4490">
        <w:rPr>
          <w:rFonts w:ascii="Times New Roman" w:hAnsi="Times New Roman" w:cs="Times New Roman"/>
          <w:sz w:val="24"/>
          <w:szCs w:val="24"/>
          <w:lang w:val="en-GB"/>
        </w:rPr>
        <w:t xml:space="preserve">it is to question whether the periods of apparent stability </w:t>
      </w:r>
      <w:r w:rsidR="001B0288" w:rsidRPr="007C4490">
        <w:rPr>
          <w:rFonts w:ascii="Times New Roman" w:hAnsi="Times New Roman" w:cs="Times New Roman"/>
          <w:sz w:val="24"/>
          <w:szCs w:val="24"/>
          <w:lang w:val="en-GB"/>
        </w:rPr>
        <w:t xml:space="preserve">in between these junctures </w:t>
      </w:r>
      <w:r w:rsidR="00A92940" w:rsidRPr="007C4490">
        <w:rPr>
          <w:rFonts w:ascii="Times New Roman" w:hAnsi="Times New Roman" w:cs="Times New Roman"/>
          <w:sz w:val="24"/>
          <w:szCs w:val="24"/>
          <w:lang w:val="en-GB"/>
        </w:rPr>
        <w:t>are as institutionally steady as is implied</w:t>
      </w:r>
      <w:r w:rsidR="0056790C" w:rsidRPr="007C4490">
        <w:rPr>
          <w:rFonts w:ascii="Times New Roman" w:hAnsi="Times New Roman" w:cs="Times New Roman"/>
          <w:sz w:val="24"/>
          <w:szCs w:val="24"/>
          <w:lang w:val="en-GB"/>
        </w:rPr>
        <w:t xml:space="preserve">. More specifically, in his work, Hacker (2004) set out to </w:t>
      </w:r>
      <w:r w:rsidR="00C46936" w:rsidRPr="007C4490">
        <w:rPr>
          <w:rFonts w:ascii="Times New Roman" w:hAnsi="Times New Roman" w:cs="Times New Roman"/>
          <w:sz w:val="24"/>
          <w:szCs w:val="24"/>
          <w:lang w:val="en-GB"/>
        </w:rPr>
        <w:t>challenge the idea that the US</w:t>
      </w:r>
      <w:r w:rsidR="0056790C" w:rsidRPr="007C4490">
        <w:rPr>
          <w:rFonts w:ascii="Times New Roman" w:hAnsi="Times New Roman" w:cs="Times New Roman"/>
          <w:sz w:val="24"/>
          <w:szCs w:val="24"/>
          <w:lang w:val="en-GB"/>
        </w:rPr>
        <w:t xml:space="preserve"> welfare state had endured and survived largely unscathed</w:t>
      </w:r>
      <w:r w:rsidR="0051445B" w:rsidRPr="007C4490">
        <w:rPr>
          <w:rFonts w:ascii="Times New Roman" w:hAnsi="Times New Roman" w:cs="Times New Roman"/>
          <w:sz w:val="24"/>
          <w:szCs w:val="24"/>
          <w:lang w:val="en-GB"/>
        </w:rPr>
        <w:t>,</w:t>
      </w:r>
      <w:r w:rsidR="0056790C" w:rsidRPr="007C4490">
        <w:rPr>
          <w:rFonts w:ascii="Times New Roman" w:hAnsi="Times New Roman" w:cs="Times New Roman"/>
          <w:sz w:val="24"/>
          <w:szCs w:val="24"/>
          <w:lang w:val="en-GB"/>
        </w:rPr>
        <w:t xml:space="preserve"> </w:t>
      </w:r>
      <w:r w:rsidR="00F12D8B" w:rsidRPr="007C4490">
        <w:rPr>
          <w:rFonts w:ascii="Times New Roman" w:hAnsi="Times New Roman" w:cs="Times New Roman"/>
          <w:sz w:val="24"/>
          <w:szCs w:val="24"/>
          <w:lang w:val="en-GB"/>
        </w:rPr>
        <w:t>even as the post</w:t>
      </w:r>
      <w:r w:rsidR="00D82CF8" w:rsidRPr="007C4490">
        <w:rPr>
          <w:rFonts w:ascii="Times New Roman" w:hAnsi="Times New Roman" w:cs="Times New Roman"/>
          <w:sz w:val="24"/>
          <w:szCs w:val="24"/>
          <w:lang w:val="en-GB"/>
        </w:rPr>
        <w:t>-</w:t>
      </w:r>
      <w:r w:rsidR="00F12D8B" w:rsidRPr="007C4490">
        <w:rPr>
          <w:rFonts w:ascii="Times New Roman" w:hAnsi="Times New Roman" w:cs="Times New Roman"/>
          <w:sz w:val="24"/>
          <w:szCs w:val="24"/>
          <w:lang w:val="en-GB"/>
        </w:rPr>
        <w:t xml:space="preserve">war politics of welfare state expansion had given way from the 1980s onwards to a politics of </w:t>
      </w:r>
      <w:r w:rsidR="00D451CF" w:rsidRPr="007C4490">
        <w:rPr>
          <w:rFonts w:ascii="Times New Roman" w:hAnsi="Times New Roman" w:cs="Times New Roman"/>
          <w:sz w:val="24"/>
          <w:szCs w:val="24"/>
          <w:lang w:val="en-GB"/>
        </w:rPr>
        <w:t xml:space="preserve">austerity and </w:t>
      </w:r>
      <w:r w:rsidR="00870CFE" w:rsidRPr="007C4490">
        <w:rPr>
          <w:rFonts w:ascii="Times New Roman" w:hAnsi="Times New Roman" w:cs="Times New Roman"/>
          <w:sz w:val="24"/>
          <w:szCs w:val="24"/>
          <w:lang w:val="en-GB"/>
        </w:rPr>
        <w:t>retrenchment</w:t>
      </w:r>
      <w:r w:rsidR="0052497C" w:rsidRPr="007C4490">
        <w:rPr>
          <w:rFonts w:ascii="Times New Roman" w:hAnsi="Times New Roman" w:cs="Times New Roman"/>
          <w:sz w:val="24"/>
          <w:szCs w:val="24"/>
          <w:lang w:val="en-GB"/>
        </w:rPr>
        <w:t xml:space="preserve"> (</w:t>
      </w:r>
      <w:r w:rsidR="00C46936" w:rsidRPr="007C4490">
        <w:rPr>
          <w:rFonts w:ascii="Times New Roman" w:hAnsi="Times New Roman" w:cs="Times New Roman"/>
          <w:sz w:val="24"/>
          <w:szCs w:val="24"/>
          <w:lang w:val="en-GB"/>
        </w:rPr>
        <w:t>Pierson</w:t>
      </w:r>
      <w:r w:rsidR="0051445B" w:rsidRPr="007C4490">
        <w:rPr>
          <w:rFonts w:ascii="Times New Roman" w:hAnsi="Times New Roman" w:cs="Times New Roman"/>
          <w:sz w:val="24"/>
          <w:szCs w:val="24"/>
          <w:lang w:val="en-GB"/>
        </w:rPr>
        <w:t xml:space="preserve"> 1994; </w:t>
      </w:r>
      <w:r w:rsidR="00C46936" w:rsidRPr="007C4490">
        <w:rPr>
          <w:rFonts w:ascii="Times New Roman" w:hAnsi="Times New Roman" w:cs="Times New Roman"/>
          <w:sz w:val="24"/>
          <w:szCs w:val="24"/>
          <w:lang w:val="en-GB"/>
        </w:rPr>
        <w:t>Pierson</w:t>
      </w:r>
      <w:r w:rsidR="0052497C" w:rsidRPr="007C4490">
        <w:rPr>
          <w:rFonts w:ascii="Times New Roman" w:hAnsi="Times New Roman" w:cs="Times New Roman"/>
          <w:sz w:val="24"/>
          <w:szCs w:val="24"/>
          <w:lang w:val="en-GB"/>
        </w:rPr>
        <w:t xml:space="preserve"> 2001).</w:t>
      </w:r>
    </w:p>
    <w:p w14:paraId="530BAF39" w14:textId="77777777" w:rsidR="00C35918" w:rsidRPr="007C4490" w:rsidRDefault="00F12D8B" w:rsidP="00282389">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The view that there had</w:t>
      </w:r>
      <w:r w:rsidR="0051445B" w:rsidRPr="007C4490">
        <w:rPr>
          <w:rFonts w:ascii="Times New Roman" w:hAnsi="Times New Roman" w:cs="Times New Roman"/>
          <w:sz w:val="24"/>
          <w:szCs w:val="24"/>
          <w:lang w:val="en-GB"/>
        </w:rPr>
        <w:t xml:space="preserve"> not been comprehensive</w:t>
      </w:r>
      <w:r w:rsidRPr="007C4490">
        <w:rPr>
          <w:rFonts w:ascii="Times New Roman" w:hAnsi="Times New Roman" w:cs="Times New Roman"/>
          <w:sz w:val="24"/>
          <w:szCs w:val="24"/>
          <w:lang w:val="en-GB"/>
        </w:rPr>
        <w:t xml:space="preserve"> welfare state retrenchment </w:t>
      </w:r>
      <w:r w:rsidR="00B61A65" w:rsidRPr="007C4490">
        <w:rPr>
          <w:rFonts w:ascii="Times New Roman" w:hAnsi="Times New Roman" w:cs="Times New Roman"/>
          <w:sz w:val="24"/>
          <w:szCs w:val="24"/>
          <w:lang w:val="en-GB"/>
        </w:rPr>
        <w:t xml:space="preserve">in the United States </w:t>
      </w:r>
      <w:r w:rsidRPr="007C4490">
        <w:rPr>
          <w:rFonts w:ascii="Times New Roman" w:hAnsi="Times New Roman" w:cs="Times New Roman"/>
          <w:sz w:val="24"/>
          <w:szCs w:val="24"/>
          <w:lang w:val="en-GB"/>
        </w:rPr>
        <w:t>was itself a corrective to the perception that</w:t>
      </w:r>
      <w:r w:rsidR="00B61A65" w:rsidRPr="007C4490">
        <w:rPr>
          <w:rFonts w:ascii="Times New Roman" w:hAnsi="Times New Roman" w:cs="Times New Roman"/>
          <w:sz w:val="24"/>
          <w:szCs w:val="24"/>
          <w:lang w:val="en-GB"/>
        </w:rPr>
        <w:t xml:space="preserve"> the economic crisis of the</w:t>
      </w:r>
      <w:r w:rsidRPr="007C4490">
        <w:rPr>
          <w:rFonts w:ascii="Times New Roman" w:hAnsi="Times New Roman" w:cs="Times New Roman"/>
          <w:sz w:val="24"/>
          <w:szCs w:val="24"/>
          <w:lang w:val="en-GB"/>
        </w:rPr>
        <w:t xml:space="preserve"> 1970s, and the subsequen</w:t>
      </w:r>
      <w:r w:rsidR="00EC0D65" w:rsidRPr="007C4490">
        <w:rPr>
          <w:rFonts w:ascii="Times New Roman" w:hAnsi="Times New Roman" w:cs="Times New Roman"/>
          <w:sz w:val="24"/>
          <w:szCs w:val="24"/>
          <w:lang w:val="en-GB"/>
        </w:rPr>
        <w:t>t arrival of President Reagan to</w:t>
      </w:r>
      <w:r w:rsidRPr="007C4490">
        <w:rPr>
          <w:rFonts w:ascii="Times New Roman" w:hAnsi="Times New Roman" w:cs="Times New Roman"/>
          <w:sz w:val="24"/>
          <w:szCs w:val="24"/>
          <w:lang w:val="en-GB"/>
        </w:rPr>
        <w:t xml:space="preserve"> the White House, </w:t>
      </w:r>
      <w:r w:rsidR="000362CD" w:rsidRPr="007C4490">
        <w:rPr>
          <w:rFonts w:ascii="Times New Roman" w:hAnsi="Times New Roman" w:cs="Times New Roman"/>
          <w:sz w:val="24"/>
          <w:szCs w:val="24"/>
          <w:lang w:val="en-GB"/>
        </w:rPr>
        <w:t xml:space="preserve">had </w:t>
      </w:r>
      <w:r w:rsidRPr="007C4490">
        <w:rPr>
          <w:rFonts w:ascii="Times New Roman" w:hAnsi="Times New Roman" w:cs="Times New Roman"/>
          <w:sz w:val="24"/>
          <w:szCs w:val="24"/>
          <w:lang w:val="en-GB"/>
        </w:rPr>
        <w:t xml:space="preserve">marked a critical juncture </w:t>
      </w:r>
      <w:r w:rsidR="000362CD" w:rsidRPr="007C4490">
        <w:rPr>
          <w:rFonts w:ascii="Times New Roman" w:hAnsi="Times New Roman" w:cs="Times New Roman"/>
          <w:sz w:val="24"/>
          <w:szCs w:val="24"/>
          <w:lang w:val="en-GB"/>
        </w:rPr>
        <w:t>and thus a period of sweeping change. In fact, scho</w:t>
      </w:r>
      <w:r w:rsidR="00B61A65" w:rsidRPr="007C4490">
        <w:rPr>
          <w:rFonts w:ascii="Times New Roman" w:hAnsi="Times New Roman" w:cs="Times New Roman"/>
          <w:sz w:val="24"/>
          <w:szCs w:val="24"/>
          <w:lang w:val="en-GB"/>
        </w:rPr>
        <w:t>lars such as Paul Pierson</w:t>
      </w:r>
      <w:r w:rsidR="000362CD" w:rsidRPr="007C4490">
        <w:rPr>
          <w:rFonts w:ascii="Times New Roman" w:hAnsi="Times New Roman" w:cs="Times New Roman"/>
          <w:sz w:val="24"/>
          <w:szCs w:val="24"/>
          <w:lang w:val="en-GB"/>
        </w:rPr>
        <w:t xml:space="preserve"> (1994, 1996)</w:t>
      </w:r>
      <w:r w:rsidR="00B61A65" w:rsidRPr="007C4490">
        <w:rPr>
          <w:rFonts w:ascii="Times New Roman" w:hAnsi="Times New Roman" w:cs="Times New Roman"/>
          <w:sz w:val="24"/>
          <w:szCs w:val="24"/>
          <w:lang w:val="en-GB"/>
        </w:rPr>
        <w:t xml:space="preserve"> argued</w:t>
      </w:r>
      <w:r w:rsidR="00EC0D65" w:rsidRPr="007C4490">
        <w:rPr>
          <w:rFonts w:ascii="Times New Roman" w:hAnsi="Times New Roman" w:cs="Times New Roman"/>
          <w:sz w:val="24"/>
          <w:szCs w:val="24"/>
          <w:lang w:val="en-GB"/>
        </w:rPr>
        <w:t xml:space="preserve"> that</w:t>
      </w:r>
      <w:r w:rsidR="000362CD" w:rsidRPr="007C4490">
        <w:rPr>
          <w:rFonts w:ascii="Times New Roman" w:hAnsi="Times New Roman" w:cs="Times New Roman"/>
          <w:sz w:val="24"/>
          <w:szCs w:val="24"/>
          <w:lang w:val="en-GB"/>
        </w:rPr>
        <w:t xml:space="preserve"> </w:t>
      </w:r>
      <w:r w:rsidR="00B61A65" w:rsidRPr="007C4490">
        <w:rPr>
          <w:rFonts w:ascii="Times New Roman" w:hAnsi="Times New Roman" w:cs="Times New Roman"/>
          <w:sz w:val="24"/>
          <w:szCs w:val="24"/>
          <w:lang w:val="en-GB"/>
        </w:rPr>
        <w:t xml:space="preserve">during the Reagan years, US </w:t>
      </w:r>
      <w:r w:rsidR="000362CD" w:rsidRPr="007C4490">
        <w:rPr>
          <w:rFonts w:ascii="Times New Roman" w:hAnsi="Times New Roman" w:cs="Times New Roman"/>
          <w:sz w:val="24"/>
          <w:szCs w:val="24"/>
          <w:lang w:val="en-GB"/>
        </w:rPr>
        <w:t>social policy had proved to be strongly path dependent and welfare state structures remarkably resilient</w:t>
      </w:r>
      <w:r w:rsidR="00B61A65" w:rsidRPr="007C4490">
        <w:rPr>
          <w:rFonts w:ascii="Times New Roman" w:hAnsi="Times New Roman" w:cs="Times New Roman"/>
          <w:sz w:val="24"/>
          <w:szCs w:val="24"/>
          <w:lang w:val="en-GB"/>
        </w:rPr>
        <w:t>, in part because of the power of large constituencies associated with social programs created decades earlier, such as Medicare (1965) and Social Security (1935)</w:t>
      </w:r>
      <w:r w:rsidR="000362CD" w:rsidRPr="007C4490">
        <w:rPr>
          <w:rFonts w:ascii="Times New Roman" w:hAnsi="Times New Roman" w:cs="Times New Roman"/>
          <w:sz w:val="24"/>
          <w:szCs w:val="24"/>
          <w:lang w:val="en-GB"/>
        </w:rPr>
        <w:t xml:space="preserve">. </w:t>
      </w:r>
      <w:r w:rsidR="001B0288" w:rsidRPr="007C4490">
        <w:rPr>
          <w:rFonts w:ascii="Times New Roman" w:hAnsi="Times New Roman" w:cs="Times New Roman"/>
          <w:sz w:val="24"/>
          <w:szCs w:val="24"/>
          <w:lang w:val="en-GB"/>
        </w:rPr>
        <w:t xml:space="preserve">In short, </w:t>
      </w:r>
      <w:r w:rsidR="00C35918" w:rsidRPr="007C4490">
        <w:rPr>
          <w:rFonts w:ascii="Times New Roman" w:hAnsi="Times New Roman" w:cs="Times New Roman"/>
          <w:sz w:val="24"/>
          <w:szCs w:val="24"/>
          <w:lang w:val="en-GB"/>
        </w:rPr>
        <w:t xml:space="preserve">according to Pierson (1994), </w:t>
      </w:r>
      <w:r w:rsidR="001B0288" w:rsidRPr="007C4490">
        <w:rPr>
          <w:rFonts w:ascii="Times New Roman" w:hAnsi="Times New Roman" w:cs="Times New Roman"/>
          <w:sz w:val="24"/>
          <w:szCs w:val="24"/>
          <w:lang w:val="en-GB"/>
        </w:rPr>
        <w:t xml:space="preserve">the formal institutions of the welfare state had dodged the conservative bullet. </w:t>
      </w:r>
    </w:p>
    <w:p w14:paraId="024DEF88" w14:textId="77777777" w:rsidR="00491347" w:rsidRPr="007C4490" w:rsidRDefault="000362CD" w:rsidP="00282389">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Hacker’s </w:t>
      </w:r>
      <w:r w:rsidR="00F47539" w:rsidRPr="007C4490">
        <w:rPr>
          <w:rFonts w:ascii="Times New Roman" w:hAnsi="Times New Roman" w:cs="Times New Roman"/>
          <w:sz w:val="24"/>
          <w:szCs w:val="24"/>
          <w:lang w:val="en-GB"/>
        </w:rPr>
        <w:t>critique of Pierson’s</w:t>
      </w:r>
      <w:r w:rsidRPr="007C4490">
        <w:rPr>
          <w:rFonts w:ascii="Times New Roman" w:hAnsi="Times New Roman" w:cs="Times New Roman"/>
          <w:sz w:val="24"/>
          <w:szCs w:val="24"/>
          <w:lang w:val="en-GB"/>
        </w:rPr>
        <w:t xml:space="preserve"> account did not </w:t>
      </w:r>
      <w:r w:rsidR="001B0288" w:rsidRPr="007C4490">
        <w:rPr>
          <w:rFonts w:ascii="Times New Roman" w:hAnsi="Times New Roman" w:cs="Times New Roman"/>
          <w:sz w:val="24"/>
          <w:szCs w:val="24"/>
          <w:lang w:val="en-GB"/>
        </w:rPr>
        <w:t>assert that the conservative blueprint for retrenchment had been accomplished through</w:t>
      </w:r>
      <w:r w:rsidRPr="007C4490">
        <w:rPr>
          <w:rFonts w:ascii="Times New Roman" w:hAnsi="Times New Roman" w:cs="Times New Roman"/>
          <w:sz w:val="24"/>
          <w:szCs w:val="24"/>
          <w:lang w:val="en-GB"/>
        </w:rPr>
        <w:t xml:space="preserve"> concerted legislative change</w:t>
      </w:r>
      <w:r w:rsidR="009B63AF" w:rsidRPr="007C4490">
        <w:rPr>
          <w:rFonts w:ascii="Times New Roman" w:hAnsi="Times New Roman" w:cs="Times New Roman"/>
          <w:sz w:val="24"/>
          <w:szCs w:val="24"/>
          <w:lang w:val="en-GB"/>
        </w:rPr>
        <w:t>. He did, however,</w:t>
      </w:r>
      <w:r w:rsidRPr="007C4490">
        <w:rPr>
          <w:rFonts w:ascii="Times New Roman" w:hAnsi="Times New Roman" w:cs="Times New Roman"/>
          <w:sz w:val="24"/>
          <w:szCs w:val="24"/>
          <w:lang w:val="en-GB"/>
        </w:rPr>
        <w:t xml:space="preserve"> maintain that </w:t>
      </w:r>
      <w:r w:rsidR="00050FD9" w:rsidRPr="007C4490">
        <w:rPr>
          <w:rFonts w:ascii="Times New Roman" w:hAnsi="Times New Roman" w:cs="Times New Roman"/>
          <w:sz w:val="24"/>
          <w:szCs w:val="24"/>
          <w:lang w:val="en-GB"/>
        </w:rPr>
        <w:t>a proper examination of the social p</w:t>
      </w:r>
      <w:r w:rsidR="00F47539" w:rsidRPr="007C4490">
        <w:rPr>
          <w:rFonts w:ascii="Times New Roman" w:hAnsi="Times New Roman" w:cs="Times New Roman"/>
          <w:sz w:val="24"/>
          <w:szCs w:val="24"/>
          <w:lang w:val="en-GB"/>
        </w:rPr>
        <w:t>rotection offered to workers and citizens</w:t>
      </w:r>
      <w:r w:rsidR="00050FD9" w:rsidRPr="007C4490">
        <w:rPr>
          <w:rFonts w:ascii="Times New Roman" w:hAnsi="Times New Roman" w:cs="Times New Roman"/>
          <w:sz w:val="24"/>
          <w:szCs w:val="24"/>
          <w:lang w:val="en-GB"/>
        </w:rPr>
        <w:t xml:space="preserve">, through </w:t>
      </w:r>
      <w:r w:rsidR="00050FD9" w:rsidRPr="007C4490">
        <w:rPr>
          <w:rFonts w:ascii="Times New Roman" w:hAnsi="Times New Roman" w:cs="Times New Roman"/>
          <w:i/>
          <w:sz w:val="24"/>
          <w:szCs w:val="24"/>
          <w:lang w:val="en-GB"/>
        </w:rPr>
        <w:t>both</w:t>
      </w:r>
      <w:r w:rsidR="00050FD9" w:rsidRPr="007C4490">
        <w:rPr>
          <w:rFonts w:ascii="Times New Roman" w:hAnsi="Times New Roman" w:cs="Times New Roman"/>
          <w:sz w:val="24"/>
          <w:szCs w:val="24"/>
          <w:lang w:val="en-GB"/>
        </w:rPr>
        <w:t xml:space="preserve"> public and private sector benefi</w:t>
      </w:r>
      <w:r w:rsidR="00F47539" w:rsidRPr="007C4490">
        <w:rPr>
          <w:rFonts w:ascii="Times New Roman" w:hAnsi="Times New Roman" w:cs="Times New Roman"/>
          <w:sz w:val="24"/>
          <w:szCs w:val="24"/>
          <w:lang w:val="en-GB"/>
        </w:rPr>
        <w:t>ts, showed how such protection</w:t>
      </w:r>
      <w:r w:rsidR="00050FD9" w:rsidRPr="007C4490">
        <w:rPr>
          <w:rFonts w:ascii="Times New Roman" w:hAnsi="Times New Roman" w:cs="Times New Roman"/>
          <w:sz w:val="24"/>
          <w:szCs w:val="24"/>
          <w:lang w:val="en-GB"/>
        </w:rPr>
        <w:t xml:space="preserve"> had been eroded over time</w:t>
      </w:r>
      <w:r w:rsidR="00491347" w:rsidRPr="007C4490">
        <w:rPr>
          <w:rFonts w:ascii="Times New Roman" w:hAnsi="Times New Roman" w:cs="Times New Roman"/>
          <w:sz w:val="24"/>
          <w:szCs w:val="24"/>
          <w:lang w:val="en-GB"/>
        </w:rPr>
        <w:t>.</w:t>
      </w:r>
      <w:r w:rsidR="00353BB0" w:rsidRPr="007C4490">
        <w:rPr>
          <w:rFonts w:ascii="Times New Roman" w:hAnsi="Times New Roman" w:cs="Times New Roman"/>
          <w:sz w:val="24"/>
          <w:szCs w:val="24"/>
          <w:lang w:val="en-GB"/>
        </w:rPr>
        <w:t xml:space="preserve"> In particular, Hacker </w:t>
      </w:r>
      <w:r w:rsidR="00F47539" w:rsidRPr="007C4490">
        <w:rPr>
          <w:rFonts w:ascii="Times New Roman" w:hAnsi="Times New Roman" w:cs="Times New Roman"/>
          <w:sz w:val="24"/>
          <w:szCs w:val="24"/>
          <w:lang w:val="en-GB"/>
        </w:rPr>
        <w:t xml:space="preserve">(2004) </w:t>
      </w:r>
      <w:r w:rsidR="00353BB0" w:rsidRPr="007C4490">
        <w:rPr>
          <w:rFonts w:ascii="Times New Roman" w:hAnsi="Times New Roman" w:cs="Times New Roman"/>
          <w:sz w:val="24"/>
          <w:szCs w:val="24"/>
          <w:lang w:val="en-GB"/>
        </w:rPr>
        <w:t xml:space="preserve">argued, the narrative emphasizing welfare </w:t>
      </w:r>
      <w:r w:rsidR="00353BB0" w:rsidRPr="007C4490">
        <w:rPr>
          <w:rFonts w:ascii="Times New Roman" w:hAnsi="Times New Roman" w:cs="Times New Roman"/>
          <w:i/>
          <w:sz w:val="24"/>
          <w:szCs w:val="24"/>
          <w:lang w:val="en-GB"/>
        </w:rPr>
        <w:t>state</w:t>
      </w:r>
      <w:r w:rsidR="00353BB0" w:rsidRPr="007C4490">
        <w:rPr>
          <w:rFonts w:ascii="Times New Roman" w:hAnsi="Times New Roman" w:cs="Times New Roman"/>
          <w:sz w:val="24"/>
          <w:szCs w:val="24"/>
          <w:lang w:val="en-GB"/>
        </w:rPr>
        <w:t xml:space="preserve"> resilience neglected to properly investigate developments in a critical as</w:t>
      </w:r>
      <w:r w:rsidR="00987F11" w:rsidRPr="007C4490">
        <w:rPr>
          <w:rFonts w:ascii="Times New Roman" w:hAnsi="Times New Roman" w:cs="Times New Roman"/>
          <w:sz w:val="24"/>
          <w:szCs w:val="24"/>
          <w:lang w:val="en-GB"/>
        </w:rPr>
        <w:t>pect of the US</w:t>
      </w:r>
      <w:r w:rsidR="00F47539" w:rsidRPr="007C4490">
        <w:rPr>
          <w:rFonts w:ascii="Times New Roman" w:hAnsi="Times New Roman" w:cs="Times New Roman"/>
          <w:sz w:val="24"/>
          <w:szCs w:val="24"/>
          <w:lang w:val="en-GB"/>
        </w:rPr>
        <w:t xml:space="preserve"> social policy system:</w:t>
      </w:r>
      <w:r w:rsidR="00353BB0" w:rsidRPr="007C4490">
        <w:rPr>
          <w:rFonts w:ascii="Times New Roman" w:hAnsi="Times New Roman" w:cs="Times New Roman"/>
          <w:sz w:val="24"/>
          <w:szCs w:val="24"/>
          <w:lang w:val="en-GB"/>
        </w:rPr>
        <w:t xml:space="preserve"> the heavy relian</w:t>
      </w:r>
      <w:r w:rsidR="00F47539" w:rsidRPr="007C4490">
        <w:rPr>
          <w:rFonts w:ascii="Times New Roman" w:hAnsi="Times New Roman" w:cs="Times New Roman"/>
          <w:sz w:val="24"/>
          <w:szCs w:val="24"/>
          <w:lang w:val="en-GB"/>
        </w:rPr>
        <w:t>ce on private social protection that</w:t>
      </w:r>
      <w:r w:rsidR="00353BB0" w:rsidRPr="007C4490">
        <w:rPr>
          <w:rFonts w:ascii="Times New Roman" w:hAnsi="Times New Roman" w:cs="Times New Roman"/>
          <w:sz w:val="24"/>
          <w:szCs w:val="24"/>
          <w:lang w:val="en-GB"/>
        </w:rPr>
        <w:t xml:space="preserve">, in turn, depended on indirect support </w:t>
      </w:r>
      <w:r w:rsidR="00F47539" w:rsidRPr="007C4490">
        <w:rPr>
          <w:rFonts w:ascii="Times New Roman" w:hAnsi="Times New Roman" w:cs="Times New Roman"/>
          <w:sz w:val="24"/>
          <w:szCs w:val="24"/>
          <w:lang w:val="en-GB"/>
        </w:rPr>
        <w:t>from government in the form of tax expenditures</w:t>
      </w:r>
      <w:r w:rsidR="00987F11" w:rsidRPr="007C4490">
        <w:rPr>
          <w:rFonts w:ascii="Times New Roman" w:hAnsi="Times New Roman" w:cs="Times New Roman"/>
          <w:sz w:val="24"/>
          <w:szCs w:val="24"/>
          <w:lang w:val="en-GB"/>
        </w:rPr>
        <w:t xml:space="preserve"> (Howard</w:t>
      </w:r>
      <w:r w:rsidR="00353BB0" w:rsidRPr="007C4490">
        <w:rPr>
          <w:rFonts w:ascii="Times New Roman" w:hAnsi="Times New Roman" w:cs="Times New Roman"/>
          <w:sz w:val="24"/>
          <w:szCs w:val="24"/>
          <w:lang w:val="en-GB"/>
        </w:rPr>
        <w:t xml:space="preserve"> </w:t>
      </w:r>
      <w:r w:rsidR="00353BB0" w:rsidRPr="007C4490">
        <w:rPr>
          <w:rFonts w:ascii="Times New Roman" w:hAnsi="Times New Roman" w:cs="Times New Roman"/>
          <w:sz w:val="24"/>
          <w:szCs w:val="24"/>
          <w:lang w:val="en-GB"/>
        </w:rPr>
        <w:lastRenderedPageBreak/>
        <w:t xml:space="preserve">1997). Hence, too </w:t>
      </w:r>
      <w:r w:rsidR="00223547" w:rsidRPr="007C4490">
        <w:rPr>
          <w:rFonts w:ascii="Times New Roman" w:hAnsi="Times New Roman" w:cs="Times New Roman"/>
          <w:sz w:val="24"/>
          <w:szCs w:val="24"/>
          <w:lang w:val="en-GB"/>
        </w:rPr>
        <w:t xml:space="preserve">much </w:t>
      </w:r>
      <w:r w:rsidR="00353BB0" w:rsidRPr="007C4490">
        <w:rPr>
          <w:rFonts w:ascii="Times New Roman" w:hAnsi="Times New Roman" w:cs="Times New Roman"/>
          <w:sz w:val="24"/>
          <w:szCs w:val="24"/>
          <w:lang w:val="en-GB"/>
        </w:rPr>
        <w:t>analysis of welfare state retrenchment</w:t>
      </w:r>
      <w:r w:rsidR="001B0288" w:rsidRPr="007C4490">
        <w:rPr>
          <w:rFonts w:ascii="Times New Roman" w:hAnsi="Times New Roman" w:cs="Times New Roman"/>
          <w:sz w:val="24"/>
          <w:szCs w:val="24"/>
          <w:lang w:val="en-GB"/>
        </w:rPr>
        <w:t>, which</w:t>
      </w:r>
      <w:r w:rsidR="00353BB0" w:rsidRPr="007C4490">
        <w:rPr>
          <w:rFonts w:ascii="Times New Roman" w:hAnsi="Times New Roman" w:cs="Times New Roman"/>
          <w:sz w:val="24"/>
          <w:szCs w:val="24"/>
          <w:lang w:val="en-GB"/>
        </w:rPr>
        <w:t xml:space="preserve"> </w:t>
      </w:r>
      <w:r w:rsidR="00223547" w:rsidRPr="007C4490">
        <w:rPr>
          <w:rFonts w:ascii="Times New Roman" w:hAnsi="Times New Roman" w:cs="Times New Roman"/>
          <w:sz w:val="24"/>
          <w:szCs w:val="24"/>
          <w:lang w:val="en-GB"/>
        </w:rPr>
        <w:t>stressed the limits of that retrenchment</w:t>
      </w:r>
      <w:r w:rsidR="001B0288" w:rsidRPr="007C4490">
        <w:rPr>
          <w:rFonts w:ascii="Times New Roman" w:hAnsi="Times New Roman" w:cs="Times New Roman"/>
          <w:sz w:val="24"/>
          <w:szCs w:val="24"/>
          <w:lang w:val="en-GB"/>
        </w:rPr>
        <w:t>,</w:t>
      </w:r>
      <w:r w:rsidR="00223547" w:rsidRPr="007C4490">
        <w:rPr>
          <w:rFonts w:ascii="Times New Roman" w:hAnsi="Times New Roman" w:cs="Times New Roman"/>
          <w:sz w:val="24"/>
          <w:szCs w:val="24"/>
          <w:lang w:val="en-GB"/>
        </w:rPr>
        <w:t xml:space="preserve"> missed the manner in which there had been </w:t>
      </w:r>
      <w:r w:rsidR="00E31CF9" w:rsidRPr="007C4490">
        <w:rPr>
          <w:rFonts w:ascii="Times New Roman" w:hAnsi="Times New Roman" w:cs="Times New Roman"/>
          <w:sz w:val="24"/>
          <w:szCs w:val="24"/>
          <w:lang w:val="en-GB"/>
        </w:rPr>
        <w:t>‘</w:t>
      </w:r>
      <w:r w:rsidR="00223547" w:rsidRPr="007C4490">
        <w:rPr>
          <w:rFonts w:ascii="Times New Roman" w:hAnsi="Times New Roman" w:cs="Times New Roman"/>
          <w:sz w:val="24"/>
          <w:szCs w:val="24"/>
          <w:lang w:val="en-GB"/>
        </w:rPr>
        <w:t>a major shift in the distribution and character of private benefits in recent decades, with rates of coverage plummeting among lower-income workers and benefit plans</w:t>
      </w:r>
      <w:r w:rsidR="005E557F" w:rsidRPr="007C4490">
        <w:rPr>
          <w:rFonts w:ascii="Times New Roman" w:hAnsi="Times New Roman" w:cs="Times New Roman"/>
          <w:sz w:val="24"/>
          <w:szCs w:val="24"/>
          <w:lang w:val="en-GB"/>
        </w:rPr>
        <w:t xml:space="preserve"> </w:t>
      </w:r>
      <w:r w:rsidR="00223547" w:rsidRPr="007C4490">
        <w:rPr>
          <w:rFonts w:ascii="Times New Roman" w:hAnsi="Times New Roman" w:cs="Times New Roman"/>
          <w:sz w:val="24"/>
          <w:szCs w:val="24"/>
          <w:lang w:val="en-GB"/>
        </w:rPr>
        <w:t>providing increasingly insecure income guarantees</w:t>
      </w:r>
      <w:r w:rsidR="00E31CF9" w:rsidRPr="007C4490">
        <w:rPr>
          <w:rFonts w:ascii="Times New Roman" w:hAnsi="Times New Roman" w:cs="Times New Roman"/>
          <w:sz w:val="24"/>
          <w:szCs w:val="24"/>
          <w:lang w:val="en-GB"/>
        </w:rPr>
        <w:t>’</w:t>
      </w:r>
      <w:r w:rsidR="00987F11" w:rsidRPr="007C4490">
        <w:rPr>
          <w:rFonts w:ascii="Times New Roman" w:hAnsi="Times New Roman" w:cs="Times New Roman"/>
          <w:sz w:val="24"/>
          <w:szCs w:val="24"/>
          <w:lang w:val="en-GB"/>
        </w:rPr>
        <w:t xml:space="preserve"> (Hacker</w:t>
      </w:r>
      <w:r w:rsidR="00853563" w:rsidRPr="007C4490">
        <w:rPr>
          <w:rFonts w:ascii="Times New Roman" w:hAnsi="Times New Roman" w:cs="Times New Roman"/>
          <w:sz w:val="24"/>
          <w:szCs w:val="24"/>
          <w:lang w:val="en-GB"/>
        </w:rPr>
        <w:t xml:space="preserve"> 2005</w:t>
      </w:r>
      <w:r w:rsidR="00223547" w:rsidRPr="007C4490">
        <w:rPr>
          <w:rFonts w:ascii="Times New Roman" w:hAnsi="Times New Roman" w:cs="Times New Roman"/>
          <w:sz w:val="24"/>
          <w:szCs w:val="24"/>
          <w:lang w:val="en-GB"/>
        </w:rPr>
        <w:t>: 45).</w:t>
      </w:r>
    </w:p>
    <w:p w14:paraId="02EAF560" w14:textId="77777777" w:rsidR="000B62A8" w:rsidRPr="007C4490" w:rsidRDefault="00706B11" w:rsidP="00282389">
      <w:pPr>
        <w:spacing w:after="0" w:line="480" w:lineRule="auto"/>
        <w:ind w:firstLine="720"/>
        <w:jc w:val="both"/>
        <w:rPr>
          <w:rFonts w:ascii="Times New Roman" w:hAnsi="Times New Roman" w:cs="Times New Roman"/>
          <w:sz w:val="24"/>
          <w:szCs w:val="24"/>
          <w:highlight w:val="yellow"/>
          <w:lang w:val="en-GB"/>
        </w:rPr>
      </w:pPr>
      <w:r w:rsidRPr="007C4490">
        <w:rPr>
          <w:rFonts w:ascii="Times New Roman" w:hAnsi="Times New Roman" w:cs="Times New Roman"/>
          <w:sz w:val="24"/>
          <w:szCs w:val="24"/>
          <w:lang w:val="en-GB"/>
        </w:rPr>
        <w:t xml:space="preserve">Of the three </w:t>
      </w:r>
      <w:r w:rsidR="00D60623" w:rsidRPr="007C4490">
        <w:rPr>
          <w:rFonts w:ascii="Times New Roman" w:hAnsi="Times New Roman" w:cs="Times New Roman"/>
          <w:sz w:val="24"/>
          <w:szCs w:val="24"/>
          <w:lang w:val="en-GB"/>
        </w:rPr>
        <w:t xml:space="preserve">incremental yet potentially transformative </w:t>
      </w:r>
      <w:r w:rsidRPr="007C4490">
        <w:rPr>
          <w:rFonts w:ascii="Times New Roman" w:hAnsi="Times New Roman" w:cs="Times New Roman"/>
          <w:sz w:val="24"/>
          <w:szCs w:val="24"/>
          <w:lang w:val="en-GB"/>
        </w:rPr>
        <w:t>processes Hacker</w:t>
      </w:r>
      <w:r w:rsidR="00491347" w:rsidRPr="007C4490">
        <w:rPr>
          <w:rFonts w:ascii="Times New Roman" w:hAnsi="Times New Roman" w:cs="Times New Roman"/>
          <w:sz w:val="24"/>
          <w:szCs w:val="24"/>
          <w:lang w:val="en-GB"/>
        </w:rPr>
        <w:t xml:space="preserve"> (2004)</w:t>
      </w:r>
      <w:r w:rsidRPr="007C4490">
        <w:rPr>
          <w:rFonts w:ascii="Times New Roman" w:hAnsi="Times New Roman" w:cs="Times New Roman"/>
          <w:sz w:val="24"/>
          <w:szCs w:val="24"/>
          <w:lang w:val="en-GB"/>
        </w:rPr>
        <w:t xml:space="preserve"> identified as contributing to that </w:t>
      </w:r>
      <w:r w:rsidR="00547128" w:rsidRPr="007C4490">
        <w:rPr>
          <w:rFonts w:ascii="Times New Roman" w:hAnsi="Times New Roman" w:cs="Times New Roman"/>
          <w:sz w:val="24"/>
          <w:szCs w:val="24"/>
          <w:lang w:val="en-GB"/>
        </w:rPr>
        <w:t xml:space="preserve">change, two, conversion and layering, did require </w:t>
      </w:r>
      <w:r w:rsidR="00620CCD" w:rsidRPr="007C4490">
        <w:rPr>
          <w:rFonts w:ascii="Times New Roman" w:hAnsi="Times New Roman" w:cs="Times New Roman"/>
          <w:sz w:val="24"/>
          <w:szCs w:val="24"/>
          <w:lang w:val="en-GB"/>
        </w:rPr>
        <w:t xml:space="preserve">direct and </w:t>
      </w:r>
      <w:r w:rsidR="00491347" w:rsidRPr="007C4490">
        <w:rPr>
          <w:rFonts w:ascii="Times New Roman" w:hAnsi="Times New Roman" w:cs="Times New Roman"/>
          <w:sz w:val="24"/>
          <w:szCs w:val="24"/>
          <w:lang w:val="en-GB"/>
        </w:rPr>
        <w:t xml:space="preserve">positive action by strategic </w:t>
      </w:r>
      <w:r w:rsidR="00620CCD" w:rsidRPr="007C4490">
        <w:rPr>
          <w:rFonts w:ascii="Times New Roman" w:hAnsi="Times New Roman" w:cs="Times New Roman"/>
          <w:sz w:val="24"/>
          <w:szCs w:val="24"/>
          <w:lang w:val="en-GB"/>
        </w:rPr>
        <w:t xml:space="preserve">political </w:t>
      </w:r>
      <w:r w:rsidR="00491347" w:rsidRPr="007C4490">
        <w:rPr>
          <w:rFonts w:ascii="Times New Roman" w:hAnsi="Times New Roman" w:cs="Times New Roman"/>
          <w:sz w:val="24"/>
          <w:szCs w:val="24"/>
          <w:lang w:val="en-GB"/>
        </w:rPr>
        <w:t xml:space="preserve">actors. Policy drift, however, was </w:t>
      </w:r>
      <w:r w:rsidR="00620CCD" w:rsidRPr="007C4490">
        <w:rPr>
          <w:rFonts w:ascii="Times New Roman" w:hAnsi="Times New Roman" w:cs="Times New Roman"/>
          <w:sz w:val="24"/>
          <w:szCs w:val="24"/>
          <w:lang w:val="en-GB"/>
        </w:rPr>
        <w:t xml:space="preserve">largely </w:t>
      </w:r>
      <w:r w:rsidR="00491347" w:rsidRPr="007C4490">
        <w:rPr>
          <w:rFonts w:ascii="Times New Roman" w:hAnsi="Times New Roman" w:cs="Times New Roman"/>
          <w:sz w:val="24"/>
          <w:szCs w:val="24"/>
          <w:lang w:val="en-GB"/>
        </w:rPr>
        <w:t xml:space="preserve">a consequence of </w:t>
      </w:r>
      <w:r w:rsidR="00050FD9" w:rsidRPr="007C4490">
        <w:rPr>
          <w:rFonts w:ascii="Times New Roman" w:hAnsi="Times New Roman" w:cs="Times New Roman"/>
          <w:sz w:val="24"/>
          <w:szCs w:val="24"/>
          <w:lang w:val="en-GB"/>
        </w:rPr>
        <w:t>inaction.</w:t>
      </w:r>
      <w:r w:rsidR="00491347" w:rsidRPr="007C4490">
        <w:rPr>
          <w:rFonts w:ascii="Times New Roman" w:hAnsi="Times New Roman" w:cs="Times New Roman"/>
          <w:sz w:val="24"/>
          <w:szCs w:val="24"/>
          <w:lang w:val="en-GB"/>
        </w:rPr>
        <w:t xml:space="preserve"> Drift took place when a policy designed to protect against a particular socio-economic risk remained unaltered, but the nature of the risk had evolved</w:t>
      </w:r>
      <w:r w:rsidR="00620CCD" w:rsidRPr="007C4490">
        <w:rPr>
          <w:rFonts w:ascii="Times New Roman" w:hAnsi="Times New Roman" w:cs="Times New Roman"/>
          <w:sz w:val="24"/>
          <w:szCs w:val="24"/>
          <w:lang w:val="en-GB"/>
        </w:rPr>
        <w:t xml:space="preserve"> over time</w:t>
      </w:r>
      <w:r w:rsidR="00491347" w:rsidRPr="007C4490">
        <w:rPr>
          <w:rFonts w:ascii="Times New Roman" w:hAnsi="Times New Roman" w:cs="Times New Roman"/>
          <w:sz w:val="24"/>
          <w:szCs w:val="24"/>
          <w:lang w:val="en-GB"/>
        </w:rPr>
        <w:t>. Thus</w:t>
      </w:r>
      <w:r w:rsidR="001B0288" w:rsidRPr="007C4490">
        <w:rPr>
          <w:rFonts w:ascii="Times New Roman" w:hAnsi="Times New Roman" w:cs="Times New Roman"/>
          <w:sz w:val="24"/>
          <w:szCs w:val="24"/>
          <w:lang w:val="en-GB"/>
        </w:rPr>
        <w:t>,</w:t>
      </w:r>
      <w:r w:rsidR="00491347" w:rsidRPr="007C4490">
        <w:rPr>
          <w:rFonts w:ascii="Times New Roman" w:hAnsi="Times New Roman" w:cs="Times New Roman"/>
          <w:sz w:val="24"/>
          <w:szCs w:val="24"/>
          <w:lang w:val="en-GB"/>
        </w:rPr>
        <w:t xml:space="preserve"> although exis</w:t>
      </w:r>
      <w:r w:rsidR="00E542B5" w:rsidRPr="007C4490">
        <w:rPr>
          <w:rFonts w:ascii="Times New Roman" w:hAnsi="Times New Roman" w:cs="Times New Roman"/>
          <w:sz w:val="24"/>
          <w:szCs w:val="24"/>
          <w:lang w:val="en-GB"/>
        </w:rPr>
        <w:t xml:space="preserve">ting policy frameworks remained in place, </w:t>
      </w:r>
      <w:r w:rsidR="00E31CF9" w:rsidRPr="007C4490">
        <w:rPr>
          <w:rFonts w:ascii="Times New Roman" w:hAnsi="Times New Roman" w:cs="Times New Roman"/>
          <w:sz w:val="24"/>
          <w:szCs w:val="24"/>
          <w:lang w:val="en-GB"/>
        </w:rPr>
        <w:t>‘</w:t>
      </w:r>
      <w:r w:rsidR="00E542B5" w:rsidRPr="007C4490">
        <w:rPr>
          <w:rFonts w:ascii="Times New Roman" w:hAnsi="Times New Roman" w:cs="Times New Roman"/>
          <w:sz w:val="24"/>
          <w:szCs w:val="24"/>
          <w:lang w:val="en-GB"/>
        </w:rPr>
        <w:t>their ability to achiev</w:t>
      </w:r>
      <w:r w:rsidR="001B0288" w:rsidRPr="007C4490">
        <w:rPr>
          <w:rFonts w:ascii="Times New Roman" w:hAnsi="Times New Roman" w:cs="Times New Roman"/>
          <w:sz w:val="24"/>
          <w:szCs w:val="24"/>
          <w:lang w:val="en-GB"/>
        </w:rPr>
        <w:t>e the goals embodied in them …</w:t>
      </w:r>
      <w:r w:rsidR="00E542B5" w:rsidRPr="007C4490">
        <w:rPr>
          <w:rFonts w:ascii="Times New Roman" w:hAnsi="Times New Roman" w:cs="Times New Roman"/>
          <w:sz w:val="24"/>
          <w:szCs w:val="24"/>
          <w:lang w:val="en-GB"/>
        </w:rPr>
        <w:t xml:space="preserve"> noticeably weakened</w:t>
      </w:r>
      <w:r w:rsidR="00E31CF9" w:rsidRPr="007C4490">
        <w:rPr>
          <w:rFonts w:ascii="Times New Roman" w:hAnsi="Times New Roman" w:cs="Times New Roman"/>
          <w:sz w:val="24"/>
          <w:szCs w:val="24"/>
          <w:lang w:val="en-GB"/>
        </w:rPr>
        <w:t>’</w:t>
      </w:r>
      <w:r w:rsidR="00987F11" w:rsidRPr="007C4490">
        <w:rPr>
          <w:rFonts w:ascii="Times New Roman" w:hAnsi="Times New Roman" w:cs="Times New Roman"/>
          <w:sz w:val="24"/>
          <w:szCs w:val="24"/>
          <w:lang w:val="en-GB"/>
        </w:rPr>
        <w:t xml:space="preserve"> (Hacker</w:t>
      </w:r>
      <w:r w:rsidR="00E542B5" w:rsidRPr="007C4490">
        <w:rPr>
          <w:rFonts w:ascii="Times New Roman" w:hAnsi="Times New Roman" w:cs="Times New Roman"/>
          <w:sz w:val="24"/>
          <w:szCs w:val="24"/>
          <w:lang w:val="en-GB"/>
        </w:rPr>
        <w:t xml:space="preserve"> 2004: 256). </w:t>
      </w:r>
      <w:r w:rsidR="00620CCD" w:rsidRPr="007C4490">
        <w:rPr>
          <w:rFonts w:ascii="Times New Roman" w:hAnsi="Times New Roman" w:cs="Times New Roman"/>
          <w:sz w:val="24"/>
          <w:szCs w:val="24"/>
          <w:lang w:val="en-GB"/>
        </w:rPr>
        <w:t xml:space="preserve">One example </w:t>
      </w:r>
      <w:r w:rsidR="000B62A8" w:rsidRPr="007C4490">
        <w:rPr>
          <w:rFonts w:ascii="Times New Roman" w:hAnsi="Times New Roman" w:cs="Times New Roman"/>
          <w:sz w:val="24"/>
          <w:szCs w:val="24"/>
          <w:lang w:val="en-GB"/>
        </w:rPr>
        <w:t>used to illustrate the real world impact of</w:t>
      </w:r>
      <w:r w:rsidR="00620CCD" w:rsidRPr="007C4490">
        <w:rPr>
          <w:rFonts w:ascii="Times New Roman" w:hAnsi="Times New Roman" w:cs="Times New Roman"/>
          <w:sz w:val="24"/>
          <w:szCs w:val="24"/>
          <w:lang w:val="en-GB"/>
        </w:rPr>
        <w:t xml:space="preserve"> </w:t>
      </w:r>
      <w:r w:rsidR="00E8709E" w:rsidRPr="007C4490">
        <w:rPr>
          <w:rFonts w:ascii="Times New Roman" w:hAnsi="Times New Roman" w:cs="Times New Roman"/>
          <w:sz w:val="24"/>
          <w:szCs w:val="24"/>
          <w:lang w:val="en-GB"/>
        </w:rPr>
        <w:t>policy drift is the declining</w:t>
      </w:r>
      <w:r w:rsidR="00987F11" w:rsidRPr="007C4490">
        <w:rPr>
          <w:rFonts w:ascii="Times New Roman" w:hAnsi="Times New Roman" w:cs="Times New Roman"/>
          <w:sz w:val="24"/>
          <w:szCs w:val="24"/>
          <w:lang w:val="en-GB"/>
        </w:rPr>
        <w:t xml:space="preserve"> value of the US federally </w:t>
      </w:r>
      <w:r w:rsidR="000B62A8" w:rsidRPr="007C4490">
        <w:rPr>
          <w:rFonts w:ascii="Times New Roman" w:hAnsi="Times New Roman" w:cs="Times New Roman"/>
          <w:sz w:val="24"/>
          <w:szCs w:val="24"/>
          <w:lang w:val="en-GB"/>
        </w:rPr>
        <w:t>mandated minimum wage.</w:t>
      </w:r>
      <w:r w:rsidR="00836B31" w:rsidRPr="007C4490">
        <w:rPr>
          <w:rFonts w:ascii="Times New Roman" w:hAnsi="Times New Roman" w:cs="Times New Roman"/>
          <w:sz w:val="24"/>
          <w:szCs w:val="24"/>
          <w:lang w:val="en-GB"/>
        </w:rPr>
        <w:t xml:space="preserve"> The minimum wage is designed to offer some protection for the standard of living </w:t>
      </w:r>
      <w:r w:rsidR="00620CCD" w:rsidRPr="007C4490">
        <w:rPr>
          <w:rFonts w:ascii="Times New Roman" w:hAnsi="Times New Roman" w:cs="Times New Roman"/>
          <w:sz w:val="24"/>
          <w:szCs w:val="24"/>
          <w:lang w:val="en-GB"/>
        </w:rPr>
        <w:t>of low-income workers, but because</w:t>
      </w:r>
      <w:r w:rsidR="00836B31" w:rsidRPr="007C4490">
        <w:rPr>
          <w:rFonts w:ascii="Times New Roman" w:hAnsi="Times New Roman" w:cs="Times New Roman"/>
          <w:sz w:val="24"/>
          <w:szCs w:val="24"/>
          <w:lang w:val="en-GB"/>
        </w:rPr>
        <w:t xml:space="preserve"> it </w:t>
      </w:r>
      <w:r w:rsidR="000B62A8" w:rsidRPr="007C4490">
        <w:rPr>
          <w:rFonts w:ascii="Times New Roman" w:hAnsi="Times New Roman" w:cs="Times New Roman"/>
          <w:sz w:val="24"/>
          <w:szCs w:val="24"/>
          <w:lang w:val="en-GB"/>
        </w:rPr>
        <w:t>is not indexed to a cost of living measure</w:t>
      </w:r>
      <w:r w:rsidR="00987F11" w:rsidRPr="007C4490">
        <w:rPr>
          <w:rFonts w:ascii="Times New Roman" w:hAnsi="Times New Roman" w:cs="Times New Roman"/>
          <w:sz w:val="24"/>
          <w:szCs w:val="24"/>
          <w:lang w:val="en-GB"/>
        </w:rPr>
        <w:t>,</w:t>
      </w:r>
      <w:r w:rsidR="000B62A8" w:rsidRPr="007C4490">
        <w:rPr>
          <w:rFonts w:ascii="Times New Roman" w:hAnsi="Times New Roman" w:cs="Times New Roman"/>
          <w:sz w:val="24"/>
          <w:szCs w:val="24"/>
          <w:lang w:val="en-GB"/>
        </w:rPr>
        <w:t xml:space="preserve"> </w:t>
      </w:r>
      <w:r w:rsidR="00FB6E8D" w:rsidRPr="007C4490">
        <w:rPr>
          <w:rFonts w:ascii="Times New Roman" w:hAnsi="Times New Roman" w:cs="Times New Roman"/>
          <w:sz w:val="24"/>
          <w:szCs w:val="24"/>
          <w:lang w:val="en-GB"/>
        </w:rPr>
        <w:t xml:space="preserve">its </w:t>
      </w:r>
      <w:r w:rsidR="00285650" w:rsidRPr="007C4490">
        <w:rPr>
          <w:rFonts w:ascii="Times New Roman" w:hAnsi="Times New Roman" w:cs="Times New Roman"/>
          <w:sz w:val="24"/>
          <w:szCs w:val="24"/>
          <w:lang w:val="en-GB"/>
        </w:rPr>
        <w:t xml:space="preserve">real </w:t>
      </w:r>
      <w:r w:rsidR="00FB6E8D" w:rsidRPr="007C4490">
        <w:rPr>
          <w:rFonts w:ascii="Times New Roman" w:hAnsi="Times New Roman" w:cs="Times New Roman"/>
          <w:sz w:val="24"/>
          <w:szCs w:val="24"/>
          <w:lang w:val="en-GB"/>
        </w:rPr>
        <w:t>value is eroded over time</w:t>
      </w:r>
      <w:r w:rsidR="009B63AF" w:rsidRPr="007C4490">
        <w:rPr>
          <w:rFonts w:ascii="Times New Roman" w:hAnsi="Times New Roman" w:cs="Times New Roman"/>
          <w:sz w:val="24"/>
          <w:szCs w:val="24"/>
          <w:lang w:val="en-GB"/>
        </w:rPr>
        <w:t>. As a result,</w:t>
      </w:r>
      <w:r w:rsidR="009A0164" w:rsidRPr="007C4490">
        <w:rPr>
          <w:rFonts w:ascii="Times New Roman" w:hAnsi="Times New Roman" w:cs="Times New Roman"/>
          <w:sz w:val="24"/>
          <w:szCs w:val="24"/>
          <w:lang w:val="en-GB"/>
        </w:rPr>
        <w:t xml:space="preserve"> </w:t>
      </w:r>
      <w:r w:rsidR="00285650" w:rsidRPr="007C4490">
        <w:rPr>
          <w:rFonts w:ascii="Times New Roman" w:hAnsi="Times New Roman" w:cs="Times New Roman"/>
          <w:sz w:val="24"/>
          <w:szCs w:val="24"/>
          <w:lang w:val="en-GB"/>
        </w:rPr>
        <w:t xml:space="preserve">unless </w:t>
      </w:r>
      <w:r w:rsidR="009B63AF" w:rsidRPr="007C4490">
        <w:rPr>
          <w:rFonts w:ascii="Times New Roman" w:hAnsi="Times New Roman" w:cs="Times New Roman"/>
          <w:sz w:val="24"/>
          <w:szCs w:val="24"/>
          <w:lang w:val="en-GB"/>
        </w:rPr>
        <w:t xml:space="preserve">the wage </w:t>
      </w:r>
      <w:r w:rsidR="00285650" w:rsidRPr="007C4490">
        <w:rPr>
          <w:rFonts w:ascii="Times New Roman" w:hAnsi="Times New Roman" w:cs="Times New Roman"/>
          <w:sz w:val="24"/>
          <w:szCs w:val="24"/>
          <w:lang w:val="en-GB"/>
        </w:rPr>
        <w:t>is specifi</w:t>
      </w:r>
      <w:r w:rsidR="00620CCD" w:rsidRPr="007C4490">
        <w:rPr>
          <w:rFonts w:ascii="Times New Roman" w:hAnsi="Times New Roman" w:cs="Times New Roman"/>
          <w:sz w:val="24"/>
          <w:szCs w:val="24"/>
          <w:lang w:val="en-GB"/>
        </w:rPr>
        <w:t>cally increased through formal public policy decisions</w:t>
      </w:r>
      <w:r w:rsidR="009B63AF" w:rsidRPr="007C4490">
        <w:rPr>
          <w:rFonts w:ascii="Times New Roman" w:hAnsi="Times New Roman" w:cs="Times New Roman"/>
          <w:sz w:val="24"/>
          <w:szCs w:val="24"/>
          <w:lang w:val="en-GB"/>
        </w:rPr>
        <w:t>, it will protect fewer workers over time</w:t>
      </w:r>
      <w:r w:rsidR="00FB6E8D" w:rsidRPr="007C4490">
        <w:rPr>
          <w:rFonts w:ascii="Times New Roman" w:hAnsi="Times New Roman" w:cs="Times New Roman"/>
          <w:sz w:val="24"/>
          <w:szCs w:val="24"/>
          <w:lang w:val="en-GB"/>
        </w:rPr>
        <w:t xml:space="preserve">. </w:t>
      </w:r>
    </w:p>
    <w:p w14:paraId="0AD40380" w14:textId="77777777" w:rsidR="00500257" w:rsidRPr="007C4490" w:rsidRDefault="006A529D" w:rsidP="00242E3F">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The</w:t>
      </w:r>
      <w:r w:rsidR="00285650" w:rsidRPr="007C4490">
        <w:rPr>
          <w:rFonts w:ascii="Times New Roman" w:hAnsi="Times New Roman" w:cs="Times New Roman"/>
          <w:sz w:val="24"/>
          <w:szCs w:val="24"/>
          <w:lang w:val="en-GB"/>
        </w:rPr>
        <w:t xml:space="preserve"> example of the minimum wage</w:t>
      </w:r>
      <w:r w:rsidR="00FB6E8D" w:rsidRPr="007C4490">
        <w:rPr>
          <w:rFonts w:ascii="Times New Roman" w:hAnsi="Times New Roman" w:cs="Times New Roman"/>
          <w:sz w:val="24"/>
          <w:szCs w:val="24"/>
          <w:lang w:val="en-GB"/>
        </w:rPr>
        <w:t xml:space="preserve"> illustrates the importance of policy design </w:t>
      </w:r>
      <w:r w:rsidR="008F5DD3" w:rsidRPr="007C4490">
        <w:rPr>
          <w:rFonts w:ascii="Times New Roman" w:hAnsi="Times New Roman" w:cs="Times New Roman"/>
          <w:sz w:val="24"/>
          <w:szCs w:val="24"/>
          <w:lang w:val="en-GB"/>
        </w:rPr>
        <w:t>in terms of</w:t>
      </w:r>
      <w:r w:rsidR="00FB6E8D" w:rsidRPr="007C4490">
        <w:rPr>
          <w:rFonts w:ascii="Times New Roman" w:hAnsi="Times New Roman" w:cs="Times New Roman"/>
          <w:sz w:val="24"/>
          <w:szCs w:val="24"/>
          <w:lang w:val="en-GB"/>
        </w:rPr>
        <w:t xml:space="preserve"> the potential for policy drift</w:t>
      </w:r>
      <w:r w:rsidR="008F5DD3" w:rsidRPr="007C4490">
        <w:rPr>
          <w:rFonts w:ascii="Times New Roman" w:hAnsi="Times New Roman" w:cs="Times New Roman"/>
          <w:sz w:val="24"/>
          <w:szCs w:val="24"/>
          <w:lang w:val="en-GB"/>
        </w:rPr>
        <w:t xml:space="preserve"> to occur</w:t>
      </w:r>
      <w:r w:rsidR="00FB6E8D" w:rsidRPr="007C4490">
        <w:rPr>
          <w:rFonts w:ascii="Times New Roman" w:hAnsi="Times New Roman" w:cs="Times New Roman"/>
          <w:sz w:val="24"/>
          <w:szCs w:val="24"/>
          <w:lang w:val="en-GB"/>
        </w:rPr>
        <w:t>. Laws can be drafted in ways that reduce the likelihood of drift. In the case of the</w:t>
      </w:r>
      <w:r w:rsidR="00E62AD7" w:rsidRPr="007C4490">
        <w:rPr>
          <w:rFonts w:ascii="Times New Roman" w:hAnsi="Times New Roman" w:cs="Times New Roman"/>
          <w:sz w:val="24"/>
          <w:szCs w:val="24"/>
          <w:lang w:val="en-GB"/>
        </w:rPr>
        <w:t xml:space="preserve"> minimum wage</w:t>
      </w:r>
      <w:r w:rsidR="0046497D" w:rsidRPr="007C4490">
        <w:rPr>
          <w:rFonts w:ascii="Times New Roman" w:hAnsi="Times New Roman" w:cs="Times New Roman"/>
          <w:sz w:val="24"/>
          <w:szCs w:val="24"/>
          <w:lang w:val="en-GB"/>
        </w:rPr>
        <w:t>,</w:t>
      </w:r>
      <w:r w:rsidR="00E62AD7" w:rsidRPr="007C4490">
        <w:rPr>
          <w:rFonts w:ascii="Times New Roman" w:hAnsi="Times New Roman" w:cs="Times New Roman"/>
          <w:sz w:val="24"/>
          <w:szCs w:val="24"/>
          <w:lang w:val="en-GB"/>
        </w:rPr>
        <w:t xml:space="preserve"> or</w:t>
      </w:r>
      <w:r w:rsidR="008F5DD3" w:rsidRPr="007C4490">
        <w:rPr>
          <w:rFonts w:ascii="Times New Roman" w:hAnsi="Times New Roman" w:cs="Times New Roman"/>
          <w:sz w:val="24"/>
          <w:szCs w:val="24"/>
          <w:lang w:val="en-GB"/>
        </w:rPr>
        <w:t xml:space="preserve"> with regard to</w:t>
      </w:r>
      <w:r w:rsidR="00E62AD7" w:rsidRPr="007C4490">
        <w:rPr>
          <w:rFonts w:ascii="Times New Roman" w:hAnsi="Times New Roman" w:cs="Times New Roman"/>
          <w:sz w:val="24"/>
          <w:szCs w:val="24"/>
          <w:lang w:val="en-GB"/>
        </w:rPr>
        <w:t xml:space="preserve"> cash benefits</w:t>
      </w:r>
      <w:r w:rsidR="008F5DD3" w:rsidRPr="007C4490">
        <w:rPr>
          <w:rFonts w:ascii="Times New Roman" w:hAnsi="Times New Roman" w:cs="Times New Roman"/>
          <w:sz w:val="24"/>
          <w:szCs w:val="24"/>
          <w:lang w:val="en-GB"/>
        </w:rPr>
        <w:t>,</w:t>
      </w:r>
      <w:r w:rsidR="00E62AD7" w:rsidRPr="007C4490">
        <w:rPr>
          <w:rFonts w:ascii="Times New Roman" w:hAnsi="Times New Roman" w:cs="Times New Roman"/>
          <w:sz w:val="24"/>
          <w:szCs w:val="24"/>
          <w:lang w:val="en-GB"/>
        </w:rPr>
        <w:t xml:space="preserve"> the value</w:t>
      </w:r>
      <w:r w:rsidR="008F5DD3" w:rsidRPr="007C4490">
        <w:rPr>
          <w:rFonts w:ascii="Times New Roman" w:hAnsi="Times New Roman" w:cs="Times New Roman"/>
          <w:sz w:val="24"/>
          <w:szCs w:val="24"/>
          <w:lang w:val="en-GB"/>
        </w:rPr>
        <w:t xml:space="preserve"> of these social protections</w:t>
      </w:r>
      <w:r w:rsidR="00E62AD7" w:rsidRPr="007C4490">
        <w:rPr>
          <w:rFonts w:ascii="Times New Roman" w:hAnsi="Times New Roman" w:cs="Times New Roman"/>
          <w:sz w:val="24"/>
          <w:szCs w:val="24"/>
          <w:lang w:val="en-GB"/>
        </w:rPr>
        <w:t xml:space="preserve"> can be maintained over </w:t>
      </w:r>
      <w:r w:rsidRPr="007C4490">
        <w:rPr>
          <w:rFonts w:ascii="Times New Roman" w:hAnsi="Times New Roman" w:cs="Times New Roman"/>
          <w:sz w:val="24"/>
          <w:szCs w:val="24"/>
          <w:lang w:val="en-GB"/>
        </w:rPr>
        <w:t>time through indexation (Weaver</w:t>
      </w:r>
      <w:r w:rsidR="00E62AD7" w:rsidRPr="007C4490">
        <w:rPr>
          <w:rFonts w:ascii="Times New Roman" w:hAnsi="Times New Roman" w:cs="Times New Roman"/>
          <w:sz w:val="24"/>
          <w:szCs w:val="24"/>
          <w:lang w:val="en-GB"/>
        </w:rPr>
        <w:t xml:space="preserve"> 1986)</w:t>
      </w:r>
      <w:r w:rsidR="00285650" w:rsidRPr="007C4490">
        <w:rPr>
          <w:rFonts w:ascii="Times New Roman" w:hAnsi="Times New Roman" w:cs="Times New Roman"/>
          <w:sz w:val="24"/>
          <w:szCs w:val="24"/>
          <w:lang w:val="en-GB"/>
        </w:rPr>
        <w:t xml:space="preserve">. </w:t>
      </w:r>
      <w:r w:rsidR="00A521C7" w:rsidRPr="007C4490">
        <w:rPr>
          <w:rFonts w:ascii="Times New Roman" w:hAnsi="Times New Roman" w:cs="Times New Roman"/>
          <w:sz w:val="24"/>
          <w:szCs w:val="24"/>
          <w:lang w:val="en-GB"/>
        </w:rPr>
        <w:t xml:space="preserve">Hence </w:t>
      </w:r>
      <w:r w:rsidR="008F5DD3" w:rsidRPr="007C4490">
        <w:rPr>
          <w:rFonts w:ascii="Times New Roman" w:hAnsi="Times New Roman" w:cs="Times New Roman"/>
          <w:sz w:val="24"/>
          <w:szCs w:val="24"/>
          <w:lang w:val="en-GB"/>
        </w:rPr>
        <w:t xml:space="preserve">drift </w:t>
      </w:r>
      <w:r w:rsidR="00E31CF9" w:rsidRPr="007C4490">
        <w:rPr>
          <w:rFonts w:ascii="Times New Roman" w:hAnsi="Times New Roman" w:cs="Times New Roman"/>
          <w:sz w:val="24"/>
          <w:szCs w:val="24"/>
          <w:lang w:val="en-GB"/>
        </w:rPr>
        <w:t>‘</w:t>
      </w:r>
      <w:r w:rsidR="008F5DD3" w:rsidRPr="007C4490">
        <w:rPr>
          <w:rFonts w:ascii="Times New Roman" w:hAnsi="Times New Roman" w:cs="Times New Roman"/>
          <w:sz w:val="24"/>
          <w:szCs w:val="24"/>
          <w:lang w:val="en-GB"/>
        </w:rPr>
        <w:t>depends on how sensitive the effects of an institution or policy are on its context and on whether policies are designed in ways that foster their updating in the face of changing circumstances</w:t>
      </w:r>
      <w:r w:rsidR="00E31CF9" w:rsidRPr="007C4490">
        <w:rPr>
          <w:rFonts w:ascii="Times New Roman" w:hAnsi="Times New Roman" w:cs="Times New Roman"/>
          <w:sz w:val="24"/>
          <w:szCs w:val="24"/>
          <w:lang w:val="en-GB"/>
        </w:rPr>
        <w:t>’</w:t>
      </w:r>
      <w:r w:rsidR="008F5DD3" w:rsidRPr="007C4490">
        <w:rPr>
          <w:rFonts w:ascii="Times New Roman" w:hAnsi="Times New Roman" w:cs="Times New Roman"/>
          <w:sz w:val="24"/>
          <w:szCs w:val="24"/>
          <w:lang w:val="en-GB"/>
        </w:rPr>
        <w:t xml:space="preserve"> </w:t>
      </w:r>
      <w:r w:rsidR="00253896"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Hacker, Pierson and </w:t>
      </w:r>
      <w:proofErr w:type="spellStart"/>
      <w:r w:rsidRPr="007C4490">
        <w:rPr>
          <w:rFonts w:ascii="Times New Roman" w:hAnsi="Times New Roman" w:cs="Times New Roman"/>
          <w:sz w:val="24"/>
          <w:szCs w:val="24"/>
          <w:lang w:val="en-GB"/>
        </w:rPr>
        <w:t>Thelen</w:t>
      </w:r>
      <w:proofErr w:type="spellEnd"/>
      <w:r w:rsidR="008F5DD3" w:rsidRPr="007C4490">
        <w:rPr>
          <w:rFonts w:ascii="Times New Roman" w:hAnsi="Times New Roman" w:cs="Times New Roman"/>
          <w:sz w:val="24"/>
          <w:szCs w:val="24"/>
          <w:lang w:val="en-GB"/>
        </w:rPr>
        <w:t xml:space="preserve"> 2013: 2)</w:t>
      </w:r>
      <w:r w:rsidR="00253896" w:rsidRPr="007C4490">
        <w:rPr>
          <w:rFonts w:ascii="Times New Roman" w:hAnsi="Times New Roman" w:cs="Times New Roman"/>
          <w:sz w:val="24"/>
          <w:szCs w:val="24"/>
          <w:lang w:val="en-GB"/>
        </w:rPr>
        <w:t>. Inflation is entirely predictable and so the question of w</w:t>
      </w:r>
      <w:r w:rsidR="0046497D" w:rsidRPr="007C4490">
        <w:rPr>
          <w:rFonts w:ascii="Times New Roman" w:hAnsi="Times New Roman" w:cs="Times New Roman"/>
          <w:sz w:val="24"/>
          <w:szCs w:val="24"/>
          <w:lang w:val="en-GB"/>
        </w:rPr>
        <w:t>hether to index cash benefits</w:t>
      </w:r>
      <w:r w:rsidR="00253896" w:rsidRPr="007C4490">
        <w:rPr>
          <w:rFonts w:ascii="Times New Roman" w:hAnsi="Times New Roman" w:cs="Times New Roman"/>
          <w:sz w:val="24"/>
          <w:szCs w:val="24"/>
          <w:lang w:val="en-GB"/>
        </w:rPr>
        <w:t xml:space="preserve"> is one that policymakers </w:t>
      </w:r>
      <w:r w:rsidR="00253896" w:rsidRPr="007C4490">
        <w:rPr>
          <w:rFonts w:ascii="Times New Roman" w:hAnsi="Times New Roman" w:cs="Times New Roman"/>
          <w:sz w:val="24"/>
          <w:szCs w:val="24"/>
          <w:lang w:val="en-GB"/>
        </w:rPr>
        <w:lastRenderedPageBreak/>
        <w:t>will argue about</w:t>
      </w:r>
      <w:r w:rsidR="001B0288" w:rsidRPr="007C4490">
        <w:rPr>
          <w:rFonts w:ascii="Times New Roman" w:hAnsi="Times New Roman" w:cs="Times New Roman"/>
          <w:sz w:val="24"/>
          <w:szCs w:val="24"/>
          <w:lang w:val="en-GB"/>
        </w:rPr>
        <w:t>, aware of</w:t>
      </w:r>
      <w:r w:rsidR="00253896" w:rsidRPr="007C4490">
        <w:rPr>
          <w:rFonts w:ascii="Times New Roman" w:hAnsi="Times New Roman" w:cs="Times New Roman"/>
          <w:sz w:val="24"/>
          <w:szCs w:val="24"/>
          <w:lang w:val="en-GB"/>
        </w:rPr>
        <w:t xml:space="preserve"> the consequences of their decision. Sometimes, however, drift can arise as a result of unexpected changes in the socio-economic environment</w:t>
      </w:r>
      <w:r w:rsidR="009F4632" w:rsidRPr="007C4490">
        <w:rPr>
          <w:rFonts w:ascii="Times New Roman" w:hAnsi="Times New Roman" w:cs="Times New Roman"/>
          <w:sz w:val="24"/>
          <w:szCs w:val="24"/>
          <w:lang w:val="en-GB"/>
        </w:rPr>
        <w:t xml:space="preserve"> (however predictable these changes might look in hindsight)</w:t>
      </w:r>
      <w:r w:rsidR="00253896" w:rsidRPr="007C4490">
        <w:rPr>
          <w:rFonts w:ascii="Times New Roman" w:hAnsi="Times New Roman" w:cs="Times New Roman"/>
          <w:sz w:val="24"/>
          <w:szCs w:val="24"/>
          <w:lang w:val="en-GB"/>
        </w:rPr>
        <w:t>.</w:t>
      </w:r>
      <w:r w:rsidR="009F4632" w:rsidRPr="007C4490">
        <w:rPr>
          <w:rFonts w:ascii="Times New Roman" w:hAnsi="Times New Roman" w:cs="Times New Roman"/>
          <w:sz w:val="24"/>
          <w:szCs w:val="24"/>
          <w:lang w:val="en-GB"/>
        </w:rPr>
        <w:t xml:space="preserve"> </w:t>
      </w:r>
      <w:r w:rsidR="0046497D" w:rsidRPr="007C4490">
        <w:rPr>
          <w:rFonts w:ascii="Times New Roman" w:hAnsi="Times New Roman" w:cs="Times New Roman"/>
          <w:sz w:val="24"/>
          <w:szCs w:val="24"/>
          <w:lang w:val="en-GB"/>
        </w:rPr>
        <w:t>For instance, t</w:t>
      </w:r>
      <w:r w:rsidR="00653EE8" w:rsidRPr="007C4490">
        <w:rPr>
          <w:rFonts w:ascii="Times New Roman" w:hAnsi="Times New Roman" w:cs="Times New Roman"/>
          <w:sz w:val="24"/>
          <w:szCs w:val="24"/>
          <w:lang w:val="en-GB"/>
        </w:rPr>
        <w:t xml:space="preserve">he </w:t>
      </w:r>
      <w:r w:rsidR="0046497D" w:rsidRPr="007C4490">
        <w:rPr>
          <w:rFonts w:ascii="Times New Roman" w:hAnsi="Times New Roman" w:cs="Times New Roman"/>
          <w:sz w:val="24"/>
          <w:szCs w:val="24"/>
          <w:lang w:val="en-GB"/>
        </w:rPr>
        <w:t>various welfare state program</w:t>
      </w:r>
      <w:r w:rsidR="00D451CF" w:rsidRPr="007C4490">
        <w:rPr>
          <w:rFonts w:ascii="Times New Roman" w:hAnsi="Times New Roman" w:cs="Times New Roman"/>
          <w:sz w:val="24"/>
          <w:szCs w:val="24"/>
          <w:lang w:val="en-GB"/>
        </w:rPr>
        <w:t>me</w:t>
      </w:r>
      <w:r w:rsidR="0046497D" w:rsidRPr="007C4490">
        <w:rPr>
          <w:rFonts w:ascii="Times New Roman" w:hAnsi="Times New Roman" w:cs="Times New Roman"/>
          <w:sz w:val="24"/>
          <w:szCs w:val="24"/>
          <w:lang w:val="en-GB"/>
        </w:rPr>
        <w:t>s</w:t>
      </w:r>
      <w:r w:rsidRPr="007C4490">
        <w:rPr>
          <w:rFonts w:ascii="Times New Roman" w:hAnsi="Times New Roman" w:cs="Times New Roman"/>
          <w:sz w:val="24"/>
          <w:szCs w:val="24"/>
          <w:lang w:val="en-GB"/>
        </w:rPr>
        <w:t xml:space="preserve"> created in the UK</w:t>
      </w:r>
      <w:r w:rsidR="00653EE8" w:rsidRPr="007C4490">
        <w:rPr>
          <w:rFonts w:ascii="Times New Roman" w:hAnsi="Times New Roman" w:cs="Times New Roman"/>
          <w:sz w:val="24"/>
          <w:szCs w:val="24"/>
          <w:lang w:val="en-GB"/>
        </w:rPr>
        <w:t xml:space="preserve"> in the late 1940s introduced a range of social protections, but an underlying assumption </w:t>
      </w:r>
      <w:r w:rsidR="00E252A5" w:rsidRPr="007C4490">
        <w:rPr>
          <w:rFonts w:ascii="Times New Roman" w:hAnsi="Times New Roman" w:cs="Times New Roman"/>
          <w:sz w:val="24"/>
          <w:szCs w:val="24"/>
          <w:lang w:val="en-GB"/>
        </w:rPr>
        <w:t xml:space="preserve">at the time </w:t>
      </w:r>
      <w:r w:rsidR="00653EE8" w:rsidRPr="007C4490">
        <w:rPr>
          <w:rFonts w:ascii="Times New Roman" w:hAnsi="Times New Roman" w:cs="Times New Roman"/>
          <w:sz w:val="24"/>
          <w:szCs w:val="24"/>
          <w:lang w:val="en-GB"/>
        </w:rPr>
        <w:t xml:space="preserve">was that the male breadwinner model of family life would continue. </w:t>
      </w:r>
      <w:r w:rsidR="005E557F" w:rsidRPr="007C4490">
        <w:rPr>
          <w:rFonts w:ascii="Times New Roman" w:hAnsi="Times New Roman" w:cs="Times New Roman"/>
          <w:sz w:val="24"/>
          <w:szCs w:val="24"/>
          <w:lang w:val="en-GB"/>
        </w:rPr>
        <w:t>As that model came under increasing pressur</w:t>
      </w:r>
      <w:r w:rsidR="00E252A5" w:rsidRPr="007C4490">
        <w:rPr>
          <w:rFonts w:ascii="Times New Roman" w:hAnsi="Times New Roman" w:cs="Times New Roman"/>
          <w:sz w:val="24"/>
          <w:szCs w:val="24"/>
          <w:lang w:val="en-GB"/>
        </w:rPr>
        <w:t>e when</w:t>
      </w:r>
      <w:r w:rsidR="005E557F" w:rsidRPr="007C4490">
        <w:rPr>
          <w:rFonts w:ascii="Times New Roman" w:hAnsi="Times New Roman" w:cs="Times New Roman"/>
          <w:sz w:val="24"/>
          <w:szCs w:val="24"/>
          <w:lang w:val="en-GB"/>
        </w:rPr>
        <w:t xml:space="preserve"> more women entered the labo</w:t>
      </w:r>
      <w:r w:rsidR="00D451CF" w:rsidRPr="007C4490">
        <w:rPr>
          <w:rFonts w:ascii="Times New Roman" w:hAnsi="Times New Roman" w:cs="Times New Roman"/>
          <w:sz w:val="24"/>
          <w:szCs w:val="24"/>
          <w:lang w:val="en-GB"/>
        </w:rPr>
        <w:t>u</w:t>
      </w:r>
      <w:r w:rsidR="005E557F" w:rsidRPr="007C4490">
        <w:rPr>
          <w:rFonts w:ascii="Times New Roman" w:hAnsi="Times New Roman" w:cs="Times New Roman"/>
          <w:sz w:val="24"/>
          <w:szCs w:val="24"/>
          <w:lang w:val="en-GB"/>
        </w:rPr>
        <w:t xml:space="preserve">r force and assumptions about traditional family structures </w:t>
      </w:r>
      <w:r w:rsidR="006B51E0" w:rsidRPr="007C4490">
        <w:rPr>
          <w:rFonts w:ascii="Times New Roman" w:hAnsi="Times New Roman" w:cs="Times New Roman"/>
          <w:sz w:val="24"/>
          <w:szCs w:val="24"/>
          <w:lang w:val="en-GB"/>
        </w:rPr>
        <w:t xml:space="preserve">were </w:t>
      </w:r>
      <w:r w:rsidR="00C06772" w:rsidRPr="007C4490">
        <w:rPr>
          <w:rFonts w:ascii="Times New Roman" w:hAnsi="Times New Roman" w:cs="Times New Roman"/>
          <w:sz w:val="24"/>
          <w:szCs w:val="24"/>
          <w:lang w:val="en-GB"/>
        </w:rPr>
        <w:t>challeng</w:t>
      </w:r>
      <w:r w:rsidR="006B51E0" w:rsidRPr="007C4490">
        <w:rPr>
          <w:rFonts w:ascii="Times New Roman" w:hAnsi="Times New Roman" w:cs="Times New Roman"/>
          <w:sz w:val="24"/>
          <w:szCs w:val="24"/>
          <w:lang w:val="en-GB"/>
        </w:rPr>
        <w:t>ed</w:t>
      </w:r>
      <w:r w:rsidR="00E252A5" w:rsidRPr="007C4490">
        <w:rPr>
          <w:rFonts w:ascii="Times New Roman" w:hAnsi="Times New Roman" w:cs="Times New Roman"/>
          <w:sz w:val="24"/>
          <w:szCs w:val="24"/>
          <w:lang w:val="en-GB"/>
        </w:rPr>
        <w:t>,</w:t>
      </w:r>
      <w:r w:rsidR="006B51E0" w:rsidRPr="007C4490">
        <w:rPr>
          <w:rFonts w:ascii="Times New Roman" w:hAnsi="Times New Roman" w:cs="Times New Roman"/>
          <w:sz w:val="24"/>
          <w:szCs w:val="24"/>
          <w:lang w:val="en-GB"/>
        </w:rPr>
        <w:t xml:space="preserve"> the expectations inherent in that model about </w:t>
      </w:r>
      <w:r w:rsidR="009B63AF" w:rsidRPr="007C4490">
        <w:rPr>
          <w:rFonts w:ascii="Times New Roman" w:hAnsi="Times New Roman" w:cs="Times New Roman"/>
          <w:sz w:val="24"/>
          <w:szCs w:val="24"/>
          <w:lang w:val="en-GB"/>
        </w:rPr>
        <w:t>responsibilit</w:t>
      </w:r>
      <w:r w:rsidR="0085290A" w:rsidRPr="007C4490">
        <w:rPr>
          <w:rFonts w:ascii="Times New Roman" w:hAnsi="Times New Roman" w:cs="Times New Roman"/>
          <w:sz w:val="24"/>
          <w:szCs w:val="24"/>
          <w:lang w:val="en-GB"/>
        </w:rPr>
        <w:t>i</w:t>
      </w:r>
      <w:r w:rsidR="009B63AF" w:rsidRPr="007C4490">
        <w:rPr>
          <w:rFonts w:ascii="Times New Roman" w:hAnsi="Times New Roman" w:cs="Times New Roman"/>
          <w:sz w:val="24"/>
          <w:szCs w:val="24"/>
          <w:lang w:val="en-GB"/>
        </w:rPr>
        <w:t>es for child</w:t>
      </w:r>
      <w:r w:rsidR="00853563" w:rsidRPr="007C4490">
        <w:rPr>
          <w:rFonts w:ascii="Times New Roman" w:hAnsi="Times New Roman" w:cs="Times New Roman"/>
          <w:sz w:val="24"/>
          <w:szCs w:val="24"/>
          <w:lang w:val="en-GB"/>
        </w:rPr>
        <w:t>-</w:t>
      </w:r>
      <w:r w:rsidR="009B63AF" w:rsidRPr="007C4490">
        <w:rPr>
          <w:rFonts w:ascii="Times New Roman" w:hAnsi="Times New Roman" w:cs="Times New Roman"/>
          <w:sz w:val="24"/>
          <w:szCs w:val="24"/>
          <w:lang w:val="en-GB"/>
        </w:rPr>
        <w:t>care</w:t>
      </w:r>
      <w:r w:rsidR="006B51E0" w:rsidRPr="007C4490">
        <w:rPr>
          <w:rFonts w:ascii="Times New Roman" w:hAnsi="Times New Roman" w:cs="Times New Roman"/>
          <w:sz w:val="24"/>
          <w:szCs w:val="24"/>
          <w:lang w:val="en-GB"/>
        </w:rPr>
        <w:t xml:space="preserve"> became less credible. </w:t>
      </w:r>
      <w:r w:rsidR="00500257" w:rsidRPr="007C4490">
        <w:rPr>
          <w:rFonts w:ascii="Times New Roman" w:hAnsi="Times New Roman" w:cs="Times New Roman"/>
          <w:sz w:val="24"/>
          <w:szCs w:val="24"/>
          <w:lang w:val="en-GB"/>
        </w:rPr>
        <w:t>Thus</w:t>
      </w:r>
      <w:r w:rsidRPr="007C4490">
        <w:rPr>
          <w:rFonts w:ascii="Times New Roman" w:hAnsi="Times New Roman" w:cs="Times New Roman"/>
          <w:sz w:val="24"/>
          <w:szCs w:val="24"/>
          <w:lang w:val="en-GB"/>
        </w:rPr>
        <w:t>,</w:t>
      </w:r>
      <w:r w:rsidR="00500257" w:rsidRPr="007C4490">
        <w:rPr>
          <w:rFonts w:ascii="Times New Roman" w:hAnsi="Times New Roman" w:cs="Times New Roman"/>
          <w:sz w:val="24"/>
          <w:szCs w:val="24"/>
          <w:lang w:val="en-GB"/>
        </w:rPr>
        <w:t xml:space="preserve"> this type of</w:t>
      </w:r>
      <w:r w:rsidR="006B51E0" w:rsidRPr="007C4490">
        <w:rPr>
          <w:rFonts w:ascii="Times New Roman" w:hAnsi="Times New Roman" w:cs="Times New Roman"/>
          <w:sz w:val="24"/>
          <w:szCs w:val="24"/>
          <w:lang w:val="en-GB"/>
        </w:rPr>
        <w:t xml:space="preserve"> </w:t>
      </w:r>
      <w:r w:rsidR="00E31CF9" w:rsidRPr="007C4490">
        <w:rPr>
          <w:rFonts w:ascii="Times New Roman" w:hAnsi="Times New Roman" w:cs="Times New Roman"/>
          <w:sz w:val="24"/>
          <w:szCs w:val="24"/>
          <w:lang w:val="en-GB"/>
        </w:rPr>
        <w:t>‘</w:t>
      </w:r>
      <w:r w:rsidR="006B51E0" w:rsidRPr="007C4490">
        <w:rPr>
          <w:rFonts w:ascii="Times New Roman" w:hAnsi="Times New Roman" w:cs="Times New Roman"/>
          <w:sz w:val="24"/>
          <w:szCs w:val="24"/>
          <w:lang w:val="en-GB"/>
        </w:rPr>
        <w:t>new social risk</w:t>
      </w:r>
      <w:r w:rsidR="00E31CF9" w:rsidRPr="007C4490">
        <w:rPr>
          <w:rFonts w:ascii="Times New Roman" w:hAnsi="Times New Roman" w:cs="Times New Roman"/>
          <w:sz w:val="24"/>
          <w:szCs w:val="24"/>
          <w:lang w:val="en-GB"/>
        </w:rPr>
        <w:t>’</w:t>
      </w:r>
      <w:r w:rsidR="006B51E0" w:rsidRPr="007C4490">
        <w:rPr>
          <w:rFonts w:ascii="Times New Roman" w:hAnsi="Times New Roman" w:cs="Times New Roman"/>
          <w:sz w:val="24"/>
          <w:szCs w:val="24"/>
          <w:lang w:val="en-GB"/>
        </w:rPr>
        <w:t xml:space="preserve"> </w:t>
      </w:r>
      <w:r w:rsidR="00500257" w:rsidRPr="007C4490">
        <w:rPr>
          <w:rFonts w:ascii="Times New Roman" w:hAnsi="Times New Roman" w:cs="Times New Roman"/>
          <w:sz w:val="24"/>
          <w:szCs w:val="24"/>
          <w:lang w:val="en-GB"/>
        </w:rPr>
        <w:t xml:space="preserve">meant that social </w:t>
      </w:r>
      <w:r w:rsidR="00242E3F" w:rsidRPr="007C4490">
        <w:rPr>
          <w:rFonts w:ascii="Times New Roman" w:hAnsi="Times New Roman" w:cs="Times New Roman"/>
          <w:sz w:val="24"/>
          <w:szCs w:val="24"/>
          <w:lang w:val="en-GB"/>
        </w:rPr>
        <w:t xml:space="preserve">policy </w:t>
      </w:r>
      <w:r w:rsidR="00500257" w:rsidRPr="007C4490">
        <w:rPr>
          <w:rFonts w:ascii="Times New Roman" w:hAnsi="Times New Roman" w:cs="Times New Roman"/>
          <w:sz w:val="24"/>
          <w:szCs w:val="24"/>
          <w:lang w:val="en-GB"/>
        </w:rPr>
        <w:t>institutions premised on the notion that women would have the time and energy to care for infants and seniors were undermined</w:t>
      </w:r>
      <w:r w:rsidRPr="007C4490">
        <w:rPr>
          <w:rFonts w:ascii="Times New Roman" w:hAnsi="Times New Roman" w:cs="Times New Roman"/>
          <w:sz w:val="24"/>
          <w:szCs w:val="24"/>
          <w:lang w:val="en-GB"/>
        </w:rPr>
        <w:t xml:space="preserve"> (Taylor-</w:t>
      </w:r>
      <w:proofErr w:type="spellStart"/>
      <w:r w:rsidRPr="007C4490">
        <w:rPr>
          <w:rFonts w:ascii="Times New Roman" w:hAnsi="Times New Roman" w:cs="Times New Roman"/>
          <w:sz w:val="24"/>
          <w:szCs w:val="24"/>
          <w:lang w:val="en-GB"/>
        </w:rPr>
        <w:t>Gooby</w:t>
      </w:r>
      <w:proofErr w:type="spellEnd"/>
      <w:r w:rsidR="00E252A5" w:rsidRPr="007C4490">
        <w:rPr>
          <w:rFonts w:ascii="Times New Roman" w:hAnsi="Times New Roman" w:cs="Times New Roman"/>
          <w:sz w:val="24"/>
          <w:szCs w:val="24"/>
          <w:lang w:val="en-GB"/>
        </w:rPr>
        <w:t xml:space="preserve"> 2013)</w:t>
      </w:r>
      <w:r w:rsidR="00500257" w:rsidRPr="007C4490">
        <w:rPr>
          <w:rFonts w:ascii="Times New Roman" w:hAnsi="Times New Roman" w:cs="Times New Roman"/>
          <w:sz w:val="24"/>
          <w:szCs w:val="24"/>
          <w:lang w:val="en-GB"/>
        </w:rPr>
        <w:t xml:space="preserve">. Policymakers’ failure to adapt the existing model to new social contexts </w:t>
      </w:r>
      <w:r w:rsidR="006B51E0" w:rsidRPr="007C4490">
        <w:rPr>
          <w:rFonts w:ascii="Times New Roman" w:hAnsi="Times New Roman" w:cs="Times New Roman"/>
          <w:sz w:val="24"/>
          <w:szCs w:val="24"/>
          <w:lang w:val="en-GB"/>
        </w:rPr>
        <w:t>constituted a form of policy drift</w:t>
      </w:r>
      <w:r w:rsidR="00500257" w:rsidRPr="007C4490">
        <w:rPr>
          <w:rFonts w:ascii="Times New Roman" w:hAnsi="Times New Roman" w:cs="Times New Roman"/>
          <w:sz w:val="24"/>
          <w:szCs w:val="24"/>
          <w:lang w:val="en-GB"/>
        </w:rPr>
        <w:t xml:space="preserve">. </w:t>
      </w:r>
    </w:p>
    <w:p w14:paraId="029702A4" w14:textId="77777777" w:rsidR="009A0164" w:rsidRDefault="00C06772" w:rsidP="0085290A">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Importantly, if policy drift is to be a meaningful concept, </w:t>
      </w:r>
      <w:r w:rsidR="009A2FC9" w:rsidRPr="007C4490">
        <w:rPr>
          <w:rFonts w:ascii="Times New Roman" w:hAnsi="Times New Roman" w:cs="Times New Roman"/>
          <w:sz w:val="24"/>
          <w:szCs w:val="24"/>
          <w:lang w:val="en-GB"/>
        </w:rPr>
        <w:t xml:space="preserve">there </w:t>
      </w:r>
      <w:r w:rsidR="00500257" w:rsidRPr="007C4490">
        <w:rPr>
          <w:rFonts w:ascii="Times New Roman" w:hAnsi="Times New Roman" w:cs="Times New Roman"/>
          <w:sz w:val="24"/>
          <w:szCs w:val="24"/>
          <w:lang w:val="en-GB"/>
        </w:rPr>
        <w:t>must be</w:t>
      </w:r>
      <w:r w:rsidR="009A2FC9" w:rsidRPr="007C4490">
        <w:rPr>
          <w:rFonts w:ascii="Times New Roman" w:hAnsi="Times New Roman" w:cs="Times New Roman"/>
          <w:sz w:val="24"/>
          <w:szCs w:val="24"/>
          <w:lang w:val="en-GB"/>
        </w:rPr>
        <w:t xml:space="preserve"> </w:t>
      </w:r>
      <w:r w:rsidR="006D1547" w:rsidRPr="007C4490">
        <w:rPr>
          <w:rFonts w:ascii="Times New Roman" w:hAnsi="Times New Roman" w:cs="Times New Roman"/>
          <w:sz w:val="24"/>
          <w:szCs w:val="24"/>
          <w:lang w:val="en-GB"/>
        </w:rPr>
        <w:t xml:space="preserve">technically-feasible </w:t>
      </w:r>
      <w:r w:rsidR="009A2FC9" w:rsidRPr="007C4490">
        <w:rPr>
          <w:rFonts w:ascii="Times New Roman" w:hAnsi="Times New Roman" w:cs="Times New Roman"/>
          <w:sz w:val="24"/>
          <w:szCs w:val="24"/>
          <w:lang w:val="en-GB"/>
        </w:rPr>
        <w:t xml:space="preserve">policy solutions </w:t>
      </w:r>
      <w:r w:rsidR="006D1547" w:rsidRPr="007C4490">
        <w:rPr>
          <w:rFonts w:ascii="Times New Roman" w:hAnsi="Times New Roman" w:cs="Times New Roman"/>
          <w:sz w:val="24"/>
          <w:szCs w:val="24"/>
          <w:lang w:val="en-GB"/>
        </w:rPr>
        <w:t xml:space="preserve">available </w:t>
      </w:r>
      <w:r w:rsidR="009A2FC9" w:rsidRPr="007C4490">
        <w:rPr>
          <w:rFonts w:ascii="Times New Roman" w:hAnsi="Times New Roman" w:cs="Times New Roman"/>
          <w:sz w:val="24"/>
          <w:szCs w:val="24"/>
          <w:lang w:val="en-GB"/>
        </w:rPr>
        <w:t xml:space="preserve">to remedy the consequences of </w:t>
      </w:r>
      <w:r w:rsidR="00500257" w:rsidRPr="007C4490">
        <w:rPr>
          <w:rFonts w:ascii="Times New Roman" w:hAnsi="Times New Roman" w:cs="Times New Roman"/>
          <w:sz w:val="24"/>
          <w:szCs w:val="24"/>
          <w:lang w:val="en-GB"/>
        </w:rPr>
        <w:t>changed economic or social conditions</w:t>
      </w:r>
      <w:r w:rsidR="009A2FC9" w:rsidRPr="007C4490">
        <w:rPr>
          <w:rFonts w:ascii="Times New Roman" w:hAnsi="Times New Roman" w:cs="Times New Roman"/>
          <w:sz w:val="24"/>
          <w:szCs w:val="24"/>
          <w:lang w:val="en-GB"/>
        </w:rPr>
        <w:t xml:space="preserve">. </w:t>
      </w:r>
      <w:r w:rsidR="008457A8" w:rsidRPr="007C4490">
        <w:rPr>
          <w:rFonts w:ascii="Times New Roman" w:hAnsi="Times New Roman" w:cs="Times New Roman"/>
          <w:sz w:val="24"/>
          <w:szCs w:val="24"/>
          <w:lang w:val="en-GB"/>
        </w:rPr>
        <w:t xml:space="preserve">If the changes in the socio-economic context </w:t>
      </w:r>
      <w:r w:rsidR="00384265" w:rsidRPr="007C4490">
        <w:rPr>
          <w:rFonts w:ascii="Times New Roman" w:hAnsi="Times New Roman" w:cs="Times New Roman"/>
          <w:sz w:val="24"/>
          <w:szCs w:val="24"/>
          <w:lang w:val="en-GB"/>
        </w:rPr>
        <w:t>yield no alternatives</w:t>
      </w:r>
      <w:r w:rsidR="008A1A7C" w:rsidRPr="007C4490">
        <w:rPr>
          <w:rFonts w:ascii="Times New Roman" w:hAnsi="Times New Roman" w:cs="Times New Roman"/>
          <w:sz w:val="24"/>
          <w:szCs w:val="24"/>
          <w:lang w:val="en-GB"/>
        </w:rPr>
        <w:t>,</w:t>
      </w:r>
      <w:r w:rsidR="008457A8" w:rsidRPr="007C4490">
        <w:rPr>
          <w:rFonts w:ascii="Times New Roman" w:hAnsi="Times New Roman" w:cs="Times New Roman"/>
          <w:sz w:val="24"/>
          <w:szCs w:val="24"/>
          <w:lang w:val="en-GB"/>
        </w:rPr>
        <w:t xml:space="preserve"> then the norms of political life do not apply</w:t>
      </w:r>
      <w:r w:rsidR="00500257" w:rsidRPr="007C4490">
        <w:rPr>
          <w:rFonts w:ascii="Times New Roman" w:hAnsi="Times New Roman" w:cs="Times New Roman"/>
          <w:sz w:val="24"/>
          <w:szCs w:val="24"/>
          <w:lang w:val="en-GB"/>
        </w:rPr>
        <w:t xml:space="preserve">. By contrast, policies </w:t>
      </w:r>
      <w:r w:rsidR="00500257" w:rsidRPr="007C4490">
        <w:rPr>
          <w:rFonts w:ascii="Times New Roman" w:hAnsi="Times New Roman" w:cs="Times New Roman"/>
          <w:i/>
          <w:sz w:val="24"/>
          <w:szCs w:val="24"/>
          <w:lang w:val="en-GB"/>
        </w:rPr>
        <w:t>drift</w:t>
      </w:r>
      <w:r w:rsidR="00500257" w:rsidRPr="007C4490">
        <w:rPr>
          <w:rFonts w:ascii="Times New Roman" w:hAnsi="Times New Roman" w:cs="Times New Roman"/>
          <w:sz w:val="24"/>
          <w:szCs w:val="24"/>
          <w:lang w:val="en-GB"/>
        </w:rPr>
        <w:t xml:space="preserve"> when policymakers fail to use available options to deal with external changes, such as increasing the </w:t>
      </w:r>
      <w:r w:rsidR="009A2FC9" w:rsidRPr="007C4490">
        <w:rPr>
          <w:rFonts w:ascii="Times New Roman" w:hAnsi="Times New Roman" w:cs="Times New Roman"/>
          <w:sz w:val="24"/>
          <w:szCs w:val="24"/>
          <w:lang w:val="en-GB"/>
        </w:rPr>
        <w:t xml:space="preserve">minimum wage </w:t>
      </w:r>
      <w:r w:rsidR="00500257" w:rsidRPr="007C4490">
        <w:rPr>
          <w:rFonts w:ascii="Times New Roman" w:hAnsi="Times New Roman" w:cs="Times New Roman"/>
          <w:sz w:val="24"/>
          <w:szCs w:val="24"/>
          <w:lang w:val="en-GB"/>
        </w:rPr>
        <w:t xml:space="preserve">or subsidizing </w:t>
      </w:r>
      <w:r w:rsidR="009444B8" w:rsidRPr="007C4490">
        <w:rPr>
          <w:rFonts w:ascii="Times New Roman" w:hAnsi="Times New Roman" w:cs="Times New Roman"/>
          <w:sz w:val="24"/>
          <w:szCs w:val="24"/>
          <w:lang w:val="en-GB"/>
        </w:rPr>
        <w:t>access to child</w:t>
      </w:r>
      <w:r w:rsidR="009A2FC9" w:rsidRPr="007C4490">
        <w:rPr>
          <w:rFonts w:ascii="Times New Roman" w:hAnsi="Times New Roman" w:cs="Times New Roman"/>
          <w:sz w:val="24"/>
          <w:szCs w:val="24"/>
          <w:lang w:val="en-GB"/>
        </w:rPr>
        <w:t xml:space="preserve">care </w:t>
      </w:r>
      <w:r w:rsidR="008457A8" w:rsidRPr="007C4490">
        <w:rPr>
          <w:rFonts w:ascii="Times New Roman" w:hAnsi="Times New Roman" w:cs="Times New Roman"/>
          <w:sz w:val="24"/>
          <w:szCs w:val="24"/>
          <w:lang w:val="en-GB"/>
        </w:rPr>
        <w:t>for working parents</w:t>
      </w:r>
      <w:r w:rsidR="00500257" w:rsidRPr="007C4490">
        <w:rPr>
          <w:rFonts w:ascii="Times New Roman" w:hAnsi="Times New Roman" w:cs="Times New Roman"/>
          <w:sz w:val="24"/>
          <w:szCs w:val="24"/>
          <w:lang w:val="en-GB"/>
        </w:rPr>
        <w:t xml:space="preserve">. </w:t>
      </w:r>
      <w:r w:rsidR="004B241E" w:rsidRPr="007C4490">
        <w:rPr>
          <w:rFonts w:ascii="Times New Roman" w:hAnsi="Times New Roman" w:cs="Times New Roman"/>
          <w:sz w:val="24"/>
          <w:szCs w:val="24"/>
          <w:lang w:val="en-GB"/>
        </w:rPr>
        <w:t>The availability of options</w:t>
      </w:r>
      <w:r w:rsidR="009A2FC9" w:rsidRPr="007C4490">
        <w:rPr>
          <w:rFonts w:ascii="Times New Roman" w:hAnsi="Times New Roman" w:cs="Times New Roman"/>
          <w:sz w:val="24"/>
          <w:szCs w:val="24"/>
          <w:lang w:val="en-GB"/>
        </w:rPr>
        <w:t xml:space="preserve"> </w:t>
      </w:r>
      <w:r w:rsidR="008A1A7C" w:rsidRPr="007C4490">
        <w:rPr>
          <w:rFonts w:ascii="Times New Roman" w:hAnsi="Times New Roman" w:cs="Times New Roman"/>
          <w:sz w:val="24"/>
          <w:szCs w:val="24"/>
          <w:lang w:val="en-GB"/>
        </w:rPr>
        <w:t xml:space="preserve">is relevant </w:t>
      </w:r>
      <w:r w:rsidR="009A2FC9" w:rsidRPr="007C4490">
        <w:rPr>
          <w:rFonts w:ascii="Times New Roman" w:hAnsi="Times New Roman" w:cs="Times New Roman"/>
          <w:sz w:val="24"/>
          <w:szCs w:val="24"/>
          <w:lang w:val="en-GB"/>
        </w:rPr>
        <w:t>because it means that it is a matter of politi</w:t>
      </w:r>
      <w:r w:rsidR="008457A8" w:rsidRPr="007C4490">
        <w:rPr>
          <w:rFonts w:ascii="Times New Roman" w:hAnsi="Times New Roman" w:cs="Times New Roman"/>
          <w:sz w:val="24"/>
          <w:szCs w:val="24"/>
          <w:lang w:val="en-GB"/>
        </w:rPr>
        <w:t xml:space="preserve">cal contestation whether these policy choices are made. Drift, therefore, is not simply a result of a dearth of policy ideas, but the consequence of a </w:t>
      </w:r>
      <w:r w:rsidR="001D5D08" w:rsidRPr="007C4490">
        <w:rPr>
          <w:rFonts w:ascii="Times New Roman" w:hAnsi="Times New Roman" w:cs="Times New Roman"/>
          <w:sz w:val="24"/>
          <w:szCs w:val="24"/>
          <w:lang w:val="en-GB"/>
        </w:rPr>
        <w:t>drive</w:t>
      </w:r>
      <w:r w:rsidR="00242E3F" w:rsidRPr="007C4490">
        <w:rPr>
          <w:rFonts w:ascii="Times New Roman" w:hAnsi="Times New Roman" w:cs="Times New Roman"/>
          <w:sz w:val="24"/>
          <w:szCs w:val="24"/>
          <w:lang w:val="en-GB"/>
        </w:rPr>
        <w:t xml:space="preserve"> </w:t>
      </w:r>
      <w:r w:rsidR="008457A8" w:rsidRPr="007C4490">
        <w:rPr>
          <w:rFonts w:ascii="Times New Roman" w:hAnsi="Times New Roman" w:cs="Times New Roman"/>
          <w:sz w:val="24"/>
          <w:szCs w:val="24"/>
          <w:lang w:val="en-GB"/>
        </w:rPr>
        <w:t>to maintain the legislative status quo</w:t>
      </w:r>
      <w:r w:rsidR="008A1A7C" w:rsidRPr="007C4490">
        <w:rPr>
          <w:rFonts w:ascii="Times New Roman" w:hAnsi="Times New Roman" w:cs="Times New Roman"/>
          <w:sz w:val="24"/>
          <w:szCs w:val="24"/>
          <w:lang w:val="en-GB"/>
        </w:rPr>
        <w:t>,</w:t>
      </w:r>
      <w:r w:rsidR="008457A8" w:rsidRPr="007C4490">
        <w:rPr>
          <w:rFonts w:ascii="Times New Roman" w:hAnsi="Times New Roman" w:cs="Times New Roman"/>
          <w:sz w:val="24"/>
          <w:szCs w:val="24"/>
          <w:lang w:val="en-GB"/>
        </w:rPr>
        <w:t xml:space="preserve"> even </w:t>
      </w:r>
      <w:r w:rsidR="009B63AF" w:rsidRPr="007C4490">
        <w:rPr>
          <w:rFonts w:ascii="Times New Roman" w:hAnsi="Times New Roman" w:cs="Times New Roman"/>
          <w:sz w:val="24"/>
          <w:szCs w:val="24"/>
          <w:lang w:val="en-GB"/>
        </w:rPr>
        <w:t xml:space="preserve">though </w:t>
      </w:r>
      <w:r w:rsidR="008457A8" w:rsidRPr="007C4490">
        <w:rPr>
          <w:rFonts w:ascii="Times New Roman" w:hAnsi="Times New Roman" w:cs="Times New Roman"/>
          <w:sz w:val="24"/>
          <w:szCs w:val="24"/>
          <w:lang w:val="en-GB"/>
        </w:rPr>
        <w:t xml:space="preserve">it is apparent that </w:t>
      </w:r>
      <w:r w:rsidR="008C55C7" w:rsidRPr="007C4490">
        <w:rPr>
          <w:rFonts w:ascii="Times New Roman" w:hAnsi="Times New Roman" w:cs="Times New Roman"/>
          <w:sz w:val="24"/>
          <w:szCs w:val="24"/>
          <w:lang w:val="en-GB"/>
        </w:rPr>
        <w:t xml:space="preserve">this does not mean the reality on the ground is that </w:t>
      </w:r>
      <w:r w:rsidR="00E31CF9" w:rsidRPr="007C4490">
        <w:rPr>
          <w:rFonts w:ascii="Times New Roman" w:hAnsi="Times New Roman" w:cs="Times New Roman"/>
          <w:sz w:val="24"/>
          <w:szCs w:val="24"/>
          <w:lang w:val="en-GB"/>
        </w:rPr>
        <w:t>‘</w:t>
      </w:r>
      <w:r w:rsidR="008C55C7" w:rsidRPr="007C4490">
        <w:rPr>
          <w:rFonts w:ascii="Times New Roman" w:hAnsi="Times New Roman" w:cs="Times New Roman"/>
          <w:sz w:val="24"/>
          <w:szCs w:val="24"/>
          <w:lang w:val="en-GB"/>
        </w:rPr>
        <w:t>things remain the same</w:t>
      </w:r>
      <w:r w:rsidR="00E31CF9" w:rsidRPr="007C4490">
        <w:rPr>
          <w:rFonts w:ascii="Times New Roman" w:hAnsi="Times New Roman" w:cs="Times New Roman"/>
          <w:sz w:val="24"/>
          <w:szCs w:val="24"/>
          <w:lang w:val="en-GB"/>
        </w:rPr>
        <w:t>’</w:t>
      </w:r>
      <w:r w:rsidR="00C24444" w:rsidRPr="007C4490">
        <w:rPr>
          <w:rFonts w:ascii="Times New Roman" w:hAnsi="Times New Roman" w:cs="Times New Roman"/>
          <w:sz w:val="24"/>
          <w:szCs w:val="24"/>
          <w:lang w:val="en-GB"/>
        </w:rPr>
        <w:t xml:space="preserve"> (Hacker, Pierson and </w:t>
      </w:r>
      <w:proofErr w:type="spellStart"/>
      <w:r w:rsidR="00C24444" w:rsidRPr="007C4490">
        <w:rPr>
          <w:rFonts w:ascii="Times New Roman" w:hAnsi="Times New Roman" w:cs="Times New Roman"/>
          <w:sz w:val="24"/>
          <w:szCs w:val="24"/>
          <w:lang w:val="en-GB"/>
        </w:rPr>
        <w:t>Thelen</w:t>
      </w:r>
      <w:proofErr w:type="spellEnd"/>
      <w:r w:rsidR="008C55C7" w:rsidRPr="007C4490">
        <w:rPr>
          <w:rFonts w:ascii="Times New Roman" w:hAnsi="Times New Roman" w:cs="Times New Roman"/>
          <w:sz w:val="24"/>
          <w:szCs w:val="24"/>
          <w:lang w:val="en-GB"/>
        </w:rPr>
        <w:t xml:space="preserve"> 2013).</w:t>
      </w:r>
      <w:r w:rsidR="004B241E" w:rsidRPr="007C4490">
        <w:rPr>
          <w:rFonts w:ascii="Times New Roman" w:hAnsi="Times New Roman" w:cs="Times New Roman"/>
          <w:sz w:val="24"/>
          <w:szCs w:val="24"/>
          <w:lang w:val="en-GB"/>
        </w:rPr>
        <w:t xml:space="preserve"> </w:t>
      </w:r>
    </w:p>
    <w:p w14:paraId="34045005" w14:textId="77777777" w:rsidR="00495B06" w:rsidRDefault="00495B06" w:rsidP="0085290A">
      <w:pPr>
        <w:spacing w:after="0" w:line="480" w:lineRule="auto"/>
        <w:ind w:firstLine="720"/>
        <w:jc w:val="both"/>
        <w:rPr>
          <w:rFonts w:ascii="Times New Roman" w:hAnsi="Times New Roman" w:cs="Times New Roman"/>
          <w:sz w:val="24"/>
          <w:szCs w:val="24"/>
          <w:lang w:val="en-GB"/>
        </w:rPr>
      </w:pPr>
    </w:p>
    <w:p w14:paraId="247E9AF9" w14:textId="77777777" w:rsidR="00495B06" w:rsidRDefault="00495B06" w:rsidP="0085290A">
      <w:pPr>
        <w:spacing w:after="0" w:line="480" w:lineRule="auto"/>
        <w:ind w:firstLine="720"/>
        <w:jc w:val="both"/>
        <w:rPr>
          <w:rFonts w:ascii="Times New Roman" w:hAnsi="Times New Roman" w:cs="Times New Roman"/>
          <w:sz w:val="24"/>
          <w:szCs w:val="24"/>
          <w:lang w:val="en-GB"/>
        </w:rPr>
      </w:pPr>
    </w:p>
    <w:p w14:paraId="764D01D2" w14:textId="77777777" w:rsidR="00A55C93" w:rsidRPr="007C4490" w:rsidRDefault="001B0F28" w:rsidP="00B8386F">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Policy Drift: </w:t>
      </w:r>
      <w:r w:rsidR="00A55C93" w:rsidRPr="007C4490">
        <w:rPr>
          <w:rFonts w:ascii="Times New Roman" w:hAnsi="Times New Roman" w:cs="Times New Roman"/>
          <w:b/>
          <w:sz w:val="24"/>
          <w:szCs w:val="24"/>
          <w:lang w:val="en-GB"/>
        </w:rPr>
        <w:t>Addressing</w:t>
      </w:r>
      <w:r>
        <w:rPr>
          <w:rFonts w:ascii="Times New Roman" w:hAnsi="Times New Roman" w:cs="Times New Roman"/>
          <w:b/>
          <w:sz w:val="24"/>
          <w:szCs w:val="24"/>
          <w:lang w:val="en-GB"/>
        </w:rPr>
        <w:t xml:space="preserve"> Key Analytical Challenges</w:t>
      </w:r>
      <w:r w:rsidR="00A55C93" w:rsidRPr="007C4490">
        <w:rPr>
          <w:rFonts w:ascii="Times New Roman" w:hAnsi="Times New Roman" w:cs="Times New Roman"/>
          <w:b/>
          <w:sz w:val="24"/>
          <w:szCs w:val="24"/>
          <w:lang w:val="en-GB"/>
        </w:rPr>
        <w:t xml:space="preserve"> </w:t>
      </w:r>
    </w:p>
    <w:p w14:paraId="034BBE70" w14:textId="39191099" w:rsidR="00D65E3F" w:rsidRPr="007C4490" w:rsidRDefault="00803630" w:rsidP="00B8386F">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As Rocco and Thurston (2014) argue, the utility of drift as a concept depends </w:t>
      </w:r>
      <w:r w:rsidR="0064001F" w:rsidRPr="007C4490">
        <w:rPr>
          <w:rFonts w:ascii="Times New Roman" w:hAnsi="Times New Roman" w:cs="Times New Roman"/>
          <w:sz w:val="24"/>
          <w:szCs w:val="24"/>
          <w:lang w:val="en-GB"/>
        </w:rPr>
        <w:t xml:space="preserve">on </w:t>
      </w:r>
      <w:r w:rsidRPr="007C4490">
        <w:rPr>
          <w:rFonts w:ascii="Times New Roman" w:hAnsi="Times New Roman" w:cs="Times New Roman"/>
          <w:sz w:val="24"/>
          <w:szCs w:val="24"/>
          <w:lang w:val="en-GB"/>
        </w:rPr>
        <w:t xml:space="preserve">surmounting numerous challenges to empirical analysis. Three particularly important challenges merit special attention. </w:t>
      </w:r>
      <w:r w:rsidR="00777B55" w:rsidRPr="007C4490">
        <w:rPr>
          <w:rFonts w:ascii="Times New Roman" w:hAnsi="Times New Roman" w:cs="Times New Roman"/>
          <w:sz w:val="24"/>
          <w:szCs w:val="24"/>
          <w:lang w:val="en-GB"/>
        </w:rPr>
        <w:t xml:space="preserve">First, </w:t>
      </w:r>
      <w:r w:rsidR="00DC0316">
        <w:rPr>
          <w:rFonts w:ascii="Times New Roman" w:hAnsi="Times New Roman" w:cs="Times New Roman"/>
          <w:sz w:val="24"/>
          <w:szCs w:val="24"/>
          <w:lang w:val="en-GB"/>
        </w:rPr>
        <w:t xml:space="preserve">systematically </w:t>
      </w:r>
      <w:r w:rsidR="00777B55" w:rsidRPr="007C4490">
        <w:rPr>
          <w:rFonts w:ascii="Times New Roman" w:hAnsi="Times New Roman" w:cs="Times New Roman"/>
          <w:sz w:val="24"/>
          <w:szCs w:val="24"/>
          <w:lang w:val="en-GB"/>
        </w:rPr>
        <w:t xml:space="preserve">identifying a set of processes as drift is in itself challenging, in part because drift is, as Hacker (2004) himself acknowledges, a </w:t>
      </w:r>
      <w:r w:rsidR="006A4FBF" w:rsidRPr="007C4490">
        <w:rPr>
          <w:rFonts w:ascii="Times New Roman" w:hAnsi="Times New Roman" w:cs="Times New Roman"/>
          <w:sz w:val="24"/>
          <w:szCs w:val="24"/>
          <w:lang w:val="en-GB"/>
        </w:rPr>
        <w:t>‘</w:t>
      </w:r>
      <w:r w:rsidR="00777B55" w:rsidRPr="007C4490">
        <w:rPr>
          <w:rFonts w:ascii="Times New Roman" w:hAnsi="Times New Roman" w:cs="Times New Roman"/>
          <w:sz w:val="24"/>
          <w:szCs w:val="24"/>
          <w:lang w:val="en-GB"/>
        </w:rPr>
        <w:t>subterranean</w:t>
      </w:r>
      <w:r w:rsidR="006A4FBF" w:rsidRPr="007C4490">
        <w:rPr>
          <w:rFonts w:ascii="Times New Roman" w:hAnsi="Times New Roman" w:cs="Times New Roman"/>
          <w:sz w:val="24"/>
          <w:szCs w:val="24"/>
          <w:lang w:val="en-GB"/>
        </w:rPr>
        <w:t>’</w:t>
      </w:r>
      <w:r w:rsidR="00777B55" w:rsidRPr="007C4490">
        <w:rPr>
          <w:rFonts w:ascii="Times New Roman" w:hAnsi="Times New Roman" w:cs="Times New Roman"/>
          <w:sz w:val="24"/>
          <w:szCs w:val="24"/>
          <w:lang w:val="en-GB"/>
        </w:rPr>
        <w:t xml:space="preserve"> reality largely hidden from view</w:t>
      </w:r>
      <w:r w:rsidR="006823C4" w:rsidRPr="007C4490">
        <w:rPr>
          <w:rFonts w:ascii="Times New Roman" w:hAnsi="Times New Roman" w:cs="Times New Roman"/>
          <w:sz w:val="24"/>
          <w:szCs w:val="24"/>
          <w:lang w:val="en-GB"/>
        </w:rPr>
        <w:t xml:space="preserve">, which means that there is not always a ‘smoking gun’ </w:t>
      </w:r>
      <w:r w:rsidR="00EA5E6E" w:rsidRPr="007C4490">
        <w:rPr>
          <w:rFonts w:ascii="Times New Roman" w:hAnsi="Times New Roman" w:cs="Times New Roman"/>
          <w:sz w:val="24"/>
          <w:szCs w:val="24"/>
          <w:lang w:val="en-GB"/>
        </w:rPr>
        <w:t xml:space="preserve">that explains the motives of those opposed to </w:t>
      </w:r>
      <w:r w:rsidR="00B8386F" w:rsidRPr="007C4490">
        <w:rPr>
          <w:rFonts w:ascii="Times New Roman" w:hAnsi="Times New Roman" w:cs="Times New Roman"/>
          <w:sz w:val="24"/>
          <w:szCs w:val="24"/>
          <w:lang w:val="en-GB"/>
        </w:rPr>
        <w:t>revising</w:t>
      </w:r>
      <w:r w:rsidR="00EA5E6E" w:rsidRPr="007C4490">
        <w:rPr>
          <w:rFonts w:ascii="Times New Roman" w:hAnsi="Times New Roman" w:cs="Times New Roman"/>
          <w:sz w:val="24"/>
          <w:szCs w:val="24"/>
          <w:lang w:val="en-GB"/>
        </w:rPr>
        <w:t xml:space="preserve"> policy to meet changing circumstance</w:t>
      </w:r>
      <w:r w:rsidR="00777B55" w:rsidRPr="007C4490">
        <w:rPr>
          <w:rFonts w:ascii="Times New Roman" w:hAnsi="Times New Roman" w:cs="Times New Roman"/>
          <w:sz w:val="24"/>
          <w:szCs w:val="24"/>
          <w:lang w:val="en-GB"/>
        </w:rPr>
        <w:t>. This invisibility is related to two main factors. On</w:t>
      </w:r>
      <w:r w:rsidR="00253FBB" w:rsidRPr="007C4490">
        <w:rPr>
          <w:rFonts w:ascii="Times New Roman" w:hAnsi="Times New Roman" w:cs="Times New Roman"/>
          <w:sz w:val="24"/>
          <w:szCs w:val="24"/>
          <w:lang w:val="en-GB"/>
        </w:rPr>
        <w:t xml:space="preserve"> </w:t>
      </w:r>
      <w:r w:rsidR="00E01EDE" w:rsidRPr="007C4490">
        <w:rPr>
          <w:rFonts w:ascii="Times New Roman" w:hAnsi="Times New Roman" w:cs="Times New Roman"/>
          <w:sz w:val="24"/>
          <w:szCs w:val="24"/>
          <w:lang w:val="en-GB"/>
        </w:rPr>
        <w:t>on</w:t>
      </w:r>
      <w:r w:rsidR="00777B55" w:rsidRPr="007C4490">
        <w:rPr>
          <w:rFonts w:ascii="Times New Roman" w:hAnsi="Times New Roman" w:cs="Times New Roman"/>
          <w:sz w:val="24"/>
          <w:szCs w:val="24"/>
          <w:lang w:val="en-GB"/>
        </w:rPr>
        <w:t xml:space="preserve">e </w:t>
      </w:r>
      <w:r w:rsidR="00253FBB" w:rsidRPr="007C4490">
        <w:rPr>
          <w:rFonts w:ascii="Times New Roman" w:hAnsi="Times New Roman" w:cs="Times New Roman"/>
          <w:sz w:val="24"/>
          <w:szCs w:val="24"/>
          <w:lang w:val="en-GB"/>
        </w:rPr>
        <w:t xml:space="preserve">hand, the typically slow moving </w:t>
      </w:r>
      <w:r w:rsidR="00777B55" w:rsidRPr="007C4490">
        <w:rPr>
          <w:rFonts w:ascii="Times New Roman" w:hAnsi="Times New Roman" w:cs="Times New Roman"/>
          <w:sz w:val="24"/>
          <w:szCs w:val="24"/>
          <w:lang w:val="en-GB"/>
        </w:rPr>
        <w:t xml:space="preserve">changes in the economic and social context that help produce drift are not always </w:t>
      </w:r>
      <w:r w:rsidR="00E01EDE" w:rsidRPr="007C4490">
        <w:rPr>
          <w:rFonts w:ascii="Times New Roman" w:hAnsi="Times New Roman" w:cs="Times New Roman"/>
          <w:sz w:val="24"/>
          <w:szCs w:val="24"/>
          <w:lang w:val="en-GB"/>
        </w:rPr>
        <w:t xml:space="preserve">immediately </w:t>
      </w:r>
      <w:r w:rsidR="00777B55" w:rsidRPr="007C4490">
        <w:rPr>
          <w:rFonts w:ascii="Times New Roman" w:hAnsi="Times New Roman" w:cs="Times New Roman"/>
          <w:sz w:val="24"/>
          <w:szCs w:val="24"/>
          <w:lang w:val="en-GB"/>
        </w:rPr>
        <w:t>apparent.</w:t>
      </w:r>
      <w:r w:rsidR="00547E75" w:rsidRPr="007C4490">
        <w:rPr>
          <w:rFonts w:ascii="Times New Roman" w:hAnsi="Times New Roman" w:cs="Times New Roman"/>
          <w:sz w:val="24"/>
          <w:szCs w:val="24"/>
          <w:lang w:val="en-GB"/>
        </w:rPr>
        <w:t xml:space="preserve"> </w:t>
      </w:r>
      <w:r w:rsidR="00777B55" w:rsidRPr="007C4490">
        <w:rPr>
          <w:rFonts w:ascii="Times New Roman" w:hAnsi="Times New Roman" w:cs="Times New Roman"/>
          <w:sz w:val="24"/>
          <w:szCs w:val="24"/>
          <w:lang w:val="en-GB"/>
        </w:rPr>
        <w:t>On the other h</w:t>
      </w:r>
      <w:r w:rsidR="00253FBB" w:rsidRPr="007C4490">
        <w:rPr>
          <w:rFonts w:ascii="Times New Roman" w:hAnsi="Times New Roman" w:cs="Times New Roman"/>
          <w:sz w:val="24"/>
          <w:szCs w:val="24"/>
          <w:lang w:val="en-GB"/>
        </w:rPr>
        <w:t>and, the other source of drift—</w:t>
      </w:r>
      <w:r w:rsidR="00777B55" w:rsidRPr="007C4490">
        <w:rPr>
          <w:rFonts w:ascii="Times New Roman" w:hAnsi="Times New Roman" w:cs="Times New Roman"/>
          <w:sz w:val="24"/>
          <w:szCs w:val="24"/>
          <w:lang w:val="en-GB"/>
        </w:rPr>
        <w:t>policy inaction on the part of government</w:t>
      </w:r>
      <w:r w:rsidR="00253FBB" w:rsidRPr="007C4490">
        <w:rPr>
          <w:rFonts w:ascii="Times New Roman" w:hAnsi="Times New Roman" w:cs="Times New Roman"/>
          <w:sz w:val="24"/>
          <w:szCs w:val="24"/>
          <w:lang w:val="en-GB"/>
        </w:rPr>
        <w:t xml:space="preserve"> to address such changes—i</w:t>
      </w:r>
      <w:r w:rsidR="00777B55" w:rsidRPr="007C4490">
        <w:rPr>
          <w:rFonts w:ascii="Times New Roman" w:hAnsi="Times New Roman" w:cs="Times New Roman"/>
          <w:sz w:val="24"/>
          <w:szCs w:val="24"/>
          <w:lang w:val="en-GB"/>
        </w:rPr>
        <w:t xml:space="preserve">s not a presence but an absence, </w:t>
      </w:r>
      <w:r w:rsidR="00253FBB" w:rsidRPr="007C4490">
        <w:rPr>
          <w:rFonts w:ascii="Times New Roman" w:hAnsi="Times New Roman" w:cs="Times New Roman"/>
          <w:sz w:val="24"/>
          <w:szCs w:val="24"/>
          <w:lang w:val="en-GB"/>
        </w:rPr>
        <w:t>making</w:t>
      </w:r>
      <w:r w:rsidR="00777B55" w:rsidRPr="007C4490">
        <w:rPr>
          <w:rFonts w:ascii="Times New Roman" w:hAnsi="Times New Roman" w:cs="Times New Roman"/>
          <w:sz w:val="24"/>
          <w:szCs w:val="24"/>
          <w:lang w:val="en-GB"/>
        </w:rPr>
        <w:t xml:space="preserve"> it hard</w:t>
      </w:r>
      <w:r w:rsidR="009F313A" w:rsidRPr="007C4490">
        <w:rPr>
          <w:rFonts w:ascii="Times New Roman" w:hAnsi="Times New Roman" w:cs="Times New Roman"/>
          <w:sz w:val="24"/>
          <w:szCs w:val="24"/>
          <w:lang w:val="en-GB"/>
        </w:rPr>
        <w:t>er</w:t>
      </w:r>
      <w:r w:rsidR="00777B55" w:rsidRPr="007C4490">
        <w:rPr>
          <w:rFonts w:ascii="Times New Roman" w:hAnsi="Times New Roman" w:cs="Times New Roman"/>
          <w:sz w:val="24"/>
          <w:szCs w:val="24"/>
          <w:lang w:val="en-GB"/>
        </w:rPr>
        <w:t xml:space="preserve"> to observe</w:t>
      </w:r>
      <w:r w:rsidR="00AC48AA" w:rsidRPr="007C4490">
        <w:rPr>
          <w:rFonts w:ascii="Times New Roman" w:hAnsi="Times New Roman" w:cs="Times New Roman"/>
          <w:sz w:val="24"/>
          <w:szCs w:val="24"/>
          <w:lang w:val="en-GB"/>
        </w:rPr>
        <w:t xml:space="preserve"> and operationalize</w:t>
      </w:r>
      <w:r w:rsidR="009F313A" w:rsidRPr="007C4490">
        <w:rPr>
          <w:rFonts w:ascii="Times New Roman" w:hAnsi="Times New Roman" w:cs="Times New Roman"/>
          <w:sz w:val="24"/>
          <w:szCs w:val="24"/>
          <w:lang w:val="en-GB"/>
        </w:rPr>
        <w:t xml:space="preserve"> empirically</w:t>
      </w:r>
      <w:r w:rsidR="00777B55" w:rsidRPr="007C4490">
        <w:rPr>
          <w:rFonts w:ascii="Times New Roman" w:hAnsi="Times New Roman" w:cs="Times New Roman"/>
          <w:sz w:val="24"/>
          <w:szCs w:val="24"/>
          <w:lang w:val="en-GB"/>
        </w:rPr>
        <w:t>.</w:t>
      </w:r>
      <w:r w:rsidR="00AC48AA" w:rsidRPr="007C4490">
        <w:rPr>
          <w:rFonts w:ascii="Times New Roman" w:hAnsi="Times New Roman" w:cs="Times New Roman"/>
          <w:sz w:val="24"/>
          <w:szCs w:val="24"/>
          <w:lang w:val="en-GB"/>
        </w:rPr>
        <w:t xml:space="preserve"> </w:t>
      </w:r>
      <w:r w:rsidR="00B53A04" w:rsidRPr="007C4490">
        <w:rPr>
          <w:rFonts w:ascii="Times New Roman" w:hAnsi="Times New Roman" w:cs="Times New Roman"/>
          <w:sz w:val="24"/>
          <w:szCs w:val="24"/>
          <w:lang w:val="en-GB"/>
        </w:rPr>
        <w:t xml:space="preserve">A related issue is that drift is not always easy to measure or quantify, which poses a significant methodological challenge. </w:t>
      </w:r>
      <w:r w:rsidR="00C0430D" w:rsidRPr="007C4490">
        <w:rPr>
          <w:rFonts w:ascii="Times New Roman" w:hAnsi="Times New Roman" w:cs="Times New Roman"/>
          <w:sz w:val="24"/>
          <w:szCs w:val="24"/>
          <w:lang w:val="en-GB"/>
        </w:rPr>
        <w:t>As Hacker (2004) shows in his original article on the topic, however, it is possible to empir</w:t>
      </w:r>
      <w:r w:rsidR="00253FBB" w:rsidRPr="007C4490">
        <w:rPr>
          <w:rFonts w:ascii="Times New Roman" w:hAnsi="Times New Roman" w:cs="Times New Roman"/>
          <w:sz w:val="24"/>
          <w:szCs w:val="24"/>
          <w:lang w:val="en-GB"/>
        </w:rPr>
        <w:t>ically investigate policy drift</w:t>
      </w:r>
      <w:r w:rsidR="00C0430D" w:rsidRPr="007C4490">
        <w:rPr>
          <w:rFonts w:ascii="Times New Roman" w:hAnsi="Times New Roman" w:cs="Times New Roman"/>
          <w:sz w:val="24"/>
          <w:szCs w:val="24"/>
          <w:lang w:val="en-GB"/>
        </w:rPr>
        <w:t xml:space="preserve"> by </w:t>
      </w:r>
      <w:r w:rsidR="00E124D9">
        <w:rPr>
          <w:rFonts w:ascii="Times New Roman" w:hAnsi="Times New Roman" w:cs="Times New Roman"/>
          <w:sz w:val="24"/>
          <w:szCs w:val="24"/>
          <w:lang w:val="en-GB"/>
        </w:rPr>
        <w:t xml:space="preserve">clearly identifying and testing drift’s empirical implications. This often demands diachronic </w:t>
      </w:r>
      <w:r w:rsidR="00E00757">
        <w:rPr>
          <w:rFonts w:ascii="Times New Roman" w:hAnsi="Times New Roman" w:cs="Times New Roman"/>
          <w:sz w:val="24"/>
          <w:szCs w:val="24"/>
          <w:lang w:val="en-GB"/>
        </w:rPr>
        <w:t xml:space="preserve">evidence about </w:t>
      </w:r>
      <w:r w:rsidR="00F6291F" w:rsidRPr="007C4490">
        <w:rPr>
          <w:rFonts w:ascii="Times New Roman" w:hAnsi="Times New Roman" w:cs="Times New Roman"/>
          <w:sz w:val="24"/>
          <w:szCs w:val="24"/>
          <w:lang w:val="en-GB"/>
        </w:rPr>
        <w:t>how</w:t>
      </w:r>
      <w:r w:rsidR="000B7868">
        <w:rPr>
          <w:rFonts w:ascii="Times New Roman" w:hAnsi="Times New Roman" w:cs="Times New Roman"/>
          <w:sz w:val="24"/>
          <w:szCs w:val="24"/>
          <w:lang w:val="en-GB"/>
        </w:rPr>
        <w:t xml:space="preserve"> </w:t>
      </w:r>
      <w:r w:rsidR="00E41AD7" w:rsidRPr="007C4490">
        <w:rPr>
          <w:rFonts w:ascii="Times New Roman" w:hAnsi="Times New Roman" w:cs="Times New Roman"/>
          <w:sz w:val="24"/>
          <w:szCs w:val="24"/>
          <w:lang w:val="en-GB"/>
        </w:rPr>
        <w:t xml:space="preserve">policy regimes directly </w:t>
      </w:r>
      <w:r w:rsidR="00F6291F" w:rsidRPr="007C4490">
        <w:rPr>
          <w:rFonts w:ascii="Times New Roman" w:hAnsi="Times New Roman" w:cs="Times New Roman"/>
          <w:sz w:val="24"/>
          <w:szCs w:val="24"/>
          <w:lang w:val="en-GB"/>
        </w:rPr>
        <w:t xml:space="preserve">affect their target beneficiaries, </w:t>
      </w:r>
      <w:r w:rsidR="00C0430D" w:rsidRPr="007C4490">
        <w:rPr>
          <w:rFonts w:ascii="Times New Roman" w:hAnsi="Times New Roman" w:cs="Times New Roman"/>
          <w:sz w:val="24"/>
          <w:szCs w:val="24"/>
          <w:lang w:val="en-GB"/>
        </w:rPr>
        <w:t xml:space="preserve">both </w:t>
      </w:r>
      <w:r w:rsidR="00F6291F" w:rsidRPr="007C4490">
        <w:rPr>
          <w:rFonts w:ascii="Times New Roman" w:hAnsi="Times New Roman" w:cs="Times New Roman"/>
          <w:sz w:val="24"/>
          <w:szCs w:val="24"/>
          <w:lang w:val="en-GB"/>
        </w:rPr>
        <w:t xml:space="preserve">before and after </w:t>
      </w:r>
      <w:r w:rsidR="00C0430D" w:rsidRPr="007C4490">
        <w:rPr>
          <w:rFonts w:ascii="Times New Roman" w:hAnsi="Times New Roman" w:cs="Times New Roman"/>
          <w:sz w:val="24"/>
          <w:szCs w:val="24"/>
          <w:lang w:val="en-GB"/>
        </w:rPr>
        <w:t>changes in the economic and social environment</w:t>
      </w:r>
      <w:r w:rsidR="00F6291F" w:rsidRPr="007C4490">
        <w:rPr>
          <w:rFonts w:ascii="Times New Roman" w:hAnsi="Times New Roman" w:cs="Times New Roman"/>
          <w:sz w:val="24"/>
          <w:szCs w:val="24"/>
          <w:lang w:val="en-GB"/>
        </w:rPr>
        <w:t>, as well as in the presence and</w:t>
      </w:r>
      <w:r w:rsidR="00DF7463" w:rsidRPr="007C4490">
        <w:rPr>
          <w:rFonts w:ascii="Times New Roman" w:hAnsi="Times New Roman" w:cs="Times New Roman"/>
          <w:sz w:val="24"/>
          <w:szCs w:val="24"/>
          <w:lang w:val="en-GB"/>
        </w:rPr>
        <w:t xml:space="preserve"> absence of </w:t>
      </w:r>
      <w:r w:rsidR="006A4FBF" w:rsidRPr="007C4490">
        <w:rPr>
          <w:rFonts w:ascii="Times New Roman" w:hAnsi="Times New Roman" w:cs="Times New Roman"/>
          <w:sz w:val="24"/>
          <w:szCs w:val="24"/>
          <w:lang w:val="en-GB"/>
        </w:rPr>
        <w:t>‘</w:t>
      </w:r>
      <w:r w:rsidR="00DF7463" w:rsidRPr="007C4490">
        <w:rPr>
          <w:rFonts w:ascii="Times New Roman" w:hAnsi="Times New Roman" w:cs="Times New Roman"/>
          <w:sz w:val="24"/>
          <w:szCs w:val="24"/>
          <w:lang w:val="en-GB"/>
        </w:rPr>
        <w:t>formal</w:t>
      </w:r>
      <w:r w:rsidR="00C0430D" w:rsidRPr="007C4490">
        <w:rPr>
          <w:rFonts w:ascii="Times New Roman" w:hAnsi="Times New Roman" w:cs="Times New Roman"/>
          <w:sz w:val="24"/>
          <w:szCs w:val="24"/>
          <w:lang w:val="en-GB"/>
        </w:rPr>
        <w:t xml:space="preserve"> revision</w:t>
      </w:r>
      <w:r w:rsidR="00E41AD7" w:rsidRPr="007C4490">
        <w:rPr>
          <w:rFonts w:ascii="Times New Roman" w:hAnsi="Times New Roman" w:cs="Times New Roman"/>
          <w:sz w:val="24"/>
          <w:szCs w:val="24"/>
          <w:lang w:val="en-GB"/>
        </w:rPr>
        <w:t>s</w:t>
      </w:r>
      <w:r w:rsidR="006A4FBF" w:rsidRPr="007C4490">
        <w:rPr>
          <w:rFonts w:ascii="Times New Roman" w:hAnsi="Times New Roman" w:cs="Times New Roman"/>
          <w:sz w:val="24"/>
          <w:szCs w:val="24"/>
          <w:lang w:val="en-GB"/>
        </w:rPr>
        <w:t>’</w:t>
      </w:r>
      <w:r w:rsidR="00C0430D" w:rsidRPr="007C4490">
        <w:rPr>
          <w:rFonts w:ascii="Times New Roman" w:hAnsi="Times New Roman" w:cs="Times New Roman"/>
          <w:sz w:val="24"/>
          <w:szCs w:val="24"/>
          <w:lang w:val="en-GB"/>
        </w:rPr>
        <w:t xml:space="preserve"> aimed at counterbalancing these changes through the adoption of new social programs.</w:t>
      </w:r>
      <w:r w:rsidR="00F6291F" w:rsidRPr="007C4490">
        <w:rPr>
          <w:rFonts w:ascii="Times New Roman" w:hAnsi="Times New Roman" w:cs="Times New Roman"/>
          <w:sz w:val="24"/>
          <w:szCs w:val="24"/>
          <w:lang w:val="en-GB"/>
        </w:rPr>
        <w:t xml:space="preserve"> </w:t>
      </w:r>
      <w:r w:rsidR="007B6649">
        <w:rPr>
          <w:rFonts w:ascii="Times New Roman" w:hAnsi="Times New Roman" w:cs="Times New Roman"/>
          <w:sz w:val="24"/>
          <w:szCs w:val="24"/>
          <w:lang w:val="en-GB"/>
        </w:rPr>
        <w:t xml:space="preserve">Clearly identifying drift’s empirical implications in a specific case allows the analyst to distinguish it from other, related social processes. </w:t>
      </w:r>
      <w:r w:rsidR="00043C0D" w:rsidRPr="007C4490">
        <w:rPr>
          <w:rFonts w:ascii="Times New Roman" w:hAnsi="Times New Roman" w:cs="Times New Roman"/>
          <w:sz w:val="24"/>
          <w:szCs w:val="24"/>
          <w:lang w:val="en-GB"/>
        </w:rPr>
        <w:t>In cases where there is formal revision, b</w:t>
      </w:r>
      <w:r w:rsidR="009240AF" w:rsidRPr="007C4490">
        <w:rPr>
          <w:rFonts w:ascii="Times New Roman" w:hAnsi="Times New Roman" w:cs="Times New Roman"/>
          <w:sz w:val="24"/>
          <w:szCs w:val="24"/>
          <w:lang w:val="en-GB"/>
        </w:rPr>
        <w:t>y evaluating changes in policy outcomes pre-revision and post-revision, we can better pin down not just the effectiveness of government interventions but the scope of drift itself.</w:t>
      </w:r>
      <w:r w:rsidR="00547E75" w:rsidRPr="007C4490">
        <w:rPr>
          <w:rFonts w:ascii="Times New Roman" w:hAnsi="Times New Roman" w:cs="Times New Roman"/>
          <w:sz w:val="24"/>
          <w:szCs w:val="24"/>
          <w:lang w:val="en-GB"/>
        </w:rPr>
        <w:t xml:space="preserve">   </w:t>
      </w:r>
    </w:p>
    <w:p w14:paraId="0BD58B4F" w14:textId="6266065B" w:rsidR="00CB5E99" w:rsidRPr="007C4490" w:rsidRDefault="00D65E3F" w:rsidP="00282389">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Second, </w:t>
      </w:r>
      <w:r w:rsidR="00DF7463" w:rsidRPr="007C4490">
        <w:rPr>
          <w:rFonts w:ascii="Times New Roman" w:hAnsi="Times New Roman" w:cs="Times New Roman"/>
          <w:sz w:val="24"/>
          <w:szCs w:val="24"/>
          <w:lang w:val="en-GB"/>
        </w:rPr>
        <w:t>the</w:t>
      </w:r>
      <w:r w:rsidR="00C0430D" w:rsidRPr="007C4490">
        <w:rPr>
          <w:rFonts w:ascii="Times New Roman" w:hAnsi="Times New Roman" w:cs="Times New Roman"/>
          <w:sz w:val="24"/>
          <w:szCs w:val="24"/>
          <w:lang w:val="en-GB"/>
        </w:rPr>
        <w:t xml:space="preserve"> concept of </w:t>
      </w:r>
      <w:r w:rsidR="00DF7463" w:rsidRPr="007C4490">
        <w:rPr>
          <w:rFonts w:ascii="Times New Roman" w:hAnsi="Times New Roman" w:cs="Times New Roman"/>
          <w:sz w:val="24"/>
          <w:szCs w:val="24"/>
          <w:lang w:val="en-GB"/>
        </w:rPr>
        <w:t xml:space="preserve">formal </w:t>
      </w:r>
      <w:r w:rsidR="00C0430D" w:rsidRPr="007C4490">
        <w:rPr>
          <w:rFonts w:ascii="Times New Roman" w:hAnsi="Times New Roman" w:cs="Times New Roman"/>
          <w:sz w:val="24"/>
          <w:szCs w:val="24"/>
          <w:lang w:val="en-GB"/>
        </w:rPr>
        <w:t>revision</w:t>
      </w:r>
      <w:r w:rsidR="000A7EE4" w:rsidRPr="007C4490">
        <w:rPr>
          <w:rFonts w:ascii="Times New Roman" w:hAnsi="Times New Roman" w:cs="Times New Roman"/>
          <w:sz w:val="24"/>
          <w:szCs w:val="24"/>
          <w:lang w:val="en-GB"/>
        </w:rPr>
        <w:t>, which can be understood</w:t>
      </w:r>
      <w:r w:rsidR="00C0430D" w:rsidRPr="007C4490">
        <w:rPr>
          <w:rFonts w:ascii="Times New Roman" w:hAnsi="Times New Roman" w:cs="Times New Roman"/>
          <w:sz w:val="24"/>
          <w:szCs w:val="24"/>
          <w:lang w:val="en-GB"/>
        </w:rPr>
        <w:t xml:space="preserve"> as a way to </w:t>
      </w:r>
      <w:r w:rsidR="00803630" w:rsidRPr="007C4490">
        <w:rPr>
          <w:rFonts w:ascii="Times New Roman" w:hAnsi="Times New Roman" w:cs="Times New Roman"/>
          <w:sz w:val="24"/>
          <w:szCs w:val="24"/>
          <w:lang w:val="en-GB"/>
        </w:rPr>
        <w:t xml:space="preserve">combat </w:t>
      </w:r>
      <w:r w:rsidR="00C0430D" w:rsidRPr="007C4490">
        <w:rPr>
          <w:rFonts w:ascii="Times New Roman" w:hAnsi="Times New Roman" w:cs="Times New Roman"/>
          <w:sz w:val="24"/>
          <w:szCs w:val="24"/>
          <w:lang w:val="en-GB"/>
        </w:rPr>
        <w:t>drift, is under-theorized</w:t>
      </w:r>
      <w:r w:rsidR="000A7EE4" w:rsidRPr="007C4490">
        <w:rPr>
          <w:rFonts w:ascii="Times New Roman" w:hAnsi="Times New Roman" w:cs="Times New Roman"/>
          <w:sz w:val="24"/>
          <w:szCs w:val="24"/>
          <w:lang w:val="en-GB"/>
        </w:rPr>
        <w:t xml:space="preserve"> in Hacker’s 2004 article and i</w:t>
      </w:r>
      <w:r w:rsidR="00CB5E99" w:rsidRPr="007C4490">
        <w:rPr>
          <w:rFonts w:ascii="Times New Roman" w:hAnsi="Times New Roman" w:cs="Times New Roman"/>
          <w:sz w:val="24"/>
          <w:szCs w:val="24"/>
          <w:lang w:val="en-GB"/>
        </w:rPr>
        <w:t xml:space="preserve">n subsequent work on the </w:t>
      </w:r>
      <w:r w:rsidR="00253FBB" w:rsidRPr="007C4490">
        <w:rPr>
          <w:rFonts w:ascii="Times New Roman" w:hAnsi="Times New Roman" w:cs="Times New Roman"/>
          <w:sz w:val="24"/>
          <w:szCs w:val="24"/>
          <w:lang w:val="en-GB"/>
        </w:rPr>
        <w:t>topic that fail</w:t>
      </w:r>
      <w:r w:rsidR="00803630" w:rsidRPr="007C4490">
        <w:rPr>
          <w:rFonts w:ascii="Times New Roman" w:hAnsi="Times New Roman" w:cs="Times New Roman"/>
          <w:sz w:val="24"/>
          <w:szCs w:val="24"/>
          <w:lang w:val="en-GB"/>
        </w:rPr>
        <w:t xml:space="preserve"> </w:t>
      </w:r>
      <w:r w:rsidR="00803630" w:rsidRPr="007C4490">
        <w:rPr>
          <w:rFonts w:ascii="Times New Roman" w:hAnsi="Times New Roman" w:cs="Times New Roman"/>
          <w:sz w:val="24"/>
          <w:szCs w:val="24"/>
          <w:lang w:val="en-GB"/>
        </w:rPr>
        <w:lastRenderedPageBreak/>
        <w:t>to elaborate on the kind of legislative and administrative activities that revision entails</w:t>
      </w:r>
      <w:r w:rsidR="00CB5E99" w:rsidRPr="007C4490">
        <w:rPr>
          <w:rFonts w:ascii="Times New Roman" w:hAnsi="Times New Roman" w:cs="Times New Roman"/>
          <w:sz w:val="24"/>
          <w:szCs w:val="24"/>
          <w:lang w:val="en-GB"/>
        </w:rPr>
        <w:t xml:space="preserve">. On one hand, what are the economic, social and political conditions under which formal revision becomes the source of a broad consensus that may lead to reform aimed at addressing the very sources of policy drift? This issue is related to the apparent </w:t>
      </w:r>
      <w:r w:rsidR="00687391" w:rsidRPr="007C4490">
        <w:rPr>
          <w:rFonts w:ascii="Times New Roman" w:hAnsi="Times New Roman" w:cs="Times New Roman"/>
          <w:sz w:val="24"/>
          <w:szCs w:val="24"/>
          <w:lang w:val="en-GB"/>
        </w:rPr>
        <w:t xml:space="preserve">level of </w:t>
      </w:r>
      <w:r w:rsidR="006A4FBF" w:rsidRPr="007C4490">
        <w:rPr>
          <w:rFonts w:ascii="Times New Roman" w:hAnsi="Times New Roman" w:cs="Times New Roman"/>
          <w:sz w:val="24"/>
          <w:szCs w:val="24"/>
          <w:lang w:val="en-GB"/>
        </w:rPr>
        <w:t>‘</w:t>
      </w:r>
      <w:r w:rsidR="00CB5E99" w:rsidRPr="007C4490">
        <w:rPr>
          <w:rFonts w:ascii="Times New Roman" w:hAnsi="Times New Roman" w:cs="Times New Roman"/>
          <w:sz w:val="24"/>
          <w:szCs w:val="24"/>
          <w:lang w:val="en-GB"/>
        </w:rPr>
        <w:t>problem pressure</w:t>
      </w:r>
      <w:r w:rsidR="006A4FBF" w:rsidRPr="007C4490">
        <w:rPr>
          <w:rFonts w:ascii="Times New Roman" w:hAnsi="Times New Roman" w:cs="Times New Roman"/>
          <w:sz w:val="24"/>
          <w:szCs w:val="24"/>
          <w:lang w:val="en-GB"/>
        </w:rPr>
        <w:t>’</w:t>
      </w:r>
      <w:r w:rsidR="00687391" w:rsidRPr="007C4490">
        <w:rPr>
          <w:rFonts w:ascii="Times New Roman" w:hAnsi="Times New Roman" w:cs="Times New Roman"/>
          <w:sz w:val="24"/>
          <w:szCs w:val="24"/>
          <w:lang w:val="en-GB"/>
        </w:rPr>
        <w:t xml:space="preserve"> (</w:t>
      </w:r>
      <w:proofErr w:type="spellStart"/>
      <w:r w:rsidR="00687391" w:rsidRPr="007C4490">
        <w:rPr>
          <w:rFonts w:ascii="Times New Roman" w:hAnsi="Times New Roman" w:cs="Times New Roman"/>
          <w:sz w:val="24"/>
          <w:szCs w:val="24"/>
          <w:lang w:val="en-GB"/>
        </w:rPr>
        <w:t>Schmid</w:t>
      </w:r>
      <w:proofErr w:type="spellEnd"/>
      <w:r w:rsidR="00687391" w:rsidRPr="007C4490">
        <w:rPr>
          <w:rFonts w:ascii="Times New Roman" w:hAnsi="Times New Roman" w:cs="Times New Roman"/>
          <w:sz w:val="24"/>
          <w:szCs w:val="24"/>
          <w:lang w:val="en-GB"/>
        </w:rPr>
        <w:t xml:space="preserve">, </w:t>
      </w:r>
      <w:proofErr w:type="spellStart"/>
      <w:r w:rsidR="00687391" w:rsidRPr="007C4490">
        <w:rPr>
          <w:rFonts w:ascii="Times New Roman" w:hAnsi="Times New Roman" w:cs="Times New Roman"/>
          <w:sz w:val="24"/>
          <w:szCs w:val="24"/>
          <w:lang w:val="en-GB"/>
        </w:rPr>
        <w:t>Cacace</w:t>
      </w:r>
      <w:proofErr w:type="spellEnd"/>
      <w:r w:rsidR="00687391" w:rsidRPr="007C4490">
        <w:rPr>
          <w:rFonts w:ascii="Times New Roman" w:hAnsi="Times New Roman" w:cs="Times New Roman"/>
          <w:sz w:val="24"/>
          <w:szCs w:val="24"/>
          <w:lang w:val="en-GB"/>
        </w:rPr>
        <w:t xml:space="preserve">, Götze and </w:t>
      </w:r>
      <w:proofErr w:type="spellStart"/>
      <w:r w:rsidR="00687391" w:rsidRPr="007C4490">
        <w:rPr>
          <w:rFonts w:ascii="Times New Roman" w:hAnsi="Times New Roman" w:cs="Times New Roman"/>
          <w:sz w:val="24"/>
          <w:szCs w:val="24"/>
          <w:lang w:val="en-GB"/>
        </w:rPr>
        <w:t>Rothgang</w:t>
      </w:r>
      <w:proofErr w:type="spellEnd"/>
      <w:r w:rsidR="00687391" w:rsidRPr="007C4490">
        <w:rPr>
          <w:rFonts w:ascii="Times New Roman" w:hAnsi="Times New Roman" w:cs="Times New Roman"/>
          <w:sz w:val="24"/>
          <w:szCs w:val="24"/>
          <w:lang w:val="en-GB"/>
        </w:rPr>
        <w:t xml:space="preserve"> 2010),</w:t>
      </w:r>
      <w:r w:rsidR="00CB5E99" w:rsidRPr="007C4490">
        <w:rPr>
          <w:rFonts w:ascii="Times New Roman" w:hAnsi="Times New Roman" w:cs="Times New Roman"/>
          <w:sz w:val="24"/>
          <w:szCs w:val="24"/>
          <w:lang w:val="en-GB"/>
        </w:rPr>
        <w:t xml:space="preserve"> as well as partisan and institutional configurations</w:t>
      </w:r>
      <w:r w:rsidR="00687391" w:rsidRPr="007C4490">
        <w:rPr>
          <w:rFonts w:ascii="Times New Roman" w:hAnsi="Times New Roman" w:cs="Times New Roman"/>
          <w:sz w:val="24"/>
          <w:szCs w:val="24"/>
          <w:lang w:val="en-GB"/>
        </w:rPr>
        <w:t xml:space="preserve"> such as the balance of power in</w:t>
      </w:r>
      <w:r w:rsidR="00CB5E99" w:rsidRPr="007C4490">
        <w:rPr>
          <w:rFonts w:ascii="Times New Roman" w:hAnsi="Times New Roman" w:cs="Times New Roman"/>
          <w:sz w:val="24"/>
          <w:szCs w:val="24"/>
          <w:lang w:val="en-GB"/>
        </w:rPr>
        <w:t xml:space="preserve"> </w:t>
      </w:r>
      <w:r w:rsidR="00687391" w:rsidRPr="007C4490">
        <w:rPr>
          <w:rFonts w:ascii="Times New Roman" w:hAnsi="Times New Roman" w:cs="Times New Roman"/>
          <w:sz w:val="24"/>
          <w:szCs w:val="24"/>
          <w:lang w:val="en-GB"/>
        </w:rPr>
        <w:t>Congress and the Whi</w:t>
      </w:r>
      <w:r w:rsidR="00E00757">
        <w:rPr>
          <w:rFonts w:ascii="Times New Roman" w:hAnsi="Times New Roman" w:cs="Times New Roman"/>
          <w:sz w:val="24"/>
          <w:szCs w:val="24"/>
          <w:lang w:val="en-GB"/>
        </w:rPr>
        <w:t>t</w:t>
      </w:r>
      <w:r w:rsidR="00687391" w:rsidRPr="007C4490">
        <w:rPr>
          <w:rFonts w:ascii="Times New Roman" w:hAnsi="Times New Roman" w:cs="Times New Roman"/>
          <w:sz w:val="24"/>
          <w:szCs w:val="24"/>
          <w:lang w:val="en-GB"/>
        </w:rPr>
        <w:t>e House, to take the example of the U</w:t>
      </w:r>
      <w:r w:rsidR="00253FBB" w:rsidRPr="007C4490">
        <w:rPr>
          <w:rFonts w:ascii="Times New Roman" w:hAnsi="Times New Roman" w:cs="Times New Roman"/>
          <w:sz w:val="24"/>
          <w:szCs w:val="24"/>
          <w:lang w:val="en-GB"/>
        </w:rPr>
        <w:t>nited States (</w:t>
      </w:r>
      <w:proofErr w:type="spellStart"/>
      <w:r w:rsidR="00253FBB" w:rsidRPr="007C4490">
        <w:rPr>
          <w:rFonts w:ascii="Times New Roman" w:hAnsi="Times New Roman" w:cs="Times New Roman"/>
          <w:sz w:val="24"/>
          <w:szCs w:val="24"/>
          <w:lang w:val="en-GB"/>
        </w:rPr>
        <w:t>Béland</w:t>
      </w:r>
      <w:proofErr w:type="spellEnd"/>
      <w:r w:rsidR="00253FBB" w:rsidRPr="007C4490">
        <w:rPr>
          <w:rFonts w:ascii="Times New Roman" w:hAnsi="Times New Roman" w:cs="Times New Roman"/>
          <w:sz w:val="24"/>
          <w:szCs w:val="24"/>
          <w:lang w:val="en-GB"/>
        </w:rPr>
        <w:t xml:space="preserve"> and Waddan</w:t>
      </w:r>
      <w:r w:rsidR="00687391" w:rsidRPr="007C4490">
        <w:rPr>
          <w:rFonts w:ascii="Times New Roman" w:hAnsi="Times New Roman" w:cs="Times New Roman"/>
          <w:sz w:val="24"/>
          <w:szCs w:val="24"/>
          <w:lang w:val="en-GB"/>
        </w:rPr>
        <w:t xml:space="preserve"> 2012). On the other hand, </w:t>
      </w:r>
      <w:r w:rsidR="00D80694" w:rsidRPr="007C4490">
        <w:rPr>
          <w:rFonts w:ascii="Times New Roman" w:hAnsi="Times New Roman" w:cs="Times New Roman"/>
          <w:sz w:val="24"/>
          <w:szCs w:val="24"/>
          <w:lang w:val="en-GB"/>
        </w:rPr>
        <w:t xml:space="preserve">while </w:t>
      </w:r>
      <w:r w:rsidR="000A7EE4" w:rsidRPr="007C4490">
        <w:rPr>
          <w:rFonts w:ascii="Times New Roman" w:hAnsi="Times New Roman" w:cs="Times New Roman"/>
          <w:sz w:val="24"/>
          <w:szCs w:val="24"/>
          <w:lang w:val="en-GB"/>
        </w:rPr>
        <w:t xml:space="preserve">Hacker </w:t>
      </w:r>
      <w:r w:rsidR="00687391" w:rsidRPr="007C4490">
        <w:rPr>
          <w:rFonts w:ascii="Times New Roman" w:hAnsi="Times New Roman" w:cs="Times New Roman"/>
          <w:sz w:val="24"/>
          <w:szCs w:val="24"/>
          <w:lang w:val="en-GB"/>
        </w:rPr>
        <w:t xml:space="preserve">(2004) </w:t>
      </w:r>
      <w:r w:rsidR="00D80694" w:rsidRPr="007C4490">
        <w:rPr>
          <w:rFonts w:ascii="Times New Roman" w:hAnsi="Times New Roman" w:cs="Times New Roman"/>
          <w:sz w:val="24"/>
          <w:szCs w:val="24"/>
          <w:lang w:val="en-GB"/>
        </w:rPr>
        <w:t>do</w:t>
      </w:r>
      <w:r w:rsidR="000822E2" w:rsidRPr="007C4490">
        <w:rPr>
          <w:rFonts w:ascii="Times New Roman" w:hAnsi="Times New Roman" w:cs="Times New Roman"/>
          <w:sz w:val="24"/>
          <w:szCs w:val="24"/>
          <w:lang w:val="en-GB"/>
        </w:rPr>
        <w:t>es</w:t>
      </w:r>
      <w:r w:rsidR="00D80694" w:rsidRPr="007C4490">
        <w:rPr>
          <w:rFonts w:ascii="Times New Roman" w:hAnsi="Times New Roman" w:cs="Times New Roman"/>
          <w:sz w:val="24"/>
          <w:szCs w:val="24"/>
          <w:lang w:val="en-GB"/>
        </w:rPr>
        <w:t xml:space="preserve"> </w:t>
      </w:r>
      <w:r w:rsidR="00687391" w:rsidRPr="007C4490">
        <w:rPr>
          <w:rFonts w:ascii="Times New Roman" w:hAnsi="Times New Roman" w:cs="Times New Roman"/>
          <w:sz w:val="24"/>
          <w:szCs w:val="24"/>
          <w:lang w:val="en-GB"/>
        </w:rPr>
        <w:t xml:space="preserve">briefly allude to </w:t>
      </w:r>
      <w:r w:rsidR="000A7EE4" w:rsidRPr="007C4490">
        <w:rPr>
          <w:rFonts w:ascii="Times New Roman" w:hAnsi="Times New Roman" w:cs="Times New Roman"/>
          <w:sz w:val="24"/>
          <w:szCs w:val="24"/>
          <w:lang w:val="en-GB"/>
        </w:rPr>
        <w:t xml:space="preserve">the relationship between legislative revision, policy drift and implementation, </w:t>
      </w:r>
      <w:r w:rsidR="000822E2" w:rsidRPr="007C4490">
        <w:rPr>
          <w:rFonts w:ascii="Times New Roman" w:hAnsi="Times New Roman" w:cs="Times New Roman"/>
          <w:sz w:val="24"/>
          <w:szCs w:val="24"/>
          <w:lang w:val="en-GB"/>
        </w:rPr>
        <w:t>he</w:t>
      </w:r>
      <w:r w:rsidR="00D80694" w:rsidRPr="007C4490">
        <w:rPr>
          <w:rFonts w:ascii="Times New Roman" w:hAnsi="Times New Roman" w:cs="Times New Roman"/>
          <w:sz w:val="24"/>
          <w:szCs w:val="24"/>
          <w:lang w:val="en-GB"/>
        </w:rPr>
        <w:t xml:space="preserve"> do</w:t>
      </w:r>
      <w:r w:rsidR="000822E2" w:rsidRPr="007C4490">
        <w:rPr>
          <w:rFonts w:ascii="Times New Roman" w:hAnsi="Times New Roman" w:cs="Times New Roman"/>
          <w:sz w:val="24"/>
          <w:szCs w:val="24"/>
          <w:lang w:val="en-GB"/>
        </w:rPr>
        <w:t>es</w:t>
      </w:r>
      <w:r w:rsidR="00D80694" w:rsidRPr="007C4490">
        <w:rPr>
          <w:rFonts w:ascii="Times New Roman" w:hAnsi="Times New Roman" w:cs="Times New Roman"/>
          <w:sz w:val="24"/>
          <w:szCs w:val="24"/>
          <w:lang w:val="en-GB"/>
        </w:rPr>
        <w:t xml:space="preserve"> not sufficiently examine the </w:t>
      </w:r>
      <w:r w:rsidR="00DC0316">
        <w:rPr>
          <w:rFonts w:ascii="Times New Roman" w:hAnsi="Times New Roman" w:cs="Times New Roman"/>
          <w:sz w:val="24"/>
          <w:szCs w:val="24"/>
          <w:lang w:val="en-GB"/>
        </w:rPr>
        <w:t xml:space="preserve">conditions under which drift-correcting policies are effectively carried out in practice. </w:t>
      </w:r>
      <w:r w:rsidR="000A7EE4" w:rsidRPr="007C4490">
        <w:rPr>
          <w:rFonts w:ascii="Times New Roman" w:hAnsi="Times New Roman" w:cs="Times New Roman"/>
          <w:sz w:val="24"/>
          <w:szCs w:val="24"/>
          <w:lang w:val="en-GB"/>
        </w:rPr>
        <w:t>This means that</w:t>
      </w:r>
      <w:r w:rsidR="00B62402" w:rsidRPr="007C4490">
        <w:rPr>
          <w:rFonts w:ascii="Times New Roman" w:hAnsi="Times New Roman" w:cs="Times New Roman"/>
          <w:sz w:val="24"/>
          <w:szCs w:val="24"/>
          <w:lang w:val="en-GB"/>
        </w:rPr>
        <w:t>, in order to reduce or eliminate</w:t>
      </w:r>
      <w:r w:rsidR="000A7EE4" w:rsidRPr="007C4490">
        <w:rPr>
          <w:rFonts w:ascii="Times New Roman" w:hAnsi="Times New Roman" w:cs="Times New Roman"/>
          <w:sz w:val="24"/>
          <w:szCs w:val="24"/>
          <w:lang w:val="en-GB"/>
        </w:rPr>
        <w:t xml:space="preserve"> drift,</w:t>
      </w:r>
      <w:r w:rsidR="00DF7463" w:rsidRPr="007C4490">
        <w:rPr>
          <w:rFonts w:ascii="Times New Roman" w:hAnsi="Times New Roman" w:cs="Times New Roman"/>
          <w:sz w:val="24"/>
          <w:szCs w:val="24"/>
          <w:lang w:val="en-GB"/>
        </w:rPr>
        <w:t xml:space="preserve"> the enactment of new social legislat</w:t>
      </w:r>
      <w:r w:rsidR="00AA7A21" w:rsidRPr="007C4490">
        <w:rPr>
          <w:rFonts w:ascii="Times New Roman" w:hAnsi="Times New Roman" w:cs="Times New Roman"/>
          <w:sz w:val="24"/>
          <w:szCs w:val="24"/>
          <w:lang w:val="en-GB"/>
        </w:rPr>
        <w:t xml:space="preserve">ion might not be </w:t>
      </w:r>
      <w:r w:rsidR="009B63AF" w:rsidRPr="007C4490">
        <w:rPr>
          <w:rFonts w:ascii="Times New Roman" w:hAnsi="Times New Roman" w:cs="Times New Roman"/>
          <w:sz w:val="24"/>
          <w:szCs w:val="24"/>
          <w:lang w:val="en-GB"/>
        </w:rPr>
        <w:t xml:space="preserve">adequate </w:t>
      </w:r>
      <w:r w:rsidR="00B62402" w:rsidRPr="007C4490">
        <w:rPr>
          <w:rFonts w:ascii="Times New Roman" w:hAnsi="Times New Roman" w:cs="Times New Roman"/>
          <w:sz w:val="24"/>
          <w:szCs w:val="24"/>
          <w:lang w:val="en-GB"/>
        </w:rPr>
        <w:t>in and of itself. This is true because what actually matters, in the end, is whether such legislation is properly implemented. As decades of implementation studies suggest, legislative act</w:t>
      </w:r>
      <w:r w:rsidR="00E76A3F" w:rsidRPr="007C4490">
        <w:rPr>
          <w:rFonts w:ascii="Times New Roman" w:hAnsi="Times New Roman" w:cs="Times New Roman"/>
          <w:sz w:val="24"/>
          <w:szCs w:val="24"/>
          <w:lang w:val="en-GB"/>
        </w:rPr>
        <w:t>s</w:t>
      </w:r>
      <w:r w:rsidR="00B62402" w:rsidRPr="007C4490">
        <w:rPr>
          <w:rFonts w:ascii="Times New Roman" w:hAnsi="Times New Roman" w:cs="Times New Roman"/>
          <w:sz w:val="24"/>
          <w:szCs w:val="24"/>
          <w:lang w:val="en-GB"/>
        </w:rPr>
        <w:t>, what Hacker (2</w:t>
      </w:r>
      <w:r w:rsidR="002F64E5" w:rsidRPr="007C4490">
        <w:rPr>
          <w:rFonts w:ascii="Times New Roman" w:hAnsi="Times New Roman" w:cs="Times New Roman"/>
          <w:sz w:val="24"/>
          <w:szCs w:val="24"/>
          <w:lang w:val="en-GB"/>
        </w:rPr>
        <w:t>004) calls formal revision, do</w:t>
      </w:r>
      <w:r w:rsidR="00B62402" w:rsidRPr="007C4490">
        <w:rPr>
          <w:rFonts w:ascii="Times New Roman" w:hAnsi="Times New Roman" w:cs="Times New Roman"/>
          <w:sz w:val="24"/>
          <w:szCs w:val="24"/>
          <w:lang w:val="en-GB"/>
        </w:rPr>
        <w:t xml:space="preserve"> not always have the </w:t>
      </w:r>
      <w:r w:rsidR="009B63AF" w:rsidRPr="007C4490">
        <w:rPr>
          <w:rFonts w:ascii="Times New Roman" w:hAnsi="Times New Roman" w:cs="Times New Roman"/>
          <w:sz w:val="24"/>
          <w:szCs w:val="24"/>
          <w:lang w:val="en-GB"/>
        </w:rPr>
        <w:t xml:space="preserve">consequences on the ground that </w:t>
      </w:r>
      <w:r w:rsidR="005A1251" w:rsidRPr="007C4490">
        <w:rPr>
          <w:rFonts w:ascii="Times New Roman" w:hAnsi="Times New Roman" w:cs="Times New Roman"/>
          <w:sz w:val="24"/>
          <w:szCs w:val="24"/>
          <w:lang w:val="en-GB"/>
        </w:rPr>
        <w:t>reformers</w:t>
      </w:r>
      <w:r w:rsidR="009B63AF" w:rsidRPr="007C4490">
        <w:rPr>
          <w:rFonts w:ascii="Times New Roman" w:hAnsi="Times New Roman" w:cs="Times New Roman"/>
          <w:sz w:val="24"/>
          <w:szCs w:val="24"/>
          <w:lang w:val="en-GB"/>
        </w:rPr>
        <w:t xml:space="preserve"> intended</w:t>
      </w:r>
      <w:r w:rsidR="00F6291F" w:rsidRPr="007C4490">
        <w:rPr>
          <w:rFonts w:ascii="Times New Roman" w:hAnsi="Times New Roman" w:cs="Times New Roman"/>
          <w:sz w:val="24"/>
          <w:szCs w:val="24"/>
          <w:lang w:val="en-GB"/>
        </w:rPr>
        <w:t xml:space="preserve"> (</w:t>
      </w:r>
      <w:r w:rsidR="00DC0316">
        <w:rPr>
          <w:rFonts w:ascii="Times New Roman" w:hAnsi="Times New Roman" w:cs="Times New Roman"/>
          <w:sz w:val="24"/>
          <w:szCs w:val="24"/>
          <w:lang w:val="en-GB"/>
        </w:rPr>
        <w:t xml:space="preserve">see e.g. </w:t>
      </w:r>
      <w:proofErr w:type="spellStart"/>
      <w:r w:rsidR="00F6291F" w:rsidRPr="007C4490">
        <w:rPr>
          <w:rFonts w:ascii="Times New Roman" w:hAnsi="Times New Roman" w:cs="Times New Roman"/>
          <w:sz w:val="24"/>
          <w:szCs w:val="24"/>
          <w:lang w:val="en-GB"/>
        </w:rPr>
        <w:t>Mittlestadt</w:t>
      </w:r>
      <w:proofErr w:type="spellEnd"/>
      <w:r w:rsidR="00F6291F" w:rsidRPr="007C4490">
        <w:rPr>
          <w:rFonts w:ascii="Times New Roman" w:hAnsi="Times New Roman" w:cs="Times New Roman"/>
          <w:sz w:val="24"/>
          <w:szCs w:val="24"/>
          <w:lang w:val="en-GB"/>
        </w:rPr>
        <w:t xml:space="preserve"> 2006)</w:t>
      </w:r>
      <w:r w:rsidR="00B62402" w:rsidRPr="007C4490">
        <w:rPr>
          <w:rFonts w:ascii="Times New Roman" w:hAnsi="Times New Roman" w:cs="Times New Roman"/>
          <w:sz w:val="24"/>
          <w:szCs w:val="24"/>
          <w:lang w:val="en-GB"/>
        </w:rPr>
        <w:t xml:space="preserve">. Moreover, </w:t>
      </w:r>
      <w:r w:rsidR="00DC0316">
        <w:rPr>
          <w:rFonts w:ascii="Times New Roman" w:hAnsi="Times New Roman" w:cs="Times New Roman"/>
          <w:sz w:val="24"/>
          <w:szCs w:val="24"/>
          <w:lang w:val="en-GB"/>
        </w:rPr>
        <w:t xml:space="preserve">the </w:t>
      </w:r>
      <w:r w:rsidR="00B62402" w:rsidRPr="007C4490">
        <w:rPr>
          <w:rFonts w:ascii="Times New Roman" w:hAnsi="Times New Roman" w:cs="Times New Roman"/>
          <w:sz w:val="24"/>
          <w:szCs w:val="24"/>
          <w:lang w:val="en-GB"/>
        </w:rPr>
        <w:t xml:space="preserve">implementation </w:t>
      </w:r>
      <w:r w:rsidR="00DC0316">
        <w:rPr>
          <w:rFonts w:ascii="Times New Roman" w:hAnsi="Times New Roman" w:cs="Times New Roman"/>
          <w:sz w:val="24"/>
          <w:szCs w:val="24"/>
          <w:lang w:val="en-GB"/>
        </w:rPr>
        <w:t>of drift-correcting polic</w:t>
      </w:r>
      <w:r w:rsidR="00E00757">
        <w:rPr>
          <w:rFonts w:ascii="Times New Roman" w:hAnsi="Times New Roman" w:cs="Times New Roman"/>
          <w:sz w:val="24"/>
          <w:szCs w:val="24"/>
          <w:lang w:val="en-GB"/>
        </w:rPr>
        <w:t>y</w:t>
      </w:r>
      <w:r w:rsidR="00DC0316">
        <w:rPr>
          <w:rFonts w:ascii="Times New Roman" w:hAnsi="Times New Roman" w:cs="Times New Roman"/>
          <w:sz w:val="24"/>
          <w:szCs w:val="24"/>
          <w:lang w:val="en-GB"/>
        </w:rPr>
        <w:t xml:space="preserve"> may falter when it occurs over </w:t>
      </w:r>
      <w:r w:rsidR="00B62402" w:rsidRPr="007C4490">
        <w:rPr>
          <w:rFonts w:ascii="Times New Roman" w:hAnsi="Times New Roman" w:cs="Times New Roman"/>
          <w:sz w:val="24"/>
          <w:szCs w:val="24"/>
          <w:lang w:val="en-GB"/>
        </w:rPr>
        <w:t>a long period of time and involve</w:t>
      </w:r>
      <w:r w:rsidR="00DC0316">
        <w:rPr>
          <w:rFonts w:ascii="Times New Roman" w:hAnsi="Times New Roman" w:cs="Times New Roman"/>
          <w:sz w:val="24"/>
          <w:szCs w:val="24"/>
          <w:lang w:val="en-GB"/>
        </w:rPr>
        <w:t>s</w:t>
      </w:r>
      <w:r w:rsidR="00B62402" w:rsidRPr="007C4490">
        <w:rPr>
          <w:rFonts w:ascii="Times New Roman" w:hAnsi="Times New Roman" w:cs="Times New Roman"/>
          <w:sz w:val="24"/>
          <w:szCs w:val="24"/>
          <w:lang w:val="en-GB"/>
        </w:rPr>
        <w:t xml:space="preserve"> multiple veto actors located at different levels of government</w:t>
      </w:r>
      <w:r w:rsidR="00DC0316">
        <w:rPr>
          <w:rFonts w:ascii="Times New Roman" w:hAnsi="Times New Roman" w:cs="Times New Roman"/>
          <w:sz w:val="24"/>
          <w:szCs w:val="24"/>
          <w:lang w:val="en-GB"/>
        </w:rPr>
        <w:t>, who may redirect or stymie program goals</w:t>
      </w:r>
      <w:r w:rsidR="00F6291F" w:rsidRPr="007C4490">
        <w:rPr>
          <w:rFonts w:ascii="Times New Roman" w:hAnsi="Times New Roman" w:cs="Times New Roman"/>
          <w:sz w:val="24"/>
          <w:szCs w:val="24"/>
          <w:lang w:val="en-GB"/>
        </w:rPr>
        <w:t xml:space="preserve"> (Pressman and </w:t>
      </w:r>
      <w:proofErr w:type="spellStart"/>
      <w:r w:rsidR="00F6291F" w:rsidRPr="007C4490">
        <w:rPr>
          <w:rFonts w:ascii="Times New Roman" w:hAnsi="Times New Roman" w:cs="Times New Roman"/>
          <w:sz w:val="24"/>
          <w:szCs w:val="24"/>
          <w:lang w:val="en-GB"/>
        </w:rPr>
        <w:t>Wildavsky</w:t>
      </w:r>
      <w:proofErr w:type="spellEnd"/>
      <w:r w:rsidR="00F6291F" w:rsidRPr="007C4490">
        <w:rPr>
          <w:rFonts w:ascii="Times New Roman" w:hAnsi="Times New Roman" w:cs="Times New Roman"/>
          <w:sz w:val="24"/>
          <w:szCs w:val="24"/>
          <w:lang w:val="en-GB"/>
        </w:rPr>
        <w:t xml:space="preserve"> 1973)</w:t>
      </w:r>
      <w:r w:rsidR="00B62402" w:rsidRPr="007C4490">
        <w:rPr>
          <w:rFonts w:ascii="Times New Roman" w:hAnsi="Times New Roman" w:cs="Times New Roman"/>
          <w:sz w:val="24"/>
          <w:szCs w:val="24"/>
          <w:lang w:val="en-GB"/>
        </w:rPr>
        <w:t>.</w:t>
      </w:r>
      <w:r w:rsidR="00F6291F" w:rsidRPr="007C4490">
        <w:rPr>
          <w:rFonts w:ascii="Times New Roman" w:hAnsi="Times New Roman" w:cs="Times New Roman"/>
          <w:sz w:val="24"/>
          <w:szCs w:val="24"/>
          <w:lang w:val="en-GB"/>
        </w:rPr>
        <w:t xml:space="preserve"> Additionally, opponents of major reforms may in many cases attempt to undo them after their enactment (</w:t>
      </w:r>
      <w:proofErr w:type="spellStart"/>
      <w:r w:rsidR="00F6291F" w:rsidRPr="007C4490">
        <w:rPr>
          <w:rFonts w:ascii="Times New Roman" w:hAnsi="Times New Roman" w:cs="Times New Roman"/>
          <w:sz w:val="24"/>
          <w:szCs w:val="24"/>
          <w:lang w:val="en-GB"/>
        </w:rPr>
        <w:t>Patashnik</w:t>
      </w:r>
      <w:proofErr w:type="spellEnd"/>
      <w:r w:rsidR="00F6291F" w:rsidRPr="007C4490">
        <w:rPr>
          <w:rFonts w:ascii="Times New Roman" w:hAnsi="Times New Roman" w:cs="Times New Roman"/>
          <w:sz w:val="24"/>
          <w:szCs w:val="24"/>
          <w:lang w:val="en-GB"/>
        </w:rPr>
        <w:t xml:space="preserve"> 2008).</w:t>
      </w:r>
      <w:r w:rsidR="00547E75" w:rsidRPr="007C4490">
        <w:rPr>
          <w:rFonts w:ascii="Times New Roman" w:hAnsi="Times New Roman" w:cs="Times New Roman"/>
          <w:sz w:val="24"/>
          <w:szCs w:val="24"/>
          <w:lang w:val="en-GB"/>
        </w:rPr>
        <w:t xml:space="preserve"> </w:t>
      </w:r>
      <w:r w:rsidR="00B62402" w:rsidRPr="007C4490">
        <w:rPr>
          <w:rFonts w:ascii="Times New Roman" w:hAnsi="Times New Roman" w:cs="Times New Roman"/>
          <w:sz w:val="24"/>
          <w:szCs w:val="24"/>
          <w:lang w:val="en-GB"/>
        </w:rPr>
        <w:t xml:space="preserve">This situation further complicates the analysis of both formal revision and policy drift, for the simple reason that one cannot assume that legislative </w:t>
      </w:r>
      <w:r w:rsidR="009B63AF" w:rsidRPr="007C4490">
        <w:rPr>
          <w:rFonts w:ascii="Times New Roman" w:hAnsi="Times New Roman" w:cs="Times New Roman"/>
          <w:sz w:val="24"/>
          <w:szCs w:val="24"/>
          <w:lang w:val="en-GB"/>
        </w:rPr>
        <w:t>reforms, however significant, will be capable of alleviating drift</w:t>
      </w:r>
      <w:r w:rsidR="00B62402" w:rsidRPr="007C4490">
        <w:rPr>
          <w:rFonts w:ascii="Times New Roman" w:hAnsi="Times New Roman" w:cs="Times New Roman"/>
          <w:sz w:val="24"/>
          <w:szCs w:val="24"/>
          <w:lang w:val="en-GB"/>
        </w:rPr>
        <w:t xml:space="preserve">. </w:t>
      </w:r>
      <w:r w:rsidR="00F6291F" w:rsidRPr="007C4490">
        <w:rPr>
          <w:rFonts w:ascii="Times New Roman" w:hAnsi="Times New Roman" w:cs="Times New Roman"/>
          <w:sz w:val="24"/>
          <w:szCs w:val="24"/>
          <w:lang w:val="en-GB"/>
        </w:rPr>
        <w:t>Thus</w:t>
      </w:r>
      <w:r w:rsidR="002F64E5" w:rsidRPr="007C4490">
        <w:rPr>
          <w:rFonts w:ascii="Times New Roman" w:hAnsi="Times New Roman" w:cs="Times New Roman"/>
          <w:sz w:val="24"/>
          <w:szCs w:val="24"/>
          <w:lang w:val="en-GB"/>
        </w:rPr>
        <w:t>,</w:t>
      </w:r>
      <w:r w:rsidR="00F6291F" w:rsidRPr="007C4490">
        <w:rPr>
          <w:rFonts w:ascii="Times New Roman" w:hAnsi="Times New Roman" w:cs="Times New Roman"/>
          <w:sz w:val="24"/>
          <w:szCs w:val="24"/>
          <w:lang w:val="en-GB"/>
        </w:rPr>
        <w:t xml:space="preserve"> </w:t>
      </w:r>
      <w:r w:rsidR="00A539CA" w:rsidRPr="007C4490">
        <w:rPr>
          <w:rFonts w:ascii="Times New Roman" w:hAnsi="Times New Roman" w:cs="Times New Roman"/>
          <w:sz w:val="24"/>
          <w:szCs w:val="24"/>
          <w:lang w:val="en-GB"/>
        </w:rPr>
        <w:t>policy analyses</w:t>
      </w:r>
      <w:r w:rsidR="00F6291F" w:rsidRPr="007C4490">
        <w:rPr>
          <w:rFonts w:ascii="Times New Roman" w:hAnsi="Times New Roman" w:cs="Times New Roman"/>
          <w:sz w:val="24"/>
          <w:szCs w:val="24"/>
          <w:lang w:val="en-GB"/>
        </w:rPr>
        <w:t xml:space="preserve"> should investigate how formal revisions alleviate or fail to alleviate specific symptoms of drift. </w:t>
      </w:r>
    </w:p>
    <w:p w14:paraId="1A4E0728" w14:textId="77777777" w:rsidR="00DC7E27" w:rsidRPr="007C4490" w:rsidRDefault="00CB5E99" w:rsidP="00282389">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Third</w:t>
      </w:r>
      <w:r w:rsidR="002D7440" w:rsidRPr="007C4490">
        <w:rPr>
          <w:rFonts w:ascii="Times New Roman" w:hAnsi="Times New Roman" w:cs="Times New Roman"/>
          <w:sz w:val="24"/>
          <w:szCs w:val="24"/>
          <w:lang w:val="en-GB"/>
        </w:rPr>
        <w:t xml:space="preserve">, the analysis of policy drift is subject to a general remark that applies to other forms of policy change as well: the central methodological issue of the time frame used by </w:t>
      </w:r>
      <w:r w:rsidR="002D7440" w:rsidRPr="007C4490">
        <w:rPr>
          <w:rFonts w:ascii="Times New Roman" w:hAnsi="Times New Roman" w:cs="Times New Roman"/>
          <w:sz w:val="24"/>
          <w:szCs w:val="24"/>
          <w:lang w:val="en-GB"/>
        </w:rPr>
        <w:lastRenderedPageBreak/>
        <w:t xml:space="preserve">researchers to assess change. As John L. Campbell (2004: 42) notes, </w:t>
      </w:r>
      <w:r w:rsidR="006A4FBF" w:rsidRPr="007C4490">
        <w:rPr>
          <w:rFonts w:ascii="Times New Roman" w:hAnsi="Times New Roman" w:cs="Times New Roman"/>
          <w:sz w:val="24"/>
          <w:szCs w:val="24"/>
          <w:lang w:val="en-GB"/>
        </w:rPr>
        <w:t>‘</w:t>
      </w:r>
      <w:proofErr w:type="spellStart"/>
      <w:r w:rsidR="002D7440" w:rsidRPr="007C4490">
        <w:rPr>
          <w:rFonts w:ascii="Times New Roman" w:hAnsi="Times New Roman" w:cs="Times New Roman"/>
          <w:sz w:val="24"/>
          <w:szCs w:val="24"/>
          <w:lang w:val="en-GB"/>
        </w:rPr>
        <w:t>institutionalists</w:t>
      </w:r>
      <w:proofErr w:type="spellEnd"/>
      <w:r w:rsidR="002D7440" w:rsidRPr="007C4490">
        <w:rPr>
          <w:rFonts w:ascii="Times New Roman" w:hAnsi="Times New Roman" w:cs="Times New Roman"/>
          <w:sz w:val="24"/>
          <w:szCs w:val="24"/>
          <w:lang w:val="en-GB"/>
        </w:rPr>
        <w:t xml:space="preserve"> and others have virtually ignored the issue of how we should specify the time frame over which we track institutions in our effort to determine how much institutional change has occurre</w:t>
      </w:r>
      <w:r w:rsidR="002F64E5" w:rsidRPr="007C4490">
        <w:rPr>
          <w:rFonts w:ascii="Times New Roman" w:hAnsi="Times New Roman" w:cs="Times New Roman"/>
          <w:sz w:val="24"/>
          <w:szCs w:val="24"/>
          <w:lang w:val="en-GB"/>
        </w:rPr>
        <w:t>d and what pattern it has taken</w:t>
      </w:r>
      <w:r w:rsidR="006A4FBF" w:rsidRPr="007C4490">
        <w:rPr>
          <w:rFonts w:ascii="Times New Roman" w:hAnsi="Times New Roman" w:cs="Times New Roman"/>
          <w:sz w:val="24"/>
          <w:szCs w:val="24"/>
          <w:lang w:val="en-GB"/>
        </w:rPr>
        <w:t>’</w:t>
      </w:r>
      <w:r w:rsidR="002F64E5" w:rsidRPr="007C4490">
        <w:rPr>
          <w:rFonts w:ascii="Times New Roman" w:hAnsi="Times New Roman" w:cs="Times New Roman"/>
          <w:sz w:val="24"/>
          <w:szCs w:val="24"/>
          <w:lang w:val="en-GB"/>
        </w:rPr>
        <w:t>.</w:t>
      </w:r>
      <w:r w:rsidR="002D7440" w:rsidRPr="007C4490">
        <w:rPr>
          <w:rFonts w:ascii="Times New Roman" w:hAnsi="Times New Roman" w:cs="Times New Roman"/>
          <w:sz w:val="24"/>
          <w:szCs w:val="24"/>
          <w:lang w:val="en-GB"/>
        </w:rPr>
        <w:t xml:space="preserve"> Such remarks are especially relevant for the analysis of incremental yet transformative policy change such as conversion, layering and</w:t>
      </w:r>
      <w:r w:rsidR="00E76A3F" w:rsidRPr="007C4490">
        <w:rPr>
          <w:rFonts w:ascii="Times New Roman" w:hAnsi="Times New Roman" w:cs="Times New Roman"/>
          <w:sz w:val="24"/>
          <w:szCs w:val="24"/>
          <w:lang w:val="en-GB"/>
        </w:rPr>
        <w:t xml:space="preserve"> particularly</w:t>
      </w:r>
      <w:r w:rsidR="002D7440" w:rsidRPr="007C4490">
        <w:rPr>
          <w:rFonts w:ascii="Times New Roman" w:hAnsi="Times New Roman" w:cs="Times New Roman"/>
          <w:sz w:val="24"/>
          <w:szCs w:val="24"/>
          <w:lang w:val="en-GB"/>
        </w:rPr>
        <w:t xml:space="preserve"> policy drift</w:t>
      </w:r>
      <w:r w:rsidR="009B63AF" w:rsidRPr="007C4490">
        <w:rPr>
          <w:rFonts w:ascii="Times New Roman" w:hAnsi="Times New Roman" w:cs="Times New Roman"/>
          <w:sz w:val="24"/>
          <w:szCs w:val="24"/>
          <w:lang w:val="en-GB"/>
        </w:rPr>
        <w:t>. Drift, by definition,</w:t>
      </w:r>
      <w:r w:rsidR="00E76A3F" w:rsidRPr="007C4490">
        <w:rPr>
          <w:rFonts w:ascii="Times New Roman" w:hAnsi="Times New Roman" w:cs="Times New Roman"/>
          <w:sz w:val="24"/>
          <w:szCs w:val="24"/>
          <w:lang w:val="en-GB"/>
        </w:rPr>
        <w:t xml:space="preserve"> involves comparing an existing policy’s effectiveness at different points in time</w:t>
      </w:r>
      <w:r w:rsidR="002D7440" w:rsidRPr="007C4490">
        <w:rPr>
          <w:rFonts w:ascii="Times New Roman" w:hAnsi="Times New Roman" w:cs="Times New Roman"/>
          <w:sz w:val="24"/>
          <w:szCs w:val="24"/>
          <w:lang w:val="en-GB"/>
        </w:rPr>
        <w:t xml:space="preserve">. Because drift is </w:t>
      </w:r>
      <w:r w:rsidR="00E76A3F" w:rsidRPr="007C4490">
        <w:rPr>
          <w:rFonts w:ascii="Times New Roman" w:hAnsi="Times New Roman" w:cs="Times New Roman"/>
          <w:sz w:val="24"/>
          <w:szCs w:val="24"/>
          <w:lang w:val="en-GB"/>
        </w:rPr>
        <w:t xml:space="preserve">likely to be </w:t>
      </w:r>
      <w:r w:rsidR="002F64E5" w:rsidRPr="007C4490">
        <w:rPr>
          <w:rFonts w:ascii="Times New Roman" w:hAnsi="Times New Roman" w:cs="Times New Roman"/>
          <w:sz w:val="24"/>
          <w:szCs w:val="24"/>
          <w:lang w:val="en-GB"/>
        </w:rPr>
        <w:t xml:space="preserve">a slow </w:t>
      </w:r>
      <w:r w:rsidR="002D7440" w:rsidRPr="007C4490">
        <w:rPr>
          <w:rFonts w:ascii="Times New Roman" w:hAnsi="Times New Roman" w:cs="Times New Roman"/>
          <w:sz w:val="24"/>
          <w:szCs w:val="24"/>
          <w:lang w:val="en-GB"/>
        </w:rPr>
        <w:t>moving process, definitive conclusions about the scope and the direction of policy drift are hard to reach and setting a time frame for the analysis is tricky, as gradual trends in the economic and social environment</w:t>
      </w:r>
      <w:r w:rsidR="002F64E5" w:rsidRPr="007C4490">
        <w:rPr>
          <w:rFonts w:ascii="Times New Roman" w:hAnsi="Times New Roman" w:cs="Times New Roman"/>
          <w:sz w:val="24"/>
          <w:szCs w:val="24"/>
          <w:lang w:val="en-GB"/>
        </w:rPr>
        <w:t>,</w:t>
      </w:r>
      <w:r w:rsidR="002D7440" w:rsidRPr="007C4490">
        <w:rPr>
          <w:rFonts w:ascii="Times New Roman" w:hAnsi="Times New Roman" w:cs="Times New Roman"/>
          <w:sz w:val="24"/>
          <w:szCs w:val="24"/>
          <w:lang w:val="en-GB"/>
        </w:rPr>
        <w:t xml:space="preserve"> as well as the more sudden and visible impact of formal revision</w:t>
      </w:r>
      <w:r w:rsidR="002F64E5" w:rsidRPr="007C4490">
        <w:rPr>
          <w:rFonts w:ascii="Times New Roman" w:hAnsi="Times New Roman" w:cs="Times New Roman"/>
          <w:sz w:val="24"/>
          <w:szCs w:val="24"/>
          <w:lang w:val="en-GB"/>
        </w:rPr>
        <w:t>,</w:t>
      </w:r>
      <w:r w:rsidR="002D7440" w:rsidRPr="007C4490">
        <w:rPr>
          <w:rFonts w:ascii="Times New Roman" w:hAnsi="Times New Roman" w:cs="Times New Roman"/>
          <w:sz w:val="24"/>
          <w:szCs w:val="24"/>
          <w:lang w:val="en-GB"/>
        </w:rPr>
        <w:t xml:space="preserve"> can alter our diagnoses about the potential existence and the nature of policy change in a particular national and historical context. This claim might lead scholars to constantly monitor the ever evolving situation in the policy areas they are interested in, as a way to </w:t>
      </w:r>
      <w:r w:rsidR="002B2227" w:rsidRPr="007C4490">
        <w:rPr>
          <w:rFonts w:ascii="Times New Roman" w:hAnsi="Times New Roman" w:cs="Times New Roman"/>
          <w:sz w:val="24"/>
          <w:szCs w:val="24"/>
          <w:lang w:val="en-GB"/>
        </w:rPr>
        <w:t>follow the development of incremental and potentially transformative social policy change in real time. Another option, which is the one we adopt in the fol</w:t>
      </w:r>
      <w:r w:rsidR="00B75F80" w:rsidRPr="007C4490">
        <w:rPr>
          <w:rFonts w:ascii="Times New Roman" w:hAnsi="Times New Roman" w:cs="Times New Roman"/>
          <w:sz w:val="24"/>
          <w:szCs w:val="24"/>
          <w:lang w:val="en-GB"/>
        </w:rPr>
        <w:t xml:space="preserve">lowing analysis, is to return to the cases </w:t>
      </w:r>
      <w:r w:rsidR="0069376D" w:rsidRPr="007C4490">
        <w:rPr>
          <w:rFonts w:ascii="Times New Roman" w:hAnsi="Times New Roman" w:cs="Times New Roman"/>
          <w:sz w:val="24"/>
          <w:szCs w:val="24"/>
          <w:lang w:val="en-GB"/>
        </w:rPr>
        <w:t>analy</w:t>
      </w:r>
      <w:r w:rsidR="00D82CF8" w:rsidRPr="007C4490">
        <w:rPr>
          <w:rFonts w:ascii="Times New Roman" w:hAnsi="Times New Roman" w:cs="Times New Roman"/>
          <w:sz w:val="24"/>
          <w:szCs w:val="24"/>
          <w:lang w:val="en-GB"/>
        </w:rPr>
        <w:t>s</w:t>
      </w:r>
      <w:r w:rsidR="0069376D" w:rsidRPr="007C4490">
        <w:rPr>
          <w:rFonts w:ascii="Times New Roman" w:hAnsi="Times New Roman" w:cs="Times New Roman"/>
          <w:sz w:val="24"/>
          <w:szCs w:val="24"/>
          <w:lang w:val="en-GB"/>
        </w:rPr>
        <w:t>ed</w:t>
      </w:r>
      <w:r w:rsidR="00B75F80" w:rsidRPr="007C4490">
        <w:rPr>
          <w:rFonts w:ascii="Times New Roman" w:hAnsi="Times New Roman" w:cs="Times New Roman"/>
          <w:sz w:val="24"/>
          <w:szCs w:val="24"/>
          <w:lang w:val="en-GB"/>
        </w:rPr>
        <w:t xml:space="preserve"> in past studies about policy change</w:t>
      </w:r>
      <w:r w:rsidR="002B2227" w:rsidRPr="007C4490">
        <w:rPr>
          <w:rFonts w:ascii="Times New Roman" w:hAnsi="Times New Roman" w:cs="Times New Roman"/>
          <w:sz w:val="24"/>
          <w:szCs w:val="24"/>
          <w:lang w:val="en-GB"/>
        </w:rPr>
        <w:t xml:space="preserve"> as a way to see how things have continued to evolve since the study </w:t>
      </w:r>
      <w:r w:rsidR="00E76A3F" w:rsidRPr="007C4490">
        <w:rPr>
          <w:rFonts w:ascii="Times New Roman" w:hAnsi="Times New Roman" w:cs="Times New Roman"/>
          <w:sz w:val="24"/>
          <w:szCs w:val="24"/>
          <w:lang w:val="en-GB"/>
        </w:rPr>
        <w:t xml:space="preserve">was initially </w:t>
      </w:r>
      <w:r w:rsidR="002B2227" w:rsidRPr="007C4490">
        <w:rPr>
          <w:rFonts w:ascii="Times New Roman" w:hAnsi="Times New Roman" w:cs="Times New Roman"/>
          <w:sz w:val="24"/>
          <w:szCs w:val="24"/>
          <w:lang w:val="en-GB"/>
        </w:rPr>
        <w:t>conducted. In order to</w:t>
      </w:r>
      <w:r w:rsidR="00B75F80" w:rsidRPr="007C4490">
        <w:rPr>
          <w:rFonts w:ascii="Times New Roman" w:hAnsi="Times New Roman" w:cs="Times New Roman"/>
          <w:sz w:val="24"/>
          <w:szCs w:val="24"/>
          <w:lang w:val="en-GB"/>
        </w:rPr>
        <w:t xml:space="preserve"> do this</w:t>
      </w:r>
      <w:r w:rsidR="002B2227" w:rsidRPr="007C4490">
        <w:rPr>
          <w:rFonts w:ascii="Times New Roman" w:hAnsi="Times New Roman" w:cs="Times New Roman"/>
          <w:sz w:val="24"/>
          <w:szCs w:val="24"/>
          <w:lang w:val="en-GB"/>
        </w:rPr>
        <w:t>, scholars simply need to focus on the same country and policy areas while using similar indicators and data sources to assess the evolution of policy change over time.</w:t>
      </w:r>
      <w:r w:rsidR="00B75F80" w:rsidRPr="007C4490">
        <w:rPr>
          <w:rFonts w:ascii="Times New Roman" w:hAnsi="Times New Roman" w:cs="Times New Roman"/>
          <w:sz w:val="24"/>
          <w:szCs w:val="24"/>
          <w:lang w:val="en-GB"/>
        </w:rPr>
        <w:t xml:space="preserve"> Revisiting Hacker’s cases</w:t>
      </w:r>
      <w:r w:rsidR="003B3EB0" w:rsidRPr="007C4490">
        <w:rPr>
          <w:rFonts w:ascii="Times New Roman" w:hAnsi="Times New Roman" w:cs="Times New Roman"/>
          <w:sz w:val="24"/>
          <w:szCs w:val="24"/>
          <w:lang w:val="en-GB"/>
        </w:rPr>
        <w:t xml:space="preserve"> is a </w:t>
      </w:r>
      <w:r w:rsidR="00B75F80" w:rsidRPr="007C4490">
        <w:rPr>
          <w:rFonts w:ascii="Times New Roman" w:hAnsi="Times New Roman" w:cs="Times New Roman"/>
          <w:sz w:val="24"/>
          <w:szCs w:val="24"/>
          <w:lang w:val="en-GB"/>
        </w:rPr>
        <w:t xml:space="preserve">good </w:t>
      </w:r>
      <w:r w:rsidR="003B3EB0" w:rsidRPr="007C4490">
        <w:rPr>
          <w:rFonts w:ascii="Times New Roman" w:hAnsi="Times New Roman" w:cs="Times New Roman"/>
          <w:sz w:val="24"/>
          <w:szCs w:val="24"/>
          <w:lang w:val="en-GB"/>
        </w:rPr>
        <w:t xml:space="preserve">way to move </w:t>
      </w:r>
      <w:r w:rsidR="00B75F80" w:rsidRPr="007C4490">
        <w:rPr>
          <w:rFonts w:ascii="Times New Roman" w:hAnsi="Times New Roman" w:cs="Times New Roman"/>
          <w:sz w:val="24"/>
          <w:szCs w:val="24"/>
          <w:lang w:val="en-GB"/>
        </w:rPr>
        <w:t xml:space="preserve">the </w:t>
      </w:r>
      <w:r w:rsidR="003B3EB0" w:rsidRPr="007C4490">
        <w:rPr>
          <w:rFonts w:ascii="Times New Roman" w:hAnsi="Times New Roman" w:cs="Times New Roman"/>
          <w:sz w:val="24"/>
          <w:szCs w:val="24"/>
          <w:lang w:val="en-GB"/>
        </w:rPr>
        <w:t xml:space="preserve">analysis </w:t>
      </w:r>
      <w:r w:rsidR="00B75F80" w:rsidRPr="007C4490">
        <w:rPr>
          <w:rFonts w:ascii="Times New Roman" w:hAnsi="Times New Roman" w:cs="Times New Roman"/>
          <w:sz w:val="24"/>
          <w:szCs w:val="24"/>
          <w:lang w:val="en-GB"/>
        </w:rPr>
        <w:t xml:space="preserve">of social policy change </w:t>
      </w:r>
      <w:r w:rsidR="003B3EB0" w:rsidRPr="007C4490">
        <w:rPr>
          <w:rFonts w:ascii="Times New Roman" w:hAnsi="Times New Roman" w:cs="Times New Roman"/>
          <w:sz w:val="24"/>
          <w:szCs w:val="24"/>
          <w:lang w:val="en-GB"/>
        </w:rPr>
        <w:t>forward and, considering the issue of time frame</w:t>
      </w:r>
      <w:r w:rsidR="00DC7E27" w:rsidRPr="007C4490">
        <w:rPr>
          <w:rFonts w:ascii="Times New Roman" w:hAnsi="Times New Roman" w:cs="Times New Roman"/>
          <w:sz w:val="24"/>
          <w:szCs w:val="24"/>
          <w:lang w:val="en-GB"/>
        </w:rPr>
        <w:t xml:space="preserve">, </w:t>
      </w:r>
      <w:r w:rsidR="00B75F80" w:rsidRPr="007C4490">
        <w:rPr>
          <w:rFonts w:ascii="Times New Roman" w:hAnsi="Times New Roman" w:cs="Times New Roman"/>
          <w:sz w:val="24"/>
          <w:szCs w:val="24"/>
          <w:lang w:val="en-GB"/>
        </w:rPr>
        <w:t xml:space="preserve">it is </w:t>
      </w:r>
      <w:r w:rsidR="00DC7E27" w:rsidRPr="007C4490">
        <w:rPr>
          <w:rFonts w:ascii="Times New Roman" w:hAnsi="Times New Roman" w:cs="Times New Roman"/>
          <w:sz w:val="24"/>
          <w:szCs w:val="24"/>
          <w:lang w:val="en-GB"/>
        </w:rPr>
        <w:t xml:space="preserve">especially </w:t>
      </w:r>
      <w:r w:rsidR="003B3EB0" w:rsidRPr="007C4490">
        <w:rPr>
          <w:rFonts w:ascii="Times New Roman" w:hAnsi="Times New Roman" w:cs="Times New Roman"/>
          <w:sz w:val="24"/>
          <w:szCs w:val="24"/>
          <w:lang w:val="en-GB"/>
        </w:rPr>
        <w:t>rele</w:t>
      </w:r>
      <w:r w:rsidR="00B75F80" w:rsidRPr="007C4490">
        <w:rPr>
          <w:rFonts w:ascii="Times New Roman" w:hAnsi="Times New Roman" w:cs="Times New Roman"/>
          <w:sz w:val="24"/>
          <w:szCs w:val="24"/>
          <w:lang w:val="en-GB"/>
        </w:rPr>
        <w:t>vant for</w:t>
      </w:r>
      <w:r w:rsidR="003B3EB0" w:rsidRPr="007C4490">
        <w:rPr>
          <w:rFonts w:ascii="Times New Roman" w:hAnsi="Times New Roman" w:cs="Times New Roman"/>
          <w:sz w:val="24"/>
          <w:szCs w:val="24"/>
          <w:lang w:val="en-GB"/>
        </w:rPr>
        <w:t xml:space="preserve"> the analysis of drift and other forms of incremental yet potentially transformative policy change</w:t>
      </w:r>
      <w:r w:rsidR="00DC7E27" w:rsidRPr="007C4490">
        <w:rPr>
          <w:rFonts w:ascii="Times New Roman" w:hAnsi="Times New Roman" w:cs="Times New Roman"/>
          <w:sz w:val="24"/>
          <w:szCs w:val="24"/>
          <w:lang w:val="en-GB"/>
        </w:rPr>
        <w:t xml:space="preserve">. </w:t>
      </w:r>
    </w:p>
    <w:p w14:paraId="3E754F81" w14:textId="74F21ADB" w:rsidR="00777B55" w:rsidRPr="007C4490" w:rsidRDefault="00F6291F" w:rsidP="00282389">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Revisiting Hacker’s</w:t>
      </w:r>
      <w:r w:rsidR="00BC5A62" w:rsidRPr="007C4490">
        <w:rPr>
          <w:rFonts w:ascii="Times New Roman" w:hAnsi="Times New Roman" w:cs="Times New Roman"/>
          <w:sz w:val="24"/>
          <w:szCs w:val="24"/>
          <w:lang w:val="en-GB"/>
        </w:rPr>
        <w:t xml:space="preserve"> </w:t>
      </w:r>
      <w:r w:rsidR="00DC7E27" w:rsidRPr="007C4490">
        <w:rPr>
          <w:rFonts w:ascii="Times New Roman" w:hAnsi="Times New Roman" w:cs="Times New Roman"/>
          <w:sz w:val="24"/>
          <w:szCs w:val="24"/>
          <w:lang w:val="en-GB"/>
        </w:rPr>
        <w:t>two</w:t>
      </w:r>
      <w:r w:rsidR="005B4E2F" w:rsidRPr="007C4490">
        <w:rPr>
          <w:rFonts w:ascii="Times New Roman" w:hAnsi="Times New Roman" w:cs="Times New Roman"/>
          <w:sz w:val="24"/>
          <w:szCs w:val="24"/>
          <w:lang w:val="en-GB"/>
        </w:rPr>
        <w:t xml:space="preserve"> US</w:t>
      </w:r>
      <w:r w:rsidR="00482B6D" w:rsidRPr="007C4490">
        <w:rPr>
          <w:rFonts w:ascii="Times New Roman" w:hAnsi="Times New Roman" w:cs="Times New Roman"/>
          <w:sz w:val="24"/>
          <w:szCs w:val="24"/>
          <w:lang w:val="en-GB"/>
        </w:rPr>
        <w:t xml:space="preserve"> </w:t>
      </w:r>
      <w:r w:rsidR="00BC5A62" w:rsidRPr="007C4490">
        <w:rPr>
          <w:rFonts w:ascii="Times New Roman" w:hAnsi="Times New Roman" w:cs="Times New Roman"/>
          <w:sz w:val="24"/>
          <w:szCs w:val="24"/>
          <w:lang w:val="en-GB"/>
        </w:rPr>
        <w:t>cases (</w:t>
      </w:r>
      <w:r w:rsidR="00DC7E27" w:rsidRPr="007C4490">
        <w:rPr>
          <w:rFonts w:ascii="Times New Roman" w:hAnsi="Times New Roman" w:cs="Times New Roman"/>
          <w:sz w:val="24"/>
          <w:szCs w:val="24"/>
          <w:lang w:val="en-GB"/>
        </w:rPr>
        <w:t>health</w:t>
      </w:r>
      <w:r w:rsidR="00BC5A62" w:rsidRPr="007C4490">
        <w:rPr>
          <w:rFonts w:ascii="Times New Roman" w:hAnsi="Times New Roman" w:cs="Times New Roman"/>
          <w:sz w:val="24"/>
          <w:szCs w:val="24"/>
          <w:lang w:val="en-GB"/>
        </w:rPr>
        <w:t xml:space="preserve"> insurance</w:t>
      </w:r>
      <w:r w:rsidR="00187868" w:rsidRPr="007C4490">
        <w:rPr>
          <w:rFonts w:ascii="Times New Roman" w:hAnsi="Times New Roman" w:cs="Times New Roman"/>
          <w:sz w:val="24"/>
          <w:szCs w:val="24"/>
          <w:lang w:val="en-GB"/>
        </w:rPr>
        <w:t xml:space="preserve"> and retirement security)</w:t>
      </w:r>
      <w:r w:rsidR="00BC5A62" w:rsidRPr="007C4490">
        <w:rPr>
          <w:rFonts w:ascii="Times New Roman" w:hAnsi="Times New Roman" w:cs="Times New Roman"/>
          <w:sz w:val="24"/>
          <w:szCs w:val="24"/>
          <w:lang w:val="en-GB"/>
        </w:rPr>
        <w:t xml:space="preserve"> a dozen years after </w:t>
      </w:r>
      <w:r w:rsidR="00043C0D" w:rsidRPr="007C4490">
        <w:rPr>
          <w:rFonts w:ascii="Times New Roman" w:hAnsi="Times New Roman" w:cs="Times New Roman"/>
          <w:sz w:val="24"/>
          <w:szCs w:val="24"/>
          <w:lang w:val="en-GB"/>
        </w:rPr>
        <w:t>his analysis</w:t>
      </w:r>
      <w:r w:rsidR="00BC5A62" w:rsidRPr="007C4490">
        <w:rPr>
          <w:rFonts w:ascii="Times New Roman" w:hAnsi="Times New Roman" w:cs="Times New Roman"/>
          <w:sz w:val="24"/>
          <w:szCs w:val="24"/>
          <w:lang w:val="en-GB"/>
        </w:rPr>
        <w:t xml:space="preserve"> initially appeared is especially insightful for two fact</w:t>
      </w:r>
      <w:r w:rsidR="00187868" w:rsidRPr="007C4490">
        <w:rPr>
          <w:rFonts w:ascii="Times New Roman" w:hAnsi="Times New Roman" w:cs="Times New Roman"/>
          <w:sz w:val="24"/>
          <w:szCs w:val="24"/>
          <w:lang w:val="en-GB"/>
        </w:rPr>
        <w:t>ors that, taken</w:t>
      </w:r>
      <w:r w:rsidR="00BC5A62" w:rsidRPr="007C4490">
        <w:rPr>
          <w:rFonts w:ascii="Times New Roman" w:hAnsi="Times New Roman" w:cs="Times New Roman"/>
          <w:sz w:val="24"/>
          <w:szCs w:val="24"/>
          <w:lang w:val="en-GB"/>
        </w:rPr>
        <w:t xml:space="preserve"> together</w:t>
      </w:r>
      <w:r w:rsidR="00187868" w:rsidRPr="007C4490">
        <w:rPr>
          <w:rFonts w:ascii="Times New Roman" w:hAnsi="Times New Roman" w:cs="Times New Roman"/>
          <w:sz w:val="24"/>
          <w:szCs w:val="24"/>
          <w:lang w:val="en-GB"/>
        </w:rPr>
        <w:t>,</w:t>
      </w:r>
      <w:r w:rsidR="006825BB" w:rsidRPr="007C4490">
        <w:rPr>
          <w:rFonts w:ascii="Times New Roman" w:hAnsi="Times New Roman" w:cs="Times New Roman"/>
          <w:sz w:val="24"/>
          <w:szCs w:val="24"/>
          <w:lang w:val="en-GB"/>
        </w:rPr>
        <w:t xml:space="preserve"> go to</w:t>
      </w:r>
      <w:r w:rsidR="00BC5A62" w:rsidRPr="007C4490">
        <w:rPr>
          <w:rFonts w:ascii="Times New Roman" w:hAnsi="Times New Roman" w:cs="Times New Roman"/>
          <w:sz w:val="24"/>
          <w:szCs w:val="24"/>
          <w:lang w:val="en-GB"/>
        </w:rPr>
        <w:t xml:space="preserve"> the heart of policy drift analysis</w:t>
      </w:r>
      <w:r w:rsidR="00EE69F9" w:rsidRPr="007C4490">
        <w:rPr>
          <w:rFonts w:ascii="Times New Roman" w:hAnsi="Times New Roman" w:cs="Times New Roman"/>
          <w:sz w:val="24"/>
          <w:szCs w:val="24"/>
          <w:lang w:val="en-GB"/>
        </w:rPr>
        <w:t xml:space="preserve"> since</w:t>
      </w:r>
      <w:r w:rsidR="00187868" w:rsidRPr="007C4490">
        <w:rPr>
          <w:rFonts w:ascii="Times New Roman" w:hAnsi="Times New Roman" w:cs="Times New Roman"/>
          <w:sz w:val="24"/>
          <w:szCs w:val="24"/>
          <w:lang w:val="en-GB"/>
        </w:rPr>
        <w:t xml:space="preserve"> they deal with a changing socio-</w:t>
      </w:r>
      <w:r w:rsidR="00187868" w:rsidRPr="007C4490">
        <w:rPr>
          <w:rFonts w:ascii="Times New Roman" w:hAnsi="Times New Roman" w:cs="Times New Roman"/>
          <w:sz w:val="24"/>
          <w:szCs w:val="24"/>
          <w:lang w:val="en-GB"/>
        </w:rPr>
        <w:lastRenderedPageBreak/>
        <w:t>economic context and attempts at formal revision</w:t>
      </w:r>
      <w:r w:rsidR="00EE69F9" w:rsidRPr="007C4490">
        <w:rPr>
          <w:rFonts w:ascii="Times New Roman" w:hAnsi="Times New Roman" w:cs="Times New Roman"/>
          <w:sz w:val="24"/>
          <w:szCs w:val="24"/>
          <w:lang w:val="en-GB"/>
        </w:rPr>
        <w:t>, respectively</w:t>
      </w:r>
      <w:r w:rsidR="00BC5A62" w:rsidRPr="007C4490">
        <w:rPr>
          <w:rFonts w:ascii="Times New Roman" w:hAnsi="Times New Roman" w:cs="Times New Roman"/>
          <w:sz w:val="24"/>
          <w:szCs w:val="24"/>
          <w:lang w:val="en-GB"/>
        </w:rPr>
        <w:t>.</w:t>
      </w:r>
      <w:r w:rsidR="00187868" w:rsidRPr="007C4490">
        <w:rPr>
          <w:rFonts w:ascii="Times New Roman" w:hAnsi="Times New Roman" w:cs="Times New Roman"/>
          <w:sz w:val="24"/>
          <w:szCs w:val="24"/>
          <w:lang w:val="en-GB"/>
        </w:rPr>
        <w:t xml:space="preserve"> On one hand, </w:t>
      </w:r>
      <w:r w:rsidR="00BF21A0" w:rsidRPr="007C4490">
        <w:rPr>
          <w:rFonts w:ascii="Times New Roman" w:hAnsi="Times New Roman" w:cs="Times New Roman"/>
          <w:sz w:val="24"/>
          <w:szCs w:val="24"/>
          <w:lang w:val="en-GB"/>
        </w:rPr>
        <w:t>regarding context</w:t>
      </w:r>
      <w:r w:rsidR="00187868" w:rsidRPr="007C4490">
        <w:rPr>
          <w:rFonts w:ascii="Times New Roman" w:hAnsi="Times New Roman" w:cs="Times New Roman"/>
          <w:sz w:val="24"/>
          <w:szCs w:val="24"/>
          <w:lang w:val="en-GB"/>
        </w:rPr>
        <w:t xml:space="preserve">, the 2008 financial crisis and the Great Recession it triggered </w:t>
      </w:r>
      <w:r w:rsidR="00BF21A0" w:rsidRPr="007C4490">
        <w:rPr>
          <w:rFonts w:ascii="Times New Roman" w:hAnsi="Times New Roman" w:cs="Times New Roman"/>
          <w:sz w:val="24"/>
          <w:szCs w:val="24"/>
          <w:lang w:val="en-GB"/>
        </w:rPr>
        <w:t>directly impacted</w:t>
      </w:r>
      <w:r w:rsidR="00EE69F9" w:rsidRPr="007C4490">
        <w:rPr>
          <w:rFonts w:ascii="Times New Roman" w:hAnsi="Times New Roman" w:cs="Times New Roman"/>
          <w:sz w:val="24"/>
          <w:szCs w:val="24"/>
          <w:lang w:val="en-GB"/>
        </w:rPr>
        <w:t xml:space="preserve"> U</w:t>
      </w:r>
      <w:r w:rsidR="00482B6D" w:rsidRPr="007C4490">
        <w:rPr>
          <w:rFonts w:ascii="Times New Roman" w:hAnsi="Times New Roman" w:cs="Times New Roman"/>
          <w:sz w:val="24"/>
          <w:szCs w:val="24"/>
          <w:lang w:val="en-GB"/>
        </w:rPr>
        <w:t xml:space="preserve">S </w:t>
      </w:r>
      <w:r w:rsidR="00EE69F9" w:rsidRPr="007C4490">
        <w:rPr>
          <w:rFonts w:ascii="Times New Roman" w:hAnsi="Times New Roman" w:cs="Times New Roman"/>
          <w:sz w:val="24"/>
          <w:szCs w:val="24"/>
          <w:lang w:val="en-GB"/>
        </w:rPr>
        <w:t>social policy</w:t>
      </w:r>
      <w:r w:rsidR="00BF21A0" w:rsidRPr="007C4490">
        <w:rPr>
          <w:rFonts w:ascii="Times New Roman" w:hAnsi="Times New Roman" w:cs="Times New Roman"/>
          <w:sz w:val="24"/>
          <w:szCs w:val="24"/>
          <w:lang w:val="en-GB"/>
        </w:rPr>
        <w:t xml:space="preserve"> in the fields of both health insurance and retirem</w:t>
      </w:r>
      <w:r w:rsidR="00EE69F9" w:rsidRPr="007C4490">
        <w:rPr>
          <w:rFonts w:ascii="Times New Roman" w:hAnsi="Times New Roman" w:cs="Times New Roman"/>
          <w:sz w:val="24"/>
          <w:szCs w:val="24"/>
          <w:lang w:val="en-GB"/>
        </w:rPr>
        <w:t>ent security (</w:t>
      </w:r>
      <w:proofErr w:type="spellStart"/>
      <w:r w:rsidR="00EE69F9" w:rsidRPr="007C4490">
        <w:rPr>
          <w:rFonts w:ascii="Times New Roman" w:hAnsi="Times New Roman" w:cs="Times New Roman"/>
          <w:sz w:val="24"/>
          <w:szCs w:val="24"/>
          <w:lang w:val="en-GB"/>
        </w:rPr>
        <w:t>Béland</w:t>
      </w:r>
      <w:proofErr w:type="spellEnd"/>
      <w:r w:rsidR="00EE69F9" w:rsidRPr="007C4490">
        <w:rPr>
          <w:rFonts w:ascii="Times New Roman" w:hAnsi="Times New Roman" w:cs="Times New Roman"/>
          <w:sz w:val="24"/>
          <w:szCs w:val="24"/>
          <w:lang w:val="en-GB"/>
        </w:rPr>
        <w:t xml:space="preserve"> and Waddan</w:t>
      </w:r>
      <w:r w:rsidR="00BF21A0" w:rsidRPr="007C4490">
        <w:rPr>
          <w:rFonts w:ascii="Times New Roman" w:hAnsi="Times New Roman" w:cs="Times New Roman"/>
          <w:sz w:val="24"/>
          <w:szCs w:val="24"/>
          <w:lang w:val="en-GB"/>
        </w:rPr>
        <w:t xml:space="preserve"> 2012</w:t>
      </w:r>
      <w:r w:rsidR="00043C0D" w:rsidRPr="007C4490">
        <w:rPr>
          <w:rFonts w:ascii="Times New Roman" w:hAnsi="Times New Roman" w:cs="Times New Roman"/>
          <w:sz w:val="24"/>
          <w:szCs w:val="24"/>
          <w:lang w:val="en-GB"/>
        </w:rPr>
        <w:t>a</w:t>
      </w:r>
      <w:r w:rsidR="00BF21A0" w:rsidRPr="007C4490">
        <w:rPr>
          <w:rFonts w:ascii="Times New Roman" w:hAnsi="Times New Roman" w:cs="Times New Roman"/>
          <w:sz w:val="24"/>
          <w:szCs w:val="24"/>
          <w:lang w:val="en-GB"/>
        </w:rPr>
        <w:t xml:space="preserve">). Considering the profound impact of the Great Recession, </w:t>
      </w:r>
      <w:r w:rsidR="00AC48AA" w:rsidRPr="007C4490">
        <w:rPr>
          <w:rFonts w:ascii="Times New Roman" w:hAnsi="Times New Roman" w:cs="Times New Roman"/>
          <w:sz w:val="24"/>
          <w:szCs w:val="24"/>
          <w:lang w:val="en-GB"/>
        </w:rPr>
        <w:t xml:space="preserve">systematically </w:t>
      </w:r>
      <w:r w:rsidR="00BF21A0" w:rsidRPr="007C4490">
        <w:rPr>
          <w:rFonts w:ascii="Times New Roman" w:hAnsi="Times New Roman" w:cs="Times New Roman"/>
          <w:sz w:val="24"/>
          <w:szCs w:val="24"/>
          <w:lang w:val="en-GB"/>
        </w:rPr>
        <w:t xml:space="preserve">assessing its </w:t>
      </w:r>
      <w:r w:rsidRPr="007C4490">
        <w:rPr>
          <w:rFonts w:ascii="Times New Roman" w:hAnsi="Times New Roman" w:cs="Times New Roman"/>
          <w:sz w:val="24"/>
          <w:szCs w:val="24"/>
          <w:lang w:val="en-GB"/>
        </w:rPr>
        <w:t xml:space="preserve">potential deepening of the pattern of </w:t>
      </w:r>
      <w:r w:rsidR="00BF21A0" w:rsidRPr="007C4490">
        <w:rPr>
          <w:rFonts w:ascii="Times New Roman" w:hAnsi="Times New Roman" w:cs="Times New Roman"/>
          <w:sz w:val="24"/>
          <w:szCs w:val="24"/>
          <w:lang w:val="en-GB"/>
        </w:rPr>
        <w:t xml:space="preserve">policy drift </w:t>
      </w:r>
      <w:r w:rsidR="00AC48AA" w:rsidRPr="007C4490">
        <w:rPr>
          <w:rFonts w:ascii="Times New Roman" w:hAnsi="Times New Roman" w:cs="Times New Roman"/>
          <w:sz w:val="24"/>
          <w:szCs w:val="24"/>
          <w:lang w:val="en-GB"/>
        </w:rPr>
        <w:t>is essential, in</w:t>
      </w:r>
      <w:r w:rsidR="00EE69F9" w:rsidRPr="007C4490">
        <w:rPr>
          <w:rFonts w:ascii="Times New Roman" w:hAnsi="Times New Roman" w:cs="Times New Roman"/>
          <w:sz w:val="24"/>
          <w:szCs w:val="24"/>
          <w:lang w:val="en-GB"/>
        </w:rPr>
        <w:t xml:space="preserve"> both</w:t>
      </w:r>
      <w:r w:rsidR="00AC48AA" w:rsidRPr="007C4490">
        <w:rPr>
          <w:rFonts w:ascii="Times New Roman" w:hAnsi="Times New Roman" w:cs="Times New Roman"/>
          <w:sz w:val="24"/>
          <w:szCs w:val="24"/>
          <w:lang w:val="en-GB"/>
        </w:rPr>
        <w:t xml:space="preserve"> the United States and beyond.</w:t>
      </w:r>
      <w:r w:rsidR="00BF21A0" w:rsidRPr="007C4490">
        <w:rPr>
          <w:rFonts w:ascii="Times New Roman" w:hAnsi="Times New Roman" w:cs="Times New Roman"/>
          <w:sz w:val="24"/>
          <w:szCs w:val="24"/>
          <w:lang w:val="en-GB"/>
        </w:rPr>
        <w:t xml:space="preserve"> On the other hand,</w:t>
      </w:r>
      <w:r w:rsidR="00AC48AA" w:rsidRPr="007C4490">
        <w:rPr>
          <w:rFonts w:ascii="Times New Roman" w:hAnsi="Times New Roman" w:cs="Times New Roman"/>
          <w:sz w:val="24"/>
          <w:szCs w:val="24"/>
          <w:lang w:val="en-GB"/>
        </w:rPr>
        <w:t xml:space="preserve"> as policy areas,</w:t>
      </w:r>
      <w:r w:rsidR="00EE69F9" w:rsidRPr="007C4490">
        <w:rPr>
          <w:rFonts w:ascii="Times New Roman" w:hAnsi="Times New Roman" w:cs="Times New Roman"/>
          <w:sz w:val="24"/>
          <w:szCs w:val="24"/>
          <w:lang w:val="en-GB"/>
        </w:rPr>
        <w:t xml:space="preserve"> US</w:t>
      </w:r>
      <w:r w:rsidR="00482B6D" w:rsidRPr="007C4490">
        <w:rPr>
          <w:rFonts w:ascii="Times New Roman" w:hAnsi="Times New Roman" w:cs="Times New Roman"/>
          <w:sz w:val="24"/>
          <w:szCs w:val="24"/>
          <w:lang w:val="en-GB"/>
        </w:rPr>
        <w:t xml:space="preserve"> </w:t>
      </w:r>
      <w:r w:rsidR="00AC48AA" w:rsidRPr="007C4490">
        <w:rPr>
          <w:rFonts w:ascii="Times New Roman" w:hAnsi="Times New Roman" w:cs="Times New Roman"/>
          <w:sz w:val="24"/>
          <w:szCs w:val="24"/>
          <w:lang w:val="en-GB"/>
        </w:rPr>
        <w:t>health insurance and retirement insecurity are fascinating to compare because, since 2004, the former has witnessed major formal revision</w:t>
      </w:r>
      <w:r w:rsidR="00A539CA" w:rsidRPr="007C4490">
        <w:rPr>
          <w:rFonts w:ascii="Times New Roman" w:hAnsi="Times New Roman" w:cs="Times New Roman"/>
          <w:sz w:val="24"/>
          <w:szCs w:val="24"/>
          <w:lang w:val="en-GB"/>
        </w:rPr>
        <w:t xml:space="preserve"> targeted at working against the pattern of drift</w:t>
      </w:r>
      <w:r w:rsidR="00AC48AA" w:rsidRPr="007C4490">
        <w:rPr>
          <w:rFonts w:ascii="Times New Roman" w:hAnsi="Times New Roman" w:cs="Times New Roman"/>
          <w:sz w:val="24"/>
          <w:szCs w:val="24"/>
          <w:lang w:val="en-GB"/>
        </w:rPr>
        <w:t xml:space="preserve"> while the latter has not. </w:t>
      </w:r>
      <w:r w:rsidR="00FF5811" w:rsidRPr="007C4490">
        <w:rPr>
          <w:rFonts w:ascii="Times New Roman" w:hAnsi="Times New Roman" w:cs="Times New Roman"/>
          <w:sz w:val="24"/>
          <w:szCs w:val="24"/>
          <w:lang w:val="en-GB"/>
        </w:rPr>
        <w:t xml:space="preserve">In fact, President Bush’s failed 2005 attempt to privatize Social Security further points to the importance of drift as a concept because, in this case, the absence of formal revision is not the whole story about pension change in the United States. </w:t>
      </w:r>
      <w:r w:rsidR="00AC48AA" w:rsidRPr="007C4490">
        <w:rPr>
          <w:rFonts w:ascii="Times New Roman" w:hAnsi="Times New Roman" w:cs="Times New Roman"/>
          <w:sz w:val="24"/>
          <w:szCs w:val="24"/>
          <w:lang w:val="en-GB"/>
        </w:rPr>
        <w:t>At the same time, revisiting the situation of</w:t>
      </w:r>
      <w:r w:rsidR="00EE69F9" w:rsidRPr="007C4490">
        <w:rPr>
          <w:rFonts w:ascii="Times New Roman" w:hAnsi="Times New Roman" w:cs="Times New Roman"/>
          <w:sz w:val="24"/>
          <w:szCs w:val="24"/>
          <w:lang w:val="en-GB"/>
        </w:rPr>
        <w:t xml:space="preserve"> US</w:t>
      </w:r>
      <w:r w:rsidR="00482B6D" w:rsidRPr="007C4490">
        <w:rPr>
          <w:rFonts w:ascii="Times New Roman" w:hAnsi="Times New Roman" w:cs="Times New Roman"/>
          <w:sz w:val="24"/>
          <w:szCs w:val="24"/>
          <w:lang w:val="en-GB"/>
        </w:rPr>
        <w:t xml:space="preserve"> </w:t>
      </w:r>
      <w:r w:rsidR="00AC48AA" w:rsidRPr="007C4490">
        <w:rPr>
          <w:rFonts w:ascii="Times New Roman" w:hAnsi="Times New Roman" w:cs="Times New Roman"/>
          <w:sz w:val="24"/>
          <w:szCs w:val="24"/>
          <w:lang w:val="en-GB"/>
        </w:rPr>
        <w:t>health insurance in relationship to the issue of poli</w:t>
      </w:r>
      <w:r w:rsidR="00EE69F9" w:rsidRPr="007C4490">
        <w:rPr>
          <w:rFonts w:ascii="Times New Roman" w:hAnsi="Times New Roman" w:cs="Times New Roman"/>
          <w:sz w:val="24"/>
          <w:szCs w:val="24"/>
          <w:lang w:val="en-GB"/>
        </w:rPr>
        <w:t>cy drift is especially useful in tackling</w:t>
      </w:r>
      <w:r w:rsidR="00AC48AA" w:rsidRPr="007C4490">
        <w:rPr>
          <w:rFonts w:ascii="Times New Roman" w:hAnsi="Times New Roman" w:cs="Times New Roman"/>
          <w:sz w:val="24"/>
          <w:szCs w:val="24"/>
          <w:lang w:val="en-GB"/>
        </w:rPr>
        <w:t xml:space="preserve"> the potential relationship between drift, revision, and implementation. This is the case because </w:t>
      </w:r>
      <w:r w:rsidR="00080594" w:rsidRPr="007C4490">
        <w:rPr>
          <w:rFonts w:ascii="Times New Roman" w:hAnsi="Times New Roman" w:cs="Times New Roman"/>
          <w:sz w:val="24"/>
          <w:szCs w:val="24"/>
          <w:lang w:val="en-GB"/>
        </w:rPr>
        <w:t>the implementation</w:t>
      </w:r>
      <w:r w:rsidR="00AC48AA" w:rsidRPr="007C4490">
        <w:rPr>
          <w:rFonts w:ascii="Times New Roman" w:hAnsi="Times New Roman" w:cs="Times New Roman"/>
          <w:sz w:val="24"/>
          <w:szCs w:val="24"/>
          <w:lang w:val="en-GB"/>
        </w:rPr>
        <w:t xml:space="preserve"> of th</w:t>
      </w:r>
      <w:r w:rsidR="00EE69F9" w:rsidRPr="007C4490">
        <w:rPr>
          <w:rFonts w:ascii="Times New Roman" w:hAnsi="Times New Roman" w:cs="Times New Roman"/>
          <w:sz w:val="24"/>
          <w:szCs w:val="24"/>
          <w:lang w:val="en-GB"/>
        </w:rPr>
        <w:t>e 2010 ACA</w:t>
      </w:r>
      <w:r w:rsidR="00AC48AA" w:rsidRPr="007C4490">
        <w:rPr>
          <w:rFonts w:ascii="Times New Roman" w:hAnsi="Times New Roman" w:cs="Times New Roman"/>
          <w:sz w:val="24"/>
          <w:szCs w:val="24"/>
          <w:lang w:val="en-GB"/>
        </w:rPr>
        <w:t xml:space="preserve">, a complex federal </w:t>
      </w:r>
      <w:r w:rsidR="00A539CA" w:rsidRPr="007C4490">
        <w:rPr>
          <w:rFonts w:ascii="Times New Roman" w:hAnsi="Times New Roman" w:cs="Times New Roman"/>
          <w:sz w:val="24"/>
          <w:szCs w:val="24"/>
          <w:lang w:val="en-GB"/>
        </w:rPr>
        <w:t>reform</w:t>
      </w:r>
      <w:r w:rsidR="00AC48AA" w:rsidRPr="007C4490">
        <w:rPr>
          <w:rFonts w:ascii="Times New Roman" w:hAnsi="Times New Roman" w:cs="Times New Roman"/>
          <w:sz w:val="24"/>
          <w:szCs w:val="24"/>
          <w:lang w:val="en-GB"/>
        </w:rPr>
        <w:t xml:space="preserve">, </w:t>
      </w:r>
      <w:r w:rsidR="00A539CA" w:rsidRPr="007C4490">
        <w:rPr>
          <w:rFonts w:ascii="Times New Roman" w:hAnsi="Times New Roman" w:cs="Times New Roman"/>
          <w:sz w:val="24"/>
          <w:szCs w:val="24"/>
          <w:lang w:val="en-GB"/>
        </w:rPr>
        <w:t>will take nearly a decade to unfold</w:t>
      </w:r>
      <w:r w:rsidR="00547E75" w:rsidRPr="007C4490">
        <w:rPr>
          <w:rFonts w:ascii="Times New Roman" w:hAnsi="Times New Roman" w:cs="Times New Roman"/>
          <w:sz w:val="24"/>
          <w:szCs w:val="24"/>
          <w:lang w:val="en-GB"/>
        </w:rPr>
        <w:t xml:space="preserve"> </w:t>
      </w:r>
      <w:r w:rsidR="00080594" w:rsidRPr="007C4490">
        <w:rPr>
          <w:rFonts w:ascii="Times New Roman" w:hAnsi="Times New Roman" w:cs="Times New Roman"/>
          <w:sz w:val="24"/>
          <w:szCs w:val="24"/>
          <w:lang w:val="en-GB"/>
        </w:rPr>
        <w:t xml:space="preserve">and will require the co-operation of </w:t>
      </w:r>
      <w:r w:rsidR="00AC48AA" w:rsidRPr="007C4490">
        <w:rPr>
          <w:rFonts w:ascii="Times New Roman" w:hAnsi="Times New Roman" w:cs="Times New Roman"/>
          <w:sz w:val="24"/>
          <w:szCs w:val="24"/>
          <w:lang w:val="en-GB"/>
        </w:rPr>
        <w:t xml:space="preserve">numerous </w:t>
      </w:r>
      <w:r w:rsidR="00080594" w:rsidRPr="007C4490">
        <w:rPr>
          <w:rFonts w:ascii="Times New Roman" w:hAnsi="Times New Roman" w:cs="Times New Roman"/>
          <w:sz w:val="24"/>
          <w:szCs w:val="24"/>
          <w:lang w:val="en-GB"/>
        </w:rPr>
        <w:t xml:space="preserve">potential </w:t>
      </w:r>
      <w:r w:rsidR="00AC48AA" w:rsidRPr="007C4490">
        <w:rPr>
          <w:rFonts w:ascii="Times New Roman" w:hAnsi="Times New Roman" w:cs="Times New Roman"/>
          <w:sz w:val="24"/>
          <w:szCs w:val="24"/>
          <w:lang w:val="en-GB"/>
        </w:rPr>
        <w:t>veto actors, including state governors and legislative branches</w:t>
      </w:r>
      <w:r w:rsidR="00A539CA" w:rsidRPr="007C4490">
        <w:rPr>
          <w:rFonts w:ascii="Times New Roman" w:hAnsi="Times New Roman" w:cs="Times New Roman"/>
          <w:sz w:val="24"/>
          <w:szCs w:val="24"/>
          <w:lang w:val="en-GB"/>
        </w:rPr>
        <w:t xml:space="preserve"> (</w:t>
      </w:r>
      <w:proofErr w:type="spellStart"/>
      <w:r w:rsidR="00A539CA" w:rsidRPr="007C4490">
        <w:rPr>
          <w:rFonts w:ascii="Times New Roman" w:hAnsi="Times New Roman" w:cs="Times New Roman"/>
          <w:sz w:val="24"/>
          <w:szCs w:val="24"/>
          <w:lang w:val="en-GB"/>
        </w:rPr>
        <w:t>Bél</w:t>
      </w:r>
      <w:r w:rsidR="00EE69F9" w:rsidRPr="007C4490">
        <w:rPr>
          <w:rFonts w:ascii="Times New Roman" w:hAnsi="Times New Roman" w:cs="Times New Roman"/>
          <w:sz w:val="24"/>
          <w:szCs w:val="24"/>
          <w:lang w:val="en-GB"/>
        </w:rPr>
        <w:t>and</w:t>
      </w:r>
      <w:proofErr w:type="spellEnd"/>
      <w:r w:rsidR="00EE69F9" w:rsidRPr="007C4490">
        <w:rPr>
          <w:rFonts w:ascii="Times New Roman" w:hAnsi="Times New Roman" w:cs="Times New Roman"/>
          <w:sz w:val="24"/>
          <w:szCs w:val="24"/>
          <w:lang w:val="en-GB"/>
        </w:rPr>
        <w:t>, Rocco</w:t>
      </w:r>
      <w:r w:rsidR="00A539CA" w:rsidRPr="007C4490">
        <w:rPr>
          <w:rFonts w:ascii="Times New Roman" w:hAnsi="Times New Roman" w:cs="Times New Roman"/>
          <w:sz w:val="24"/>
          <w:szCs w:val="24"/>
          <w:lang w:val="en-GB"/>
        </w:rPr>
        <w:t xml:space="preserve"> and Waddan 2014)</w:t>
      </w:r>
      <w:r w:rsidR="00AC48AA" w:rsidRPr="007C4490">
        <w:rPr>
          <w:rFonts w:ascii="Times New Roman" w:hAnsi="Times New Roman" w:cs="Times New Roman"/>
          <w:sz w:val="24"/>
          <w:szCs w:val="24"/>
          <w:lang w:val="en-GB"/>
        </w:rPr>
        <w:t xml:space="preserve">. </w:t>
      </w:r>
      <w:r w:rsidR="00EE69F9" w:rsidRPr="007C4490">
        <w:rPr>
          <w:rFonts w:ascii="Times New Roman" w:hAnsi="Times New Roman" w:cs="Times New Roman"/>
          <w:sz w:val="24"/>
          <w:szCs w:val="24"/>
          <w:lang w:val="en-GB"/>
        </w:rPr>
        <w:t>As a result</w:t>
      </w:r>
      <w:r w:rsidR="00AC48AA" w:rsidRPr="007C4490">
        <w:rPr>
          <w:rFonts w:ascii="Times New Roman" w:hAnsi="Times New Roman" w:cs="Times New Roman"/>
          <w:sz w:val="24"/>
          <w:szCs w:val="24"/>
          <w:lang w:val="en-GB"/>
        </w:rPr>
        <w:t>, the potential impact of the ACA on policy drift is largely mediated by a long and political</w:t>
      </w:r>
      <w:r w:rsidR="00EE69F9" w:rsidRPr="007C4490">
        <w:rPr>
          <w:rFonts w:ascii="Times New Roman" w:hAnsi="Times New Roman" w:cs="Times New Roman"/>
          <w:sz w:val="24"/>
          <w:szCs w:val="24"/>
          <w:lang w:val="en-GB"/>
        </w:rPr>
        <w:t>ly</w:t>
      </w:r>
      <w:r w:rsidR="00AC48AA" w:rsidRPr="007C4490">
        <w:rPr>
          <w:rFonts w:ascii="Times New Roman" w:hAnsi="Times New Roman" w:cs="Times New Roman"/>
          <w:sz w:val="24"/>
          <w:szCs w:val="24"/>
          <w:lang w:val="en-GB"/>
        </w:rPr>
        <w:t xml:space="preserve"> fragmented implementation process, a situation that should highl</w:t>
      </w:r>
      <w:r w:rsidR="00E01EDE" w:rsidRPr="007C4490">
        <w:rPr>
          <w:rFonts w:ascii="Times New Roman" w:hAnsi="Times New Roman" w:cs="Times New Roman"/>
          <w:sz w:val="24"/>
          <w:szCs w:val="24"/>
          <w:lang w:val="en-GB"/>
        </w:rPr>
        <w:t>ight</w:t>
      </w:r>
      <w:r w:rsidR="00AC48AA" w:rsidRPr="007C4490">
        <w:rPr>
          <w:rFonts w:ascii="Times New Roman" w:hAnsi="Times New Roman" w:cs="Times New Roman"/>
          <w:sz w:val="24"/>
          <w:szCs w:val="24"/>
          <w:lang w:val="en-GB"/>
        </w:rPr>
        <w:t xml:space="preserve"> the importance of implementation for the analysis of drift. </w:t>
      </w:r>
      <w:r w:rsidR="0005398C" w:rsidRPr="007C4490">
        <w:rPr>
          <w:rFonts w:ascii="Times New Roman" w:hAnsi="Times New Roman" w:cs="Times New Roman"/>
          <w:sz w:val="24"/>
          <w:szCs w:val="24"/>
          <w:lang w:val="en-GB"/>
        </w:rPr>
        <w:t>In contrast, the issue of implementation does not apply to the field of</w:t>
      </w:r>
      <w:r w:rsidR="00EE69F9" w:rsidRPr="007C4490">
        <w:rPr>
          <w:rFonts w:ascii="Times New Roman" w:hAnsi="Times New Roman" w:cs="Times New Roman"/>
          <w:sz w:val="24"/>
          <w:szCs w:val="24"/>
          <w:lang w:val="en-GB"/>
        </w:rPr>
        <w:t xml:space="preserve"> US</w:t>
      </w:r>
      <w:r w:rsidR="00482B6D" w:rsidRPr="007C4490">
        <w:rPr>
          <w:rFonts w:ascii="Times New Roman" w:hAnsi="Times New Roman" w:cs="Times New Roman"/>
          <w:sz w:val="24"/>
          <w:szCs w:val="24"/>
          <w:lang w:val="en-GB"/>
        </w:rPr>
        <w:t xml:space="preserve"> </w:t>
      </w:r>
      <w:r w:rsidR="00EE69F9" w:rsidRPr="007C4490">
        <w:rPr>
          <w:rFonts w:ascii="Times New Roman" w:hAnsi="Times New Roman" w:cs="Times New Roman"/>
          <w:sz w:val="24"/>
          <w:szCs w:val="24"/>
          <w:lang w:val="en-GB"/>
        </w:rPr>
        <w:t>retirement security</w:t>
      </w:r>
      <w:r w:rsidR="0005398C" w:rsidRPr="007C4490">
        <w:rPr>
          <w:rFonts w:ascii="Times New Roman" w:hAnsi="Times New Roman" w:cs="Times New Roman"/>
          <w:sz w:val="24"/>
          <w:szCs w:val="24"/>
          <w:lang w:val="en-GB"/>
        </w:rPr>
        <w:t xml:space="preserve"> for the very simple reason that no Social Security reform has been enacted</w:t>
      </w:r>
      <w:r w:rsidR="00EE69F9" w:rsidRPr="007C4490">
        <w:rPr>
          <w:rFonts w:ascii="Times New Roman" w:hAnsi="Times New Roman" w:cs="Times New Roman"/>
          <w:sz w:val="24"/>
          <w:szCs w:val="24"/>
          <w:lang w:val="en-GB"/>
        </w:rPr>
        <w:t xml:space="preserve"> since 1983 (</w:t>
      </w:r>
      <w:proofErr w:type="spellStart"/>
      <w:r w:rsidR="00EE69F9" w:rsidRPr="007C4490">
        <w:rPr>
          <w:rFonts w:ascii="Times New Roman" w:hAnsi="Times New Roman" w:cs="Times New Roman"/>
          <w:sz w:val="24"/>
          <w:szCs w:val="24"/>
          <w:lang w:val="en-GB"/>
        </w:rPr>
        <w:t>Béland</w:t>
      </w:r>
      <w:proofErr w:type="spellEnd"/>
      <w:r w:rsidR="00EE69F9" w:rsidRPr="007C4490">
        <w:rPr>
          <w:rFonts w:ascii="Times New Roman" w:hAnsi="Times New Roman" w:cs="Times New Roman"/>
          <w:sz w:val="24"/>
          <w:szCs w:val="24"/>
          <w:lang w:val="en-GB"/>
        </w:rPr>
        <w:t xml:space="preserve"> and Waddan </w:t>
      </w:r>
      <w:r w:rsidR="0005398C" w:rsidRPr="007C4490">
        <w:rPr>
          <w:rFonts w:ascii="Times New Roman" w:hAnsi="Times New Roman" w:cs="Times New Roman"/>
          <w:sz w:val="24"/>
          <w:szCs w:val="24"/>
          <w:lang w:val="en-GB"/>
        </w:rPr>
        <w:t>2012</w:t>
      </w:r>
      <w:r w:rsidR="00043C0D" w:rsidRPr="007C4490">
        <w:rPr>
          <w:rFonts w:ascii="Times New Roman" w:hAnsi="Times New Roman" w:cs="Times New Roman"/>
          <w:sz w:val="24"/>
          <w:szCs w:val="24"/>
          <w:lang w:val="en-GB"/>
        </w:rPr>
        <w:t>a</w:t>
      </w:r>
      <w:r w:rsidR="0005398C" w:rsidRPr="007C4490">
        <w:rPr>
          <w:rFonts w:ascii="Times New Roman" w:hAnsi="Times New Roman" w:cs="Times New Roman"/>
          <w:sz w:val="24"/>
          <w:szCs w:val="24"/>
          <w:lang w:val="en-GB"/>
        </w:rPr>
        <w:t xml:space="preserve">). </w:t>
      </w:r>
      <w:r w:rsidR="00AC48AA" w:rsidRPr="007C4490">
        <w:rPr>
          <w:rFonts w:ascii="Times New Roman" w:hAnsi="Times New Roman" w:cs="Times New Roman"/>
          <w:sz w:val="24"/>
          <w:szCs w:val="24"/>
          <w:lang w:val="en-GB"/>
        </w:rPr>
        <w:t>Finally, returning to these two</w:t>
      </w:r>
      <w:r w:rsidR="00482B6D" w:rsidRPr="007C4490">
        <w:rPr>
          <w:rFonts w:ascii="Times New Roman" w:hAnsi="Times New Roman" w:cs="Times New Roman"/>
          <w:sz w:val="24"/>
          <w:szCs w:val="24"/>
          <w:lang w:val="en-GB"/>
        </w:rPr>
        <w:t xml:space="preserve"> </w:t>
      </w:r>
      <w:r w:rsidR="00EE69F9" w:rsidRPr="007C4490">
        <w:rPr>
          <w:rFonts w:ascii="Times New Roman" w:hAnsi="Times New Roman" w:cs="Times New Roman"/>
          <w:sz w:val="24"/>
          <w:szCs w:val="24"/>
          <w:lang w:val="en-GB"/>
        </w:rPr>
        <w:t>US</w:t>
      </w:r>
      <w:r w:rsidR="00482B6D" w:rsidRPr="007C4490">
        <w:rPr>
          <w:rFonts w:ascii="Times New Roman" w:hAnsi="Times New Roman" w:cs="Times New Roman"/>
          <w:sz w:val="24"/>
          <w:szCs w:val="24"/>
          <w:lang w:val="en-GB"/>
        </w:rPr>
        <w:t xml:space="preserve"> </w:t>
      </w:r>
      <w:r w:rsidR="00AC48AA" w:rsidRPr="007C4490">
        <w:rPr>
          <w:rFonts w:ascii="Times New Roman" w:hAnsi="Times New Roman" w:cs="Times New Roman"/>
          <w:sz w:val="24"/>
          <w:szCs w:val="24"/>
          <w:lang w:val="en-GB"/>
        </w:rPr>
        <w:t xml:space="preserve">cases is likely to contribute to the ongoing observation and operationalization challenge associated with the tricky yet insightful concept of policy drift, which requires </w:t>
      </w:r>
      <w:r w:rsidR="00A539CA" w:rsidRPr="007C4490">
        <w:rPr>
          <w:rFonts w:ascii="Times New Roman" w:hAnsi="Times New Roman" w:cs="Times New Roman"/>
          <w:sz w:val="24"/>
          <w:szCs w:val="24"/>
          <w:lang w:val="en-GB"/>
        </w:rPr>
        <w:t xml:space="preserve">an assessment of </w:t>
      </w:r>
      <w:r w:rsidR="007B6649">
        <w:rPr>
          <w:rFonts w:ascii="Times New Roman" w:hAnsi="Times New Roman" w:cs="Times New Roman"/>
          <w:sz w:val="24"/>
          <w:szCs w:val="24"/>
          <w:lang w:val="en-GB"/>
        </w:rPr>
        <w:t>drift’s empirical implications</w:t>
      </w:r>
      <w:r w:rsidR="00AC48AA" w:rsidRPr="007C4490">
        <w:rPr>
          <w:rFonts w:ascii="Times New Roman" w:hAnsi="Times New Roman" w:cs="Times New Roman"/>
          <w:sz w:val="24"/>
          <w:szCs w:val="24"/>
          <w:lang w:val="en-GB"/>
        </w:rPr>
        <w:t xml:space="preserve">, </w:t>
      </w:r>
      <w:r w:rsidR="00A539CA" w:rsidRPr="007C4490">
        <w:rPr>
          <w:rFonts w:ascii="Times New Roman" w:hAnsi="Times New Roman" w:cs="Times New Roman"/>
          <w:sz w:val="24"/>
          <w:szCs w:val="24"/>
          <w:lang w:val="en-GB"/>
        </w:rPr>
        <w:t xml:space="preserve">analysis of policy </w:t>
      </w:r>
      <w:r w:rsidR="00EE69F9" w:rsidRPr="007C4490">
        <w:rPr>
          <w:rFonts w:ascii="Times New Roman" w:hAnsi="Times New Roman" w:cs="Times New Roman"/>
          <w:sz w:val="24"/>
          <w:szCs w:val="24"/>
          <w:lang w:val="en-GB"/>
        </w:rPr>
        <w:t>implementation</w:t>
      </w:r>
      <w:r w:rsidR="000B7868">
        <w:rPr>
          <w:rFonts w:ascii="Times New Roman" w:hAnsi="Times New Roman" w:cs="Times New Roman"/>
          <w:sz w:val="24"/>
          <w:szCs w:val="24"/>
          <w:lang w:val="en-GB"/>
        </w:rPr>
        <w:t>,</w:t>
      </w:r>
      <w:r w:rsidR="00AC48AA" w:rsidRPr="007C4490">
        <w:rPr>
          <w:rFonts w:ascii="Times New Roman" w:hAnsi="Times New Roman" w:cs="Times New Roman"/>
          <w:sz w:val="24"/>
          <w:szCs w:val="24"/>
          <w:lang w:val="en-GB"/>
        </w:rPr>
        <w:t xml:space="preserve"> and </w:t>
      </w:r>
      <w:r w:rsidR="00A539CA" w:rsidRPr="007C4490">
        <w:rPr>
          <w:rFonts w:ascii="Times New Roman" w:hAnsi="Times New Roman" w:cs="Times New Roman"/>
          <w:sz w:val="24"/>
          <w:szCs w:val="24"/>
          <w:lang w:val="en-GB"/>
        </w:rPr>
        <w:t xml:space="preserve">attention to changes in policy dynamics over time. </w:t>
      </w:r>
    </w:p>
    <w:p w14:paraId="3577EB7B" w14:textId="77777777" w:rsidR="0079329A" w:rsidRPr="007C4490" w:rsidRDefault="0079329A" w:rsidP="0064001F">
      <w:pPr>
        <w:spacing w:after="0" w:line="480" w:lineRule="auto"/>
        <w:jc w:val="both"/>
        <w:rPr>
          <w:rFonts w:ascii="Times New Roman" w:hAnsi="Times New Roman" w:cs="Times New Roman"/>
          <w:sz w:val="24"/>
          <w:szCs w:val="24"/>
          <w:lang w:val="en-GB"/>
        </w:rPr>
      </w:pPr>
    </w:p>
    <w:p w14:paraId="5491A726" w14:textId="77777777" w:rsidR="00DD61C2" w:rsidRPr="007C4490" w:rsidRDefault="00D528D3" w:rsidP="00282389">
      <w:pPr>
        <w:spacing w:after="0" w:line="480" w:lineRule="auto"/>
        <w:jc w:val="both"/>
        <w:rPr>
          <w:rFonts w:ascii="Times New Roman" w:hAnsi="Times New Roman" w:cs="Times New Roman"/>
          <w:b/>
          <w:sz w:val="24"/>
          <w:szCs w:val="24"/>
          <w:lang w:val="en-GB"/>
        </w:rPr>
      </w:pPr>
      <w:r w:rsidRPr="007C4490">
        <w:rPr>
          <w:rFonts w:ascii="Times New Roman" w:hAnsi="Times New Roman" w:cs="Times New Roman"/>
          <w:b/>
          <w:sz w:val="24"/>
          <w:szCs w:val="24"/>
          <w:lang w:val="en-GB"/>
        </w:rPr>
        <w:t>Health Insurance</w:t>
      </w:r>
      <w:r w:rsidR="00A55C93" w:rsidRPr="007C4490">
        <w:rPr>
          <w:rFonts w:ascii="Times New Roman" w:hAnsi="Times New Roman" w:cs="Times New Roman"/>
          <w:b/>
          <w:sz w:val="24"/>
          <w:szCs w:val="24"/>
          <w:lang w:val="en-GB"/>
        </w:rPr>
        <w:t xml:space="preserve">: The Promise of Formal Revision and Uncertainty of Implementation      </w:t>
      </w:r>
    </w:p>
    <w:p w14:paraId="72C631FF" w14:textId="77777777" w:rsidR="00531AEA" w:rsidRPr="007C4490" w:rsidRDefault="00845059" w:rsidP="00B8386F">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As Hacker’s 2004 article suggested, health insurance policy in the United States was a major site of drift for the latter half of the twentieth century.</w:t>
      </w:r>
      <w:r w:rsidR="003869F4" w:rsidRPr="007C4490">
        <w:rPr>
          <w:rFonts w:ascii="Times New Roman" w:hAnsi="Times New Roman" w:cs="Times New Roman"/>
          <w:sz w:val="24"/>
          <w:szCs w:val="24"/>
          <w:lang w:val="en-GB"/>
        </w:rPr>
        <w:t xml:space="preserve"> </w:t>
      </w:r>
      <w:r w:rsidR="00065B77" w:rsidRPr="007C4490">
        <w:rPr>
          <w:rFonts w:ascii="Times New Roman" w:hAnsi="Times New Roman" w:cs="Times New Roman"/>
          <w:sz w:val="24"/>
          <w:szCs w:val="24"/>
          <w:lang w:val="en-GB"/>
        </w:rPr>
        <w:t>When compared to other industrialized countries, the US health care system is distinctive because of its</w:t>
      </w:r>
      <w:r w:rsidR="00C850FC" w:rsidRPr="007C4490">
        <w:rPr>
          <w:rFonts w:ascii="Times New Roman" w:hAnsi="Times New Roman" w:cs="Times New Roman"/>
          <w:sz w:val="24"/>
          <w:szCs w:val="24"/>
          <w:lang w:val="en-GB"/>
        </w:rPr>
        <w:t xml:space="preserve"> relatively high dependence on private sector financing</w:t>
      </w:r>
      <w:r w:rsidR="005B736B" w:rsidRPr="007C4490">
        <w:rPr>
          <w:rFonts w:ascii="Times New Roman" w:hAnsi="Times New Roman" w:cs="Times New Roman"/>
          <w:sz w:val="24"/>
          <w:szCs w:val="24"/>
          <w:lang w:val="en-GB"/>
        </w:rPr>
        <w:t xml:space="preserve"> and the manner in which a majority of </w:t>
      </w:r>
      <w:r w:rsidR="00A05AAF" w:rsidRPr="007C4490">
        <w:rPr>
          <w:rFonts w:ascii="Times New Roman" w:hAnsi="Times New Roman" w:cs="Times New Roman"/>
          <w:sz w:val="24"/>
          <w:szCs w:val="24"/>
          <w:lang w:val="en-GB"/>
        </w:rPr>
        <w:t xml:space="preserve">people </w:t>
      </w:r>
      <w:r w:rsidR="005B736B" w:rsidRPr="007C4490">
        <w:rPr>
          <w:rFonts w:ascii="Times New Roman" w:hAnsi="Times New Roman" w:cs="Times New Roman"/>
          <w:sz w:val="24"/>
          <w:szCs w:val="24"/>
          <w:lang w:val="en-GB"/>
        </w:rPr>
        <w:t>receive insurance as a benefit from their employer</w:t>
      </w:r>
      <w:r w:rsidR="00E5285C" w:rsidRPr="007C4490">
        <w:rPr>
          <w:rFonts w:ascii="Times New Roman" w:hAnsi="Times New Roman" w:cs="Times New Roman"/>
          <w:sz w:val="24"/>
          <w:szCs w:val="24"/>
          <w:lang w:val="en-GB"/>
        </w:rPr>
        <w:t xml:space="preserve"> </w:t>
      </w:r>
      <w:r w:rsidR="00D67466" w:rsidRPr="007C4490">
        <w:rPr>
          <w:rFonts w:ascii="Times New Roman" w:hAnsi="Times New Roman" w:cs="Times New Roman"/>
          <w:sz w:val="24"/>
          <w:szCs w:val="24"/>
          <w:lang w:val="en-GB"/>
        </w:rPr>
        <w:t>(Moran</w:t>
      </w:r>
      <w:r w:rsidR="00E5285C" w:rsidRPr="007C4490">
        <w:rPr>
          <w:rFonts w:ascii="Times New Roman" w:hAnsi="Times New Roman" w:cs="Times New Roman"/>
          <w:sz w:val="24"/>
          <w:szCs w:val="24"/>
          <w:lang w:val="en-GB"/>
        </w:rPr>
        <w:t xml:space="preserve"> </w:t>
      </w:r>
      <w:r w:rsidR="0035581A" w:rsidRPr="007C4490">
        <w:rPr>
          <w:rFonts w:ascii="Times New Roman" w:hAnsi="Times New Roman" w:cs="Times New Roman"/>
          <w:sz w:val="24"/>
          <w:szCs w:val="24"/>
          <w:lang w:val="en-GB"/>
        </w:rPr>
        <w:t>2000</w:t>
      </w:r>
      <w:r w:rsidR="00D67466" w:rsidRPr="007C4490">
        <w:rPr>
          <w:rFonts w:ascii="Times New Roman" w:hAnsi="Times New Roman" w:cs="Times New Roman"/>
          <w:sz w:val="24"/>
          <w:szCs w:val="24"/>
          <w:lang w:val="en-GB"/>
        </w:rPr>
        <w:t xml:space="preserve">; Wendt </w:t>
      </w:r>
      <w:r w:rsidR="00D67466" w:rsidRPr="007C4490">
        <w:rPr>
          <w:rFonts w:ascii="Times New Roman" w:hAnsi="Times New Roman" w:cs="Times New Roman"/>
          <w:i/>
          <w:sz w:val="24"/>
          <w:szCs w:val="24"/>
          <w:lang w:val="en-GB"/>
        </w:rPr>
        <w:t>et al</w:t>
      </w:r>
      <w:r w:rsidR="00D67466" w:rsidRPr="007C4490">
        <w:rPr>
          <w:rFonts w:ascii="Times New Roman" w:hAnsi="Times New Roman" w:cs="Times New Roman"/>
          <w:sz w:val="24"/>
          <w:szCs w:val="24"/>
          <w:lang w:val="en-GB"/>
        </w:rPr>
        <w:t>.</w:t>
      </w:r>
      <w:r w:rsidR="00E5285C" w:rsidRPr="007C4490">
        <w:rPr>
          <w:rFonts w:ascii="Times New Roman" w:hAnsi="Times New Roman" w:cs="Times New Roman"/>
          <w:sz w:val="24"/>
          <w:szCs w:val="24"/>
          <w:lang w:val="en-GB"/>
        </w:rPr>
        <w:t xml:space="preserve"> 2009)</w:t>
      </w:r>
      <w:r w:rsidR="005B736B" w:rsidRPr="007C4490">
        <w:rPr>
          <w:rFonts w:ascii="Times New Roman" w:hAnsi="Times New Roman" w:cs="Times New Roman"/>
          <w:sz w:val="24"/>
          <w:szCs w:val="24"/>
          <w:lang w:val="en-GB"/>
        </w:rPr>
        <w:t>.</w:t>
      </w:r>
      <w:r w:rsidR="00C850FC" w:rsidRPr="007C4490">
        <w:rPr>
          <w:rFonts w:ascii="Times New Roman" w:hAnsi="Times New Roman" w:cs="Times New Roman"/>
          <w:sz w:val="24"/>
          <w:szCs w:val="24"/>
          <w:lang w:val="en-GB"/>
        </w:rPr>
        <w:t xml:space="preserve"> </w:t>
      </w:r>
      <w:r w:rsidR="005B736B" w:rsidRPr="007C4490">
        <w:rPr>
          <w:rFonts w:ascii="Times New Roman" w:hAnsi="Times New Roman" w:cs="Times New Roman"/>
          <w:sz w:val="24"/>
          <w:szCs w:val="24"/>
          <w:lang w:val="en-GB"/>
        </w:rPr>
        <w:t xml:space="preserve">Furthermore, and </w:t>
      </w:r>
      <w:r w:rsidR="005E0F05" w:rsidRPr="007C4490">
        <w:rPr>
          <w:rFonts w:ascii="Times New Roman" w:hAnsi="Times New Roman" w:cs="Times New Roman"/>
          <w:sz w:val="24"/>
          <w:szCs w:val="24"/>
          <w:lang w:val="en-GB"/>
        </w:rPr>
        <w:t xml:space="preserve">differing significantly from </w:t>
      </w:r>
      <w:r w:rsidR="005B736B" w:rsidRPr="007C4490">
        <w:rPr>
          <w:rFonts w:ascii="Times New Roman" w:hAnsi="Times New Roman" w:cs="Times New Roman"/>
          <w:sz w:val="24"/>
          <w:szCs w:val="24"/>
          <w:lang w:val="en-GB"/>
        </w:rPr>
        <w:t xml:space="preserve">the situation discussed below with regard to retirement security, employer provided health benefits were not a supplement to state provision but a substitute for it. </w:t>
      </w:r>
      <w:r w:rsidR="00013704" w:rsidRPr="007C4490">
        <w:rPr>
          <w:rFonts w:ascii="Times New Roman" w:hAnsi="Times New Roman" w:cs="Times New Roman"/>
          <w:sz w:val="24"/>
          <w:szCs w:val="24"/>
          <w:lang w:val="en-GB"/>
        </w:rPr>
        <w:t>Thus</w:t>
      </w:r>
      <w:r w:rsidR="00E01EDE" w:rsidRPr="007C4490">
        <w:rPr>
          <w:rFonts w:ascii="Times New Roman" w:hAnsi="Times New Roman" w:cs="Times New Roman"/>
          <w:sz w:val="24"/>
          <w:szCs w:val="24"/>
          <w:lang w:val="en-GB"/>
        </w:rPr>
        <w:t>,</w:t>
      </w:r>
      <w:r w:rsidR="00013704" w:rsidRPr="007C4490">
        <w:rPr>
          <w:rFonts w:ascii="Times New Roman" w:hAnsi="Times New Roman" w:cs="Times New Roman"/>
          <w:sz w:val="24"/>
          <w:szCs w:val="24"/>
          <w:lang w:val="en-GB"/>
        </w:rPr>
        <w:t xml:space="preserve"> despite</w:t>
      </w:r>
      <w:r w:rsidRPr="007C4490">
        <w:rPr>
          <w:rFonts w:ascii="Times New Roman" w:hAnsi="Times New Roman" w:cs="Times New Roman"/>
          <w:sz w:val="24"/>
          <w:szCs w:val="24"/>
          <w:lang w:val="en-GB"/>
        </w:rPr>
        <w:t xml:space="preserve"> </w:t>
      </w:r>
      <w:r w:rsidR="00934EAD" w:rsidRPr="007C4490">
        <w:rPr>
          <w:rFonts w:ascii="Times New Roman" w:hAnsi="Times New Roman" w:cs="Times New Roman"/>
          <w:sz w:val="24"/>
          <w:szCs w:val="24"/>
          <w:lang w:val="en-GB"/>
        </w:rPr>
        <w:t>the introduction of Medicare and Medicaid</w:t>
      </w:r>
      <w:r w:rsidR="00E01EDE" w:rsidRPr="007C4490">
        <w:rPr>
          <w:rFonts w:ascii="Times New Roman" w:hAnsi="Times New Roman" w:cs="Times New Roman"/>
          <w:sz w:val="24"/>
          <w:szCs w:val="24"/>
          <w:lang w:val="en-GB"/>
        </w:rPr>
        <w:t xml:space="preserve"> in the mid-1960s</w:t>
      </w:r>
      <w:r w:rsidR="00934EAD" w:rsidRPr="007C4490">
        <w:rPr>
          <w:rFonts w:ascii="Times New Roman" w:hAnsi="Times New Roman" w:cs="Times New Roman"/>
          <w:sz w:val="24"/>
          <w:szCs w:val="24"/>
          <w:lang w:val="en-GB"/>
        </w:rPr>
        <w:t xml:space="preserve">, government provision of insurance </w:t>
      </w:r>
      <w:r w:rsidR="00013704" w:rsidRPr="007C4490">
        <w:rPr>
          <w:rFonts w:ascii="Times New Roman" w:hAnsi="Times New Roman" w:cs="Times New Roman"/>
          <w:sz w:val="24"/>
          <w:szCs w:val="24"/>
          <w:lang w:val="en-GB"/>
        </w:rPr>
        <w:t xml:space="preserve">did not extend to able-bodied workers. </w:t>
      </w:r>
      <w:r w:rsidR="00D82CF8" w:rsidRPr="007C4490">
        <w:rPr>
          <w:rFonts w:ascii="Times New Roman" w:hAnsi="Times New Roman" w:cs="Times New Roman"/>
          <w:sz w:val="24"/>
          <w:szCs w:val="24"/>
          <w:lang w:val="en-GB"/>
        </w:rPr>
        <w:t>Enrolment</w:t>
      </w:r>
      <w:r w:rsidR="00013704" w:rsidRPr="007C4490">
        <w:rPr>
          <w:rFonts w:ascii="Times New Roman" w:hAnsi="Times New Roman" w:cs="Times New Roman"/>
          <w:sz w:val="24"/>
          <w:szCs w:val="24"/>
          <w:lang w:val="en-GB"/>
        </w:rPr>
        <w:t xml:space="preserve"> in private insurance plans</w:t>
      </w:r>
      <w:r w:rsidR="00531AEA" w:rsidRPr="007C4490">
        <w:rPr>
          <w:rFonts w:ascii="Times New Roman" w:hAnsi="Times New Roman" w:cs="Times New Roman"/>
          <w:sz w:val="24"/>
          <w:szCs w:val="24"/>
          <w:lang w:val="en-GB"/>
        </w:rPr>
        <w:t>,</w:t>
      </w:r>
      <w:r w:rsidR="00013704" w:rsidRPr="007C4490">
        <w:rPr>
          <w:rFonts w:ascii="Times New Roman" w:hAnsi="Times New Roman" w:cs="Times New Roman"/>
          <w:sz w:val="24"/>
          <w:szCs w:val="24"/>
          <w:lang w:val="en-GB"/>
        </w:rPr>
        <w:t xml:space="preserve"> which reached its peak at 79 per cent in 1968, steadily</w:t>
      </w:r>
      <w:r w:rsidR="00E063AD" w:rsidRPr="007C4490">
        <w:rPr>
          <w:rFonts w:ascii="Times New Roman" w:hAnsi="Times New Roman" w:cs="Times New Roman"/>
          <w:sz w:val="24"/>
          <w:szCs w:val="24"/>
          <w:lang w:val="en-GB"/>
        </w:rPr>
        <w:t xml:space="preserve"> decline</w:t>
      </w:r>
      <w:r w:rsidR="00013704" w:rsidRPr="007C4490">
        <w:rPr>
          <w:rFonts w:ascii="Times New Roman" w:hAnsi="Times New Roman" w:cs="Times New Roman"/>
          <w:sz w:val="24"/>
          <w:szCs w:val="24"/>
          <w:lang w:val="en-GB"/>
        </w:rPr>
        <w:t>d after 1980</w:t>
      </w:r>
      <w:r w:rsidR="00E063AD" w:rsidRPr="007C4490">
        <w:rPr>
          <w:rFonts w:ascii="Times New Roman" w:hAnsi="Times New Roman" w:cs="Times New Roman"/>
          <w:sz w:val="24"/>
          <w:szCs w:val="24"/>
          <w:lang w:val="en-GB"/>
        </w:rPr>
        <w:t xml:space="preserve">, driven by </w:t>
      </w:r>
      <w:r w:rsidR="001A415F" w:rsidRPr="007C4490">
        <w:rPr>
          <w:rFonts w:ascii="Times New Roman" w:hAnsi="Times New Roman" w:cs="Times New Roman"/>
          <w:sz w:val="24"/>
          <w:szCs w:val="24"/>
          <w:lang w:val="en-GB"/>
        </w:rPr>
        <w:t>a</w:t>
      </w:r>
      <w:r w:rsidR="00E063AD" w:rsidRPr="007C4490">
        <w:rPr>
          <w:rFonts w:ascii="Times New Roman" w:hAnsi="Times New Roman" w:cs="Times New Roman"/>
          <w:sz w:val="24"/>
          <w:szCs w:val="24"/>
          <w:lang w:val="en-GB"/>
        </w:rPr>
        <w:t xml:space="preserve"> reduction in employer provided coverage, so that by 2007, </w:t>
      </w:r>
      <w:r w:rsidR="00013704" w:rsidRPr="007C4490">
        <w:rPr>
          <w:rFonts w:ascii="Times New Roman" w:hAnsi="Times New Roman" w:cs="Times New Roman"/>
          <w:sz w:val="24"/>
          <w:szCs w:val="24"/>
          <w:lang w:val="en-GB"/>
        </w:rPr>
        <w:t xml:space="preserve">only </w:t>
      </w:r>
      <w:r w:rsidR="00E063AD" w:rsidRPr="007C4490">
        <w:rPr>
          <w:rFonts w:ascii="Times New Roman" w:hAnsi="Times New Roman" w:cs="Times New Roman"/>
          <w:sz w:val="24"/>
          <w:szCs w:val="24"/>
          <w:lang w:val="en-GB"/>
        </w:rPr>
        <w:t>67 per cent of people under 65 had any form of private coverage (</w:t>
      </w:r>
      <w:r w:rsidR="00D67466" w:rsidRPr="007C4490">
        <w:rPr>
          <w:rFonts w:ascii="Times New Roman" w:hAnsi="Times New Roman" w:cs="Times New Roman"/>
          <w:sz w:val="24"/>
          <w:szCs w:val="24"/>
          <w:lang w:val="en-GB"/>
        </w:rPr>
        <w:t>Cohen</w:t>
      </w:r>
      <w:r w:rsidR="00D67466" w:rsidRPr="007C4490">
        <w:rPr>
          <w:rFonts w:ascii="Times New Roman" w:hAnsi="Times New Roman" w:cs="Times New Roman"/>
          <w:i/>
          <w:sz w:val="24"/>
          <w:szCs w:val="24"/>
          <w:lang w:val="en-GB"/>
        </w:rPr>
        <w:t xml:space="preserve"> et al.</w:t>
      </w:r>
      <w:r w:rsidR="00D67466" w:rsidRPr="007C4490">
        <w:rPr>
          <w:rFonts w:ascii="Times New Roman" w:hAnsi="Times New Roman" w:cs="Times New Roman"/>
          <w:sz w:val="24"/>
          <w:szCs w:val="24"/>
          <w:lang w:val="en-GB"/>
        </w:rPr>
        <w:t xml:space="preserve"> 2009: </w:t>
      </w:r>
      <w:r w:rsidR="001652EE" w:rsidRPr="007C4490">
        <w:rPr>
          <w:rFonts w:ascii="Times New Roman" w:hAnsi="Times New Roman" w:cs="Times New Roman"/>
          <w:sz w:val="24"/>
          <w:szCs w:val="24"/>
          <w:lang w:val="en-GB"/>
        </w:rPr>
        <w:t>4).</w:t>
      </w:r>
      <w:r w:rsidR="00F70167" w:rsidRPr="007C4490">
        <w:rPr>
          <w:rStyle w:val="EndnoteReference"/>
          <w:rFonts w:ascii="Times New Roman" w:hAnsi="Times New Roman" w:cs="Times New Roman"/>
          <w:sz w:val="24"/>
          <w:szCs w:val="24"/>
          <w:lang w:val="en-GB"/>
        </w:rPr>
        <w:endnoteReference w:id="1"/>
      </w:r>
      <w:r w:rsidR="003446E3" w:rsidRPr="007C4490">
        <w:rPr>
          <w:rFonts w:ascii="Times New Roman" w:hAnsi="Times New Roman" w:cs="Times New Roman"/>
          <w:sz w:val="24"/>
          <w:szCs w:val="24"/>
          <w:lang w:val="en-GB"/>
        </w:rPr>
        <w:t xml:space="preserve"> As it was, the decline in private coverage was offset somewhat by a further increase in the number of </w:t>
      </w:r>
      <w:proofErr w:type="gramStart"/>
      <w:r w:rsidR="003446E3" w:rsidRPr="007C4490">
        <w:rPr>
          <w:rFonts w:ascii="Times New Roman" w:hAnsi="Times New Roman" w:cs="Times New Roman"/>
          <w:sz w:val="24"/>
          <w:szCs w:val="24"/>
          <w:lang w:val="en-GB"/>
        </w:rPr>
        <w:t>under</w:t>
      </w:r>
      <w:proofErr w:type="gramEnd"/>
      <w:r w:rsidR="003446E3" w:rsidRPr="007C4490">
        <w:rPr>
          <w:rFonts w:ascii="Times New Roman" w:hAnsi="Times New Roman" w:cs="Times New Roman"/>
          <w:sz w:val="24"/>
          <w:szCs w:val="24"/>
          <w:lang w:val="en-GB"/>
        </w:rPr>
        <w:t xml:space="preserve"> 65 year olds covered by the Medicaid program, rising from 6.7 per cent in 1978 to 13.9 </w:t>
      </w:r>
      <w:r w:rsidR="002E4EDB" w:rsidRPr="007C4490">
        <w:rPr>
          <w:rFonts w:ascii="Times New Roman" w:hAnsi="Times New Roman" w:cs="Times New Roman"/>
          <w:sz w:val="24"/>
          <w:szCs w:val="24"/>
          <w:lang w:val="en-GB"/>
        </w:rPr>
        <w:t>per cent</w:t>
      </w:r>
      <w:r w:rsidR="003446E3" w:rsidRPr="007C4490">
        <w:rPr>
          <w:rFonts w:ascii="Times New Roman" w:hAnsi="Times New Roman" w:cs="Times New Roman"/>
          <w:sz w:val="24"/>
          <w:szCs w:val="24"/>
          <w:lang w:val="en-GB"/>
        </w:rPr>
        <w:t xml:space="preserve"> in 2007. Nevertheless, in 2007, 16.6 </w:t>
      </w:r>
      <w:r w:rsidR="002E4EDB" w:rsidRPr="007C4490">
        <w:rPr>
          <w:rFonts w:ascii="Times New Roman" w:hAnsi="Times New Roman" w:cs="Times New Roman"/>
          <w:sz w:val="24"/>
          <w:szCs w:val="24"/>
          <w:lang w:val="en-GB"/>
        </w:rPr>
        <w:t>per cent</w:t>
      </w:r>
      <w:r w:rsidR="003446E3" w:rsidRPr="007C4490">
        <w:rPr>
          <w:rFonts w:ascii="Times New Roman" w:hAnsi="Times New Roman" w:cs="Times New Roman"/>
          <w:sz w:val="24"/>
          <w:szCs w:val="24"/>
          <w:lang w:val="en-GB"/>
        </w:rPr>
        <w:t xml:space="preserve"> of people aged below</w:t>
      </w:r>
      <w:r w:rsidR="00B92320" w:rsidRPr="007C4490">
        <w:rPr>
          <w:rFonts w:ascii="Times New Roman" w:hAnsi="Times New Roman" w:cs="Times New Roman"/>
          <w:sz w:val="24"/>
          <w:szCs w:val="24"/>
          <w:lang w:val="en-GB"/>
        </w:rPr>
        <w:t xml:space="preserve"> 65 were uninsured (Cohen </w:t>
      </w:r>
      <w:r w:rsidR="00B92320" w:rsidRPr="007C4490">
        <w:rPr>
          <w:rFonts w:ascii="Times New Roman" w:hAnsi="Times New Roman" w:cs="Times New Roman"/>
          <w:i/>
          <w:sz w:val="24"/>
          <w:szCs w:val="24"/>
          <w:lang w:val="en-GB"/>
        </w:rPr>
        <w:t>et al</w:t>
      </w:r>
      <w:r w:rsidR="00B92320" w:rsidRPr="007C4490">
        <w:rPr>
          <w:rFonts w:ascii="Times New Roman" w:hAnsi="Times New Roman" w:cs="Times New Roman"/>
          <w:sz w:val="24"/>
          <w:szCs w:val="24"/>
          <w:lang w:val="en-GB"/>
        </w:rPr>
        <w:t xml:space="preserve"> 2009: </w:t>
      </w:r>
      <w:r w:rsidR="003446E3" w:rsidRPr="007C4490">
        <w:rPr>
          <w:rFonts w:ascii="Times New Roman" w:hAnsi="Times New Roman" w:cs="Times New Roman"/>
          <w:sz w:val="24"/>
          <w:szCs w:val="24"/>
          <w:lang w:val="en-GB"/>
        </w:rPr>
        <w:t>9).</w:t>
      </w:r>
      <w:r w:rsidR="00531AEA" w:rsidRPr="007C4490">
        <w:rPr>
          <w:rFonts w:ascii="Times New Roman" w:hAnsi="Times New Roman" w:cs="Times New Roman"/>
          <w:sz w:val="24"/>
          <w:szCs w:val="24"/>
          <w:lang w:val="en-GB"/>
        </w:rPr>
        <w:t xml:space="preserve"> The failure of major health reforms in the United States to adapt</w:t>
      </w:r>
      <w:r w:rsidR="00B92320" w:rsidRPr="007C4490">
        <w:rPr>
          <w:rFonts w:ascii="Times New Roman" w:hAnsi="Times New Roman" w:cs="Times New Roman"/>
          <w:sz w:val="24"/>
          <w:szCs w:val="24"/>
          <w:lang w:val="en-GB"/>
        </w:rPr>
        <w:t xml:space="preserve"> to this trend, as Hacker (2004:</w:t>
      </w:r>
      <w:r w:rsidR="00531AEA" w:rsidRPr="007C4490">
        <w:rPr>
          <w:rFonts w:ascii="Times New Roman" w:hAnsi="Times New Roman" w:cs="Times New Roman"/>
          <w:sz w:val="24"/>
          <w:szCs w:val="24"/>
          <w:lang w:val="en-GB"/>
        </w:rPr>
        <w:t xml:space="preserve"> 254) put it caused a </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massive decli</w:t>
      </w:r>
      <w:r w:rsidR="00B92320" w:rsidRPr="007C4490">
        <w:rPr>
          <w:rFonts w:ascii="Times New Roman" w:hAnsi="Times New Roman" w:cs="Times New Roman"/>
          <w:sz w:val="24"/>
          <w:szCs w:val="24"/>
          <w:lang w:val="en-GB"/>
        </w:rPr>
        <w:t>ne in private health protection</w:t>
      </w:r>
      <w:r w:rsidR="00E31CF9" w:rsidRPr="007C4490">
        <w:rPr>
          <w:rFonts w:ascii="Times New Roman" w:hAnsi="Times New Roman" w:cs="Times New Roman"/>
          <w:sz w:val="24"/>
          <w:szCs w:val="24"/>
          <w:lang w:val="en-GB"/>
        </w:rPr>
        <w:t>’</w:t>
      </w:r>
      <w:r w:rsidR="00B92320"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 which had become less and less </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available or </w:t>
      </w:r>
      <w:r w:rsidR="00B92320" w:rsidRPr="007C4490">
        <w:rPr>
          <w:rFonts w:ascii="Times New Roman" w:hAnsi="Times New Roman" w:cs="Times New Roman"/>
          <w:sz w:val="24"/>
          <w:szCs w:val="24"/>
          <w:lang w:val="en-GB"/>
        </w:rPr>
        <w:t>affordable for low-wage workers</w:t>
      </w:r>
      <w:r w:rsidR="00065B77" w:rsidRPr="007C4490">
        <w:rPr>
          <w:rFonts w:ascii="Times New Roman" w:hAnsi="Times New Roman" w:cs="Times New Roman"/>
          <w:sz w:val="24"/>
          <w:szCs w:val="24"/>
          <w:lang w:val="en-GB"/>
        </w:rPr>
        <w:t>. P</w:t>
      </w:r>
      <w:r w:rsidR="003446E3" w:rsidRPr="007C4490">
        <w:rPr>
          <w:rFonts w:ascii="Times New Roman" w:hAnsi="Times New Roman" w:cs="Times New Roman"/>
          <w:sz w:val="24"/>
          <w:szCs w:val="24"/>
          <w:lang w:val="en-GB"/>
        </w:rPr>
        <w:t xml:space="preserve">olicy drift </w:t>
      </w:r>
      <w:r w:rsidR="00065B77" w:rsidRPr="007C4490">
        <w:rPr>
          <w:rFonts w:ascii="Times New Roman" w:hAnsi="Times New Roman" w:cs="Times New Roman"/>
          <w:sz w:val="24"/>
          <w:szCs w:val="24"/>
          <w:lang w:val="en-GB"/>
        </w:rPr>
        <w:t xml:space="preserve">thus resulted </w:t>
      </w:r>
      <w:r w:rsidR="003446E3" w:rsidRPr="007C4490">
        <w:rPr>
          <w:rFonts w:ascii="Times New Roman" w:hAnsi="Times New Roman" w:cs="Times New Roman"/>
          <w:sz w:val="24"/>
          <w:szCs w:val="24"/>
          <w:lang w:val="en-GB"/>
        </w:rPr>
        <w:t>in the further privatization of health security risk for many Americans</w:t>
      </w:r>
      <w:r w:rsidR="00531AEA" w:rsidRPr="007C4490">
        <w:rPr>
          <w:rFonts w:ascii="Times New Roman" w:hAnsi="Times New Roman" w:cs="Times New Roman"/>
          <w:sz w:val="24"/>
          <w:szCs w:val="24"/>
          <w:lang w:val="en-GB"/>
        </w:rPr>
        <w:t xml:space="preserve">. </w:t>
      </w:r>
    </w:p>
    <w:p w14:paraId="3878F1A2" w14:textId="71608868" w:rsidR="0032417E" w:rsidRPr="007C4490" w:rsidRDefault="0032417E" w:rsidP="00B8386F">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Has the trend towards drift continued since in 2004? In some respects, the answer is yes. </w:t>
      </w:r>
      <w:r w:rsidR="001D7566" w:rsidRPr="007C4490">
        <w:rPr>
          <w:rFonts w:ascii="Times New Roman" w:hAnsi="Times New Roman" w:cs="Times New Roman"/>
          <w:sz w:val="24"/>
          <w:szCs w:val="24"/>
          <w:lang w:val="en-GB"/>
        </w:rPr>
        <w:t>As f</w:t>
      </w:r>
      <w:r w:rsidR="00531AEA" w:rsidRPr="007C4490">
        <w:rPr>
          <w:rFonts w:ascii="Times New Roman" w:hAnsi="Times New Roman" w:cs="Times New Roman"/>
          <w:sz w:val="24"/>
          <w:szCs w:val="24"/>
          <w:lang w:val="en-GB"/>
        </w:rPr>
        <w:t xml:space="preserve">igure 1 </w:t>
      </w:r>
      <w:proofErr w:type="gramStart"/>
      <w:r w:rsidR="00531AEA" w:rsidRPr="007C4490">
        <w:rPr>
          <w:rFonts w:ascii="Times New Roman" w:hAnsi="Times New Roman" w:cs="Times New Roman"/>
          <w:sz w:val="24"/>
          <w:szCs w:val="24"/>
          <w:lang w:val="en-GB"/>
        </w:rPr>
        <w:t>shows</w:t>
      </w:r>
      <w:proofErr w:type="gramEnd"/>
      <w:r w:rsidR="00531AEA" w:rsidRPr="007C4490">
        <w:rPr>
          <w:rFonts w:ascii="Times New Roman" w:hAnsi="Times New Roman" w:cs="Times New Roman"/>
          <w:sz w:val="24"/>
          <w:szCs w:val="24"/>
          <w:lang w:val="en-GB"/>
        </w:rPr>
        <w:t xml:space="preserve">, </w:t>
      </w:r>
      <w:r w:rsidR="003446E3" w:rsidRPr="007C4490">
        <w:rPr>
          <w:rFonts w:ascii="Times New Roman" w:hAnsi="Times New Roman" w:cs="Times New Roman"/>
          <w:sz w:val="24"/>
          <w:szCs w:val="24"/>
          <w:lang w:val="en-GB"/>
        </w:rPr>
        <w:t xml:space="preserve">in 2000, 71.8 </w:t>
      </w:r>
      <w:r w:rsidR="002E4EDB" w:rsidRPr="007C4490">
        <w:rPr>
          <w:rFonts w:ascii="Times New Roman" w:hAnsi="Times New Roman" w:cs="Times New Roman"/>
          <w:sz w:val="24"/>
          <w:szCs w:val="24"/>
          <w:lang w:val="en-GB"/>
        </w:rPr>
        <w:t>per cent</w:t>
      </w:r>
      <w:r w:rsidR="003446E3" w:rsidRPr="007C4490">
        <w:rPr>
          <w:rFonts w:ascii="Times New Roman" w:hAnsi="Times New Roman" w:cs="Times New Roman"/>
          <w:sz w:val="24"/>
          <w:szCs w:val="24"/>
          <w:lang w:val="en-GB"/>
        </w:rPr>
        <w:t xml:space="preserve"> of nonelderly people had employment-based insurance but </w:t>
      </w:r>
      <w:r w:rsidR="00282389" w:rsidRPr="007C4490">
        <w:rPr>
          <w:rFonts w:ascii="Times New Roman" w:hAnsi="Times New Roman" w:cs="Times New Roman"/>
          <w:sz w:val="24"/>
          <w:szCs w:val="24"/>
          <w:lang w:val="en-GB"/>
        </w:rPr>
        <w:t xml:space="preserve">that </w:t>
      </w:r>
      <w:r w:rsidR="003446E3" w:rsidRPr="007C4490">
        <w:rPr>
          <w:rFonts w:ascii="Times New Roman" w:hAnsi="Times New Roman" w:cs="Times New Roman"/>
          <w:sz w:val="24"/>
          <w:szCs w:val="24"/>
          <w:lang w:val="en-GB"/>
        </w:rPr>
        <w:t xml:space="preserve">this </w:t>
      </w:r>
      <w:r w:rsidR="00282389" w:rsidRPr="007C4490">
        <w:rPr>
          <w:rFonts w:ascii="Times New Roman" w:hAnsi="Times New Roman" w:cs="Times New Roman"/>
          <w:sz w:val="24"/>
          <w:szCs w:val="24"/>
          <w:lang w:val="en-GB"/>
        </w:rPr>
        <w:t xml:space="preserve">figure </w:t>
      </w:r>
      <w:r w:rsidR="003446E3" w:rsidRPr="007C4490">
        <w:rPr>
          <w:rFonts w:ascii="Times New Roman" w:hAnsi="Times New Roman" w:cs="Times New Roman"/>
          <w:sz w:val="24"/>
          <w:szCs w:val="24"/>
          <w:lang w:val="en-GB"/>
        </w:rPr>
        <w:t xml:space="preserve">had declined to </w:t>
      </w:r>
      <w:r w:rsidR="00282389" w:rsidRPr="007C4490">
        <w:rPr>
          <w:rFonts w:ascii="Times New Roman" w:hAnsi="Times New Roman" w:cs="Times New Roman"/>
          <w:sz w:val="24"/>
          <w:szCs w:val="24"/>
          <w:lang w:val="en-GB"/>
        </w:rPr>
        <w:t xml:space="preserve">only </w:t>
      </w:r>
      <w:r w:rsidR="003446E3" w:rsidRPr="007C4490">
        <w:rPr>
          <w:rFonts w:ascii="Times New Roman" w:hAnsi="Times New Roman" w:cs="Times New Roman"/>
          <w:sz w:val="24"/>
          <w:szCs w:val="24"/>
          <w:lang w:val="en-GB"/>
        </w:rPr>
        <w:t xml:space="preserve">61 </w:t>
      </w:r>
      <w:r w:rsidR="002E4EDB" w:rsidRPr="007C4490">
        <w:rPr>
          <w:rFonts w:ascii="Times New Roman" w:hAnsi="Times New Roman" w:cs="Times New Roman"/>
          <w:sz w:val="24"/>
          <w:szCs w:val="24"/>
          <w:lang w:val="en-GB"/>
        </w:rPr>
        <w:t>per cent</w:t>
      </w:r>
      <w:r w:rsidR="003446E3" w:rsidRPr="007C4490">
        <w:rPr>
          <w:rFonts w:ascii="Times New Roman" w:hAnsi="Times New Roman" w:cs="Times New Roman"/>
          <w:sz w:val="24"/>
          <w:szCs w:val="24"/>
          <w:lang w:val="en-GB"/>
        </w:rPr>
        <w:t xml:space="preserve"> in 2013.</w:t>
      </w:r>
      <w:r w:rsidRPr="007C4490">
        <w:rPr>
          <w:rFonts w:ascii="Times New Roman" w:hAnsi="Times New Roman" w:cs="Times New Roman"/>
          <w:sz w:val="24"/>
          <w:szCs w:val="24"/>
          <w:lang w:val="en-GB"/>
        </w:rPr>
        <w:t xml:space="preserve"> Yet by leveraging data on policy outcomes</w:t>
      </w:r>
      <w:r w:rsidR="000B7868">
        <w:rPr>
          <w:rFonts w:ascii="Times New Roman" w:hAnsi="Times New Roman" w:cs="Times New Roman"/>
          <w:sz w:val="24"/>
          <w:szCs w:val="24"/>
          <w:lang w:val="en-GB"/>
        </w:rPr>
        <w:t xml:space="preserve"> before and after major changes in the socio-economic environment</w:t>
      </w:r>
      <w:r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lastRenderedPageBreak/>
        <w:t>shifting the time frame of the analysis, and attending to the implementation of major reforms</w:t>
      </w:r>
      <w:r w:rsidR="00884F7E"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a more nuanced empirical picture emerges.  </w:t>
      </w:r>
    </w:p>
    <w:p w14:paraId="12DAA035" w14:textId="77777777" w:rsidR="007E6768" w:rsidRPr="007C4490" w:rsidRDefault="009B21E5" w:rsidP="0085290A">
      <w:pPr>
        <w:spacing w:after="0" w:line="480" w:lineRule="auto"/>
        <w:ind w:firstLine="720"/>
        <w:jc w:val="center"/>
        <w:rPr>
          <w:rFonts w:ascii="Times New Roman" w:hAnsi="Times New Roman" w:cs="Times New Roman"/>
          <w:sz w:val="24"/>
          <w:szCs w:val="24"/>
          <w:lang w:val="en-GB"/>
        </w:rPr>
      </w:pPr>
      <w:r w:rsidRPr="007C4490">
        <w:rPr>
          <w:rFonts w:ascii="Times New Roman" w:hAnsi="Times New Roman" w:cs="Times New Roman"/>
          <w:sz w:val="24"/>
          <w:szCs w:val="24"/>
          <w:lang w:val="en-GB"/>
        </w:rPr>
        <w:t>(</w:t>
      </w:r>
      <w:r w:rsidR="0085290A" w:rsidRPr="007C4490">
        <w:rPr>
          <w:rFonts w:ascii="Times New Roman" w:hAnsi="Times New Roman" w:cs="Times New Roman"/>
          <w:sz w:val="24"/>
          <w:szCs w:val="24"/>
          <w:lang w:val="en-GB"/>
        </w:rPr>
        <w:t>F</w:t>
      </w:r>
      <w:r w:rsidRPr="007C4490">
        <w:rPr>
          <w:rFonts w:ascii="Times New Roman" w:hAnsi="Times New Roman" w:cs="Times New Roman"/>
          <w:sz w:val="24"/>
          <w:szCs w:val="24"/>
          <w:lang w:val="en-GB"/>
        </w:rPr>
        <w:t xml:space="preserve">igure 1 about here) </w:t>
      </w:r>
    </w:p>
    <w:p w14:paraId="6840C840" w14:textId="7075E5DD" w:rsidR="0032417E" w:rsidRPr="007C4490" w:rsidRDefault="0032417E" w:rsidP="005B6A21">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First, </w:t>
      </w:r>
      <w:r w:rsidR="00CB0236">
        <w:rPr>
          <w:rFonts w:ascii="Times New Roman" w:hAnsi="Times New Roman" w:cs="Times New Roman"/>
          <w:sz w:val="24"/>
          <w:szCs w:val="24"/>
          <w:lang w:val="en-GB"/>
        </w:rPr>
        <w:t xml:space="preserve">turning to </w:t>
      </w:r>
      <w:r w:rsidRPr="007C4490">
        <w:rPr>
          <w:rFonts w:ascii="Times New Roman" w:hAnsi="Times New Roman" w:cs="Times New Roman"/>
          <w:sz w:val="24"/>
          <w:szCs w:val="24"/>
          <w:lang w:val="en-GB"/>
        </w:rPr>
        <w:t xml:space="preserve">data </w:t>
      </w:r>
      <w:r w:rsidR="00CB0236">
        <w:rPr>
          <w:rFonts w:ascii="Times New Roman" w:hAnsi="Times New Roman" w:cs="Times New Roman"/>
          <w:sz w:val="24"/>
          <w:szCs w:val="24"/>
          <w:lang w:val="en-GB"/>
        </w:rPr>
        <w:t xml:space="preserve">on </w:t>
      </w:r>
      <w:r w:rsidR="002A7AAB">
        <w:rPr>
          <w:rFonts w:ascii="Times New Roman" w:hAnsi="Times New Roman" w:cs="Times New Roman"/>
          <w:sz w:val="24"/>
          <w:szCs w:val="24"/>
          <w:lang w:val="en-GB"/>
        </w:rPr>
        <w:t xml:space="preserve">drift’s case-specific empirical implications, namely policy </w:t>
      </w:r>
      <w:r w:rsidR="00CB0236">
        <w:rPr>
          <w:rFonts w:ascii="Times New Roman" w:hAnsi="Times New Roman" w:cs="Times New Roman"/>
          <w:sz w:val="24"/>
          <w:szCs w:val="24"/>
          <w:lang w:val="en-GB"/>
        </w:rPr>
        <w:t xml:space="preserve">outcomes </w:t>
      </w:r>
      <w:r w:rsidR="000B7868">
        <w:rPr>
          <w:rFonts w:ascii="Times New Roman" w:hAnsi="Times New Roman" w:cs="Times New Roman"/>
          <w:sz w:val="24"/>
          <w:szCs w:val="24"/>
          <w:lang w:val="en-GB"/>
        </w:rPr>
        <w:t xml:space="preserve">before and after changes in the socio-economic </w:t>
      </w:r>
      <w:proofErr w:type="gramStart"/>
      <w:r w:rsidR="000B7868">
        <w:rPr>
          <w:rFonts w:ascii="Times New Roman" w:hAnsi="Times New Roman" w:cs="Times New Roman"/>
          <w:sz w:val="24"/>
          <w:szCs w:val="24"/>
          <w:lang w:val="en-GB"/>
        </w:rPr>
        <w:t>context</w:t>
      </w:r>
      <w:r w:rsidR="002A7AAB">
        <w:rPr>
          <w:rFonts w:ascii="Times New Roman" w:hAnsi="Times New Roman" w:cs="Times New Roman"/>
          <w:sz w:val="24"/>
          <w:szCs w:val="24"/>
          <w:lang w:val="en-GB"/>
        </w:rPr>
        <w:t>,</w:t>
      </w:r>
      <w:proofErr w:type="gramEnd"/>
      <w:r w:rsidR="000B7868">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reveal</w:t>
      </w:r>
      <w:r w:rsidR="000B7868">
        <w:rPr>
          <w:rFonts w:ascii="Times New Roman" w:hAnsi="Times New Roman" w:cs="Times New Roman"/>
          <w:sz w:val="24"/>
          <w:szCs w:val="24"/>
          <w:lang w:val="en-GB"/>
        </w:rPr>
        <w:t>s</w:t>
      </w:r>
      <w:r w:rsidRPr="007C4490">
        <w:rPr>
          <w:rFonts w:ascii="Times New Roman" w:hAnsi="Times New Roman" w:cs="Times New Roman"/>
          <w:sz w:val="24"/>
          <w:szCs w:val="24"/>
          <w:lang w:val="en-GB"/>
        </w:rPr>
        <w:t xml:space="preserve"> more complexity than meets the eye. </w:t>
      </w:r>
      <w:r w:rsidR="002A7AAB">
        <w:rPr>
          <w:rFonts w:ascii="Times New Roman" w:hAnsi="Times New Roman" w:cs="Times New Roman"/>
          <w:sz w:val="24"/>
          <w:szCs w:val="24"/>
          <w:lang w:val="en-GB"/>
        </w:rPr>
        <w:t>While increasing levels of underinsurance would indicate continued policy drift, r</w:t>
      </w:r>
      <w:r w:rsidRPr="007C4490">
        <w:rPr>
          <w:rFonts w:ascii="Times New Roman" w:hAnsi="Times New Roman" w:cs="Times New Roman"/>
          <w:sz w:val="24"/>
          <w:szCs w:val="24"/>
          <w:lang w:val="en-GB"/>
        </w:rPr>
        <w:t xml:space="preserve">aw figures on coverage hide the fact that drift has been </w:t>
      </w:r>
      <w:r w:rsidR="001D7566" w:rsidRPr="007C4490">
        <w:rPr>
          <w:rFonts w:ascii="Times New Roman" w:hAnsi="Times New Roman" w:cs="Times New Roman"/>
          <w:sz w:val="24"/>
          <w:szCs w:val="24"/>
          <w:lang w:val="en-GB"/>
        </w:rPr>
        <w:t>affecting the population</w:t>
      </w:r>
      <w:r w:rsidR="00884F7E"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uneven</w:t>
      </w:r>
      <w:r w:rsidR="001D7566" w:rsidRPr="007C4490">
        <w:rPr>
          <w:rFonts w:ascii="Times New Roman" w:hAnsi="Times New Roman" w:cs="Times New Roman"/>
          <w:sz w:val="24"/>
          <w:szCs w:val="24"/>
          <w:lang w:val="en-GB"/>
        </w:rPr>
        <w:t>ly</w:t>
      </w:r>
      <w:r w:rsidRPr="007C4490">
        <w:rPr>
          <w:rFonts w:ascii="Times New Roman" w:hAnsi="Times New Roman" w:cs="Times New Roman"/>
          <w:sz w:val="24"/>
          <w:szCs w:val="24"/>
          <w:lang w:val="en-GB"/>
        </w:rPr>
        <w:t>. Perhaps unsurprisingly, there was a particular reduction in the number of people in less well paid work who were insured through their employer. In families with an income below 200 per</w:t>
      </w:r>
      <w:r w:rsidR="001D7566"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cent of the federal poverty line (FPL), the percentage of non-elderly people covered by employer insurance dropped from 39.3 per</w:t>
      </w:r>
      <w:r w:rsidR="001D7566"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 xml:space="preserve">cent in 1999/2000 to 29.2 </w:t>
      </w:r>
      <w:r w:rsidR="002E4EDB" w:rsidRPr="007C4490">
        <w:rPr>
          <w:rFonts w:ascii="Times New Roman" w:hAnsi="Times New Roman" w:cs="Times New Roman"/>
          <w:sz w:val="24"/>
          <w:szCs w:val="24"/>
          <w:lang w:val="en-GB"/>
        </w:rPr>
        <w:t>per cent</w:t>
      </w:r>
      <w:r w:rsidRPr="007C4490">
        <w:rPr>
          <w:rFonts w:ascii="Times New Roman" w:hAnsi="Times New Roman" w:cs="Times New Roman"/>
          <w:sz w:val="24"/>
          <w:szCs w:val="24"/>
          <w:lang w:val="en-GB"/>
        </w:rPr>
        <w:t xml:space="preserve"> in 2010/2011. In families with incomes between 200 to 400 </w:t>
      </w:r>
      <w:r w:rsidR="002E4EDB" w:rsidRPr="007C4490">
        <w:rPr>
          <w:rFonts w:ascii="Times New Roman" w:hAnsi="Times New Roman" w:cs="Times New Roman"/>
          <w:sz w:val="24"/>
          <w:szCs w:val="24"/>
          <w:lang w:val="en-GB"/>
        </w:rPr>
        <w:t>per cent</w:t>
      </w:r>
      <w:r w:rsidRPr="007C4490">
        <w:rPr>
          <w:rFonts w:ascii="Times New Roman" w:hAnsi="Times New Roman" w:cs="Times New Roman"/>
          <w:sz w:val="24"/>
          <w:szCs w:val="24"/>
          <w:lang w:val="en-GB"/>
        </w:rPr>
        <w:t xml:space="preserve"> of the FPL, the drop was from 79 per</w:t>
      </w:r>
      <w:r w:rsidR="001D7566"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cent to 70.6 per</w:t>
      </w:r>
      <w:r w:rsidR="001D7566"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cent</w:t>
      </w:r>
      <w:r w:rsidR="001D7566"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while for families with incomes above this the decline was much more marginal</w:t>
      </w:r>
      <w:r w:rsidR="001D7566"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from 90.7 to 88 per</w:t>
      </w:r>
      <w:r w:rsidR="001D7566"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cent (State Healt</w:t>
      </w:r>
      <w:r w:rsidR="002E4EDB" w:rsidRPr="007C4490">
        <w:rPr>
          <w:rFonts w:ascii="Times New Roman" w:hAnsi="Times New Roman" w:cs="Times New Roman"/>
          <w:sz w:val="24"/>
          <w:szCs w:val="24"/>
          <w:lang w:val="en-GB"/>
        </w:rPr>
        <w:t xml:space="preserve">h Access Data Assistance </w:t>
      </w:r>
      <w:proofErr w:type="spellStart"/>
      <w:r w:rsidR="002E4EDB" w:rsidRPr="007C4490">
        <w:rPr>
          <w:rFonts w:ascii="Times New Roman" w:hAnsi="Times New Roman" w:cs="Times New Roman"/>
          <w:sz w:val="24"/>
          <w:szCs w:val="24"/>
          <w:lang w:val="en-GB"/>
        </w:rPr>
        <w:t>Center</w:t>
      </w:r>
      <w:proofErr w:type="spellEnd"/>
      <w:r w:rsidR="002E4EDB" w:rsidRPr="007C4490">
        <w:rPr>
          <w:rFonts w:ascii="Times New Roman" w:hAnsi="Times New Roman" w:cs="Times New Roman"/>
          <w:sz w:val="24"/>
          <w:szCs w:val="24"/>
          <w:lang w:val="en-GB"/>
        </w:rPr>
        <w:t xml:space="preserve"> 2013).</w:t>
      </w:r>
      <w:r w:rsidRPr="007C4490">
        <w:rPr>
          <w:rFonts w:ascii="Times New Roman" w:hAnsi="Times New Roman" w:cs="Times New Roman"/>
          <w:sz w:val="24"/>
          <w:szCs w:val="24"/>
          <w:lang w:val="en-GB"/>
        </w:rPr>
        <w:t xml:space="preserve"> The number of people covered by Medicaid did rise during the 2000s (Cohen </w:t>
      </w:r>
      <w:r w:rsidRPr="007C4490">
        <w:rPr>
          <w:rFonts w:ascii="Times New Roman" w:hAnsi="Times New Roman" w:cs="Times New Roman"/>
          <w:i/>
          <w:sz w:val="24"/>
          <w:szCs w:val="24"/>
          <w:lang w:val="en-GB"/>
        </w:rPr>
        <w:t>et al</w:t>
      </w:r>
      <w:r w:rsidR="002E4EDB" w:rsidRPr="007C4490">
        <w:rPr>
          <w:rFonts w:ascii="Times New Roman" w:hAnsi="Times New Roman" w:cs="Times New Roman"/>
          <w:i/>
          <w:sz w:val="24"/>
          <w:szCs w:val="24"/>
          <w:lang w:val="en-GB"/>
        </w:rPr>
        <w:t>.</w:t>
      </w:r>
      <w:r w:rsidRPr="007C4490">
        <w:rPr>
          <w:rFonts w:ascii="Times New Roman" w:hAnsi="Times New Roman" w:cs="Times New Roman"/>
          <w:sz w:val="24"/>
          <w:szCs w:val="24"/>
          <w:lang w:val="en-GB"/>
        </w:rPr>
        <w:t xml:space="preserve"> 2009: 9), but not by enough to compensate for the lost coverage elsewhere. Thus</w:t>
      </w:r>
      <w:r w:rsidR="002E4EDB"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while 14.6 </w:t>
      </w:r>
      <w:r w:rsidR="002E4EDB" w:rsidRPr="007C4490">
        <w:rPr>
          <w:rFonts w:ascii="Times New Roman" w:hAnsi="Times New Roman" w:cs="Times New Roman"/>
          <w:sz w:val="24"/>
          <w:szCs w:val="24"/>
          <w:lang w:val="en-GB"/>
        </w:rPr>
        <w:t>per cent</w:t>
      </w:r>
      <w:r w:rsidRPr="007C4490">
        <w:rPr>
          <w:rFonts w:ascii="Times New Roman" w:hAnsi="Times New Roman" w:cs="Times New Roman"/>
          <w:sz w:val="24"/>
          <w:szCs w:val="24"/>
          <w:lang w:val="en-GB"/>
        </w:rPr>
        <w:t xml:space="preserve"> of the total population were without insurance in 2005, that figure had risen to 16.1 </w:t>
      </w:r>
      <w:r w:rsidR="002E4EDB" w:rsidRPr="007C4490">
        <w:rPr>
          <w:rFonts w:ascii="Times New Roman" w:hAnsi="Times New Roman" w:cs="Times New Roman"/>
          <w:sz w:val="24"/>
          <w:szCs w:val="24"/>
          <w:lang w:val="en-GB"/>
        </w:rPr>
        <w:t>per cent</w:t>
      </w:r>
      <w:r w:rsidRPr="007C4490">
        <w:rPr>
          <w:rFonts w:ascii="Times New Roman" w:hAnsi="Times New Roman" w:cs="Times New Roman"/>
          <w:sz w:val="24"/>
          <w:szCs w:val="24"/>
          <w:lang w:val="en-GB"/>
        </w:rPr>
        <w:t>, equating to almost 49 million peop</w:t>
      </w:r>
      <w:r w:rsidR="002E4EDB" w:rsidRPr="007C4490">
        <w:rPr>
          <w:rFonts w:ascii="Times New Roman" w:hAnsi="Times New Roman" w:cs="Times New Roman"/>
          <w:sz w:val="24"/>
          <w:szCs w:val="24"/>
          <w:lang w:val="en-GB"/>
        </w:rPr>
        <w:t>le, by 2009 (US Census Bureau</w:t>
      </w:r>
      <w:r w:rsidRPr="007C4490">
        <w:rPr>
          <w:rFonts w:ascii="Times New Roman" w:hAnsi="Times New Roman" w:cs="Times New Roman"/>
          <w:sz w:val="24"/>
          <w:szCs w:val="24"/>
          <w:lang w:val="en-GB"/>
        </w:rPr>
        <w:t xml:space="preserve"> 2012b). The rise in unemployment as a result </w:t>
      </w:r>
      <w:r w:rsidR="00A16694" w:rsidRPr="007C4490">
        <w:rPr>
          <w:rFonts w:ascii="Times New Roman" w:hAnsi="Times New Roman" w:cs="Times New Roman"/>
          <w:sz w:val="24"/>
          <w:szCs w:val="24"/>
          <w:lang w:val="en-GB"/>
        </w:rPr>
        <w:t xml:space="preserve">of the Great Recession of 2008 </w:t>
      </w:r>
      <w:r w:rsidRPr="007C4490">
        <w:rPr>
          <w:rFonts w:ascii="Times New Roman" w:hAnsi="Times New Roman" w:cs="Times New Roman"/>
          <w:sz w:val="24"/>
          <w:szCs w:val="24"/>
          <w:lang w:val="en-GB"/>
        </w:rPr>
        <w:t>added impetus to these trends. Hence, partially at least as a corollary of policy drift resulting from the inaction of policymakers</w:t>
      </w:r>
      <w:r w:rsidR="00A1669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an increasing number of people, particularly those in lower income households who were most vulnerable to the negative economic consequences of unexpected expenses, went without health insurance.</w:t>
      </w:r>
    </w:p>
    <w:p w14:paraId="184F2588" w14:textId="7600510F" w:rsidR="003446E3" w:rsidRPr="007C4490" w:rsidRDefault="0032417E" w:rsidP="0032417E">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Second, shifting the time frame of the analysis reveals important changes in the political environment that supported drift.</w:t>
      </w:r>
      <w:r w:rsidR="00884F7E"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 xml:space="preserve">Whereas Hacker’s analysis pointed to </w:t>
      </w:r>
      <w:r w:rsidR="002D6C8F">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a </w:t>
      </w:r>
      <w:r w:rsidR="003446E3" w:rsidRPr="007C4490">
        <w:rPr>
          <w:rFonts w:ascii="Times New Roman" w:hAnsi="Times New Roman" w:cs="Times New Roman"/>
          <w:sz w:val="24"/>
          <w:szCs w:val="24"/>
          <w:lang w:val="en-GB"/>
        </w:rPr>
        <w:lastRenderedPageBreak/>
        <w:t>formidable constellation of ideologically committed opponents and vested interests</w:t>
      </w:r>
      <w:r w:rsidR="00E31CF9" w:rsidRPr="007C4490">
        <w:rPr>
          <w:rFonts w:ascii="Times New Roman" w:hAnsi="Times New Roman" w:cs="Times New Roman"/>
          <w:sz w:val="24"/>
          <w:szCs w:val="24"/>
          <w:lang w:val="en-GB"/>
        </w:rPr>
        <w:t>’</w:t>
      </w:r>
      <w:r w:rsidR="00A16694" w:rsidRPr="007C4490">
        <w:rPr>
          <w:rFonts w:ascii="Times New Roman" w:hAnsi="Times New Roman" w:cs="Times New Roman"/>
          <w:sz w:val="24"/>
          <w:szCs w:val="24"/>
          <w:lang w:val="en-GB"/>
        </w:rPr>
        <w:t xml:space="preserve"> (Hacker</w:t>
      </w:r>
      <w:r w:rsidR="003446E3" w:rsidRPr="007C4490">
        <w:rPr>
          <w:rFonts w:ascii="Times New Roman" w:hAnsi="Times New Roman" w:cs="Times New Roman"/>
          <w:sz w:val="24"/>
          <w:szCs w:val="24"/>
          <w:lang w:val="en-GB"/>
        </w:rPr>
        <w:t xml:space="preserve"> 2004: 254)</w:t>
      </w:r>
      <w:r w:rsidRPr="007C4490">
        <w:rPr>
          <w:rFonts w:ascii="Times New Roman" w:hAnsi="Times New Roman" w:cs="Times New Roman"/>
          <w:sz w:val="24"/>
          <w:szCs w:val="24"/>
          <w:lang w:val="en-GB"/>
        </w:rPr>
        <w:t xml:space="preserve">, </w:t>
      </w:r>
      <w:r w:rsidR="003446E3" w:rsidRPr="007C4490">
        <w:rPr>
          <w:rFonts w:ascii="Times New Roman" w:hAnsi="Times New Roman" w:cs="Times New Roman"/>
          <w:sz w:val="24"/>
          <w:szCs w:val="24"/>
          <w:lang w:val="en-GB"/>
        </w:rPr>
        <w:t xml:space="preserve">the </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problem pressure</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 (</w:t>
      </w:r>
      <w:proofErr w:type="spellStart"/>
      <w:r w:rsidR="003446E3" w:rsidRPr="007C4490">
        <w:rPr>
          <w:rFonts w:ascii="Times New Roman" w:hAnsi="Times New Roman" w:cs="Times New Roman"/>
          <w:sz w:val="24"/>
          <w:szCs w:val="24"/>
          <w:lang w:val="en-GB"/>
        </w:rPr>
        <w:t>Schmid</w:t>
      </w:r>
      <w:proofErr w:type="spellEnd"/>
      <w:r w:rsidR="003446E3" w:rsidRPr="007C4490">
        <w:rPr>
          <w:rFonts w:ascii="Times New Roman" w:hAnsi="Times New Roman" w:cs="Times New Roman"/>
          <w:sz w:val="24"/>
          <w:szCs w:val="24"/>
          <w:lang w:val="en-GB"/>
        </w:rPr>
        <w:t xml:space="preserve">, </w:t>
      </w:r>
      <w:proofErr w:type="spellStart"/>
      <w:r w:rsidR="003446E3" w:rsidRPr="007C4490">
        <w:rPr>
          <w:rFonts w:ascii="Times New Roman" w:hAnsi="Times New Roman" w:cs="Times New Roman"/>
          <w:sz w:val="24"/>
          <w:szCs w:val="24"/>
          <w:lang w:val="en-GB"/>
        </w:rPr>
        <w:t>Cacace</w:t>
      </w:r>
      <w:proofErr w:type="spellEnd"/>
      <w:r w:rsidR="003446E3" w:rsidRPr="007C4490">
        <w:rPr>
          <w:rFonts w:ascii="Times New Roman" w:hAnsi="Times New Roman" w:cs="Times New Roman"/>
          <w:sz w:val="24"/>
          <w:szCs w:val="24"/>
          <w:lang w:val="en-GB"/>
        </w:rPr>
        <w:t xml:space="preserve">, Götze and </w:t>
      </w:r>
      <w:proofErr w:type="spellStart"/>
      <w:r w:rsidR="003446E3" w:rsidRPr="007C4490">
        <w:rPr>
          <w:rFonts w:ascii="Times New Roman" w:hAnsi="Times New Roman" w:cs="Times New Roman"/>
          <w:sz w:val="24"/>
          <w:szCs w:val="24"/>
          <w:lang w:val="en-GB"/>
        </w:rPr>
        <w:t>Rothgang</w:t>
      </w:r>
      <w:proofErr w:type="spellEnd"/>
      <w:r w:rsidR="003446E3" w:rsidRPr="007C4490">
        <w:rPr>
          <w:rFonts w:ascii="Times New Roman" w:hAnsi="Times New Roman" w:cs="Times New Roman"/>
          <w:sz w:val="24"/>
          <w:szCs w:val="24"/>
          <w:lang w:val="en-GB"/>
        </w:rPr>
        <w:t xml:space="preserve"> 2010) arising from the ongoing </w:t>
      </w:r>
      <w:r w:rsidR="00A16694" w:rsidRPr="007C4490">
        <w:rPr>
          <w:rFonts w:ascii="Times New Roman" w:hAnsi="Times New Roman" w:cs="Times New Roman"/>
          <w:sz w:val="24"/>
          <w:szCs w:val="24"/>
          <w:lang w:val="en-GB"/>
        </w:rPr>
        <w:t>crises in the US</w:t>
      </w:r>
      <w:r w:rsidR="003446E3" w:rsidRPr="007C4490">
        <w:rPr>
          <w:rFonts w:ascii="Times New Roman" w:hAnsi="Times New Roman" w:cs="Times New Roman"/>
          <w:sz w:val="24"/>
          <w:szCs w:val="24"/>
          <w:lang w:val="en-GB"/>
        </w:rPr>
        <w:t xml:space="preserve"> health care system combined with an extraordinary set of institutional circumstances to enable President Obama and the Democratic Congress to enact the Afforda</w:t>
      </w:r>
      <w:r w:rsidR="00A16694" w:rsidRPr="007C4490">
        <w:rPr>
          <w:rFonts w:ascii="Times New Roman" w:hAnsi="Times New Roman" w:cs="Times New Roman"/>
          <w:sz w:val="24"/>
          <w:szCs w:val="24"/>
          <w:lang w:val="en-GB"/>
        </w:rPr>
        <w:t>ble Care Act (</w:t>
      </w:r>
      <w:proofErr w:type="spellStart"/>
      <w:r w:rsidR="00A16694" w:rsidRPr="007C4490">
        <w:rPr>
          <w:rFonts w:ascii="Times New Roman" w:hAnsi="Times New Roman" w:cs="Times New Roman"/>
          <w:sz w:val="24"/>
          <w:szCs w:val="24"/>
          <w:lang w:val="en-GB"/>
        </w:rPr>
        <w:t>Beland</w:t>
      </w:r>
      <w:proofErr w:type="spellEnd"/>
      <w:r w:rsidR="00A16694" w:rsidRPr="007C4490">
        <w:rPr>
          <w:rFonts w:ascii="Times New Roman" w:hAnsi="Times New Roman" w:cs="Times New Roman"/>
          <w:sz w:val="24"/>
          <w:szCs w:val="24"/>
          <w:lang w:val="en-GB"/>
        </w:rPr>
        <w:t xml:space="preserve"> and Waddan 2012b; Jacobs and </w:t>
      </w:r>
      <w:proofErr w:type="spellStart"/>
      <w:r w:rsidR="00A16694" w:rsidRPr="007C4490">
        <w:rPr>
          <w:rFonts w:ascii="Times New Roman" w:hAnsi="Times New Roman" w:cs="Times New Roman"/>
          <w:sz w:val="24"/>
          <w:szCs w:val="24"/>
          <w:lang w:val="en-GB"/>
        </w:rPr>
        <w:t>Skocpol</w:t>
      </w:r>
      <w:proofErr w:type="spellEnd"/>
      <w:r w:rsidR="003446E3" w:rsidRPr="007C4490">
        <w:rPr>
          <w:rFonts w:ascii="Times New Roman" w:hAnsi="Times New Roman" w:cs="Times New Roman"/>
          <w:sz w:val="24"/>
          <w:szCs w:val="24"/>
          <w:lang w:val="en-GB"/>
        </w:rPr>
        <w:t xml:space="preserve"> 2010</w:t>
      </w:r>
      <w:r w:rsidR="0079329A" w:rsidRPr="007C4490">
        <w:rPr>
          <w:rFonts w:ascii="Times New Roman" w:hAnsi="Times New Roman" w:cs="Times New Roman"/>
          <w:sz w:val="24"/>
          <w:szCs w:val="24"/>
          <w:lang w:val="en-GB"/>
        </w:rPr>
        <w:t xml:space="preserve">; </w:t>
      </w:r>
      <w:proofErr w:type="spellStart"/>
      <w:r w:rsidR="0079329A" w:rsidRPr="007C4490">
        <w:rPr>
          <w:rFonts w:ascii="Times New Roman" w:hAnsi="Times New Roman" w:cs="Times New Roman"/>
          <w:sz w:val="24"/>
          <w:szCs w:val="24"/>
          <w:lang w:val="en-GB"/>
        </w:rPr>
        <w:t>Marmor</w:t>
      </w:r>
      <w:proofErr w:type="spellEnd"/>
      <w:r w:rsidR="00884F7E" w:rsidRPr="007C4490">
        <w:rPr>
          <w:rFonts w:ascii="Times New Roman" w:hAnsi="Times New Roman" w:cs="Times New Roman"/>
          <w:sz w:val="24"/>
          <w:szCs w:val="24"/>
          <w:lang w:val="en-GB"/>
        </w:rPr>
        <w:t xml:space="preserve"> and </w:t>
      </w:r>
      <w:proofErr w:type="spellStart"/>
      <w:r w:rsidR="00884F7E" w:rsidRPr="007C4490">
        <w:rPr>
          <w:rFonts w:ascii="Times New Roman" w:hAnsi="Times New Roman" w:cs="Times New Roman"/>
          <w:sz w:val="24"/>
          <w:szCs w:val="24"/>
          <w:lang w:val="en-GB"/>
        </w:rPr>
        <w:t>O</w:t>
      </w:r>
      <w:r w:rsidR="00A16694" w:rsidRPr="007C4490">
        <w:rPr>
          <w:rFonts w:ascii="Times New Roman" w:hAnsi="Times New Roman" w:cs="Times New Roman"/>
          <w:sz w:val="24"/>
          <w:szCs w:val="24"/>
          <w:lang w:val="en-GB"/>
        </w:rPr>
        <w:t>berlander</w:t>
      </w:r>
      <w:proofErr w:type="spellEnd"/>
      <w:r w:rsidR="00884F7E" w:rsidRPr="007C4490">
        <w:rPr>
          <w:rFonts w:ascii="Times New Roman" w:hAnsi="Times New Roman" w:cs="Times New Roman"/>
          <w:sz w:val="24"/>
          <w:szCs w:val="24"/>
          <w:lang w:val="en-GB"/>
        </w:rPr>
        <w:t xml:space="preserve"> 2011</w:t>
      </w:r>
      <w:r w:rsidR="003446E3" w:rsidRPr="007C4490">
        <w:rPr>
          <w:rFonts w:ascii="Times New Roman" w:hAnsi="Times New Roman" w:cs="Times New Roman"/>
          <w:sz w:val="24"/>
          <w:szCs w:val="24"/>
          <w:lang w:val="en-GB"/>
        </w:rPr>
        <w:t>). This law constituted a formal revision designed</w:t>
      </w:r>
      <w:r w:rsidR="00A16694" w:rsidRPr="007C4490">
        <w:rPr>
          <w:rFonts w:ascii="Times New Roman" w:hAnsi="Times New Roman" w:cs="Times New Roman"/>
          <w:sz w:val="24"/>
          <w:szCs w:val="24"/>
          <w:lang w:val="en-GB"/>
        </w:rPr>
        <w:t xml:space="preserve"> at overhauling much of the US</w:t>
      </w:r>
      <w:r w:rsidR="003446E3" w:rsidRPr="007C4490">
        <w:rPr>
          <w:rFonts w:ascii="Times New Roman" w:hAnsi="Times New Roman" w:cs="Times New Roman"/>
          <w:sz w:val="24"/>
          <w:szCs w:val="24"/>
          <w:lang w:val="en-GB"/>
        </w:rPr>
        <w:t>’s fragmented health care arrangements. Its passage cannot simply be attributed to the evidence of the problems besetting the health care system, as these had long been apparent</w:t>
      </w:r>
      <w:r w:rsidR="00065B77" w:rsidRPr="007C4490">
        <w:rPr>
          <w:rFonts w:ascii="Times New Roman" w:hAnsi="Times New Roman" w:cs="Times New Roman"/>
          <w:sz w:val="24"/>
          <w:szCs w:val="24"/>
          <w:lang w:val="en-GB"/>
        </w:rPr>
        <w:t xml:space="preserve">. As </w:t>
      </w:r>
      <w:r w:rsidR="003446E3" w:rsidRPr="007C4490">
        <w:rPr>
          <w:rFonts w:ascii="Times New Roman" w:hAnsi="Times New Roman" w:cs="Times New Roman"/>
          <w:sz w:val="24"/>
          <w:szCs w:val="24"/>
          <w:lang w:val="en-GB"/>
        </w:rPr>
        <w:t xml:space="preserve">Mark Peterson (2011: 431) points out, </w:t>
      </w:r>
      <w:r w:rsidR="00065B77" w:rsidRPr="007C4490">
        <w:rPr>
          <w:rFonts w:ascii="Times New Roman" w:hAnsi="Times New Roman" w:cs="Times New Roman"/>
          <w:sz w:val="24"/>
          <w:szCs w:val="24"/>
          <w:lang w:val="en-GB"/>
        </w:rPr>
        <w:t xml:space="preserve">however, </w:t>
      </w:r>
      <w:r w:rsidR="003446E3" w:rsidRPr="007C4490">
        <w:rPr>
          <w:rFonts w:ascii="Times New Roman" w:hAnsi="Times New Roman" w:cs="Times New Roman"/>
          <w:sz w:val="24"/>
          <w:szCs w:val="24"/>
          <w:lang w:val="en-GB"/>
        </w:rPr>
        <w:t>these difficulties had reached especially chronic proportions by the end of the 2000s</w:t>
      </w:r>
      <w:r w:rsidR="00A16694"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 not just in terms of access to coverage but also cost and performance. </w:t>
      </w:r>
      <w:r w:rsidR="00065B77" w:rsidRPr="007C4490">
        <w:rPr>
          <w:rFonts w:ascii="Times New Roman" w:hAnsi="Times New Roman" w:cs="Times New Roman"/>
          <w:sz w:val="24"/>
          <w:szCs w:val="24"/>
          <w:lang w:val="en-GB"/>
        </w:rPr>
        <w:t>For</w:t>
      </w:r>
      <w:r w:rsidR="003446E3" w:rsidRPr="007C4490">
        <w:rPr>
          <w:rFonts w:ascii="Times New Roman" w:hAnsi="Times New Roman" w:cs="Times New Roman"/>
          <w:sz w:val="24"/>
          <w:szCs w:val="24"/>
          <w:lang w:val="en-GB"/>
        </w:rPr>
        <w:t xml:space="preserve"> a legislative effort to remedy this dysfunction to emerge through Congress, there also had to be a </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most fortuitous, and rare, alignment of the institutional and political stars</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 that empowered the new president and his party in Congress while disempowering the vested interests whose previous hostility to comprehensive reform</w:t>
      </w:r>
      <w:r w:rsidR="00A16694" w:rsidRPr="007C4490">
        <w:rPr>
          <w:rFonts w:ascii="Times New Roman" w:hAnsi="Times New Roman" w:cs="Times New Roman"/>
          <w:sz w:val="24"/>
          <w:szCs w:val="24"/>
          <w:lang w:val="en-GB"/>
        </w:rPr>
        <w:t xml:space="preserve"> had been so decisive (Peterson</w:t>
      </w:r>
      <w:r w:rsidR="003446E3" w:rsidRPr="007C4490">
        <w:rPr>
          <w:rFonts w:ascii="Times New Roman" w:hAnsi="Times New Roman" w:cs="Times New Roman"/>
          <w:sz w:val="24"/>
          <w:szCs w:val="24"/>
          <w:lang w:val="en-GB"/>
        </w:rPr>
        <w:t xml:space="preserve"> 2011: 431). Importantly, while such </w:t>
      </w:r>
      <w:r w:rsidR="00A16694" w:rsidRPr="007C4490">
        <w:rPr>
          <w:rFonts w:ascii="Times New Roman" w:hAnsi="Times New Roman" w:cs="Times New Roman"/>
          <w:sz w:val="24"/>
          <w:szCs w:val="24"/>
          <w:lang w:val="en-GB"/>
        </w:rPr>
        <w:t xml:space="preserve">a </w:t>
      </w:r>
      <w:r w:rsidR="003446E3" w:rsidRPr="007C4490">
        <w:rPr>
          <w:rFonts w:ascii="Times New Roman" w:hAnsi="Times New Roman" w:cs="Times New Roman"/>
          <w:sz w:val="24"/>
          <w:szCs w:val="24"/>
          <w:lang w:val="en-GB"/>
        </w:rPr>
        <w:t xml:space="preserve">constellation of events may be </w:t>
      </w:r>
      <w:r w:rsidR="00E31CF9" w:rsidRPr="007C4490">
        <w:rPr>
          <w:rFonts w:ascii="Times New Roman" w:hAnsi="Times New Roman" w:cs="Times New Roman"/>
          <w:sz w:val="24"/>
          <w:szCs w:val="24"/>
          <w:lang w:val="en-GB"/>
        </w:rPr>
        <w:t>‘</w:t>
      </w:r>
      <w:r w:rsidR="00A16694" w:rsidRPr="007C4490">
        <w:rPr>
          <w:rFonts w:ascii="Times New Roman" w:hAnsi="Times New Roman" w:cs="Times New Roman"/>
          <w:sz w:val="24"/>
          <w:szCs w:val="24"/>
          <w:lang w:val="en-GB"/>
        </w:rPr>
        <w:t>rare</w:t>
      </w:r>
      <w:r w:rsidR="00E31CF9" w:rsidRPr="007C4490">
        <w:rPr>
          <w:rFonts w:ascii="Times New Roman" w:hAnsi="Times New Roman" w:cs="Times New Roman"/>
          <w:sz w:val="24"/>
          <w:szCs w:val="24"/>
          <w:lang w:val="en-GB"/>
        </w:rPr>
        <w:t>’</w:t>
      </w:r>
      <w:r w:rsidR="00A16694"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 the passage of the ACA may suggest that even the most apparently inexorable cases of drift, constituting </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hidden</w:t>
      </w:r>
      <w:r w:rsidR="00E31CF9"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 soc</w:t>
      </w:r>
      <w:r w:rsidR="00A16694" w:rsidRPr="007C4490">
        <w:rPr>
          <w:rFonts w:ascii="Times New Roman" w:hAnsi="Times New Roman" w:cs="Times New Roman"/>
          <w:sz w:val="24"/>
          <w:szCs w:val="24"/>
          <w:lang w:val="en-GB"/>
        </w:rPr>
        <w:t>ial policy retrenchment (Hacker</w:t>
      </w:r>
      <w:r w:rsidR="003446E3" w:rsidRPr="007C4490">
        <w:rPr>
          <w:rFonts w:ascii="Times New Roman" w:hAnsi="Times New Roman" w:cs="Times New Roman"/>
          <w:sz w:val="24"/>
          <w:szCs w:val="24"/>
          <w:lang w:val="en-GB"/>
        </w:rPr>
        <w:t xml:space="preserve"> 2004), can be reversed. </w:t>
      </w:r>
    </w:p>
    <w:p w14:paraId="2F5F8390" w14:textId="77777777" w:rsidR="0032417E" w:rsidRPr="007C4490" w:rsidRDefault="0032417E" w:rsidP="0032417E">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Third, focusing on policy implementation reveals that understanding whether or not the ACA counts as a ‘major revision’ is not so simple. To be sure, the </w:t>
      </w:r>
      <w:r w:rsidR="003446E3" w:rsidRPr="007C4490">
        <w:rPr>
          <w:rFonts w:ascii="Times New Roman" w:hAnsi="Times New Roman" w:cs="Times New Roman"/>
          <w:sz w:val="24"/>
          <w:szCs w:val="24"/>
          <w:lang w:val="en-GB"/>
        </w:rPr>
        <w:t>ACA was no doubt an important first step in combating policy drift. Congressional Budget Office projections suggest, for instance, that the number of uninsured will decrease by 17 million in 2015 alone</w:t>
      </w:r>
      <w:r w:rsidR="00443373" w:rsidRPr="007C4490">
        <w:rPr>
          <w:rFonts w:ascii="Times New Roman" w:hAnsi="Times New Roman" w:cs="Times New Roman"/>
          <w:sz w:val="24"/>
          <w:szCs w:val="24"/>
          <w:lang w:val="en-GB"/>
        </w:rPr>
        <w:t>,</w:t>
      </w:r>
      <w:r w:rsidR="003446E3" w:rsidRPr="007C4490">
        <w:rPr>
          <w:rFonts w:ascii="Times New Roman" w:hAnsi="Times New Roman" w:cs="Times New Roman"/>
          <w:sz w:val="24"/>
          <w:szCs w:val="24"/>
          <w:lang w:val="en-GB"/>
        </w:rPr>
        <w:t xml:space="preserve"> whereas the number of individuals covered by insurance exchanges will expand by 11 million and those covered by Medicaid or CHIP will expand by 10 milli</w:t>
      </w:r>
      <w:r w:rsidR="00443373" w:rsidRPr="007C4490">
        <w:rPr>
          <w:rFonts w:ascii="Times New Roman" w:hAnsi="Times New Roman" w:cs="Times New Roman"/>
          <w:sz w:val="24"/>
          <w:szCs w:val="24"/>
          <w:lang w:val="en-GB"/>
        </w:rPr>
        <w:t>on (Congressional Budget Office</w:t>
      </w:r>
      <w:r w:rsidR="003446E3" w:rsidRPr="007C4490">
        <w:rPr>
          <w:rFonts w:ascii="Times New Roman" w:hAnsi="Times New Roman" w:cs="Times New Roman"/>
          <w:sz w:val="24"/>
          <w:szCs w:val="24"/>
          <w:lang w:val="en-GB"/>
        </w:rPr>
        <w:t xml:space="preserve"> 2015). </w:t>
      </w:r>
      <w:r w:rsidRPr="007C4490">
        <w:rPr>
          <w:rFonts w:ascii="Times New Roman" w:hAnsi="Times New Roman" w:cs="Times New Roman"/>
          <w:sz w:val="24"/>
          <w:szCs w:val="24"/>
          <w:lang w:val="en-GB"/>
        </w:rPr>
        <w:t>Yet any</w:t>
      </w:r>
      <w:r w:rsidR="00AE1378" w:rsidRPr="007C4490">
        <w:rPr>
          <w:rFonts w:ascii="Times New Roman" w:hAnsi="Times New Roman" w:cs="Times New Roman"/>
          <w:sz w:val="24"/>
          <w:szCs w:val="24"/>
          <w:lang w:val="en-GB"/>
        </w:rPr>
        <w:t xml:space="preserve"> </w:t>
      </w:r>
      <w:r w:rsidR="003446E3" w:rsidRPr="007C4490">
        <w:rPr>
          <w:rFonts w:ascii="Times New Roman" w:hAnsi="Times New Roman" w:cs="Times New Roman"/>
          <w:sz w:val="24"/>
          <w:szCs w:val="24"/>
          <w:lang w:val="en-GB"/>
        </w:rPr>
        <w:t>examination of the nature of policy drift with re</w:t>
      </w:r>
      <w:r w:rsidR="00443373" w:rsidRPr="007C4490">
        <w:rPr>
          <w:rFonts w:ascii="Times New Roman" w:hAnsi="Times New Roman" w:cs="Times New Roman"/>
          <w:sz w:val="24"/>
          <w:szCs w:val="24"/>
          <w:lang w:val="en-GB"/>
        </w:rPr>
        <w:t>gards to health care in the US</w:t>
      </w:r>
      <w:r w:rsidR="003446E3" w:rsidRPr="007C4490">
        <w:rPr>
          <w:rFonts w:ascii="Times New Roman" w:hAnsi="Times New Roman" w:cs="Times New Roman"/>
          <w:sz w:val="24"/>
          <w:szCs w:val="24"/>
          <w:lang w:val="en-GB"/>
        </w:rPr>
        <w:t xml:space="preserve"> needs to disaggregate the national numbers and trends at the state level, as there were </w:t>
      </w:r>
      <w:r w:rsidR="003446E3" w:rsidRPr="007C4490">
        <w:rPr>
          <w:rFonts w:ascii="Times New Roman" w:hAnsi="Times New Roman" w:cs="Times New Roman"/>
          <w:sz w:val="24"/>
          <w:szCs w:val="24"/>
          <w:lang w:val="en-GB"/>
        </w:rPr>
        <w:lastRenderedPageBreak/>
        <w:t xml:space="preserve">significant discrepancies among states in the number of uninsured. In 2008, eight states plus the District of Columbia had </w:t>
      </w:r>
      <w:r w:rsidR="00065B77" w:rsidRPr="007C4490">
        <w:rPr>
          <w:rFonts w:ascii="Times New Roman" w:hAnsi="Times New Roman" w:cs="Times New Roman"/>
          <w:sz w:val="24"/>
          <w:szCs w:val="24"/>
          <w:lang w:val="en-GB"/>
        </w:rPr>
        <w:t>un</w:t>
      </w:r>
      <w:r w:rsidR="0085290A" w:rsidRPr="007C4490">
        <w:rPr>
          <w:rFonts w:ascii="Times New Roman" w:hAnsi="Times New Roman" w:cs="Times New Roman"/>
          <w:sz w:val="24"/>
          <w:szCs w:val="24"/>
          <w:lang w:val="en-GB"/>
        </w:rPr>
        <w:t>-</w:t>
      </w:r>
      <w:r w:rsidR="00065B77" w:rsidRPr="007C4490">
        <w:rPr>
          <w:rFonts w:ascii="Times New Roman" w:hAnsi="Times New Roman" w:cs="Times New Roman"/>
          <w:sz w:val="24"/>
          <w:szCs w:val="24"/>
          <w:lang w:val="en-GB"/>
        </w:rPr>
        <w:t>insurance rates</w:t>
      </w:r>
      <w:r w:rsidR="003446E3" w:rsidRPr="007C4490">
        <w:rPr>
          <w:rFonts w:ascii="Times New Roman" w:hAnsi="Times New Roman" w:cs="Times New Roman"/>
          <w:sz w:val="24"/>
          <w:szCs w:val="24"/>
          <w:lang w:val="en-GB"/>
        </w:rPr>
        <w:t xml:space="preserve"> </w:t>
      </w:r>
      <w:r w:rsidR="00065B77" w:rsidRPr="007C4490">
        <w:rPr>
          <w:rFonts w:ascii="Times New Roman" w:hAnsi="Times New Roman" w:cs="Times New Roman"/>
          <w:sz w:val="24"/>
          <w:szCs w:val="24"/>
          <w:lang w:val="en-GB"/>
        </w:rPr>
        <w:t>below 10</w:t>
      </w:r>
      <w:r w:rsidR="003446E3" w:rsidRPr="007C4490">
        <w:rPr>
          <w:rFonts w:ascii="Times New Roman" w:hAnsi="Times New Roman" w:cs="Times New Roman"/>
          <w:sz w:val="24"/>
          <w:szCs w:val="24"/>
          <w:lang w:val="en-GB"/>
        </w:rPr>
        <w:t xml:space="preserve"> per cent of the population. The lowest rate was in Massachusetts, where five per cent of the population was uninsured. Six states, however, had </w:t>
      </w:r>
      <w:r w:rsidR="00065B77" w:rsidRPr="007C4490">
        <w:rPr>
          <w:rFonts w:ascii="Times New Roman" w:hAnsi="Times New Roman" w:cs="Times New Roman"/>
          <w:sz w:val="24"/>
          <w:szCs w:val="24"/>
          <w:lang w:val="en-GB"/>
        </w:rPr>
        <w:t>un</w:t>
      </w:r>
      <w:r w:rsidR="0085290A" w:rsidRPr="007C4490">
        <w:rPr>
          <w:rFonts w:ascii="Times New Roman" w:hAnsi="Times New Roman" w:cs="Times New Roman"/>
          <w:sz w:val="24"/>
          <w:szCs w:val="24"/>
          <w:lang w:val="en-GB"/>
        </w:rPr>
        <w:t>-</w:t>
      </w:r>
      <w:r w:rsidR="00065B77" w:rsidRPr="007C4490">
        <w:rPr>
          <w:rFonts w:ascii="Times New Roman" w:hAnsi="Times New Roman" w:cs="Times New Roman"/>
          <w:sz w:val="24"/>
          <w:szCs w:val="24"/>
          <w:lang w:val="en-GB"/>
        </w:rPr>
        <w:t>insurance rates above 19 per cent.</w:t>
      </w:r>
      <w:r w:rsidR="003446E3" w:rsidRPr="007C4490">
        <w:rPr>
          <w:rFonts w:ascii="Times New Roman" w:hAnsi="Times New Roman" w:cs="Times New Roman"/>
          <w:sz w:val="24"/>
          <w:szCs w:val="24"/>
          <w:lang w:val="en-GB"/>
        </w:rPr>
        <w:t xml:space="preserve"> </w:t>
      </w:r>
      <w:r w:rsidR="00065B77" w:rsidRPr="007C4490">
        <w:rPr>
          <w:rFonts w:ascii="Times New Roman" w:hAnsi="Times New Roman" w:cs="Times New Roman"/>
          <w:sz w:val="24"/>
          <w:szCs w:val="24"/>
          <w:lang w:val="en-GB"/>
        </w:rPr>
        <w:t xml:space="preserve">For example, </w:t>
      </w:r>
      <w:r w:rsidR="003446E3" w:rsidRPr="007C4490">
        <w:rPr>
          <w:rFonts w:ascii="Times New Roman" w:hAnsi="Times New Roman" w:cs="Times New Roman"/>
          <w:sz w:val="24"/>
          <w:szCs w:val="24"/>
          <w:lang w:val="en-GB"/>
        </w:rPr>
        <w:t xml:space="preserve">22.8 per cent of the population in New Mexico and 24.5 per cent of the population in Texas </w:t>
      </w:r>
      <w:r w:rsidR="00065B77" w:rsidRPr="007C4490">
        <w:rPr>
          <w:rFonts w:ascii="Times New Roman" w:hAnsi="Times New Roman" w:cs="Times New Roman"/>
          <w:sz w:val="24"/>
          <w:szCs w:val="24"/>
          <w:lang w:val="en-GB"/>
        </w:rPr>
        <w:t>had no</w:t>
      </w:r>
      <w:r w:rsidR="00443373" w:rsidRPr="007C4490">
        <w:rPr>
          <w:rFonts w:ascii="Times New Roman" w:hAnsi="Times New Roman" w:cs="Times New Roman"/>
          <w:sz w:val="24"/>
          <w:szCs w:val="24"/>
          <w:lang w:val="en-GB"/>
        </w:rPr>
        <w:t xml:space="preserve"> insurance coverage (US Census Bureau</w:t>
      </w:r>
      <w:r w:rsidR="003446E3" w:rsidRPr="007C4490">
        <w:rPr>
          <w:rFonts w:ascii="Times New Roman" w:hAnsi="Times New Roman" w:cs="Times New Roman"/>
          <w:sz w:val="24"/>
          <w:szCs w:val="24"/>
          <w:lang w:val="en-GB"/>
        </w:rPr>
        <w:t xml:space="preserve"> 2012b). </w:t>
      </w:r>
    </w:p>
    <w:p w14:paraId="7E46E4C7" w14:textId="77777777" w:rsidR="003446E3" w:rsidRPr="007C4490" w:rsidRDefault="003446E3" w:rsidP="00AE1378">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These numbers reflect the broad socio-economic circumstances of the different states, but also the policy choices made by state level political actors as they chose whether or not to use their own powers to act. Most notably, Massachusetts enacted a sweeping health reform in the state </w:t>
      </w:r>
      <w:r w:rsidR="00C50F9B" w:rsidRPr="007C4490">
        <w:rPr>
          <w:rFonts w:ascii="Times New Roman" w:hAnsi="Times New Roman" w:cs="Times New Roman"/>
          <w:sz w:val="24"/>
          <w:szCs w:val="24"/>
          <w:lang w:val="en-GB"/>
        </w:rPr>
        <w:t>in 2006</w:t>
      </w:r>
      <w:r w:rsidR="00065B77" w:rsidRPr="007C4490">
        <w:rPr>
          <w:rFonts w:ascii="Times New Roman" w:hAnsi="Times New Roman" w:cs="Times New Roman"/>
          <w:sz w:val="24"/>
          <w:szCs w:val="24"/>
          <w:lang w:val="en-GB"/>
        </w:rPr>
        <w:t>, which was</w:t>
      </w:r>
      <w:r w:rsidR="00C50F9B"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designed to combat drift and to minimize the number o</w:t>
      </w:r>
      <w:r w:rsidR="00C50F9B" w:rsidRPr="007C4490">
        <w:rPr>
          <w:rFonts w:ascii="Times New Roman" w:hAnsi="Times New Roman" w:cs="Times New Roman"/>
          <w:sz w:val="24"/>
          <w:szCs w:val="24"/>
          <w:lang w:val="en-GB"/>
        </w:rPr>
        <w:t>f uninsured (</w:t>
      </w:r>
      <w:proofErr w:type="spellStart"/>
      <w:r w:rsidR="00C50F9B" w:rsidRPr="007C4490">
        <w:rPr>
          <w:rFonts w:ascii="Times New Roman" w:hAnsi="Times New Roman" w:cs="Times New Roman"/>
          <w:sz w:val="24"/>
          <w:szCs w:val="24"/>
          <w:lang w:val="en-GB"/>
        </w:rPr>
        <w:t>Belluck</w:t>
      </w:r>
      <w:proofErr w:type="spellEnd"/>
      <w:r w:rsidR="00C50F9B" w:rsidRPr="007C4490">
        <w:rPr>
          <w:rFonts w:ascii="Times New Roman" w:hAnsi="Times New Roman" w:cs="Times New Roman"/>
          <w:sz w:val="24"/>
          <w:szCs w:val="24"/>
          <w:lang w:val="en-GB"/>
        </w:rPr>
        <w:t xml:space="preserve"> and </w:t>
      </w:r>
      <w:proofErr w:type="spellStart"/>
      <w:r w:rsidR="00C50F9B" w:rsidRPr="007C4490">
        <w:rPr>
          <w:rFonts w:ascii="Times New Roman" w:hAnsi="Times New Roman" w:cs="Times New Roman"/>
          <w:sz w:val="24"/>
          <w:szCs w:val="24"/>
          <w:lang w:val="en-GB"/>
        </w:rPr>
        <w:t>Zezima</w:t>
      </w:r>
      <w:proofErr w:type="spellEnd"/>
      <w:r w:rsidRPr="007C4490">
        <w:rPr>
          <w:rFonts w:ascii="Times New Roman" w:hAnsi="Times New Roman" w:cs="Times New Roman"/>
          <w:sz w:val="24"/>
          <w:szCs w:val="24"/>
          <w:lang w:val="en-GB"/>
        </w:rPr>
        <w:t xml:space="preserve"> 2006). In contrast, Texas had amongst the least generous levels of eligibility for Medicaid</w:t>
      </w:r>
      <w:r w:rsidR="00C50F9B" w:rsidRPr="007C4490">
        <w:rPr>
          <w:rFonts w:ascii="Times New Roman" w:hAnsi="Times New Roman" w:cs="Times New Roman"/>
          <w:sz w:val="24"/>
          <w:szCs w:val="24"/>
          <w:lang w:val="en-GB"/>
        </w:rPr>
        <w:t>; while</w:t>
      </w:r>
      <w:r w:rsidRPr="007C4490">
        <w:rPr>
          <w:rFonts w:ascii="Times New Roman" w:hAnsi="Times New Roman" w:cs="Times New Roman"/>
          <w:sz w:val="24"/>
          <w:szCs w:val="24"/>
          <w:lang w:val="en-GB"/>
        </w:rPr>
        <w:t xml:space="preserve"> imposing minimum federally approved standards</w:t>
      </w:r>
      <w:r w:rsidR="00C50F9B" w:rsidRPr="007C4490">
        <w:rPr>
          <w:rFonts w:ascii="Times New Roman" w:hAnsi="Times New Roman" w:cs="Times New Roman"/>
          <w:sz w:val="24"/>
          <w:szCs w:val="24"/>
          <w:lang w:val="en-GB"/>
        </w:rPr>
        <w:t>, the program</w:t>
      </w:r>
      <w:r w:rsidRPr="007C4490">
        <w:rPr>
          <w:rFonts w:ascii="Times New Roman" w:hAnsi="Times New Roman" w:cs="Times New Roman"/>
          <w:sz w:val="24"/>
          <w:szCs w:val="24"/>
          <w:lang w:val="en-GB"/>
        </w:rPr>
        <w:t xml:space="preserve"> allowed for considerable state discretion in determining which categories of people were covered. In short, efforts to combat drift can vary in </w:t>
      </w:r>
      <w:r w:rsidR="009951E7" w:rsidRPr="007C4490">
        <w:rPr>
          <w:rFonts w:ascii="Times New Roman" w:hAnsi="Times New Roman" w:cs="Times New Roman"/>
          <w:sz w:val="24"/>
          <w:szCs w:val="24"/>
          <w:lang w:val="en-GB"/>
        </w:rPr>
        <w:t>different sub-national settings. I</w:t>
      </w:r>
      <w:r w:rsidRPr="007C4490">
        <w:rPr>
          <w:rFonts w:ascii="Times New Roman" w:hAnsi="Times New Roman" w:cs="Times New Roman"/>
          <w:sz w:val="24"/>
          <w:szCs w:val="24"/>
          <w:lang w:val="en-GB"/>
        </w:rPr>
        <w:t>n a policy domain such as health care, where there is considerable variation, it means that analysis of formal revision, as a means of tackling the consequences of drift, needs to be integrated with a study of implementation which, in the case of the ACA, intersects with federalism and state politics, issues that are not central to Hacker’s (2004) initial work on policy drift.</w:t>
      </w:r>
    </w:p>
    <w:p w14:paraId="00C3B2B6" w14:textId="77777777" w:rsidR="00302498" w:rsidRPr="007C4490" w:rsidRDefault="003446E3" w:rsidP="00282389">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ab/>
        <w:t xml:space="preserve">As the law was written, the full roll out of the ACA was scheduled to take place over a number of years through 2019, with much of the responsibility for implementation of its provisions delegated to state governments. Yet the framers of the ACA did not anticipate how the opponents of reform would exploit loopholes in this implementation process to obstruct the realization of the law’s </w:t>
      </w:r>
      <w:r w:rsidR="007273CA" w:rsidRPr="007C4490">
        <w:rPr>
          <w:rFonts w:ascii="Times New Roman" w:hAnsi="Times New Roman" w:cs="Times New Roman"/>
          <w:sz w:val="24"/>
          <w:szCs w:val="24"/>
          <w:lang w:val="en-GB"/>
        </w:rPr>
        <w:t>goals (</w:t>
      </w:r>
      <w:proofErr w:type="spellStart"/>
      <w:r w:rsidR="007273CA" w:rsidRPr="007C4490">
        <w:rPr>
          <w:rFonts w:ascii="Times New Roman" w:hAnsi="Times New Roman" w:cs="Times New Roman"/>
          <w:sz w:val="24"/>
          <w:szCs w:val="24"/>
          <w:lang w:val="en-GB"/>
        </w:rPr>
        <w:t>Béland</w:t>
      </w:r>
      <w:proofErr w:type="spellEnd"/>
      <w:r w:rsidR="007273CA" w:rsidRPr="007C4490">
        <w:rPr>
          <w:rFonts w:ascii="Times New Roman" w:hAnsi="Times New Roman" w:cs="Times New Roman"/>
          <w:sz w:val="24"/>
          <w:szCs w:val="24"/>
          <w:lang w:val="en-GB"/>
        </w:rPr>
        <w:t xml:space="preserve">, Rocco and Waddan 2014). This, </w:t>
      </w:r>
      <w:r w:rsidRPr="007C4490">
        <w:rPr>
          <w:rFonts w:ascii="Times New Roman" w:hAnsi="Times New Roman" w:cs="Times New Roman"/>
          <w:sz w:val="24"/>
          <w:szCs w:val="24"/>
          <w:lang w:val="en-GB"/>
        </w:rPr>
        <w:t xml:space="preserve">in effect, meant that the long-term </w:t>
      </w:r>
      <w:r w:rsidR="00065B77" w:rsidRPr="007C4490">
        <w:rPr>
          <w:rFonts w:ascii="Times New Roman" w:hAnsi="Times New Roman" w:cs="Times New Roman"/>
          <w:sz w:val="24"/>
          <w:szCs w:val="24"/>
          <w:lang w:val="en-GB"/>
        </w:rPr>
        <w:t xml:space="preserve">increase </w:t>
      </w:r>
      <w:r w:rsidRPr="007C4490">
        <w:rPr>
          <w:rFonts w:ascii="Times New Roman" w:hAnsi="Times New Roman" w:cs="Times New Roman"/>
          <w:sz w:val="24"/>
          <w:szCs w:val="24"/>
          <w:lang w:val="en-GB"/>
        </w:rPr>
        <w:t>in the number of uninsured Americans r</w:t>
      </w:r>
      <w:r w:rsidR="00E7598A" w:rsidRPr="007C4490">
        <w:rPr>
          <w:rFonts w:ascii="Times New Roman" w:hAnsi="Times New Roman" w:cs="Times New Roman"/>
          <w:sz w:val="24"/>
          <w:szCs w:val="24"/>
          <w:lang w:val="en-GB"/>
        </w:rPr>
        <w:t xml:space="preserve">esulting from policy drift </w:t>
      </w:r>
      <w:r w:rsidR="00E7598A" w:rsidRPr="007C4490">
        <w:rPr>
          <w:rFonts w:ascii="Times New Roman" w:hAnsi="Times New Roman" w:cs="Times New Roman"/>
          <w:sz w:val="24"/>
          <w:szCs w:val="24"/>
          <w:lang w:val="en-GB"/>
        </w:rPr>
        <w:lastRenderedPageBreak/>
        <w:t xml:space="preserve">was </w:t>
      </w:r>
      <w:r w:rsidRPr="007C4490">
        <w:rPr>
          <w:rFonts w:ascii="Times New Roman" w:hAnsi="Times New Roman" w:cs="Times New Roman"/>
          <w:sz w:val="24"/>
          <w:szCs w:val="24"/>
          <w:lang w:val="en-GB"/>
        </w:rPr>
        <w:t>only partially reversed. The resistance to the implementation of the ACA was manifested across a number of aspects of the law. For example, in order to enable lower income households to purchase affordable health insurance</w:t>
      </w:r>
      <w:r w:rsidR="007703CF"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the ACA established so-called </w:t>
      </w:r>
      <w:r w:rsidR="00E31CF9"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health insurance exchanges</w:t>
      </w:r>
      <w:r w:rsidR="00E31CF9"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through which people would be able to choose from a variety of insurance packages and, depending on their income, receive a subsidy from the federal government to pay for that insurance. The law stipulated that state governments could establish their own exchange, </w:t>
      </w:r>
      <w:r w:rsidR="007703CF" w:rsidRPr="007C4490">
        <w:rPr>
          <w:rFonts w:ascii="Times New Roman" w:hAnsi="Times New Roman" w:cs="Times New Roman"/>
          <w:sz w:val="24"/>
          <w:szCs w:val="24"/>
          <w:lang w:val="en-GB"/>
        </w:rPr>
        <w:t>and that</w:t>
      </w:r>
      <w:r w:rsidRPr="007C4490">
        <w:rPr>
          <w:rFonts w:ascii="Times New Roman" w:hAnsi="Times New Roman" w:cs="Times New Roman"/>
          <w:sz w:val="24"/>
          <w:szCs w:val="24"/>
          <w:lang w:val="en-GB"/>
        </w:rPr>
        <w:t xml:space="preserve"> the federal government </w:t>
      </w:r>
      <w:r w:rsidR="007703CF" w:rsidRPr="007C4490">
        <w:rPr>
          <w:rFonts w:ascii="Times New Roman" w:hAnsi="Times New Roman" w:cs="Times New Roman"/>
          <w:sz w:val="24"/>
          <w:szCs w:val="24"/>
          <w:lang w:val="en-GB"/>
        </w:rPr>
        <w:t xml:space="preserve">would </w:t>
      </w:r>
      <w:r w:rsidRPr="007C4490">
        <w:rPr>
          <w:rFonts w:ascii="Times New Roman" w:hAnsi="Times New Roman" w:cs="Times New Roman"/>
          <w:sz w:val="24"/>
          <w:szCs w:val="24"/>
          <w:lang w:val="en-GB"/>
        </w:rPr>
        <w:t>act in cases where states did not co-operate. When the law was passed it was anticipated that most states would take the opportunity to run their ow</w:t>
      </w:r>
      <w:r w:rsidR="007703CF" w:rsidRPr="007C4490">
        <w:rPr>
          <w:rFonts w:ascii="Times New Roman" w:hAnsi="Times New Roman" w:cs="Times New Roman"/>
          <w:sz w:val="24"/>
          <w:szCs w:val="24"/>
          <w:lang w:val="en-GB"/>
        </w:rPr>
        <w:t xml:space="preserve">n exchanges (Jacobs and </w:t>
      </w:r>
      <w:proofErr w:type="spellStart"/>
      <w:r w:rsidR="007703CF" w:rsidRPr="007C4490">
        <w:rPr>
          <w:rFonts w:ascii="Times New Roman" w:hAnsi="Times New Roman" w:cs="Times New Roman"/>
          <w:sz w:val="24"/>
          <w:szCs w:val="24"/>
          <w:lang w:val="en-GB"/>
        </w:rPr>
        <w:t>Skocpol</w:t>
      </w:r>
      <w:proofErr w:type="spellEnd"/>
      <w:r w:rsidRPr="007C4490">
        <w:rPr>
          <w:rFonts w:ascii="Times New Roman" w:hAnsi="Times New Roman" w:cs="Times New Roman"/>
          <w:sz w:val="24"/>
          <w:szCs w:val="24"/>
          <w:lang w:val="en-GB"/>
        </w:rPr>
        <w:t xml:space="preserve"> 2010), but by the end of 2014 only 24 states were doing so (Kaiser Family Foundation 2015a).</w:t>
      </w:r>
      <w:r w:rsidRPr="007C4490">
        <w:rPr>
          <w:rStyle w:val="EndnoteReference"/>
          <w:rFonts w:ascii="Times New Roman" w:hAnsi="Times New Roman" w:cs="Times New Roman"/>
          <w:sz w:val="24"/>
          <w:szCs w:val="24"/>
          <w:lang w:val="en-GB"/>
        </w:rPr>
        <w:endnoteReference w:id="2"/>
      </w:r>
      <w:r w:rsidRPr="007C4490">
        <w:rPr>
          <w:rFonts w:ascii="Times New Roman" w:hAnsi="Times New Roman" w:cs="Times New Roman"/>
          <w:sz w:val="24"/>
          <w:szCs w:val="24"/>
          <w:lang w:val="en-GB"/>
        </w:rPr>
        <w:t xml:space="preserve"> </w:t>
      </w:r>
      <w:r w:rsidR="004F7E5F" w:rsidRPr="007C4490">
        <w:rPr>
          <w:rFonts w:ascii="Times New Roman" w:hAnsi="Times New Roman" w:cs="Times New Roman"/>
          <w:sz w:val="24"/>
          <w:szCs w:val="24"/>
          <w:lang w:val="en-GB"/>
        </w:rPr>
        <w:t xml:space="preserve">The federal government did </w:t>
      </w:r>
      <w:r w:rsidR="007B3437" w:rsidRPr="007C4490">
        <w:rPr>
          <w:rFonts w:ascii="Times New Roman" w:hAnsi="Times New Roman" w:cs="Times New Roman"/>
          <w:sz w:val="24"/>
          <w:szCs w:val="24"/>
          <w:lang w:val="en-GB"/>
        </w:rPr>
        <w:t>step in elsewhere, so people who were eligible for subsidies were able to access them, but the un</w:t>
      </w:r>
      <w:r w:rsidR="004C5DA7" w:rsidRPr="007C4490">
        <w:rPr>
          <w:rFonts w:ascii="Times New Roman" w:hAnsi="Times New Roman" w:cs="Times New Roman"/>
          <w:sz w:val="24"/>
          <w:szCs w:val="24"/>
          <w:lang w:val="en-GB"/>
        </w:rPr>
        <w:t>-co</w:t>
      </w:r>
      <w:r w:rsidR="007B3437" w:rsidRPr="007C4490">
        <w:rPr>
          <w:rFonts w:ascii="Times New Roman" w:hAnsi="Times New Roman" w:cs="Times New Roman"/>
          <w:sz w:val="24"/>
          <w:szCs w:val="24"/>
          <w:lang w:val="en-GB"/>
        </w:rPr>
        <w:t>operative attitude of many Republican controlled states was indicative of an ongoing resistance to the implementation of the ACA</w:t>
      </w:r>
      <w:r w:rsidR="00220806" w:rsidRPr="007C4490">
        <w:rPr>
          <w:rFonts w:ascii="Times New Roman" w:hAnsi="Times New Roman" w:cs="Times New Roman"/>
          <w:sz w:val="24"/>
          <w:szCs w:val="24"/>
          <w:lang w:val="en-GB"/>
        </w:rPr>
        <w:t xml:space="preserve"> (</w:t>
      </w:r>
      <w:proofErr w:type="spellStart"/>
      <w:r w:rsidR="00220806" w:rsidRPr="007C4490">
        <w:rPr>
          <w:rFonts w:ascii="Times New Roman" w:hAnsi="Times New Roman" w:cs="Times New Roman"/>
          <w:sz w:val="24"/>
          <w:szCs w:val="24"/>
          <w:lang w:val="en-GB"/>
        </w:rPr>
        <w:t>Béland</w:t>
      </w:r>
      <w:proofErr w:type="spellEnd"/>
      <w:r w:rsidR="00220806" w:rsidRPr="007C4490">
        <w:rPr>
          <w:rFonts w:ascii="Times New Roman" w:hAnsi="Times New Roman" w:cs="Times New Roman"/>
          <w:sz w:val="24"/>
          <w:szCs w:val="24"/>
          <w:lang w:val="en-GB"/>
        </w:rPr>
        <w:t>, Rocco and Waddan, forthcoming)</w:t>
      </w:r>
      <w:r w:rsidR="007B3437" w:rsidRPr="007C4490">
        <w:rPr>
          <w:rFonts w:ascii="Times New Roman" w:hAnsi="Times New Roman" w:cs="Times New Roman"/>
          <w:sz w:val="24"/>
          <w:szCs w:val="24"/>
          <w:lang w:val="en-GB"/>
        </w:rPr>
        <w:t>.</w:t>
      </w:r>
      <w:r w:rsidR="00220806" w:rsidRPr="007C4490">
        <w:rPr>
          <w:rFonts w:ascii="Times New Roman" w:hAnsi="Times New Roman" w:cs="Times New Roman"/>
          <w:sz w:val="24"/>
          <w:szCs w:val="24"/>
          <w:lang w:val="en-GB"/>
        </w:rPr>
        <w:t xml:space="preserve"> </w:t>
      </w:r>
    </w:p>
    <w:p w14:paraId="6EABB2E0" w14:textId="77777777" w:rsidR="007B3437" w:rsidRPr="007C4490" w:rsidRDefault="007B3437" w:rsidP="00282389">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ab/>
        <w:t>The significance of that resistance, and the manner in which it worked to limit the ACA’s aims of reversing the impact of policy drift, was seen in its most quantifiable form with regard to the ACA’s proposed expansion of the Medicaid system.</w:t>
      </w:r>
      <w:r w:rsidR="00F365DC" w:rsidRPr="007C4490">
        <w:rPr>
          <w:rFonts w:ascii="Times New Roman" w:hAnsi="Times New Roman" w:cs="Times New Roman"/>
          <w:sz w:val="24"/>
          <w:szCs w:val="24"/>
          <w:lang w:val="en-GB"/>
        </w:rPr>
        <w:t xml:space="preserve"> </w:t>
      </w:r>
      <w:r w:rsidR="000E0DAC" w:rsidRPr="007C4490">
        <w:rPr>
          <w:rFonts w:ascii="Times New Roman" w:hAnsi="Times New Roman" w:cs="Times New Roman"/>
          <w:sz w:val="24"/>
          <w:szCs w:val="24"/>
          <w:lang w:val="en-GB"/>
        </w:rPr>
        <w:t>T</w:t>
      </w:r>
      <w:r w:rsidR="00F365DC" w:rsidRPr="007C4490">
        <w:rPr>
          <w:rFonts w:ascii="Times New Roman" w:hAnsi="Times New Roman" w:cs="Times New Roman"/>
          <w:sz w:val="24"/>
          <w:szCs w:val="24"/>
          <w:lang w:val="en-GB"/>
        </w:rPr>
        <w:t>he ACA intended that all states would be effectively required to expand t</w:t>
      </w:r>
      <w:r w:rsidR="008A1A7C" w:rsidRPr="007C4490">
        <w:rPr>
          <w:rFonts w:ascii="Times New Roman" w:hAnsi="Times New Roman" w:cs="Times New Roman"/>
          <w:sz w:val="24"/>
          <w:szCs w:val="24"/>
          <w:lang w:val="en-GB"/>
        </w:rPr>
        <w:t>heir existing Medicaid program</w:t>
      </w:r>
      <w:r w:rsidR="00F365DC" w:rsidRPr="007C4490">
        <w:rPr>
          <w:rFonts w:ascii="Times New Roman" w:hAnsi="Times New Roman" w:cs="Times New Roman"/>
          <w:sz w:val="24"/>
          <w:szCs w:val="24"/>
          <w:lang w:val="en-GB"/>
        </w:rPr>
        <w:t>s to cover everyone with an income up to 138 per cent of the FPL. In</w:t>
      </w:r>
      <w:r w:rsidR="00FB76AB" w:rsidRPr="007C4490">
        <w:rPr>
          <w:rFonts w:ascii="Times New Roman" w:hAnsi="Times New Roman" w:cs="Times New Roman"/>
          <w:sz w:val="24"/>
          <w:szCs w:val="24"/>
          <w:lang w:val="en-GB"/>
        </w:rPr>
        <w:t xml:space="preserve"> the</w:t>
      </w:r>
      <w:r w:rsidR="00F365DC" w:rsidRPr="007C4490">
        <w:rPr>
          <w:rFonts w:ascii="Times New Roman" w:hAnsi="Times New Roman" w:cs="Times New Roman"/>
          <w:sz w:val="24"/>
          <w:szCs w:val="24"/>
          <w:lang w:val="en-GB"/>
        </w:rPr>
        <w:t xml:space="preserve"> summer </w:t>
      </w:r>
      <w:r w:rsidR="00FB76AB" w:rsidRPr="007C4490">
        <w:rPr>
          <w:rFonts w:ascii="Times New Roman" w:hAnsi="Times New Roman" w:cs="Times New Roman"/>
          <w:sz w:val="24"/>
          <w:szCs w:val="24"/>
          <w:lang w:val="en-GB"/>
        </w:rPr>
        <w:t xml:space="preserve">of </w:t>
      </w:r>
      <w:r w:rsidR="00F365DC" w:rsidRPr="007C4490">
        <w:rPr>
          <w:rFonts w:ascii="Times New Roman" w:hAnsi="Times New Roman" w:cs="Times New Roman"/>
          <w:sz w:val="24"/>
          <w:szCs w:val="24"/>
          <w:lang w:val="en-GB"/>
        </w:rPr>
        <w:t xml:space="preserve">2012, however, the Supreme Court ruled that the ACA represented an over-reach of federal authority and allowed states the option </w:t>
      </w:r>
      <w:r w:rsidR="008A1A7C" w:rsidRPr="007C4490">
        <w:rPr>
          <w:rFonts w:ascii="Times New Roman" w:hAnsi="Times New Roman" w:cs="Times New Roman"/>
          <w:sz w:val="24"/>
          <w:szCs w:val="24"/>
          <w:lang w:val="en-GB"/>
        </w:rPr>
        <w:t>of not expanding their program</w:t>
      </w:r>
      <w:r w:rsidR="00FB76AB" w:rsidRPr="007C4490">
        <w:rPr>
          <w:rFonts w:ascii="Times New Roman" w:hAnsi="Times New Roman" w:cs="Times New Roman"/>
          <w:sz w:val="24"/>
          <w:szCs w:val="24"/>
          <w:lang w:val="en-GB"/>
        </w:rPr>
        <w:t xml:space="preserve"> (Waddan</w:t>
      </w:r>
      <w:r w:rsidR="00F365DC" w:rsidRPr="007C4490">
        <w:rPr>
          <w:rFonts w:ascii="Times New Roman" w:hAnsi="Times New Roman" w:cs="Times New Roman"/>
          <w:sz w:val="24"/>
          <w:szCs w:val="24"/>
          <w:lang w:val="en-GB"/>
        </w:rPr>
        <w:t xml:space="preserve"> 2013). There </w:t>
      </w:r>
      <w:r w:rsidR="00065B77" w:rsidRPr="007C4490">
        <w:rPr>
          <w:rFonts w:ascii="Times New Roman" w:hAnsi="Times New Roman" w:cs="Times New Roman"/>
          <w:sz w:val="24"/>
          <w:szCs w:val="24"/>
          <w:lang w:val="en-GB"/>
        </w:rPr>
        <w:t>were considerable incentives,</w:t>
      </w:r>
      <w:r w:rsidR="00F365DC" w:rsidRPr="007C4490">
        <w:rPr>
          <w:rFonts w:ascii="Times New Roman" w:hAnsi="Times New Roman" w:cs="Times New Roman"/>
          <w:sz w:val="24"/>
          <w:szCs w:val="24"/>
          <w:lang w:val="en-GB"/>
        </w:rPr>
        <w:t xml:space="preserve"> in the form of extra federal dollars, for states to participate in the expansion</w:t>
      </w:r>
      <w:r w:rsidR="00065B77" w:rsidRPr="007C4490">
        <w:rPr>
          <w:rFonts w:ascii="Times New Roman" w:hAnsi="Times New Roman" w:cs="Times New Roman"/>
          <w:sz w:val="24"/>
          <w:szCs w:val="24"/>
          <w:lang w:val="en-GB"/>
        </w:rPr>
        <w:t>,</w:t>
      </w:r>
      <w:r w:rsidR="00F365DC" w:rsidRPr="007C4490">
        <w:rPr>
          <w:rFonts w:ascii="Times New Roman" w:hAnsi="Times New Roman" w:cs="Times New Roman"/>
          <w:sz w:val="24"/>
          <w:szCs w:val="24"/>
          <w:lang w:val="en-GB"/>
        </w:rPr>
        <w:t xml:space="preserve"> but at the end of 2014, a year after the expansion</w:t>
      </w:r>
      <w:r w:rsidR="004854CC" w:rsidRPr="007C4490">
        <w:rPr>
          <w:rFonts w:ascii="Times New Roman" w:hAnsi="Times New Roman" w:cs="Times New Roman"/>
          <w:sz w:val="24"/>
          <w:szCs w:val="24"/>
          <w:lang w:val="en-GB"/>
        </w:rPr>
        <w:t xml:space="preserve"> came into place, 22 states had chosen not to </w:t>
      </w:r>
      <w:r w:rsidR="00FB76AB" w:rsidRPr="007C4490">
        <w:rPr>
          <w:rFonts w:ascii="Times New Roman" w:hAnsi="Times New Roman" w:cs="Times New Roman"/>
          <w:sz w:val="24"/>
          <w:szCs w:val="24"/>
          <w:lang w:val="en-GB"/>
        </w:rPr>
        <w:t>do so (Kaiser Family Foundation</w:t>
      </w:r>
      <w:r w:rsidR="004854CC" w:rsidRPr="007C4490">
        <w:rPr>
          <w:rFonts w:ascii="Times New Roman" w:hAnsi="Times New Roman" w:cs="Times New Roman"/>
          <w:sz w:val="24"/>
          <w:szCs w:val="24"/>
          <w:lang w:val="en-GB"/>
        </w:rPr>
        <w:t xml:space="preserve"> 2015b).</w:t>
      </w:r>
      <w:r w:rsidR="004C5DA7" w:rsidRPr="007C4490">
        <w:rPr>
          <w:rFonts w:ascii="Times New Roman" w:hAnsi="Times New Roman" w:cs="Times New Roman"/>
          <w:sz w:val="24"/>
          <w:szCs w:val="24"/>
          <w:lang w:val="en-GB"/>
        </w:rPr>
        <w:t xml:space="preserve"> In</w:t>
      </w:r>
      <w:r w:rsidR="007E4034" w:rsidRPr="007C4490">
        <w:rPr>
          <w:rFonts w:ascii="Times New Roman" w:hAnsi="Times New Roman" w:cs="Times New Roman"/>
          <w:sz w:val="24"/>
          <w:szCs w:val="24"/>
          <w:lang w:val="en-GB"/>
        </w:rPr>
        <w:t xml:space="preserve"> Texas</w:t>
      </w:r>
      <w:r w:rsidR="000E0DAC" w:rsidRPr="007C4490">
        <w:rPr>
          <w:rFonts w:ascii="Times New Roman" w:hAnsi="Times New Roman" w:cs="Times New Roman"/>
          <w:sz w:val="24"/>
          <w:szCs w:val="24"/>
          <w:lang w:val="en-GB"/>
        </w:rPr>
        <w:t>,</w:t>
      </w:r>
      <w:r w:rsidR="007E4034" w:rsidRPr="007C4490">
        <w:rPr>
          <w:rFonts w:ascii="Times New Roman" w:hAnsi="Times New Roman" w:cs="Times New Roman"/>
          <w:sz w:val="24"/>
          <w:szCs w:val="24"/>
          <w:lang w:val="en-GB"/>
        </w:rPr>
        <w:t xml:space="preserve"> this meant that over 1 million people</w:t>
      </w:r>
      <w:r w:rsidR="004C5DA7" w:rsidRPr="007C4490">
        <w:rPr>
          <w:rFonts w:ascii="Times New Roman" w:hAnsi="Times New Roman" w:cs="Times New Roman"/>
          <w:sz w:val="24"/>
          <w:szCs w:val="24"/>
          <w:lang w:val="en-GB"/>
        </w:rPr>
        <w:t>,</w:t>
      </w:r>
      <w:r w:rsidR="007E4034" w:rsidRPr="007C4490">
        <w:rPr>
          <w:rFonts w:ascii="Times New Roman" w:hAnsi="Times New Roman" w:cs="Times New Roman"/>
          <w:sz w:val="24"/>
          <w:szCs w:val="24"/>
          <w:lang w:val="en-GB"/>
        </w:rPr>
        <w:t xml:space="preserve"> who would have recei</w:t>
      </w:r>
      <w:r w:rsidR="004C5DA7" w:rsidRPr="007C4490">
        <w:rPr>
          <w:rFonts w:ascii="Times New Roman" w:hAnsi="Times New Roman" w:cs="Times New Roman"/>
          <w:sz w:val="24"/>
          <w:szCs w:val="24"/>
          <w:lang w:val="en-GB"/>
        </w:rPr>
        <w:t>v</w:t>
      </w:r>
      <w:r w:rsidR="007E4034" w:rsidRPr="007C4490">
        <w:rPr>
          <w:rFonts w:ascii="Times New Roman" w:hAnsi="Times New Roman" w:cs="Times New Roman"/>
          <w:sz w:val="24"/>
          <w:szCs w:val="24"/>
          <w:lang w:val="en-GB"/>
        </w:rPr>
        <w:t xml:space="preserve">ed coverage under Medicaid if the ACA had been </w:t>
      </w:r>
      <w:r w:rsidR="007E4034" w:rsidRPr="007C4490">
        <w:rPr>
          <w:rFonts w:ascii="Times New Roman" w:hAnsi="Times New Roman" w:cs="Times New Roman"/>
          <w:sz w:val="24"/>
          <w:szCs w:val="24"/>
          <w:lang w:val="en-GB"/>
        </w:rPr>
        <w:lastRenderedPageBreak/>
        <w:t xml:space="preserve">fully </w:t>
      </w:r>
      <w:r w:rsidR="004C5DA7" w:rsidRPr="007C4490">
        <w:rPr>
          <w:rFonts w:ascii="Times New Roman" w:hAnsi="Times New Roman" w:cs="Times New Roman"/>
          <w:sz w:val="24"/>
          <w:szCs w:val="24"/>
          <w:lang w:val="en-GB"/>
        </w:rPr>
        <w:t>implemented,</w:t>
      </w:r>
      <w:r w:rsidR="00FB76AB" w:rsidRPr="007C4490">
        <w:rPr>
          <w:rFonts w:ascii="Times New Roman" w:hAnsi="Times New Roman" w:cs="Times New Roman"/>
          <w:sz w:val="24"/>
          <w:szCs w:val="24"/>
          <w:lang w:val="en-GB"/>
        </w:rPr>
        <w:t xml:space="preserve"> were left uninsured (Aaronson</w:t>
      </w:r>
      <w:r w:rsidR="007E4034" w:rsidRPr="007C4490">
        <w:rPr>
          <w:rFonts w:ascii="Times New Roman" w:hAnsi="Times New Roman" w:cs="Times New Roman"/>
          <w:sz w:val="24"/>
          <w:szCs w:val="24"/>
          <w:lang w:val="en-GB"/>
        </w:rPr>
        <w:t xml:space="preserve"> 2013).</w:t>
      </w:r>
      <w:r w:rsidR="004C5DA7" w:rsidRPr="007C4490">
        <w:rPr>
          <w:rFonts w:ascii="Times New Roman" w:hAnsi="Times New Roman" w:cs="Times New Roman"/>
          <w:sz w:val="24"/>
          <w:szCs w:val="24"/>
          <w:lang w:val="en-GB"/>
        </w:rPr>
        <w:t xml:space="preserve"> </w:t>
      </w:r>
      <w:r w:rsidR="00FB76AB" w:rsidRPr="007C4490">
        <w:rPr>
          <w:rFonts w:ascii="Times New Roman" w:hAnsi="Times New Roman" w:cs="Times New Roman"/>
          <w:sz w:val="24"/>
          <w:szCs w:val="24"/>
          <w:lang w:val="en-GB"/>
        </w:rPr>
        <w:t>More generally, as f</w:t>
      </w:r>
      <w:r w:rsidR="00745134" w:rsidRPr="007C4490">
        <w:rPr>
          <w:rFonts w:ascii="Times New Roman" w:hAnsi="Times New Roman" w:cs="Times New Roman"/>
          <w:sz w:val="24"/>
          <w:szCs w:val="24"/>
          <w:lang w:val="en-GB"/>
        </w:rPr>
        <w:t xml:space="preserve">igure 2 shows, states’ refusal to expand Medicaid significantly limited the ACA’s impact on reducing the number of uninsured and created a </w:t>
      </w:r>
      <w:r w:rsidR="00E31CF9" w:rsidRPr="007C4490">
        <w:rPr>
          <w:rFonts w:ascii="Times New Roman" w:hAnsi="Times New Roman" w:cs="Times New Roman"/>
          <w:sz w:val="24"/>
          <w:szCs w:val="24"/>
          <w:lang w:val="en-GB"/>
        </w:rPr>
        <w:t>‘</w:t>
      </w:r>
      <w:r w:rsidR="00745134" w:rsidRPr="007C4490">
        <w:rPr>
          <w:rFonts w:ascii="Times New Roman" w:hAnsi="Times New Roman" w:cs="Times New Roman"/>
          <w:sz w:val="24"/>
          <w:szCs w:val="24"/>
          <w:lang w:val="en-GB"/>
        </w:rPr>
        <w:t>coverage gap</w:t>
      </w:r>
      <w:r w:rsidR="00E31CF9" w:rsidRPr="007C4490">
        <w:rPr>
          <w:rFonts w:ascii="Times New Roman" w:hAnsi="Times New Roman" w:cs="Times New Roman"/>
          <w:sz w:val="24"/>
          <w:szCs w:val="24"/>
          <w:lang w:val="en-GB"/>
        </w:rPr>
        <w:t>’</w:t>
      </w:r>
      <w:r w:rsidR="00745134" w:rsidRPr="007C4490">
        <w:rPr>
          <w:rFonts w:ascii="Times New Roman" w:hAnsi="Times New Roman" w:cs="Times New Roman"/>
          <w:sz w:val="24"/>
          <w:szCs w:val="24"/>
          <w:lang w:val="en-GB"/>
        </w:rPr>
        <w:t xml:space="preserve"> in non-expansion states. </w:t>
      </w:r>
      <w:r w:rsidR="004C5DA7" w:rsidRPr="007C4490">
        <w:rPr>
          <w:rFonts w:ascii="Times New Roman" w:hAnsi="Times New Roman" w:cs="Times New Roman"/>
          <w:sz w:val="24"/>
          <w:szCs w:val="24"/>
          <w:lang w:val="en-GB"/>
        </w:rPr>
        <w:t>This evidence suggests that efforts</w:t>
      </w:r>
      <w:r w:rsidR="00A3594F" w:rsidRPr="007C4490">
        <w:rPr>
          <w:rFonts w:ascii="Times New Roman" w:hAnsi="Times New Roman" w:cs="Times New Roman"/>
          <w:sz w:val="24"/>
          <w:szCs w:val="24"/>
          <w:lang w:val="en-GB"/>
        </w:rPr>
        <w:t xml:space="preserve"> at formal revision</w:t>
      </w:r>
      <w:r w:rsidR="004C5DA7" w:rsidRPr="007C4490">
        <w:rPr>
          <w:rFonts w:ascii="Times New Roman" w:hAnsi="Times New Roman" w:cs="Times New Roman"/>
          <w:sz w:val="24"/>
          <w:szCs w:val="24"/>
          <w:lang w:val="en-GB"/>
        </w:rPr>
        <w:t xml:space="preserve"> to reverse the consequences of long-term policy drift will be resisted by political actors </w:t>
      </w:r>
      <w:r w:rsidR="00A3594F" w:rsidRPr="007C4490">
        <w:rPr>
          <w:rFonts w:ascii="Times New Roman" w:hAnsi="Times New Roman" w:cs="Times New Roman"/>
          <w:sz w:val="24"/>
          <w:szCs w:val="24"/>
          <w:lang w:val="en-GB"/>
        </w:rPr>
        <w:t>hostile</w:t>
      </w:r>
      <w:r w:rsidR="004C5DA7" w:rsidRPr="007C4490">
        <w:rPr>
          <w:rFonts w:ascii="Times New Roman" w:hAnsi="Times New Roman" w:cs="Times New Roman"/>
          <w:sz w:val="24"/>
          <w:szCs w:val="24"/>
          <w:lang w:val="en-GB"/>
        </w:rPr>
        <w:t xml:space="preserve"> to </w:t>
      </w:r>
      <w:r w:rsidR="00A3594F" w:rsidRPr="007C4490">
        <w:rPr>
          <w:rFonts w:ascii="Times New Roman" w:hAnsi="Times New Roman" w:cs="Times New Roman"/>
          <w:sz w:val="24"/>
          <w:szCs w:val="24"/>
          <w:lang w:val="en-GB"/>
        </w:rPr>
        <w:t xml:space="preserve">that revision, and that this resistance can be particularly effective in a context as institutionally </w:t>
      </w:r>
      <w:r w:rsidR="00482B6D" w:rsidRPr="007C4490">
        <w:rPr>
          <w:rFonts w:ascii="Times New Roman" w:hAnsi="Times New Roman" w:cs="Times New Roman"/>
          <w:sz w:val="24"/>
          <w:szCs w:val="24"/>
          <w:lang w:val="en-GB"/>
        </w:rPr>
        <w:t xml:space="preserve">and territorially </w:t>
      </w:r>
      <w:r w:rsidR="00FB76AB" w:rsidRPr="007C4490">
        <w:rPr>
          <w:rFonts w:ascii="Times New Roman" w:hAnsi="Times New Roman" w:cs="Times New Roman"/>
          <w:sz w:val="24"/>
          <w:szCs w:val="24"/>
          <w:lang w:val="en-GB"/>
        </w:rPr>
        <w:t>fragmented as US</w:t>
      </w:r>
      <w:r w:rsidR="00A3594F" w:rsidRPr="007C4490">
        <w:rPr>
          <w:rFonts w:ascii="Times New Roman" w:hAnsi="Times New Roman" w:cs="Times New Roman"/>
          <w:sz w:val="24"/>
          <w:szCs w:val="24"/>
          <w:lang w:val="en-GB"/>
        </w:rPr>
        <w:t xml:space="preserve"> health care.</w:t>
      </w:r>
      <w:r w:rsidR="00745134" w:rsidRPr="007C4490">
        <w:rPr>
          <w:rFonts w:ascii="Times New Roman" w:hAnsi="Times New Roman" w:cs="Times New Roman"/>
          <w:sz w:val="24"/>
          <w:szCs w:val="24"/>
          <w:lang w:val="en-GB"/>
        </w:rPr>
        <w:t xml:space="preserve"> The result is that, while optimistic projections of uptake in the ACA may be warranted in the long run, correcting for drift in the short term may be an uneven process of trial and error.</w:t>
      </w:r>
      <w:r w:rsidR="00547E75" w:rsidRPr="007C4490">
        <w:rPr>
          <w:rFonts w:ascii="Times New Roman" w:hAnsi="Times New Roman" w:cs="Times New Roman"/>
          <w:sz w:val="24"/>
          <w:szCs w:val="24"/>
          <w:lang w:val="en-GB"/>
        </w:rPr>
        <w:t xml:space="preserve"> </w:t>
      </w:r>
    </w:p>
    <w:p w14:paraId="4BFA3582" w14:textId="77777777" w:rsidR="007E6768" w:rsidRPr="007C4490" w:rsidRDefault="00CD524D" w:rsidP="0085290A">
      <w:pPr>
        <w:spacing w:after="0" w:line="480" w:lineRule="auto"/>
        <w:jc w:val="center"/>
        <w:rPr>
          <w:rFonts w:ascii="Times New Roman" w:hAnsi="Times New Roman" w:cs="Times New Roman"/>
          <w:sz w:val="24"/>
          <w:szCs w:val="24"/>
          <w:lang w:val="en-GB"/>
        </w:rPr>
      </w:pPr>
      <w:r w:rsidRPr="007C4490">
        <w:rPr>
          <w:rFonts w:ascii="Times New Roman" w:hAnsi="Times New Roman" w:cs="Times New Roman"/>
          <w:sz w:val="24"/>
          <w:szCs w:val="24"/>
          <w:lang w:val="en-GB"/>
        </w:rPr>
        <w:t>(</w:t>
      </w:r>
      <w:r w:rsidR="0085290A" w:rsidRPr="007C4490">
        <w:rPr>
          <w:rFonts w:ascii="Times New Roman" w:hAnsi="Times New Roman" w:cs="Times New Roman"/>
          <w:sz w:val="24"/>
          <w:szCs w:val="24"/>
          <w:lang w:val="en-GB"/>
        </w:rPr>
        <w:t>F</w:t>
      </w:r>
      <w:r w:rsidRPr="007C4490">
        <w:rPr>
          <w:rFonts w:ascii="Times New Roman" w:hAnsi="Times New Roman" w:cs="Times New Roman"/>
          <w:sz w:val="24"/>
          <w:szCs w:val="24"/>
          <w:lang w:val="en-GB"/>
        </w:rPr>
        <w:t>igure 2 about here)</w:t>
      </w:r>
    </w:p>
    <w:p w14:paraId="58E3A473" w14:textId="77777777" w:rsidR="00187868" w:rsidRPr="007C4490" w:rsidRDefault="00C54259" w:rsidP="00282389">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b/>
          <w:sz w:val="24"/>
          <w:szCs w:val="24"/>
          <w:lang w:val="en-GB"/>
        </w:rPr>
        <w:t>Retirement Security</w:t>
      </w:r>
      <w:r w:rsidR="00A55C93" w:rsidRPr="007C4490">
        <w:rPr>
          <w:rFonts w:ascii="Times New Roman" w:hAnsi="Times New Roman" w:cs="Times New Roman"/>
          <w:b/>
          <w:sz w:val="24"/>
          <w:szCs w:val="24"/>
          <w:lang w:val="en-GB"/>
        </w:rPr>
        <w:t xml:space="preserve">: The Persistence of </w:t>
      </w:r>
      <w:r w:rsidR="001B0F28">
        <w:rPr>
          <w:rFonts w:ascii="Times New Roman" w:hAnsi="Times New Roman" w:cs="Times New Roman"/>
          <w:b/>
          <w:sz w:val="24"/>
          <w:szCs w:val="24"/>
          <w:lang w:val="en-GB"/>
        </w:rPr>
        <w:t xml:space="preserve">Policy </w:t>
      </w:r>
      <w:r w:rsidR="00A55C93" w:rsidRPr="007C4490">
        <w:rPr>
          <w:rFonts w:ascii="Times New Roman" w:hAnsi="Times New Roman" w:cs="Times New Roman"/>
          <w:b/>
          <w:sz w:val="24"/>
          <w:szCs w:val="24"/>
          <w:lang w:val="en-GB"/>
        </w:rPr>
        <w:t xml:space="preserve">Drift </w:t>
      </w:r>
    </w:p>
    <w:p w14:paraId="3028C305" w14:textId="77777777" w:rsidR="00413E94" w:rsidRPr="007C4490" w:rsidRDefault="00482B6D" w:rsidP="00DA054E">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The</w:t>
      </w:r>
      <w:r w:rsidR="004506CB" w:rsidRPr="007C4490">
        <w:rPr>
          <w:rFonts w:ascii="Times New Roman" w:hAnsi="Times New Roman" w:cs="Times New Roman"/>
          <w:sz w:val="24"/>
          <w:szCs w:val="24"/>
          <w:lang w:val="en-GB"/>
        </w:rPr>
        <w:t xml:space="preserve"> US retirement security system is similar to the country’s health care system in the sense that it has long been grounded in a close interaction among public and private benefits</w:t>
      </w:r>
      <w:r w:rsidR="00815699" w:rsidRPr="007C4490">
        <w:rPr>
          <w:rFonts w:ascii="Times New Roman" w:hAnsi="Times New Roman" w:cs="Times New Roman"/>
          <w:sz w:val="24"/>
          <w:szCs w:val="24"/>
          <w:lang w:val="en-GB"/>
        </w:rPr>
        <w:t xml:space="preserve"> (</w:t>
      </w:r>
      <w:proofErr w:type="spellStart"/>
      <w:r w:rsidR="00815699" w:rsidRPr="007C4490">
        <w:rPr>
          <w:rFonts w:ascii="Times New Roman" w:hAnsi="Times New Roman" w:cs="Times New Roman"/>
          <w:sz w:val="24"/>
          <w:szCs w:val="24"/>
          <w:lang w:val="en-GB"/>
        </w:rPr>
        <w:t>Béland</w:t>
      </w:r>
      <w:proofErr w:type="spellEnd"/>
      <w:r w:rsidR="00815699" w:rsidRPr="007C4490">
        <w:rPr>
          <w:rFonts w:ascii="Times New Roman" w:hAnsi="Times New Roman" w:cs="Times New Roman"/>
          <w:sz w:val="24"/>
          <w:szCs w:val="24"/>
          <w:lang w:val="en-GB"/>
        </w:rPr>
        <w:t xml:space="preserve"> and Gran 2008; Hacker 2002; Howard 1997; Klein</w:t>
      </w:r>
      <w:r w:rsidR="00E6002F" w:rsidRPr="007C4490">
        <w:rPr>
          <w:rFonts w:ascii="Times New Roman" w:hAnsi="Times New Roman" w:cs="Times New Roman"/>
          <w:sz w:val="24"/>
          <w:szCs w:val="24"/>
          <w:lang w:val="en-GB"/>
        </w:rPr>
        <w:t xml:space="preserve"> 2003)</w:t>
      </w:r>
      <w:r w:rsidR="004506CB" w:rsidRPr="007C4490">
        <w:rPr>
          <w:rFonts w:ascii="Times New Roman" w:hAnsi="Times New Roman" w:cs="Times New Roman"/>
          <w:sz w:val="24"/>
          <w:szCs w:val="24"/>
          <w:lang w:val="en-GB"/>
        </w:rPr>
        <w:t xml:space="preserve">. In contrast to health care, however, the creation of a major federal social </w:t>
      </w:r>
      <w:r w:rsidR="00201093" w:rsidRPr="007C4490">
        <w:rPr>
          <w:rFonts w:ascii="Times New Roman" w:hAnsi="Times New Roman" w:cs="Times New Roman"/>
          <w:sz w:val="24"/>
          <w:szCs w:val="24"/>
          <w:lang w:val="en-GB"/>
        </w:rPr>
        <w:t xml:space="preserve">insurance </w:t>
      </w:r>
      <w:r w:rsidR="004506CB" w:rsidRPr="007C4490">
        <w:rPr>
          <w:rFonts w:ascii="Times New Roman" w:hAnsi="Times New Roman" w:cs="Times New Roman"/>
          <w:sz w:val="24"/>
          <w:szCs w:val="24"/>
          <w:lang w:val="en-GB"/>
        </w:rPr>
        <w:t>program (Social Security) occurred early on, during the New Deal. In this context, as Hacker (2004: 254) notes, modern voluntary, private pensions largely em</w:t>
      </w:r>
      <w:r w:rsidR="00815699" w:rsidRPr="007C4490">
        <w:rPr>
          <w:rFonts w:ascii="Times New Roman" w:hAnsi="Times New Roman" w:cs="Times New Roman"/>
          <w:sz w:val="24"/>
          <w:szCs w:val="24"/>
          <w:lang w:val="en-GB"/>
        </w:rPr>
        <w:t>erged after the creation of the</w:t>
      </w:r>
      <w:r w:rsidR="004506CB" w:rsidRPr="007C4490">
        <w:rPr>
          <w:rFonts w:ascii="Times New Roman" w:hAnsi="Times New Roman" w:cs="Times New Roman"/>
          <w:sz w:val="24"/>
          <w:szCs w:val="24"/>
          <w:lang w:val="en-GB"/>
        </w:rPr>
        <w:t xml:space="preserve"> federal program</w:t>
      </w:r>
      <w:r w:rsidR="00EB4222" w:rsidRPr="007C4490">
        <w:rPr>
          <w:rFonts w:ascii="Times New Roman" w:hAnsi="Times New Roman" w:cs="Times New Roman"/>
          <w:sz w:val="24"/>
          <w:szCs w:val="24"/>
          <w:lang w:val="en-GB"/>
        </w:rPr>
        <w:t>me</w:t>
      </w:r>
      <w:r w:rsidR="004506CB" w:rsidRPr="007C4490">
        <w:rPr>
          <w:rFonts w:ascii="Times New Roman" w:hAnsi="Times New Roman" w:cs="Times New Roman"/>
          <w:sz w:val="24"/>
          <w:szCs w:val="24"/>
          <w:lang w:val="en-GB"/>
        </w:rPr>
        <w:t>, which meant they were built on the top of it.</w:t>
      </w:r>
      <w:r w:rsidR="00E6002F" w:rsidRPr="007C4490">
        <w:rPr>
          <w:rFonts w:ascii="Times New Roman" w:hAnsi="Times New Roman" w:cs="Times New Roman"/>
          <w:sz w:val="24"/>
          <w:szCs w:val="24"/>
          <w:lang w:val="en-GB"/>
        </w:rPr>
        <w:t xml:space="preserve"> </w:t>
      </w:r>
      <w:r w:rsidR="00DA054E" w:rsidRPr="007C4490">
        <w:rPr>
          <w:rFonts w:ascii="Times New Roman" w:hAnsi="Times New Roman" w:cs="Times New Roman"/>
          <w:sz w:val="24"/>
          <w:szCs w:val="24"/>
          <w:lang w:val="en-GB"/>
        </w:rPr>
        <w:t>The</w:t>
      </w:r>
      <w:r w:rsidR="00E6002F" w:rsidRPr="007C4490">
        <w:rPr>
          <w:rFonts w:ascii="Times New Roman" w:hAnsi="Times New Roman" w:cs="Times New Roman"/>
          <w:sz w:val="24"/>
          <w:szCs w:val="24"/>
          <w:lang w:val="en-GB"/>
        </w:rPr>
        <w:t xml:space="preserve"> integration </w:t>
      </w:r>
      <w:r w:rsidR="00DA054E" w:rsidRPr="007C4490">
        <w:rPr>
          <w:rFonts w:ascii="Times New Roman" w:hAnsi="Times New Roman" w:cs="Times New Roman"/>
          <w:sz w:val="24"/>
          <w:szCs w:val="24"/>
          <w:lang w:val="en-GB"/>
        </w:rPr>
        <w:t xml:space="preserve">of private and public pension benefits </w:t>
      </w:r>
      <w:r w:rsidR="00E6002F" w:rsidRPr="007C4490">
        <w:rPr>
          <w:rFonts w:ascii="Times New Roman" w:hAnsi="Times New Roman" w:cs="Times New Roman"/>
          <w:sz w:val="24"/>
          <w:szCs w:val="24"/>
          <w:lang w:val="en-GB"/>
        </w:rPr>
        <w:t>was facilitated by the post-war expansion of Social Security</w:t>
      </w:r>
      <w:r w:rsidR="006926B0" w:rsidRPr="007C4490">
        <w:rPr>
          <w:rFonts w:ascii="Times New Roman" w:hAnsi="Times New Roman" w:cs="Times New Roman"/>
          <w:sz w:val="24"/>
          <w:szCs w:val="24"/>
          <w:lang w:val="en-GB"/>
        </w:rPr>
        <w:t>, which made it less e</w:t>
      </w:r>
      <w:r w:rsidR="00B8386F" w:rsidRPr="007C4490">
        <w:rPr>
          <w:rFonts w:ascii="Times New Roman" w:hAnsi="Times New Roman" w:cs="Times New Roman"/>
          <w:sz w:val="24"/>
          <w:szCs w:val="24"/>
          <w:lang w:val="en-GB"/>
        </w:rPr>
        <w:t>xpe</w:t>
      </w:r>
      <w:r w:rsidR="006926B0" w:rsidRPr="007C4490">
        <w:rPr>
          <w:rFonts w:ascii="Times New Roman" w:hAnsi="Times New Roman" w:cs="Times New Roman"/>
          <w:sz w:val="24"/>
          <w:szCs w:val="24"/>
          <w:lang w:val="en-GB"/>
        </w:rPr>
        <w:t>nsive for employers to generously complement existing federal benefits</w:t>
      </w:r>
      <w:r w:rsidR="00DA054E" w:rsidRPr="007C4490">
        <w:rPr>
          <w:rFonts w:ascii="Times New Roman" w:hAnsi="Times New Roman" w:cs="Times New Roman"/>
          <w:sz w:val="24"/>
          <w:szCs w:val="24"/>
          <w:lang w:val="en-GB"/>
        </w:rPr>
        <w:t>, a situation that stimulated growth in private pensions</w:t>
      </w:r>
      <w:r w:rsidR="006926B0" w:rsidRPr="007C4490">
        <w:rPr>
          <w:rFonts w:ascii="Times New Roman" w:hAnsi="Times New Roman" w:cs="Times New Roman"/>
          <w:sz w:val="24"/>
          <w:szCs w:val="24"/>
          <w:lang w:val="en-GB"/>
        </w:rPr>
        <w:t xml:space="preserve"> </w:t>
      </w:r>
      <w:r w:rsidR="00815699" w:rsidRPr="007C4490">
        <w:rPr>
          <w:rFonts w:ascii="Times New Roman" w:hAnsi="Times New Roman" w:cs="Times New Roman"/>
          <w:sz w:val="24"/>
          <w:szCs w:val="24"/>
          <w:lang w:val="en-GB"/>
        </w:rPr>
        <w:t>(Hacker</w:t>
      </w:r>
      <w:r w:rsidR="00E6002F" w:rsidRPr="007C4490">
        <w:rPr>
          <w:rFonts w:ascii="Times New Roman" w:hAnsi="Times New Roman" w:cs="Times New Roman"/>
          <w:sz w:val="24"/>
          <w:szCs w:val="24"/>
          <w:lang w:val="en-GB"/>
        </w:rPr>
        <w:t xml:space="preserve"> 2002).</w:t>
      </w:r>
      <w:r w:rsidR="006926B0" w:rsidRPr="007C4490">
        <w:rPr>
          <w:rFonts w:ascii="Times New Roman" w:hAnsi="Times New Roman" w:cs="Times New Roman"/>
          <w:sz w:val="24"/>
          <w:szCs w:val="24"/>
          <w:lang w:val="en-GB"/>
        </w:rPr>
        <w:t xml:space="preserve"> </w:t>
      </w:r>
      <w:r w:rsidR="00710787" w:rsidRPr="007C4490">
        <w:rPr>
          <w:rFonts w:ascii="Times New Roman" w:hAnsi="Times New Roman" w:cs="Times New Roman"/>
          <w:sz w:val="24"/>
          <w:szCs w:val="24"/>
          <w:lang w:val="en-GB"/>
        </w:rPr>
        <w:t>As Hacker (2004</w:t>
      </w:r>
      <w:r w:rsidR="00201093" w:rsidRPr="007C4490">
        <w:rPr>
          <w:rFonts w:ascii="Times New Roman" w:hAnsi="Times New Roman" w:cs="Times New Roman"/>
          <w:sz w:val="24"/>
          <w:szCs w:val="24"/>
          <w:lang w:val="en-GB"/>
        </w:rPr>
        <w:t>: 254</w:t>
      </w:r>
      <w:r w:rsidR="00710787" w:rsidRPr="007C4490">
        <w:rPr>
          <w:rFonts w:ascii="Times New Roman" w:hAnsi="Times New Roman" w:cs="Times New Roman"/>
          <w:sz w:val="24"/>
          <w:szCs w:val="24"/>
          <w:lang w:val="en-GB"/>
        </w:rPr>
        <w:t>) notes, however, this expansionary post-war</w:t>
      </w:r>
      <w:r w:rsidR="002F7C1D" w:rsidRPr="007C4490">
        <w:rPr>
          <w:rFonts w:ascii="Times New Roman" w:hAnsi="Times New Roman" w:cs="Times New Roman"/>
          <w:sz w:val="24"/>
          <w:szCs w:val="24"/>
          <w:lang w:val="en-GB"/>
        </w:rPr>
        <w:t xml:space="preserve"> trend</w:t>
      </w:r>
      <w:r w:rsidR="00710787" w:rsidRPr="007C4490">
        <w:rPr>
          <w:rFonts w:ascii="Times New Roman" w:hAnsi="Times New Roman" w:cs="Times New Roman"/>
          <w:sz w:val="24"/>
          <w:szCs w:val="24"/>
          <w:lang w:val="en-GB"/>
        </w:rPr>
        <w:t xml:space="preserve">, which significantly increased retirement security over time (Myles 1988), began to </w:t>
      </w:r>
      <w:r w:rsidR="00815699" w:rsidRPr="007C4490">
        <w:rPr>
          <w:rFonts w:ascii="Times New Roman" w:hAnsi="Times New Roman" w:cs="Times New Roman"/>
          <w:sz w:val="24"/>
          <w:szCs w:val="24"/>
          <w:lang w:val="en-GB"/>
        </w:rPr>
        <w:t xml:space="preserve">gradually unravel in the 1970s. </w:t>
      </w:r>
      <w:r w:rsidR="00710787" w:rsidRPr="007C4490">
        <w:rPr>
          <w:rFonts w:ascii="Times New Roman" w:hAnsi="Times New Roman" w:cs="Times New Roman"/>
          <w:sz w:val="24"/>
          <w:szCs w:val="24"/>
          <w:lang w:val="en-GB"/>
        </w:rPr>
        <w:t>First, on the public side of the equation,</w:t>
      </w:r>
      <w:r w:rsidR="00201093" w:rsidRPr="007C4490">
        <w:rPr>
          <w:rFonts w:ascii="Times New Roman" w:hAnsi="Times New Roman" w:cs="Times New Roman"/>
          <w:sz w:val="24"/>
          <w:szCs w:val="24"/>
          <w:lang w:val="en-GB"/>
        </w:rPr>
        <w:t xml:space="preserve"> the post-war expansion of Social Security that took place from 1950 to 1974 ended abruptly in the aftermath of the 1973 oil crisis. As rising inflation rapidly boosted the value of </w:t>
      </w:r>
      <w:r w:rsidR="00201093" w:rsidRPr="007C4490">
        <w:rPr>
          <w:rFonts w:ascii="Times New Roman" w:hAnsi="Times New Roman" w:cs="Times New Roman"/>
          <w:sz w:val="24"/>
          <w:szCs w:val="24"/>
          <w:lang w:val="en-GB"/>
        </w:rPr>
        <w:lastRenderedPageBreak/>
        <w:t>Social Security benefits after the adoption of automatic indexation in 1974, stagflation weakened the fiscal sustainability of the program</w:t>
      </w:r>
      <w:r w:rsidR="00755F91" w:rsidRPr="007C4490">
        <w:rPr>
          <w:rFonts w:ascii="Times New Roman" w:hAnsi="Times New Roman" w:cs="Times New Roman"/>
          <w:sz w:val="24"/>
          <w:szCs w:val="24"/>
          <w:lang w:val="en-GB"/>
        </w:rPr>
        <w:t xml:space="preserve">me. </w:t>
      </w:r>
      <w:r w:rsidR="00065B77" w:rsidRPr="007C4490">
        <w:rPr>
          <w:rFonts w:ascii="Times New Roman" w:hAnsi="Times New Roman" w:cs="Times New Roman"/>
          <w:sz w:val="24"/>
          <w:szCs w:val="24"/>
          <w:lang w:val="en-GB"/>
        </w:rPr>
        <w:t xml:space="preserve">The 1977 and the 1983 amendments to the Social Security Act addressed this looming fiscal crisis, </w:t>
      </w:r>
      <w:r w:rsidR="00755F91" w:rsidRPr="007C4490">
        <w:rPr>
          <w:rFonts w:ascii="Times New Roman" w:hAnsi="Times New Roman" w:cs="Times New Roman"/>
          <w:sz w:val="24"/>
          <w:szCs w:val="24"/>
          <w:lang w:val="en-GB"/>
        </w:rPr>
        <w:t>but overall the debate over</w:t>
      </w:r>
      <w:r w:rsidR="00DA054E" w:rsidRPr="007C4490">
        <w:rPr>
          <w:rFonts w:ascii="Times New Roman" w:hAnsi="Times New Roman" w:cs="Times New Roman"/>
          <w:sz w:val="24"/>
          <w:szCs w:val="24"/>
          <w:lang w:val="en-GB"/>
        </w:rPr>
        <w:t xml:space="preserve"> </w:t>
      </w:r>
      <w:r w:rsidR="00CC6870" w:rsidRPr="007C4490">
        <w:rPr>
          <w:rFonts w:ascii="Times New Roman" w:hAnsi="Times New Roman" w:cs="Times New Roman"/>
          <w:sz w:val="24"/>
          <w:szCs w:val="24"/>
          <w:lang w:val="en-GB"/>
        </w:rPr>
        <w:t xml:space="preserve">public pension reform </w:t>
      </w:r>
      <w:r w:rsidR="00755F91" w:rsidRPr="007C4490">
        <w:rPr>
          <w:rFonts w:ascii="Times New Roman" w:hAnsi="Times New Roman" w:cs="Times New Roman"/>
          <w:sz w:val="24"/>
          <w:szCs w:val="24"/>
          <w:lang w:val="en-GB"/>
        </w:rPr>
        <w:t xml:space="preserve">shifted </w:t>
      </w:r>
      <w:r w:rsidR="00CC6870" w:rsidRPr="007C4490">
        <w:rPr>
          <w:rFonts w:ascii="Times New Roman" w:hAnsi="Times New Roman" w:cs="Times New Roman"/>
          <w:sz w:val="24"/>
          <w:szCs w:val="24"/>
          <w:lang w:val="en-GB"/>
        </w:rPr>
        <w:t xml:space="preserve">from expansion to retrenchment </w:t>
      </w:r>
      <w:r w:rsidR="00815699" w:rsidRPr="007C4490">
        <w:rPr>
          <w:rFonts w:ascii="Times New Roman" w:hAnsi="Times New Roman" w:cs="Times New Roman"/>
          <w:sz w:val="24"/>
          <w:szCs w:val="24"/>
          <w:lang w:val="en-GB"/>
        </w:rPr>
        <w:t>(Hacker</w:t>
      </w:r>
      <w:r w:rsidR="00201093" w:rsidRPr="007C4490">
        <w:rPr>
          <w:rFonts w:ascii="Times New Roman" w:hAnsi="Times New Roman" w:cs="Times New Roman"/>
          <w:sz w:val="24"/>
          <w:szCs w:val="24"/>
          <w:lang w:val="en-GB"/>
        </w:rPr>
        <w:t xml:space="preserve"> 2004; Pi</w:t>
      </w:r>
      <w:r w:rsidR="00815699" w:rsidRPr="007C4490">
        <w:rPr>
          <w:rFonts w:ascii="Times New Roman" w:hAnsi="Times New Roman" w:cs="Times New Roman"/>
          <w:sz w:val="24"/>
          <w:szCs w:val="24"/>
          <w:lang w:val="en-GB"/>
        </w:rPr>
        <w:t>erson</w:t>
      </w:r>
      <w:r w:rsidR="00201093" w:rsidRPr="007C4490">
        <w:rPr>
          <w:rFonts w:ascii="Times New Roman" w:hAnsi="Times New Roman" w:cs="Times New Roman"/>
          <w:sz w:val="24"/>
          <w:szCs w:val="24"/>
          <w:lang w:val="en-GB"/>
        </w:rPr>
        <w:t xml:space="preserve"> 1994). </w:t>
      </w:r>
      <w:r w:rsidR="00C46723" w:rsidRPr="007C4490">
        <w:rPr>
          <w:rFonts w:ascii="Times New Roman" w:hAnsi="Times New Roman" w:cs="Times New Roman"/>
          <w:sz w:val="24"/>
          <w:szCs w:val="24"/>
          <w:lang w:val="en-GB"/>
        </w:rPr>
        <w:t>Second, as Hacker (2004: 255)</w:t>
      </w:r>
      <w:r w:rsidR="00CC6870" w:rsidRPr="007C4490">
        <w:rPr>
          <w:rFonts w:ascii="Times New Roman" w:hAnsi="Times New Roman" w:cs="Times New Roman"/>
          <w:sz w:val="24"/>
          <w:szCs w:val="24"/>
          <w:lang w:val="en-GB"/>
        </w:rPr>
        <w:t xml:space="preserve"> notes</w:t>
      </w:r>
      <w:r w:rsidR="00C46723" w:rsidRPr="007C4490">
        <w:rPr>
          <w:rFonts w:ascii="Times New Roman" w:hAnsi="Times New Roman" w:cs="Times New Roman"/>
          <w:sz w:val="24"/>
          <w:szCs w:val="24"/>
          <w:lang w:val="en-GB"/>
        </w:rPr>
        <w:t xml:space="preserve">, </w:t>
      </w:r>
      <w:r w:rsidR="006A4FBF" w:rsidRPr="007C4490">
        <w:rPr>
          <w:rFonts w:ascii="Times New Roman" w:hAnsi="Times New Roman" w:cs="Times New Roman"/>
          <w:sz w:val="24"/>
          <w:szCs w:val="24"/>
          <w:lang w:val="en-GB"/>
        </w:rPr>
        <w:t>‘</w:t>
      </w:r>
      <w:r w:rsidR="00C46723" w:rsidRPr="007C4490">
        <w:rPr>
          <w:rFonts w:ascii="Times New Roman" w:hAnsi="Times New Roman" w:cs="Times New Roman"/>
          <w:sz w:val="24"/>
          <w:szCs w:val="24"/>
          <w:lang w:val="en-GB"/>
        </w:rPr>
        <w:t>employers have rapidly shi</w:t>
      </w:r>
      <w:r w:rsidR="00815699" w:rsidRPr="007C4490">
        <w:rPr>
          <w:rFonts w:ascii="Times New Roman" w:hAnsi="Times New Roman" w:cs="Times New Roman"/>
          <w:sz w:val="24"/>
          <w:szCs w:val="24"/>
          <w:lang w:val="en-GB"/>
        </w:rPr>
        <w:t>fted away from the traditional “defined-benefit”</w:t>
      </w:r>
      <w:r w:rsidR="00C46723" w:rsidRPr="007C4490">
        <w:rPr>
          <w:rFonts w:ascii="Times New Roman" w:hAnsi="Times New Roman" w:cs="Times New Roman"/>
          <w:sz w:val="24"/>
          <w:szCs w:val="24"/>
          <w:lang w:val="en-GB"/>
        </w:rPr>
        <w:t xml:space="preserve"> plans</w:t>
      </w:r>
      <w:r w:rsidR="00CC6870" w:rsidRPr="007C4490">
        <w:rPr>
          <w:rFonts w:ascii="Times New Roman" w:hAnsi="Times New Roman" w:cs="Times New Roman"/>
          <w:sz w:val="24"/>
          <w:szCs w:val="24"/>
          <w:lang w:val="en-GB"/>
        </w:rPr>
        <w:t>’ to embrace ‘</w:t>
      </w:r>
      <w:r w:rsidR="00C46723" w:rsidRPr="007C4490">
        <w:rPr>
          <w:rFonts w:ascii="Times New Roman" w:hAnsi="Times New Roman" w:cs="Times New Roman"/>
          <w:sz w:val="24"/>
          <w:szCs w:val="24"/>
          <w:lang w:val="en-GB"/>
        </w:rPr>
        <w:t>defined-contribution plans</w:t>
      </w:r>
      <w:r w:rsidR="00CC6870" w:rsidRPr="007C4490">
        <w:rPr>
          <w:rFonts w:ascii="Times New Roman" w:hAnsi="Times New Roman" w:cs="Times New Roman"/>
          <w:sz w:val="24"/>
          <w:szCs w:val="24"/>
          <w:lang w:val="en-GB"/>
        </w:rPr>
        <w:t>’.</w:t>
      </w:r>
      <w:r w:rsidR="00C46723" w:rsidRPr="007C4490">
        <w:rPr>
          <w:rFonts w:ascii="Times New Roman" w:hAnsi="Times New Roman" w:cs="Times New Roman"/>
          <w:sz w:val="24"/>
          <w:szCs w:val="24"/>
          <w:lang w:val="en-GB"/>
        </w:rPr>
        <w:t xml:space="preserve"> </w:t>
      </w:r>
      <w:r w:rsidR="00CC6870" w:rsidRPr="007C4490">
        <w:rPr>
          <w:rFonts w:ascii="Times New Roman" w:hAnsi="Times New Roman" w:cs="Times New Roman"/>
          <w:sz w:val="24"/>
          <w:szCs w:val="24"/>
          <w:lang w:val="en-GB"/>
        </w:rPr>
        <w:t>T</w:t>
      </w:r>
      <w:r w:rsidR="00CC5A16" w:rsidRPr="007C4490">
        <w:rPr>
          <w:rFonts w:ascii="Times New Roman" w:hAnsi="Times New Roman" w:cs="Times New Roman"/>
          <w:sz w:val="24"/>
          <w:szCs w:val="24"/>
          <w:lang w:val="en-GB"/>
        </w:rPr>
        <w:t xml:space="preserve">his long-term decline of defined-benefit pensions is </w:t>
      </w:r>
      <w:r w:rsidR="00A226D0" w:rsidRPr="007C4490">
        <w:rPr>
          <w:rFonts w:ascii="Times New Roman" w:hAnsi="Times New Roman" w:cs="Times New Roman"/>
          <w:sz w:val="24"/>
          <w:szCs w:val="24"/>
          <w:lang w:val="en-GB"/>
        </w:rPr>
        <w:t xml:space="preserve">extremely </w:t>
      </w:r>
      <w:r w:rsidR="00CC5A16" w:rsidRPr="007C4490">
        <w:rPr>
          <w:rFonts w:ascii="Times New Roman" w:hAnsi="Times New Roman" w:cs="Times New Roman"/>
          <w:sz w:val="24"/>
          <w:szCs w:val="24"/>
          <w:lang w:val="en-GB"/>
        </w:rPr>
        <w:t>well</w:t>
      </w:r>
      <w:r w:rsidR="0079329A" w:rsidRPr="007C4490">
        <w:rPr>
          <w:rFonts w:ascii="Times New Roman" w:hAnsi="Times New Roman" w:cs="Times New Roman"/>
          <w:sz w:val="24"/>
          <w:szCs w:val="24"/>
          <w:lang w:val="en-GB"/>
        </w:rPr>
        <w:t xml:space="preserve"> </w:t>
      </w:r>
      <w:r w:rsidR="00CC5A16" w:rsidRPr="007C4490">
        <w:rPr>
          <w:rFonts w:ascii="Times New Roman" w:hAnsi="Times New Roman" w:cs="Times New Roman"/>
          <w:sz w:val="24"/>
          <w:szCs w:val="24"/>
          <w:lang w:val="en-GB"/>
        </w:rPr>
        <w:t>document</w:t>
      </w:r>
      <w:r w:rsidR="00A226D0" w:rsidRPr="007C4490">
        <w:rPr>
          <w:rFonts w:ascii="Times New Roman" w:hAnsi="Times New Roman" w:cs="Times New Roman"/>
          <w:sz w:val="24"/>
          <w:szCs w:val="24"/>
          <w:lang w:val="en-GB"/>
        </w:rPr>
        <w:t>ed in major book</w:t>
      </w:r>
      <w:r w:rsidR="00786E20" w:rsidRPr="007C4490">
        <w:rPr>
          <w:rFonts w:ascii="Times New Roman" w:hAnsi="Times New Roman" w:cs="Times New Roman"/>
          <w:sz w:val="24"/>
          <w:szCs w:val="24"/>
          <w:lang w:val="en-GB"/>
        </w:rPr>
        <w:t>s</w:t>
      </w:r>
      <w:r w:rsidR="00A226D0" w:rsidRPr="007C4490">
        <w:rPr>
          <w:rFonts w:ascii="Times New Roman" w:hAnsi="Times New Roman" w:cs="Times New Roman"/>
          <w:sz w:val="24"/>
          <w:szCs w:val="24"/>
          <w:lang w:val="en-GB"/>
        </w:rPr>
        <w:t xml:space="preserve"> on</w:t>
      </w:r>
      <w:r w:rsidR="00821A3C" w:rsidRPr="007C4490">
        <w:rPr>
          <w:rFonts w:ascii="Times New Roman" w:hAnsi="Times New Roman" w:cs="Times New Roman"/>
          <w:sz w:val="24"/>
          <w:szCs w:val="24"/>
          <w:lang w:val="en-GB"/>
        </w:rPr>
        <w:t xml:space="preserve"> US</w:t>
      </w:r>
      <w:r w:rsidRPr="007C4490">
        <w:rPr>
          <w:rFonts w:ascii="Times New Roman" w:hAnsi="Times New Roman" w:cs="Times New Roman"/>
          <w:sz w:val="24"/>
          <w:szCs w:val="24"/>
          <w:lang w:val="en-GB"/>
        </w:rPr>
        <w:t xml:space="preserve"> </w:t>
      </w:r>
      <w:r w:rsidR="00A226D0" w:rsidRPr="007C4490">
        <w:rPr>
          <w:rFonts w:ascii="Times New Roman" w:hAnsi="Times New Roman" w:cs="Times New Roman"/>
          <w:sz w:val="24"/>
          <w:szCs w:val="24"/>
          <w:lang w:val="en-GB"/>
        </w:rPr>
        <w:t xml:space="preserve">social policy </w:t>
      </w:r>
      <w:r w:rsidR="00CC5A16" w:rsidRPr="007C4490">
        <w:rPr>
          <w:rFonts w:ascii="Times New Roman" w:hAnsi="Times New Roman" w:cs="Times New Roman"/>
          <w:sz w:val="24"/>
          <w:szCs w:val="24"/>
          <w:lang w:val="en-GB"/>
        </w:rPr>
        <w:t>(</w:t>
      </w:r>
      <w:r w:rsidR="00821A3C" w:rsidRPr="007C4490">
        <w:rPr>
          <w:rFonts w:ascii="Times New Roman" w:hAnsi="Times New Roman" w:cs="Times New Roman"/>
          <w:sz w:val="24"/>
          <w:szCs w:val="24"/>
          <w:lang w:val="en-GB"/>
        </w:rPr>
        <w:t>Hacker 2002; Howard</w:t>
      </w:r>
      <w:r w:rsidR="00A226D0" w:rsidRPr="007C4490">
        <w:rPr>
          <w:rFonts w:ascii="Times New Roman" w:hAnsi="Times New Roman" w:cs="Times New Roman"/>
          <w:sz w:val="24"/>
          <w:szCs w:val="24"/>
          <w:lang w:val="en-GB"/>
        </w:rPr>
        <w:t xml:space="preserve"> 2006</w:t>
      </w:r>
      <w:r w:rsidR="00821A3C" w:rsidRPr="007C4490">
        <w:rPr>
          <w:rFonts w:ascii="Times New Roman" w:hAnsi="Times New Roman" w:cs="Times New Roman"/>
          <w:sz w:val="24"/>
          <w:szCs w:val="24"/>
          <w:lang w:val="en-GB"/>
        </w:rPr>
        <w:t>; Klein</w:t>
      </w:r>
      <w:r w:rsidR="00786E20" w:rsidRPr="007C4490">
        <w:rPr>
          <w:rFonts w:ascii="Times New Roman" w:hAnsi="Times New Roman" w:cs="Times New Roman"/>
          <w:sz w:val="24"/>
          <w:szCs w:val="24"/>
          <w:lang w:val="en-GB"/>
        </w:rPr>
        <w:t xml:space="preserve"> 2003</w:t>
      </w:r>
      <w:r w:rsidR="00CC5A16" w:rsidRPr="007C4490">
        <w:rPr>
          <w:rFonts w:ascii="Times New Roman" w:hAnsi="Times New Roman" w:cs="Times New Roman"/>
          <w:sz w:val="24"/>
          <w:szCs w:val="24"/>
          <w:lang w:val="en-GB"/>
        </w:rPr>
        <w:t>).</w:t>
      </w:r>
      <w:r w:rsidR="00786E20" w:rsidRPr="007C4490">
        <w:rPr>
          <w:rFonts w:ascii="Times New Roman" w:hAnsi="Times New Roman" w:cs="Times New Roman"/>
          <w:sz w:val="24"/>
          <w:szCs w:val="24"/>
          <w:lang w:val="en-GB"/>
        </w:rPr>
        <w:t xml:space="preserve"> For Hacker (2004), the end of Social Security expansion and the decline of defined-benefit pensions in the private sector combined to produce policy drift, as the main public program</w:t>
      </w:r>
      <w:r w:rsidR="00EB4222" w:rsidRPr="007C4490">
        <w:rPr>
          <w:rFonts w:ascii="Times New Roman" w:hAnsi="Times New Roman" w:cs="Times New Roman"/>
          <w:sz w:val="24"/>
          <w:szCs w:val="24"/>
          <w:lang w:val="en-GB"/>
        </w:rPr>
        <w:t>me</w:t>
      </w:r>
      <w:r w:rsidR="00786E20" w:rsidRPr="007C4490">
        <w:rPr>
          <w:rFonts w:ascii="Times New Roman" w:hAnsi="Times New Roman" w:cs="Times New Roman"/>
          <w:sz w:val="24"/>
          <w:szCs w:val="24"/>
          <w:lang w:val="en-GB"/>
        </w:rPr>
        <w:t xml:space="preserve"> in the field is not being improved to compensate for the deterioration of economic security stemming from </w:t>
      </w:r>
      <w:r w:rsidR="003B2A77" w:rsidRPr="007C4490">
        <w:rPr>
          <w:rFonts w:ascii="Times New Roman" w:hAnsi="Times New Roman" w:cs="Times New Roman"/>
          <w:sz w:val="24"/>
          <w:szCs w:val="24"/>
          <w:lang w:val="en-GB"/>
        </w:rPr>
        <w:t xml:space="preserve">policy drift and </w:t>
      </w:r>
      <w:r w:rsidR="00786E20" w:rsidRPr="007C4490">
        <w:rPr>
          <w:rFonts w:ascii="Times New Roman" w:hAnsi="Times New Roman" w:cs="Times New Roman"/>
          <w:sz w:val="24"/>
          <w:szCs w:val="24"/>
          <w:lang w:val="en-GB"/>
        </w:rPr>
        <w:t xml:space="preserve">the </w:t>
      </w:r>
      <w:r w:rsidR="003B2A77" w:rsidRPr="007C4490">
        <w:rPr>
          <w:rFonts w:ascii="Times New Roman" w:hAnsi="Times New Roman" w:cs="Times New Roman"/>
          <w:sz w:val="24"/>
          <w:szCs w:val="24"/>
          <w:lang w:val="en-GB"/>
        </w:rPr>
        <w:t xml:space="preserve">related </w:t>
      </w:r>
      <w:r w:rsidR="006A4FBF" w:rsidRPr="007C4490">
        <w:rPr>
          <w:rFonts w:ascii="Times New Roman" w:hAnsi="Times New Roman" w:cs="Times New Roman"/>
          <w:sz w:val="24"/>
          <w:szCs w:val="24"/>
          <w:lang w:val="en-GB"/>
        </w:rPr>
        <w:t>‘</w:t>
      </w:r>
      <w:r w:rsidR="003B2A77" w:rsidRPr="007C4490">
        <w:rPr>
          <w:rFonts w:ascii="Times New Roman" w:hAnsi="Times New Roman" w:cs="Times New Roman"/>
          <w:sz w:val="24"/>
          <w:szCs w:val="24"/>
          <w:lang w:val="en-GB"/>
        </w:rPr>
        <w:t>conversion</w:t>
      </w:r>
      <w:r w:rsidR="006A4FBF" w:rsidRPr="007C4490">
        <w:rPr>
          <w:rFonts w:ascii="Times New Roman" w:hAnsi="Times New Roman" w:cs="Times New Roman"/>
          <w:sz w:val="24"/>
          <w:szCs w:val="24"/>
          <w:lang w:val="en-GB"/>
        </w:rPr>
        <w:t>’</w:t>
      </w:r>
      <w:r w:rsidR="00786E20" w:rsidRPr="007C4490">
        <w:rPr>
          <w:rFonts w:ascii="Times New Roman" w:hAnsi="Times New Roman" w:cs="Times New Roman"/>
          <w:sz w:val="24"/>
          <w:szCs w:val="24"/>
          <w:lang w:val="en-GB"/>
        </w:rPr>
        <w:t xml:space="preserve"> of voluntary pensions, which are less and less integrated </w:t>
      </w:r>
      <w:r w:rsidR="0085290A" w:rsidRPr="007C4490">
        <w:rPr>
          <w:rFonts w:ascii="Times New Roman" w:hAnsi="Times New Roman" w:cs="Times New Roman"/>
          <w:sz w:val="24"/>
          <w:szCs w:val="24"/>
          <w:lang w:val="en-GB"/>
        </w:rPr>
        <w:t>with</w:t>
      </w:r>
      <w:r w:rsidR="00786E20" w:rsidRPr="007C4490">
        <w:rPr>
          <w:rFonts w:ascii="Times New Roman" w:hAnsi="Times New Roman" w:cs="Times New Roman"/>
          <w:sz w:val="24"/>
          <w:szCs w:val="24"/>
          <w:lang w:val="en-GB"/>
        </w:rPr>
        <w:t xml:space="preserve"> Social Security.</w:t>
      </w:r>
      <w:r w:rsidR="00284298" w:rsidRPr="007C4490">
        <w:rPr>
          <w:rFonts w:ascii="Times New Roman" w:hAnsi="Times New Roman" w:cs="Times New Roman"/>
          <w:sz w:val="24"/>
          <w:szCs w:val="24"/>
          <w:lang w:val="en-GB"/>
        </w:rPr>
        <w:t xml:space="preserve"> Simultaneously, federal politicians have successfully pushed for the multiplication of increasingly regressive tax-subsidized personal savings schemes, which have exacerbated policy drift and the related individualization—and decline—of retirement security in the United States.</w:t>
      </w:r>
      <w:r w:rsidR="00547E75" w:rsidRPr="007C4490">
        <w:rPr>
          <w:rFonts w:ascii="Times New Roman" w:hAnsi="Times New Roman" w:cs="Times New Roman"/>
          <w:sz w:val="24"/>
          <w:szCs w:val="24"/>
          <w:lang w:val="en-GB"/>
        </w:rPr>
        <w:t xml:space="preserve"> </w:t>
      </w:r>
    </w:p>
    <w:p w14:paraId="26CE583B" w14:textId="77777777" w:rsidR="002328B4" w:rsidRPr="007C4490" w:rsidRDefault="004528CC" w:rsidP="00282389">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By shifting the time frame of the analysis, we see that these trends have largely continued. </w:t>
      </w:r>
      <w:r w:rsidR="00CA4965" w:rsidRPr="007C4490">
        <w:rPr>
          <w:rFonts w:ascii="Times New Roman" w:hAnsi="Times New Roman" w:cs="Times New Roman"/>
          <w:sz w:val="24"/>
          <w:szCs w:val="24"/>
          <w:lang w:val="en-GB"/>
        </w:rPr>
        <w:t xml:space="preserve">In the field </w:t>
      </w:r>
      <w:r w:rsidR="003B2A77" w:rsidRPr="007C4490">
        <w:rPr>
          <w:rFonts w:ascii="Times New Roman" w:hAnsi="Times New Roman" w:cs="Times New Roman"/>
          <w:sz w:val="24"/>
          <w:szCs w:val="24"/>
          <w:lang w:val="en-GB"/>
        </w:rPr>
        <w:t>of pensions as in health care, p</w:t>
      </w:r>
      <w:r w:rsidR="00CA4965" w:rsidRPr="007C4490">
        <w:rPr>
          <w:rFonts w:ascii="Times New Roman" w:hAnsi="Times New Roman" w:cs="Times New Roman"/>
          <w:sz w:val="24"/>
          <w:szCs w:val="24"/>
          <w:lang w:val="en-GB"/>
        </w:rPr>
        <w:t>olicy drift is largely about the changing relationship between public and private benefits</w:t>
      </w:r>
      <w:r w:rsidR="00160629" w:rsidRPr="007C4490">
        <w:rPr>
          <w:rFonts w:ascii="Times New Roman" w:hAnsi="Times New Roman" w:cs="Times New Roman"/>
          <w:sz w:val="24"/>
          <w:szCs w:val="24"/>
          <w:lang w:val="en-GB"/>
        </w:rPr>
        <w:t>. S</w:t>
      </w:r>
      <w:r w:rsidR="00CA4965" w:rsidRPr="007C4490">
        <w:rPr>
          <w:rFonts w:ascii="Times New Roman" w:hAnsi="Times New Roman" w:cs="Times New Roman"/>
          <w:sz w:val="24"/>
          <w:szCs w:val="24"/>
          <w:lang w:val="en-GB"/>
        </w:rPr>
        <w:t xml:space="preserve">ince Hacker published his article in 2004, two major episodes </w:t>
      </w:r>
      <w:r w:rsidR="00065B77" w:rsidRPr="007C4490">
        <w:rPr>
          <w:rFonts w:ascii="Times New Roman" w:hAnsi="Times New Roman" w:cs="Times New Roman"/>
          <w:sz w:val="24"/>
          <w:szCs w:val="24"/>
          <w:lang w:val="en-GB"/>
        </w:rPr>
        <w:t xml:space="preserve">have affected </w:t>
      </w:r>
      <w:r w:rsidR="00CA4965" w:rsidRPr="007C4490">
        <w:rPr>
          <w:rFonts w:ascii="Times New Roman" w:hAnsi="Times New Roman" w:cs="Times New Roman"/>
          <w:sz w:val="24"/>
          <w:szCs w:val="24"/>
          <w:lang w:val="en-GB"/>
        </w:rPr>
        <w:t>the public and the private side</w:t>
      </w:r>
      <w:r w:rsidR="0069376D" w:rsidRPr="007C4490">
        <w:rPr>
          <w:rFonts w:ascii="Times New Roman" w:hAnsi="Times New Roman" w:cs="Times New Roman"/>
          <w:sz w:val="24"/>
          <w:szCs w:val="24"/>
          <w:lang w:val="en-GB"/>
        </w:rPr>
        <w:t>s</w:t>
      </w:r>
      <w:r w:rsidR="00CA4965" w:rsidRPr="007C4490">
        <w:rPr>
          <w:rFonts w:ascii="Times New Roman" w:hAnsi="Times New Roman" w:cs="Times New Roman"/>
          <w:sz w:val="24"/>
          <w:szCs w:val="24"/>
          <w:lang w:val="en-GB"/>
        </w:rPr>
        <w:t xml:space="preserve"> of the</w:t>
      </w:r>
      <w:r w:rsidR="008A0C8B" w:rsidRPr="007C4490">
        <w:rPr>
          <w:rFonts w:ascii="Times New Roman" w:hAnsi="Times New Roman" w:cs="Times New Roman"/>
          <w:sz w:val="24"/>
          <w:szCs w:val="24"/>
          <w:lang w:val="en-GB"/>
        </w:rPr>
        <w:t xml:space="preserve"> US</w:t>
      </w:r>
      <w:r w:rsidR="00482B6D" w:rsidRPr="007C4490">
        <w:rPr>
          <w:rFonts w:ascii="Times New Roman" w:hAnsi="Times New Roman" w:cs="Times New Roman"/>
          <w:sz w:val="24"/>
          <w:szCs w:val="24"/>
          <w:lang w:val="en-GB"/>
        </w:rPr>
        <w:t xml:space="preserve"> </w:t>
      </w:r>
      <w:r w:rsidR="00CA4965" w:rsidRPr="007C4490">
        <w:rPr>
          <w:rFonts w:ascii="Times New Roman" w:hAnsi="Times New Roman" w:cs="Times New Roman"/>
          <w:sz w:val="24"/>
          <w:szCs w:val="24"/>
          <w:lang w:val="en-GB"/>
        </w:rPr>
        <w:t>policy drift equation</w:t>
      </w:r>
      <w:r w:rsidR="008A0C8B" w:rsidRPr="007C4490">
        <w:rPr>
          <w:rFonts w:ascii="Times New Roman" w:hAnsi="Times New Roman" w:cs="Times New Roman"/>
          <w:sz w:val="24"/>
          <w:szCs w:val="24"/>
          <w:lang w:val="en-GB"/>
        </w:rPr>
        <w:t>, respectively</w:t>
      </w:r>
      <w:r w:rsidR="00CA4965" w:rsidRPr="007C4490">
        <w:rPr>
          <w:rFonts w:ascii="Times New Roman" w:hAnsi="Times New Roman" w:cs="Times New Roman"/>
          <w:sz w:val="24"/>
          <w:szCs w:val="24"/>
          <w:lang w:val="en-GB"/>
        </w:rPr>
        <w:t xml:space="preserve">. </w:t>
      </w:r>
      <w:r w:rsidR="0031260C" w:rsidRPr="007C4490">
        <w:rPr>
          <w:rFonts w:ascii="Times New Roman" w:hAnsi="Times New Roman" w:cs="Times New Roman"/>
          <w:sz w:val="24"/>
          <w:szCs w:val="24"/>
          <w:lang w:val="en-GB"/>
        </w:rPr>
        <w:t>First, in early 2005, Republican President George W. Bush launched a massive campaign to privatize Social Security. At the heart of his push was the claim that, in an era of accelerated population aging, the best way to improve the long-term fiscal sustainability of the federal program was to partially move it away from the log</w:t>
      </w:r>
      <w:r w:rsidR="00A055A7" w:rsidRPr="007C4490">
        <w:rPr>
          <w:rFonts w:ascii="Times New Roman" w:hAnsi="Times New Roman" w:cs="Times New Roman"/>
          <w:sz w:val="24"/>
          <w:szCs w:val="24"/>
          <w:lang w:val="en-GB"/>
        </w:rPr>
        <w:t xml:space="preserve">ic of defined-benefit pensions </w:t>
      </w:r>
      <w:r w:rsidR="0031260C" w:rsidRPr="007C4490">
        <w:rPr>
          <w:rFonts w:ascii="Times New Roman" w:hAnsi="Times New Roman" w:cs="Times New Roman"/>
          <w:sz w:val="24"/>
          <w:szCs w:val="24"/>
          <w:lang w:val="en-GB"/>
        </w:rPr>
        <w:t xml:space="preserve">through the development of personal savings accounts carved out of the </w:t>
      </w:r>
      <w:r w:rsidR="0031260C" w:rsidRPr="007C4490">
        <w:rPr>
          <w:rFonts w:ascii="Times New Roman" w:hAnsi="Times New Roman" w:cs="Times New Roman"/>
          <w:sz w:val="24"/>
          <w:szCs w:val="24"/>
          <w:lang w:val="en-GB"/>
        </w:rPr>
        <w:lastRenderedPageBreak/>
        <w:t>existing Social Security payroll tax.</w:t>
      </w:r>
      <w:r w:rsidR="00983F8C" w:rsidRPr="007C4490">
        <w:rPr>
          <w:rFonts w:ascii="Times New Roman" w:hAnsi="Times New Roman" w:cs="Times New Roman"/>
          <w:sz w:val="24"/>
          <w:szCs w:val="24"/>
          <w:lang w:val="en-GB"/>
        </w:rPr>
        <w:t xml:space="preserve"> If such a reform </w:t>
      </w:r>
      <w:r w:rsidR="00080594" w:rsidRPr="007C4490">
        <w:rPr>
          <w:rFonts w:ascii="Times New Roman" w:hAnsi="Times New Roman" w:cs="Times New Roman"/>
          <w:sz w:val="24"/>
          <w:szCs w:val="24"/>
          <w:lang w:val="en-GB"/>
        </w:rPr>
        <w:t>had</w:t>
      </w:r>
      <w:r w:rsidR="00983F8C" w:rsidRPr="007C4490">
        <w:rPr>
          <w:rFonts w:ascii="Times New Roman" w:hAnsi="Times New Roman" w:cs="Times New Roman"/>
          <w:sz w:val="24"/>
          <w:szCs w:val="24"/>
          <w:lang w:val="en-GB"/>
        </w:rPr>
        <w:t xml:space="preserve"> taken place, the defined-co</w:t>
      </w:r>
      <w:r w:rsidR="003B2A77" w:rsidRPr="007C4490">
        <w:rPr>
          <w:rFonts w:ascii="Times New Roman" w:hAnsi="Times New Roman" w:cs="Times New Roman"/>
          <w:sz w:val="24"/>
          <w:szCs w:val="24"/>
          <w:lang w:val="en-GB"/>
        </w:rPr>
        <w:t>ntribution model would have reduced the role</w:t>
      </w:r>
      <w:r w:rsidR="00983F8C" w:rsidRPr="007C4490">
        <w:rPr>
          <w:rFonts w:ascii="Times New Roman" w:hAnsi="Times New Roman" w:cs="Times New Roman"/>
          <w:sz w:val="24"/>
          <w:szCs w:val="24"/>
          <w:lang w:val="en-GB"/>
        </w:rPr>
        <w:t xml:space="preserve"> of defined-benefit social insurance within the feder</w:t>
      </w:r>
      <w:r w:rsidR="003B2A77" w:rsidRPr="007C4490">
        <w:rPr>
          <w:rFonts w:ascii="Times New Roman" w:hAnsi="Times New Roman" w:cs="Times New Roman"/>
          <w:sz w:val="24"/>
          <w:szCs w:val="24"/>
          <w:lang w:val="en-GB"/>
        </w:rPr>
        <w:t>al Social Security system itself</w:t>
      </w:r>
      <w:r w:rsidR="00983F8C" w:rsidRPr="007C4490">
        <w:rPr>
          <w:rFonts w:ascii="Times New Roman" w:hAnsi="Times New Roman" w:cs="Times New Roman"/>
          <w:sz w:val="24"/>
          <w:szCs w:val="24"/>
          <w:lang w:val="en-GB"/>
        </w:rPr>
        <w:t>. In this way, such a reform wou</w:t>
      </w:r>
      <w:r w:rsidR="003B2A77" w:rsidRPr="007C4490">
        <w:rPr>
          <w:rFonts w:ascii="Times New Roman" w:hAnsi="Times New Roman" w:cs="Times New Roman"/>
          <w:sz w:val="24"/>
          <w:szCs w:val="24"/>
          <w:lang w:val="en-GB"/>
        </w:rPr>
        <w:t xml:space="preserve">ld have </w:t>
      </w:r>
      <w:r w:rsidR="00983F8C" w:rsidRPr="007C4490">
        <w:rPr>
          <w:rFonts w:ascii="Times New Roman" w:hAnsi="Times New Roman" w:cs="Times New Roman"/>
          <w:sz w:val="24"/>
          <w:szCs w:val="24"/>
          <w:lang w:val="en-GB"/>
        </w:rPr>
        <w:t xml:space="preserve">exacerbated the </w:t>
      </w:r>
      <w:r w:rsidR="00A055A7" w:rsidRPr="007C4490">
        <w:rPr>
          <w:rFonts w:ascii="Times New Roman" w:hAnsi="Times New Roman" w:cs="Times New Roman"/>
          <w:sz w:val="24"/>
          <w:szCs w:val="24"/>
          <w:lang w:val="en-GB"/>
        </w:rPr>
        <w:t>decline of retirement security Hacker (2004) described</w:t>
      </w:r>
      <w:r w:rsidR="00983F8C" w:rsidRPr="007C4490">
        <w:rPr>
          <w:rFonts w:ascii="Times New Roman" w:hAnsi="Times New Roman" w:cs="Times New Roman"/>
          <w:sz w:val="24"/>
          <w:szCs w:val="24"/>
          <w:lang w:val="en-GB"/>
        </w:rPr>
        <w:t xml:space="preserve">. Yet, despite conducting </w:t>
      </w:r>
      <w:r w:rsidR="006A4FBF" w:rsidRPr="007C4490">
        <w:rPr>
          <w:rFonts w:ascii="Times New Roman" w:hAnsi="Times New Roman" w:cs="Times New Roman"/>
          <w:sz w:val="24"/>
          <w:szCs w:val="24"/>
          <w:lang w:val="en-GB"/>
        </w:rPr>
        <w:t>‘</w:t>
      </w:r>
      <w:r w:rsidR="00983F8C" w:rsidRPr="007C4490">
        <w:rPr>
          <w:rFonts w:ascii="Times New Roman" w:hAnsi="Times New Roman" w:cs="Times New Roman"/>
          <w:sz w:val="24"/>
          <w:szCs w:val="24"/>
          <w:lang w:val="en-GB"/>
        </w:rPr>
        <w:t>perhaps the most extensive public relations campaign in the history of the presidency on beha</w:t>
      </w:r>
      <w:r w:rsidR="00A055A7" w:rsidRPr="007C4490">
        <w:rPr>
          <w:rFonts w:ascii="Times New Roman" w:hAnsi="Times New Roman" w:cs="Times New Roman"/>
          <w:sz w:val="24"/>
          <w:szCs w:val="24"/>
          <w:lang w:val="en-GB"/>
        </w:rPr>
        <w:t>lf of reforming Social Security</w:t>
      </w:r>
      <w:r w:rsidR="006A4FBF" w:rsidRPr="007C4490">
        <w:rPr>
          <w:rFonts w:ascii="Times New Roman" w:hAnsi="Times New Roman" w:cs="Times New Roman"/>
          <w:sz w:val="24"/>
          <w:szCs w:val="24"/>
          <w:lang w:val="en-GB"/>
        </w:rPr>
        <w:t>’</w:t>
      </w:r>
      <w:r w:rsidR="00A055A7" w:rsidRPr="007C4490">
        <w:rPr>
          <w:rFonts w:ascii="Times New Roman" w:hAnsi="Times New Roman" w:cs="Times New Roman"/>
          <w:sz w:val="24"/>
          <w:szCs w:val="24"/>
          <w:lang w:val="en-GB"/>
        </w:rPr>
        <w:t>,</w:t>
      </w:r>
      <w:r w:rsidR="00983F8C" w:rsidRPr="007C4490">
        <w:rPr>
          <w:rFonts w:ascii="Times New Roman" w:hAnsi="Times New Roman" w:cs="Times New Roman"/>
          <w:sz w:val="24"/>
          <w:szCs w:val="24"/>
          <w:lang w:val="en-GB"/>
        </w:rPr>
        <w:t xml:space="preserve"> President Bush’s aggressive push to convince the Republican Congress to pass legislation to partially privatize this federal program failed miserably (George Edwards III 2005: 284).</w:t>
      </w:r>
      <w:r w:rsidR="0045239A" w:rsidRPr="007C4490">
        <w:rPr>
          <w:rFonts w:ascii="Times New Roman" w:hAnsi="Times New Roman" w:cs="Times New Roman"/>
          <w:sz w:val="24"/>
          <w:szCs w:val="24"/>
          <w:lang w:val="en-GB"/>
        </w:rPr>
        <w:t xml:space="preserve"> This outcome stem</w:t>
      </w:r>
      <w:r w:rsidR="00B94E6A" w:rsidRPr="007C4490">
        <w:rPr>
          <w:rFonts w:ascii="Times New Roman" w:hAnsi="Times New Roman" w:cs="Times New Roman"/>
          <w:sz w:val="24"/>
          <w:szCs w:val="24"/>
          <w:lang w:val="en-GB"/>
        </w:rPr>
        <w:t>med</w:t>
      </w:r>
      <w:r w:rsidR="0045239A" w:rsidRPr="007C4490">
        <w:rPr>
          <w:rFonts w:ascii="Times New Roman" w:hAnsi="Times New Roman" w:cs="Times New Roman"/>
          <w:sz w:val="24"/>
          <w:szCs w:val="24"/>
          <w:lang w:val="en-GB"/>
        </w:rPr>
        <w:t xml:space="preserve"> from the popularity of the program</w:t>
      </w:r>
      <w:r w:rsidR="00B94E6A" w:rsidRPr="007C4490">
        <w:rPr>
          <w:rFonts w:ascii="Times New Roman" w:hAnsi="Times New Roman" w:cs="Times New Roman"/>
          <w:sz w:val="24"/>
          <w:szCs w:val="24"/>
          <w:lang w:val="en-GB"/>
        </w:rPr>
        <w:t>me</w:t>
      </w:r>
      <w:r w:rsidR="0045239A" w:rsidRPr="007C4490">
        <w:rPr>
          <w:rFonts w:ascii="Times New Roman" w:hAnsi="Times New Roman" w:cs="Times New Roman"/>
          <w:sz w:val="24"/>
          <w:szCs w:val="24"/>
          <w:lang w:val="en-GB"/>
        </w:rPr>
        <w:t xml:space="preserve"> and the fact that influential lobbies such as AARP (American Association of Retired Persons)</w:t>
      </w:r>
      <w:r w:rsidR="00065B77" w:rsidRPr="007C4490">
        <w:rPr>
          <w:rFonts w:ascii="Times New Roman" w:hAnsi="Times New Roman" w:cs="Times New Roman"/>
          <w:sz w:val="24"/>
          <w:szCs w:val="24"/>
          <w:lang w:val="en-GB"/>
        </w:rPr>
        <w:t xml:space="preserve"> opposed it. Democrats, </w:t>
      </w:r>
      <w:r w:rsidR="0045239A" w:rsidRPr="007C4490">
        <w:rPr>
          <w:rFonts w:ascii="Times New Roman" w:hAnsi="Times New Roman" w:cs="Times New Roman"/>
          <w:sz w:val="24"/>
          <w:szCs w:val="24"/>
          <w:lang w:val="en-GB"/>
        </w:rPr>
        <w:t>which the public trusted much more on the issue than</w:t>
      </w:r>
      <w:r w:rsidR="00A055A7" w:rsidRPr="007C4490">
        <w:rPr>
          <w:rFonts w:ascii="Times New Roman" w:hAnsi="Times New Roman" w:cs="Times New Roman"/>
          <w:sz w:val="24"/>
          <w:szCs w:val="24"/>
          <w:lang w:val="en-GB"/>
        </w:rPr>
        <w:t xml:space="preserve"> the Republican President (Ross</w:t>
      </w:r>
      <w:r w:rsidR="0045239A" w:rsidRPr="007C4490">
        <w:rPr>
          <w:rFonts w:ascii="Times New Roman" w:hAnsi="Times New Roman" w:cs="Times New Roman"/>
          <w:sz w:val="24"/>
          <w:szCs w:val="24"/>
          <w:lang w:val="en-GB"/>
        </w:rPr>
        <w:t xml:space="preserve"> 2007), </w:t>
      </w:r>
      <w:r w:rsidR="00065B77" w:rsidRPr="007C4490">
        <w:rPr>
          <w:rFonts w:ascii="Times New Roman" w:hAnsi="Times New Roman" w:cs="Times New Roman"/>
          <w:sz w:val="24"/>
          <w:szCs w:val="24"/>
          <w:lang w:val="en-GB"/>
        </w:rPr>
        <w:t xml:space="preserve">made </w:t>
      </w:r>
      <w:r w:rsidR="0045239A" w:rsidRPr="007C4490">
        <w:rPr>
          <w:rFonts w:ascii="Times New Roman" w:hAnsi="Times New Roman" w:cs="Times New Roman"/>
          <w:sz w:val="24"/>
          <w:szCs w:val="24"/>
          <w:lang w:val="en-GB"/>
        </w:rPr>
        <w:t>the credible claim that the proposed reform would reduce the economic security of retire</w:t>
      </w:r>
      <w:r w:rsidR="006C5910" w:rsidRPr="007C4490">
        <w:rPr>
          <w:rFonts w:ascii="Times New Roman" w:hAnsi="Times New Roman" w:cs="Times New Roman"/>
          <w:sz w:val="24"/>
          <w:szCs w:val="24"/>
          <w:lang w:val="en-GB"/>
        </w:rPr>
        <w:t>e</w:t>
      </w:r>
      <w:r w:rsidR="00A055A7" w:rsidRPr="007C4490">
        <w:rPr>
          <w:rFonts w:ascii="Times New Roman" w:hAnsi="Times New Roman" w:cs="Times New Roman"/>
          <w:sz w:val="24"/>
          <w:szCs w:val="24"/>
          <w:lang w:val="en-GB"/>
        </w:rPr>
        <w:t xml:space="preserve">s </w:t>
      </w:r>
      <w:r w:rsidR="0045239A" w:rsidRPr="007C4490">
        <w:rPr>
          <w:rFonts w:ascii="Times New Roman" w:hAnsi="Times New Roman" w:cs="Times New Roman"/>
          <w:sz w:val="24"/>
          <w:szCs w:val="24"/>
          <w:lang w:val="en-GB"/>
        </w:rPr>
        <w:t xml:space="preserve">without improving the </w:t>
      </w:r>
      <w:r w:rsidR="006C5910" w:rsidRPr="007C4490">
        <w:rPr>
          <w:rFonts w:ascii="Times New Roman" w:hAnsi="Times New Roman" w:cs="Times New Roman"/>
          <w:sz w:val="24"/>
          <w:szCs w:val="24"/>
          <w:lang w:val="en-GB"/>
        </w:rPr>
        <w:t>program</w:t>
      </w:r>
      <w:r w:rsidR="00B94E6A" w:rsidRPr="007C4490">
        <w:rPr>
          <w:rFonts w:ascii="Times New Roman" w:hAnsi="Times New Roman" w:cs="Times New Roman"/>
          <w:sz w:val="24"/>
          <w:szCs w:val="24"/>
          <w:lang w:val="en-GB"/>
        </w:rPr>
        <w:t>me</w:t>
      </w:r>
      <w:r w:rsidR="006C5910" w:rsidRPr="007C4490">
        <w:rPr>
          <w:rFonts w:ascii="Times New Roman" w:hAnsi="Times New Roman" w:cs="Times New Roman"/>
          <w:sz w:val="24"/>
          <w:szCs w:val="24"/>
          <w:lang w:val="en-GB"/>
        </w:rPr>
        <w:t xml:space="preserve">’s </w:t>
      </w:r>
      <w:r w:rsidR="0045239A" w:rsidRPr="007C4490">
        <w:rPr>
          <w:rFonts w:ascii="Times New Roman" w:hAnsi="Times New Roman" w:cs="Times New Roman"/>
          <w:sz w:val="24"/>
          <w:szCs w:val="24"/>
          <w:lang w:val="en-GB"/>
        </w:rPr>
        <w:t>long-term fis</w:t>
      </w:r>
      <w:r w:rsidR="00A055A7" w:rsidRPr="007C4490">
        <w:rPr>
          <w:rFonts w:ascii="Times New Roman" w:hAnsi="Times New Roman" w:cs="Times New Roman"/>
          <w:sz w:val="24"/>
          <w:szCs w:val="24"/>
          <w:lang w:val="en-GB"/>
        </w:rPr>
        <w:t>cal standing (</w:t>
      </w:r>
      <w:proofErr w:type="spellStart"/>
      <w:r w:rsidR="00A055A7" w:rsidRPr="007C4490">
        <w:rPr>
          <w:rFonts w:ascii="Times New Roman" w:hAnsi="Times New Roman" w:cs="Times New Roman"/>
          <w:sz w:val="24"/>
          <w:szCs w:val="24"/>
          <w:lang w:val="en-GB"/>
        </w:rPr>
        <w:t>Béland</w:t>
      </w:r>
      <w:proofErr w:type="spellEnd"/>
      <w:r w:rsidR="00A055A7" w:rsidRPr="007C4490">
        <w:rPr>
          <w:rFonts w:ascii="Times New Roman" w:hAnsi="Times New Roman" w:cs="Times New Roman"/>
          <w:sz w:val="24"/>
          <w:szCs w:val="24"/>
          <w:lang w:val="en-GB"/>
        </w:rPr>
        <w:t xml:space="preserve"> and Waddan</w:t>
      </w:r>
      <w:r w:rsidR="0045239A" w:rsidRPr="007C4490">
        <w:rPr>
          <w:rFonts w:ascii="Times New Roman" w:hAnsi="Times New Roman" w:cs="Times New Roman"/>
          <w:sz w:val="24"/>
          <w:szCs w:val="24"/>
          <w:lang w:val="en-GB"/>
        </w:rPr>
        <w:t xml:space="preserve"> 2012).</w:t>
      </w:r>
      <w:r w:rsidR="00C1772E" w:rsidRPr="007C4490">
        <w:rPr>
          <w:rFonts w:ascii="Times New Roman" w:hAnsi="Times New Roman" w:cs="Times New Roman"/>
          <w:sz w:val="24"/>
          <w:szCs w:val="24"/>
          <w:lang w:val="en-GB"/>
        </w:rPr>
        <w:t xml:space="preserve"> Importantly, however, the defeat of President Bush’s initiative</w:t>
      </w:r>
      <w:r w:rsidR="008647C4" w:rsidRPr="007C4490">
        <w:rPr>
          <w:rFonts w:ascii="Times New Roman" w:hAnsi="Times New Roman" w:cs="Times New Roman"/>
          <w:sz w:val="24"/>
          <w:szCs w:val="24"/>
          <w:lang w:val="en-GB"/>
        </w:rPr>
        <w:t xml:space="preserve"> simply </w:t>
      </w:r>
      <w:r w:rsidR="00065B77" w:rsidRPr="007C4490">
        <w:rPr>
          <w:rFonts w:ascii="Times New Roman" w:hAnsi="Times New Roman" w:cs="Times New Roman"/>
          <w:sz w:val="24"/>
          <w:szCs w:val="24"/>
          <w:lang w:val="en-GB"/>
        </w:rPr>
        <w:t xml:space="preserve">meant </w:t>
      </w:r>
      <w:r w:rsidR="008647C4" w:rsidRPr="007C4490">
        <w:rPr>
          <w:rFonts w:ascii="Times New Roman" w:hAnsi="Times New Roman" w:cs="Times New Roman"/>
          <w:sz w:val="24"/>
          <w:szCs w:val="24"/>
          <w:lang w:val="en-GB"/>
        </w:rPr>
        <w:t>that the institutional status quo of the program</w:t>
      </w:r>
      <w:r w:rsidR="00B94E6A" w:rsidRPr="007C4490">
        <w:rPr>
          <w:rFonts w:ascii="Times New Roman" w:hAnsi="Times New Roman" w:cs="Times New Roman"/>
          <w:sz w:val="24"/>
          <w:szCs w:val="24"/>
          <w:lang w:val="en-GB"/>
        </w:rPr>
        <w:t>me, which had persisted</w:t>
      </w:r>
      <w:r w:rsidR="008647C4" w:rsidRPr="007C4490">
        <w:rPr>
          <w:rFonts w:ascii="Times New Roman" w:hAnsi="Times New Roman" w:cs="Times New Roman"/>
          <w:sz w:val="24"/>
          <w:szCs w:val="24"/>
          <w:lang w:val="en-GB"/>
        </w:rPr>
        <w:t xml:space="preserve"> since 1983</w:t>
      </w:r>
      <w:r w:rsidR="008C7802" w:rsidRPr="007C4490">
        <w:rPr>
          <w:rFonts w:ascii="Times New Roman" w:hAnsi="Times New Roman" w:cs="Times New Roman"/>
          <w:sz w:val="24"/>
          <w:szCs w:val="24"/>
          <w:lang w:val="en-GB"/>
        </w:rPr>
        <w:t>,</w:t>
      </w:r>
      <w:r w:rsidR="008647C4" w:rsidRPr="007C4490">
        <w:rPr>
          <w:rFonts w:ascii="Times New Roman" w:hAnsi="Times New Roman" w:cs="Times New Roman"/>
          <w:sz w:val="24"/>
          <w:szCs w:val="24"/>
          <w:lang w:val="en-GB"/>
        </w:rPr>
        <w:t xml:space="preserve"> </w:t>
      </w:r>
      <w:r w:rsidR="00B94E6A" w:rsidRPr="007C4490">
        <w:rPr>
          <w:rFonts w:ascii="Times New Roman" w:hAnsi="Times New Roman" w:cs="Times New Roman"/>
          <w:sz w:val="24"/>
          <w:szCs w:val="24"/>
          <w:lang w:val="en-GB"/>
        </w:rPr>
        <w:t>was</w:t>
      </w:r>
      <w:r w:rsidR="008647C4" w:rsidRPr="007C4490">
        <w:rPr>
          <w:rFonts w:ascii="Times New Roman" w:hAnsi="Times New Roman" w:cs="Times New Roman"/>
          <w:sz w:val="24"/>
          <w:szCs w:val="24"/>
          <w:lang w:val="en-GB"/>
        </w:rPr>
        <w:t xml:space="preserve"> maintained. In other words, since the publication of Hacker’s 2004 piece,</w:t>
      </w:r>
      <w:r w:rsidR="00B94E6A" w:rsidRPr="007C4490">
        <w:rPr>
          <w:rFonts w:ascii="Times New Roman" w:hAnsi="Times New Roman" w:cs="Times New Roman"/>
          <w:sz w:val="24"/>
          <w:szCs w:val="24"/>
          <w:lang w:val="en-GB"/>
        </w:rPr>
        <w:t xml:space="preserve"> despite the continuing popularity of Social Security</w:t>
      </w:r>
      <w:r w:rsidR="00A055A7" w:rsidRPr="007C4490">
        <w:rPr>
          <w:rFonts w:ascii="Times New Roman" w:hAnsi="Times New Roman" w:cs="Times New Roman"/>
          <w:sz w:val="24"/>
          <w:szCs w:val="24"/>
          <w:lang w:val="en-GB"/>
        </w:rPr>
        <w:t>,</w:t>
      </w:r>
      <w:r w:rsidR="00B94E6A" w:rsidRPr="007C4490">
        <w:rPr>
          <w:rFonts w:ascii="Times New Roman" w:hAnsi="Times New Roman" w:cs="Times New Roman"/>
          <w:sz w:val="24"/>
          <w:szCs w:val="24"/>
          <w:lang w:val="en-GB"/>
        </w:rPr>
        <w:t xml:space="preserve"> the</w:t>
      </w:r>
      <w:r w:rsidR="008647C4" w:rsidRPr="007C4490">
        <w:rPr>
          <w:rFonts w:ascii="Times New Roman" w:hAnsi="Times New Roman" w:cs="Times New Roman"/>
          <w:sz w:val="24"/>
          <w:szCs w:val="24"/>
          <w:lang w:val="en-GB"/>
        </w:rPr>
        <w:t xml:space="preserve"> program</w:t>
      </w:r>
      <w:r w:rsidR="00B94E6A" w:rsidRPr="007C4490">
        <w:rPr>
          <w:rFonts w:ascii="Times New Roman" w:hAnsi="Times New Roman" w:cs="Times New Roman"/>
          <w:sz w:val="24"/>
          <w:szCs w:val="24"/>
          <w:lang w:val="en-GB"/>
        </w:rPr>
        <w:t>me</w:t>
      </w:r>
      <w:r w:rsidR="008647C4" w:rsidRPr="007C4490">
        <w:rPr>
          <w:rFonts w:ascii="Times New Roman" w:hAnsi="Times New Roman" w:cs="Times New Roman"/>
          <w:sz w:val="24"/>
          <w:szCs w:val="24"/>
          <w:lang w:val="en-GB"/>
        </w:rPr>
        <w:t xml:space="preserve"> has not been </w:t>
      </w:r>
      <w:r w:rsidR="00B94E6A" w:rsidRPr="007C4490">
        <w:rPr>
          <w:rFonts w:ascii="Times New Roman" w:hAnsi="Times New Roman" w:cs="Times New Roman"/>
          <w:sz w:val="24"/>
          <w:szCs w:val="24"/>
          <w:lang w:val="en-GB"/>
        </w:rPr>
        <w:t xml:space="preserve">expanded </w:t>
      </w:r>
      <w:r w:rsidR="008647C4" w:rsidRPr="007C4490">
        <w:rPr>
          <w:rFonts w:ascii="Times New Roman" w:hAnsi="Times New Roman" w:cs="Times New Roman"/>
          <w:sz w:val="24"/>
          <w:szCs w:val="24"/>
          <w:lang w:val="en-GB"/>
        </w:rPr>
        <w:t>to compensa</w:t>
      </w:r>
      <w:r w:rsidR="00080594" w:rsidRPr="007C4490">
        <w:rPr>
          <w:rFonts w:ascii="Times New Roman" w:hAnsi="Times New Roman" w:cs="Times New Roman"/>
          <w:sz w:val="24"/>
          <w:szCs w:val="24"/>
          <w:lang w:val="en-GB"/>
        </w:rPr>
        <w:t>te</w:t>
      </w:r>
      <w:r w:rsidR="008647C4" w:rsidRPr="007C4490">
        <w:rPr>
          <w:rFonts w:ascii="Times New Roman" w:hAnsi="Times New Roman" w:cs="Times New Roman"/>
          <w:sz w:val="24"/>
          <w:szCs w:val="24"/>
          <w:lang w:val="en-GB"/>
        </w:rPr>
        <w:t xml:space="preserve"> for the decline of retirement security in the pr</w:t>
      </w:r>
      <w:r w:rsidR="00B94E6A" w:rsidRPr="007C4490">
        <w:rPr>
          <w:rFonts w:ascii="Times New Roman" w:hAnsi="Times New Roman" w:cs="Times New Roman"/>
          <w:sz w:val="24"/>
          <w:szCs w:val="24"/>
          <w:lang w:val="en-GB"/>
        </w:rPr>
        <w:t>ivate</w:t>
      </w:r>
      <w:r w:rsidR="008647C4" w:rsidRPr="007C4490">
        <w:rPr>
          <w:rFonts w:ascii="Times New Roman" w:hAnsi="Times New Roman" w:cs="Times New Roman"/>
          <w:sz w:val="24"/>
          <w:szCs w:val="24"/>
          <w:lang w:val="en-GB"/>
        </w:rPr>
        <w:t xml:space="preserve"> sector associated with individualistic, define</w:t>
      </w:r>
      <w:r w:rsidR="00A055A7" w:rsidRPr="007C4490">
        <w:rPr>
          <w:rFonts w:ascii="Times New Roman" w:hAnsi="Times New Roman" w:cs="Times New Roman"/>
          <w:sz w:val="24"/>
          <w:szCs w:val="24"/>
          <w:lang w:val="en-GB"/>
        </w:rPr>
        <w:t xml:space="preserve">d-contribution savings schemes </w:t>
      </w:r>
      <w:r w:rsidR="008647C4" w:rsidRPr="007C4490">
        <w:rPr>
          <w:rFonts w:ascii="Times New Roman" w:hAnsi="Times New Roman" w:cs="Times New Roman"/>
          <w:sz w:val="24"/>
          <w:szCs w:val="24"/>
          <w:lang w:val="en-GB"/>
        </w:rPr>
        <w:t>which transfer economic and financial risks onto workers.</w:t>
      </w:r>
    </w:p>
    <w:p w14:paraId="551B98DD" w14:textId="77777777" w:rsidR="00745134" w:rsidRPr="007C4490" w:rsidRDefault="004528CC" w:rsidP="00282389">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The</w:t>
      </w:r>
      <w:r w:rsidR="002328B4" w:rsidRPr="007C4490">
        <w:rPr>
          <w:rFonts w:ascii="Times New Roman" w:hAnsi="Times New Roman" w:cs="Times New Roman"/>
          <w:sz w:val="24"/>
          <w:szCs w:val="24"/>
          <w:lang w:val="en-GB"/>
        </w:rPr>
        <w:t xml:space="preserve"> 2008 financial crisis and the subsequent Great Recession </w:t>
      </w:r>
      <w:r w:rsidRPr="007C4490">
        <w:rPr>
          <w:rFonts w:ascii="Times New Roman" w:hAnsi="Times New Roman" w:cs="Times New Roman"/>
          <w:sz w:val="24"/>
          <w:szCs w:val="24"/>
          <w:lang w:val="en-GB"/>
        </w:rPr>
        <w:t xml:space="preserve">also </w:t>
      </w:r>
      <w:r w:rsidR="002328B4" w:rsidRPr="007C4490">
        <w:rPr>
          <w:rFonts w:ascii="Times New Roman" w:hAnsi="Times New Roman" w:cs="Times New Roman"/>
          <w:sz w:val="24"/>
          <w:szCs w:val="24"/>
          <w:lang w:val="en-GB"/>
        </w:rPr>
        <w:t>weakened retirement security while exposing the vulnerability of personal retirement savings to the fluctuation of financial markets</w:t>
      </w:r>
      <w:r w:rsidR="00770B52" w:rsidRPr="007C4490">
        <w:rPr>
          <w:rFonts w:ascii="Times New Roman" w:hAnsi="Times New Roman" w:cs="Times New Roman"/>
          <w:sz w:val="24"/>
          <w:szCs w:val="24"/>
          <w:lang w:val="en-GB"/>
        </w:rPr>
        <w:t xml:space="preserve"> more than ever before</w:t>
      </w:r>
      <w:r w:rsidR="002328B4" w:rsidRPr="007C4490">
        <w:rPr>
          <w:rFonts w:ascii="Times New Roman" w:hAnsi="Times New Roman" w:cs="Times New Roman"/>
          <w:sz w:val="24"/>
          <w:szCs w:val="24"/>
          <w:lang w:val="en-GB"/>
        </w:rPr>
        <w:t xml:space="preserve">. </w:t>
      </w:r>
      <w:r w:rsidR="00B115AD" w:rsidRPr="007C4490">
        <w:rPr>
          <w:rFonts w:ascii="Times New Roman" w:hAnsi="Times New Roman" w:cs="Times New Roman"/>
          <w:sz w:val="24"/>
          <w:szCs w:val="24"/>
          <w:lang w:val="en-GB"/>
        </w:rPr>
        <w:t>This is true because the financial crisis forced millions of older workers who rely extensively on voluntary defined-contribution</w:t>
      </w:r>
      <w:r w:rsidR="00342312" w:rsidRPr="007C4490">
        <w:rPr>
          <w:rFonts w:ascii="Times New Roman" w:hAnsi="Times New Roman" w:cs="Times New Roman"/>
          <w:sz w:val="24"/>
          <w:szCs w:val="24"/>
          <w:lang w:val="en-GB"/>
        </w:rPr>
        <w:t xml:space="preserve"> schemes to postpone retirement</w:t>
      </w:r>
      <w:r w:rsidR="00B115AD" w:rsidRPr="007C4490">
        <w:rPr>
          <w:rFonts w:ascii="Times New Roman" w:hAnsi="Times New Roman" w:cs="Times New Roman"/>
          <w:sz w:val="24"/>
          <w:szCs w:val="24"/>
          <w:lang w:val="en-GB"/>
        </w:rPr>
        <w:t xml:space="preserve"> in order to allow for stocks—and the value of their pension savings—to bounce back.</w:t>
      </w:r>
      <w:r w:rsidR="00D0381E" w:rsidRPr="007C4490">
        <w:rPr>
          <w:rFonts w:ascii="Times New Roman" w:hAnsi="Times New Roman" w:cs="Times New Roman"/>
          <w:sz w:val="24"/>
          <w:szCs w:val="24"/>
          <w:lang w:val="en-GB"/>
        </w:rPr>
        <w:t xml:space="preserve"> At the same time</w:t>
      </w:r>
      <w:r w:rsidR="00B115AD" w:rsidRPr="007C4490">
        <w:rPr>
          <w:rFonts w:ascii="Times New Roman" w:hAnsi="Times New Roman" w:cs="Times New Roman"/>
          <w:sz w:val="24"/>
          <w:szCs w:val="24"/>
          <w:lang w:val="en-GB"/>
        </w:rPr>
        <w:t xml:space="preserve">, the financial crisis further </w:t>
      </w:r>
      <w:r w:rsidR="00B115AD" w:rsidRPr="007C4490">
        <w:rPr>
          <w:rFonts w:ascii="Times New Roman" w:hAnsi="Times New Roman" w:cs="Times New Roman"/>
          <w:sz w:val="24"/>
          <w:szCs w:val="24"/>
          <w:lang w:val="en-GB"/>
        </w:rPr>
        <w:lastRenderedPageBreak/>
        <w:t xml:space="preserve">weakened the existing </w:t>
      </w:r>
      <w:r w:rsidR="008F4A8A" w:rsidRPr="007C4490">
        <w:rPr>
          <w:rFonts w:ascii="Times New Roman" w:hAnsi="Times New Roman" w:cs="Times New Roman"/>
          <w:sz w:val="24"/>
          <w:szCs w:val="24"/>
          <w:lang w:val="en-GB"/>
        </w:rPr>
        <w:t xml:space="preserve">network </w:t>
      </w:r>
      <w:r w:rsidR="00B115AD" w:rsidRPr="007C4490">
        <w:rPr>
          <w:rFonts w:ascii="Times New Roman" w:hAnsi="Times New Roman" w:cs="Times New Roman"/>
          <w:sz w:val="24"/>
          <w:szCs w:val="24"/>
          <w:lang w:val="en-GB"/>
        </w:rPr>
        <w:t xml:space="preserve">of defined-benefit occupational pensions, as a number of large </w:t>
      </w:r>
      <w:r w:rsidR="008F4A8A" w:rsidRPr="007C4490">
        <w:rPr>
          <w:rFonts w:ascii="Times New Roman" w:hAnsi="Times New Roman" w:cs="Times New Roman"/>
          <w:sz w:val="24"/>
          <w:szCs w:val="24"/>
          <w:lang w:val="en-GB"/>
        </w:rPr>
        <w:t xml:space="preserve">public and private </w:t>
      </w:r>
      <w:r w:rsidR="00B115AD" w:rsidRPr="007C4490">
        <w:rPr>
          <w:rFonts w:ascii="Times New Roman" w:hAnsi="Times New Roman" w:cs="Times New Roman"/>
          <w:sz w:val="24"/>
          <w:szCs w:val="24"/>
          <w:lang w:val="en-GB"/>
        </w:rPr>
        <w:t xml:space="preserve">employers operating them struggled to address growing </w:t>
      </w:r>
      <w:r w:rsidR="00962C83" w:rsidRPr="007C4490">
        <w:rPr>
          <w:rFonts w:ascii="Times New Roman" w:hAnsi="Times New Roman" w:cs="Times New Roman"/>
          <w:sz w:val="24"/>
          <w:szCs w:val="24"/>
          <w:lang w:val="en-GB"/>
        </w:rPr>
        <w:t xml:space="preserve">pension fund </w:t>
      </w:r>
      <w:r w:rsidR="00B115AD" w:rsidRPr="007C4490">
        <w:rPr>
          <w:rFonts w:ascii="Times New Roman" w:hAnsi="Times New Roman" w:cs="Times New Roman"/>
          <w:sz w:val="24"/>
          <w:szCs w:val="24"/>
          <w:lang w:val="en-GB"/>
        </w:rPr>
        <w:t>shortfalls.</w:t>
      </w:r>
      <w:r w:rsidR="00962C83" w:rsidRPr="007C4490">
        <w:rPr>
          <w:rFonts w:ascii="Times New Roman" w:hAnsi="Times New Roman" w:cs="Times New Roman"/>
          <w:sz w:val="24"/>
          <w:szCs w:val="24"/>
          <w:lang w:val="en-GB"/>
        </w:rPr>
        <w:t xml:space="preserve"> Although stocks did bounce back sooner than expected, the financial crisis further weakened the confidence of the</w:t>
      </w:r>
      <w:r w:rsidR="00342312" w:rsidRPr="007C4490">
        <w:rPr>
          <w:rFonts w:ascii="Times New Roman" w:hAnsi="Times New Roman" w:cs="Times New Roman"/>
          <w:sz w:val="24"/>
          <w:szCs w:val="24"/>
          <w:lang w:val="en-GB"/>
        </w:rPr>
        <w:t xml:space="preserve"> US</w:t>
      </w:r>
      <w:r w:rsidR="00482B6D" w:rsidRPr="007C4490">
        <w:rPr>
          <w:rFonts w:ascii="Times New Roman" w:hAnsi="Times New Roman" w:cs="Times New Roman"/>
          <w:sz w:val="24"/>
          <w:szCs w:val="24"/>
          <w:lang w:val="en-GB"/>
        </w:rPr>
        <w:t xml:space="preserve"> </w:t>
      </w:r>
      <w:r w:rsidR="00962C83" w:rsidRPr="007C4490">
        <w:rPr>
          <w:rFonts w:ascii="Times New Roman" w:hAnsi="Times New Roman" w:cs="Times New Roman"/>
          <w:sz w:val="24"/>
          <w:szCs w:val="24"/>
          <w:lang w:val="en-GB"/>
        </w:rPr>
        <w:t xml:space="preserve">public </w:t>
      </w:r>
      <w:r w:rsidR="00342312" w:rsidRPr="007C4490">
        <w:rPr>
          <w:rFonts w:ascii="Times New Roman" w:hAnsi="Times New Roman" w:cs="Times New Roman"/>
          <w:sz w:val="24"/>
          <w:szCs w:val="24"/>
          <w:lang w:val="en-GB"/>
        </w:rPr>
        <w:t>in</w:t>
      </w:r>
      <w:r w:rsidR="00962C83" w:rsidRPr="007C4490">
        <w:rPr>
          <w:rFonts w:ascii="Times New Roman" w:hAnsi="Times New Roman" w:cs="Times New Roman"/>
          <w:sz w:val="24"/>
          <w:szCs w:val="24"/>
          <w:lang w:val="en-GB"/>
        </w:rPr>
        <w:t xml:space="preserve"> private pension savings. In the aftermath of the Great Recession and the slow recovery that followed, higher unemployment rates and stagnation in wage levels made it harder and harder for a growing number of Am</w:t>
      </w:r>
      <w:r w:rsidR="0069376D" w:rsidRPr="007C4490">
        <w:rPr>
          <w:rFonts w:ascii="Times New Roman" w:hAnsi="Times New Roman" w:cs="Times New Roman"/>
          <w:sz w:val="24"/>
          <w:szCs w:val="24"/>
          <w:lang w:val="en-GB"/>
        </w:rPr>
        <w:t>ericans to save for retirement.</w:t>
      </w:r>
      <w:r w:rsidR="00962C83" w:rsidRPr="007C4490">
        <w:rPr>
          <w:rFonts w:ascii="Times New Roman" w:hAnsi="Times New Roman" w:cs="Times New Roman"/>
          <w:sz w:val="24"/>
          <w:szCs w:val="24"/>
          <w:lang w:val="en-GB"/>
        </w:rPr>
        <w:t xml:space="preserve"> In November 2014, for example, a national poll revealed that </w:t>
      </w:r>
      <w:r w:rsidR="006A4FBF" w:rsidRPr="007C4490">
        <w:rPr>
          <w:rFonts w:ascii="Times New Roman" w:hAnsi="Times New Roman" w:cs="Times New Roman"/>
          <w:sz w:val="24"/>
          <w:szCs w:val="24"/>
          <w:lang w:val="en-GB"/>
        </w:rPr>
        <w:t>‘</w:t>
      </w:r>
      <w:r w:rsidR="00962C83" w:rsidRPr="007C4490">
        <w:rPr>
          <w:rFonts w:ascii="Times New Roman" w:hAnsi="Times New Roman" w:cs="Times New Roman"/>
          <w:sz w:val="24"/>
          <w:szCs w:val="24"/>
          <w:lang w:val="en-GB"/>
        </w:rPr>
        <w:t xml:space="preserve">63 </w:t>
      </w:r>
      <w:r w:rsidR="00342312" w:rsidRPr="007C4490">
        <w:rPr>
          <w:rFonts w:ascii="Times New Roman" w:hAnsi="Times New Roman" w:cs="Times New Roman"/>
          <w:sz w:val="24"/>
          <w:szCs w:val="24"/>
          <w:lang w:val="en-GB"/>
        </w:rPr>
        <w:t>per</w:t>
      </w:r>
      <w:r w:rsidR="00A166E3" w:rsidRPr="007C4490">
        <w:rPr>
          <w:rFonts w:ascii="Times New Roman" w:hAnsi="Times New Roman" w:cs="Times New Roman"/>
          <w:sz w:val="24"/>
          <w:szCs w:val="24"/>
          <w:lang w:val="en-GB"/>
        </w:rPr>
        <w:t xml:space="preserve"> </w:t>
      </w:r>
      <w:r w:rsidR="002E4EDB" w:rsidRPr="007C4490">
        <w:rPr>
          <w:rFonts w:ascii="Times New Roman" w:hAnsi="Times New Roman" w:cs="Times New Roman"/>
          <w:sz w:val="24"/>
          <w:szCs w:val="24"/>
          <w:lang w:val="en-GB"/>
        </w:rPr>
        <w:t>cent</w:t>
      </w:r>
      <w:r w:rsidR="00962C83" w:rsidRPr="007C4490">
        <w:rPr>
          <w:rFonts w:ascii="Times New Roman" w:hAnsi="Times New Roman" w:cs="Times New Roman"/>
          <w:sz w:val="24"/>
          <w:szCs w:val="24"/>
          <w:lang w:val="en-GB"/>
        </w:rPr>
        <w:t xml:space="preserve"> of Americans are worried that they will not have enough savings for their retirement.</w:t>
      </w:r>
      <w:r w:rsidR="006A4FBF" w:rsidRPr="007C4490">
        <w:rPr>
          <w:rFonts w:ascii="Times New Roman" w:hAnsi="Times New Roman" w:cs="Times New Roman"/>
          <w:sz w:val="24"/>
          <w:szCs w:val="24"/>
          <w:lang w:val="en-GB"/>
        </w:rPr>
        <w:t>’</w:t>
      </w:r>
      <w:r w:rsidR="00342312" w:rsidRPr="007C4490">
        <w:rPr>
          <w:rFonts w:ascii="Times New Roman" w:hAnsi="Times New Roman" w:cs="Times New Roman"/>
          <w:sz w:val="24"/>
          <w:szCs w:val="24"/>
          <w:lang w:val="en-GB"/>
        </w:rPr>
        <w:t xml:space="preserve"> (CBC News</w:t>
      </w:r>
      <w:r w:rsidR="00962C83" w:rsidRPr="007C4490">
        <w:rPr>
          <w:rFonts w:ascii="Times New Roman" w:hAnsi="Times New Roman" w:cs="Times New Roman"/>
          <w:sz w:val="24"/>
          <w:szCs w:val="24"/>
          <w:lang w:val="en-GB"/>
        </w:rPr>
        <w:t xml:space="preserve"> 2014)</w:t>
      </w:r>
      <w:r w:rsidR="00342312" w:rsidRPr="007C4490">
        <w:rPr>
          <w:rFonts w:ascii="Times New Roman" w:hAnsi="Times New Roman" w:cs="Times New Roman"/>
          <w:sz w:val="24"/>
          <w:szCs w:val="24"/>
          <w:lang w:val="en-GB"/>
        </w:rPr>
        <w:t>.</w:t>
      </w:r>
      <w:r w:rsidR="00E1407C" w:rsidRPr="007C4490">
        <w:rPr>
          <w:rFonts w:ascii="Times New Roman" w:hAnsi="Times New Roman" w:cs="Times New Roman"/>
          <w:sz w:val="24"/>
          <w:szCs w:val="24"/>
          <w:lang w:val="en-GB"/>
        </w:rPr>
        <w:t xml:space="preserve"> Simultaneously, during the Obama years, apart from a temporary </w:t>
      </w:r>
      <w:r w:rsidR="006A4FBF" w:rsidRPr="007C4490">
        <w:rPr>
          <w:rFonts w:ascii="Times New Roman" w:hAnsi="Times New Roman" w:cs="Times New Roman"/>
          <w:sz w:val="24"/>
          <w:szCs w:val="24"/>
          <w:lang w:val="en-GB"/>
        </w:rPr>
        <w:t>‘</w:t>
      </w:r>
      <w:r w:rsidR="00E1407C" w:rsidRPr="007C4490">
        <w:rPr>
          <w:rFonts w:ascii="Times New Roman" w:hAnsi="Times New Roman" w:cs="Times New Roman"/>
          <w:sz w:val="24"/>
          <w:szCs w:val="24"/>
          <w:lang w:val="en-GB"/>
        </w:rPr>
        <w:t>payroll tax holiday</w:t>
      </w:r>
      <w:r w:rsidR="006A4FBF" w:rsidRPr="007C4490">
        <w:rPr>
          <w:rFonts w:ascii="Times New Roman" w:hAnsi="Times New Roman" w:cs="Times New Roman"/>
          <w:sz w:val="24"/>
          <w:szCs w:val="24"/>
          <w:lang w:val="en-GB"/>
        </w:rPr>
        <w:t>’</w:t>
      </w:r>
      <w:r w:rsidR="00E1407C" w:rsidRPr="007C4490">
        <w:rPr>
          <w:rFonts w:ascii="Times New Roman" w:hAnsi="Times New Roman" w:cs="Times New Roman"/>
          <w:sz w:val="24"/>
          <w:szCs w:val="24"/>
          <w:lang w:val="en-GB"/>
        </w:rPr>
        <w:t xml:space="preserve"> aimed at boosting the economy, Social Security reform remained largely off the federal policy agenda. This is true of Social Security privatization but also of much less visible</w:t>
      </w:r>
      <w:r w:rsidR="00B94E6A" w:rsidRPr="007C4490">
        <w:rPr>
          <w:rFonts w:ascii="Times New Roman" w:hAnsi="Times New Roman" w:cs="Times New Roman"/>
          <w:sz w:val="24"/>
          <w:szCs w:val="24"/>
          <w:lang w:val="en-GB"/>
        </w:rPr>
        <w:t>, though still viable,</w:t>
      </w:r>
      <w:r w:rsidR="00E1407C" w:rsidRPr="007C4490">
        <w:rPr>
          <w:rFonts w:ascii="Times New Roman" w:hAnsi="Times New Roman" w:cs="Times New Roman"/>
          <w:sz w:val="24"/>
          <w:szCs w:val="24"/>
          <w:lang w:val="en-GB"/>
        </w:rPr>
        <w:t xml:space="preserve"> proposals to improve the public side of the</w:t>
      </w:r>
      <w:r w:rsidR="00342312" w:rsidRPr="007C4490">
        <w:rPr>
          <w:rFonts w:ascii="Times New Roman" w:hAnsi="Times New Roman" w:cs="Times New Roman"/>
          <w:sz w:val="24"/>
          <w:szCs w:val="24"/>
          <w:lang w:val="en-GB"/>
        </w:rPr>
        <w:t xml:space="preserve"> US</w:t>
      </w:r>
      <w:r w:rsidR="00482B6D" w:rsidRPr="007C4490">
        <w:rPr>
          <w:rFonts w:ascii="Times New Roman" w:hAnsi="Times New Roman" w:cs="Times New Roman"/>
          <w:sz w:val="24"/>
          <w:szCs w:val="24"/>
          <w:lang w:val="en-GB"/>
        </w:rPr>
        <w:t xml:space="preserve"> </w:t>
      </w:r>
      <w:r w:rsidR="00E1407C" w:rsidRPr="007C4490">
        <w:rPr>
          <w:rFonts w:ascii="Times New Roman" w:hAnsi="Times New Roman" w:cs="Times New Roman"/>
          <w:sz w:val="24"/>
          <w:szCs w:val="24"/>
          <w:lang w:val="en-GB"/>
        </w:rPr>
        <w:t>retirement system in order to compensate for the decline of occupational retirement security tied to financial instability</w:t>
      </w:r>
      <w:r w:rsidR="00342312" w:rsidRPr="007C4490">
        <w:rPr>
          <w:rFonts w:ascii="Times New Roman" w:hAnsi="Times New Roman" w:cs="Times New Roman"/>
          <w:sz w:val="24"/>
          <w:szCs w:val="24"/>
          <w:lang w:val="en-GB"/>
        </w:rPr>
        <w:t xml:space="preserve"> (Krugman</w:t>
      </w:r>
      <w:r w:rsidR="00B94E6A" w:rsidRPr="007C4490">
        <w:rPr>
          <w:rFonts w:ascii="Times New Roman" w:hAnsi="Times New Roman" w:cs="Times New Roman"/>
          <w:sz w:val="24"/>
          <w:szCs w:val="24"/>
          <w:lang w:val="en-GB"/>
        </w:rPr>
        <w:t xml:space="preserve"> 2015)</w:t>
      </w:r>
      <w:r w:rsidR="00E1407C" w:rsidRPr="007C4490">
        <w:rPr>
          <w:rFonts w:ascii="Times New Roman" w:hAnsi="Times New Roman" w:cs="Times New Roman"/>
          <w:sz w:val="24"/>
          <w:szCs w:val="24"/>
          <w:lang w:val="en-GB"/>
        </w:rPr>
        <w:t>. In other words, policy drift and the related individu</w:t>
      </w:r>
      <w:r w:rsidR="0069376D" w:rsidRPr="007C4490">
        <w:rPr>
          <w:rFonts w:ascii="Times New Roman" w:hAnsi="Times New Roman" w:cs="Times New Roman"/>
          <w:sz w:val="24"/>
          <w:szCs w:val="24"/>
          <w:lang w:val="en-GB"/>
        </w:rPr>
        <w:t xml:space="preserve">alization and the </w:t>
      </w:r>
      <w:proofErr w:type="spellStart"/>
      <w:r w:rsidR="0069376D" w:rsidRPr="007C4490">
        <w:rPr>
          <w:rFonts w:ascii="Times New Roman" w:hAnsi="Times New Roman" w:cs="Times New Roman"/>
          <w:sz w:val="24"/>
          <w:szCs w:val="24"/>
          <w:lang w:val="en-GB"/>
        </w:rPr>
        <w:t>financialization</w:t>
      </w:r>
      <w:proofErr w:type="spellEnd"/>
      <w:r w:rsidR="0069376D" w:rsidRPr="007C4490">
        <w:rPr>
          <w:rFonts w:ascii="Times New Roman" w:hAnsi="Times New Roman" w:cs="Times New Roman"/>
          <w:sz w:val="24"/>
          <w:szCs w:val="24"/>
          <w:lang w:val="en-GB"/>
        </w:rPr>
        <w:t xml:space="preserve"> </w:t>
      </w:r>
      <w:r w:rsidR="00E1407C" w:rsidRPr="007C4490">
        <w:rPr>
          <w:rFonts w:ascii="Times New Roman" w:hAnsi="Times New Roman" w:cs="Times New Roman"/>
          <w:sz w:val="24"/>
          <w:szCs w:val="24"/>
          <w:lang w:val="en-GB"/>
        </w:rPr>
        <w:t>of retirement security is even more present in the United States today than when Hacker published his original contribution back in 2004.</w:t>
      </w:r>
      <w:r w:rsidR="00547E75" w:rsidRPr="007C4490">
        <w:rPr>
          <w:rFonts w:ascii="Times New Roman" w:hAnsi="Times New Roman" w:cs="Times New Roman"/>
          <w:sz w:val="24"/>
          <w:szCs w:val="24"/>
          <w:lang w:val="en-GB"/>
        </w:rPr>
        <w:t xml:space="preserve">   </w:t>
      </w:r>
    </w:p>
    <w:p w14:paraId="1EC4306D" w14:textId="76289363" w:rsidR="009A0164" w:rsidRPr="007C4490" w:rsidRDefault="000B7868" w:rsidP="00282389">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lang w:val="en-GB"/>
        </w:rPr>
        <w:t>D</w:t>
      </w:r>
      <w:r w:rsidR="00AA50D9">
        <w:rPr>
          <w:rFonts w:ascii="Times New Roman" w:hAnsi="Times New Roman" w:cs="Times New Roman"/>
          <w:sz w:val="24"/>
          <w:lang w:val="en-GB"/>
        </w:rPr>
        <w:t>iachronic d</w:t>
      </w:r>
      <w:r w:rsidR="004528CC" w:rsidRPr="007C4490">
        <w:rPr>
          <w:rFonts w:ascii="Times New Roman" w:hAnsi="Times New Roman" w:cs="Times New Roman"/>
          <w:sz w:val="24"/>
          <w:lang w:val="en-GB"/>
        </w:rPr>
        <w:t>ata</w:t>
      </w:r>
      <w:r w:rsidR="00AA50D9">
        <w:rPr>
          <w:rFonts w:ascii="Times New Roman" w:hAnsi="Times New Roman" w:cs="Times New Roman"/>
          <w:sz w:val="24"/>
          <w:lang w:val="en-GB"/>
        </w:rPr>
        <w:t xml:space="preserve"> </w:t>
      </w:r>
      <w:r w:rsidR="002A7AAB">
        <w:rPr>
          <w:rFonts w:ascii="Times New Roman" w:hAnsi="Times New Roman" w:cs="Times New Roman"/>
          <w:sz w:val="24"/>
          <w:lang w:val="en-GB"/>
        </w:rPr>
        <w:t xml:space="preserve">on the case-specific empirical implications of drift </w:t>
      </w:r>
      <w:r w:rsidR="004528CC" w:rsidRPr="007C4490">
        <w:rPr>
          <w:rFonts w:ascii="Times New Roman" w:hAnsi="Times New Roman" w:cs="Times New Roman"/>
          <w:sz w:val="24"/>
          <w:lang w:val="en-GB"/>
        </w:rPr>
        <w:t>also bear out this conclusion.</w:t>
      </w:r>
      <w:r w:rsidR="002A7AAB">
        <w:rPr>
          <w:rFonts w:ascii="Times New Roman" w:hAnsi="Times New Roman" w:cs="Times New Roman"/>
          <w:sz w:val="24"/>
          <w:lang w:val="en-GB"/>
        </w:rPr>
        <w:t xml:space="preserve"> Here, drift implies a continued decrease in retirement security among those currently employed. </w:t>
      </w:r>
      <w:r w:rsidR="004528CC" w:rsidRPr="007C4490">
        <w:rPr>
          <w:rFonts w:ascii="Times New Roman" w:hAnsi="Times New Roman" w:cs="Times New Roman"/>
          <w:sz w:val="24"/>
          <w:szCs w:val="24"/>
          <w:lang w:val="en-GB"/>
        </w:rPr>
        <w:t>As</w:t>
      </w:r>
      <w:r w:rsidR="00342312" w:rsidRPr="007C4490">
        <w:rPr>
          <w:rFonts w:ascii="Times New Roman" w:hAnsi="Times New Roman" w:cs="Times New Roman"/>
          <w:sz w:val="24"/>
          <w:szCs w:val="24"/>
          <w:lang w:val="en-GB"/>
        </w:rPr>
        <w:t xml:space="preserve"> t</w:t>
      </w:r>
      <w:r w:rsidR="00745134" w:rsidRPr="007C4490">
        <w:rPr>
          <w:rFonts w:ascii="Times New Roman" w:hAnsi="Times New Roman" w:cs="Times New Roman"/>
          <w:sz w:val="24"/>
          <w:szCs w:val="24"/>
          <w:lang w:val="en-GB"/>
        </w:rPr>
        <w:t xml:space="preserve">able </w:t>
      </w:r>
      <w:r w:rsidR="009B21E5" w:rsidRPr="007C4490">
        <w:rPr>
          <w:rFonts w:ascii="Times New Roman" w:hAnsi="Times New Roman" w:cs="Times New Roman"/>
          <w:sz w:val="24"/>
          <w:szCs w:val="24"/>
          <w:lang w:val="en-GB"/>
        </w:rPr>
        <w:t>1</w:t>
      </w:r>
      <w:r w:rsidR="00745134" w:rsidRPr="007C4490">
        <w:rPr>
          <w:rFonts w:ascii="Times New Roman" w:hAnsi="Times New Roman" w:cs="Times New Roman"/>
          <w:sz w:val="24"/>
          <w:szCs w:val="24"/>
          <w:lang w:val="en-GB"/>
        </w:rPr>
        <w:t xml:space="preserve"> suggests, workers’ confidence that they will be able to save enough for retirement, even for basic needs, has declined significantly since the 1990s. Whereas only </w:t>
      </w:r>
      <w:r w:rsidR="002E4EDB" w:rsidRPr="007C4490">
        <w:rPr>
          <w:rFonts w:ascii="Times New Roman" w:hAnsi="Times New Roman" w:cs="Times New Roman"/>
          <w:sz w:val="24"/>
          <w:szCs w:val="24"/>
          <w:lang w:val="en-GB"/>
        </w:rPr>
        <w:t>3</w:t>
      </w:r>
      <w:r w:rsidR="00745134" w:rsidRPr="007C4490">
        <w:rPr>
          <w:rFonts w:ascii="Times New Roman" w:hAnsi="Times New Roman" w:cs="Times New Roman"/>
          <w:sz w:val="24"/>
          <w:szCs w:val="24"/>
          <w:lang w:val="en-GB"/>
        </w:rPr>
        <w:t xml:space="preserve"> </w:t>
      </w:r>
      <w:r w:rsidR="002E4EDB" w:rsidRPr="007C4490">
        <w:rPr>
          <w:rFonts w:ascii="Times New Roman" w:hAnsi="Times New Roman" w:cs="Times New Roman"/>
          <w:sz w:val="24"/>
          <w:szCs w:val="24"/>
          <w:lang w:val="en-GB"/>
        </w:rPr>
        <w:t>per cent</w:t>
      </w:r>
      <w:r w:rsidR="00745134" w:rsidRPr="007C4490">
        <w:rPr>
          <w:rFonts w:ascii="Times New Roman" w:hAnsi="Times New Roman" w:cs="Times New Roman"/>
          <w:sz w:val="24"/>
          <w:szCs w:val="24"/>
          <w:lang w:val="en-GB"/>
        </w:rPr>
        <w:t xml:space="preserve"> of workers surveyed in 1995 reported that they were </w:t>
      </w:r>
      <w:r w:rsidR="00E31CF9" w:rsidRPr="007C4490">
        <w:rPr>
          <w:rFonts w:ascii="Times New Roman" w:hAnsi="Times New Roman" w:cs="Times New Roman"/>
          <w:sz w:val="24"/>
          <w:szCs w:val="24"/>
          <w:lang w:val="en-GB"/>
        </w:rPr>
        <w:t>‘</w:t>
      </w:r>
      <w:r w:rsidR="00745134" w:rsidRPr="007C4490">
        <w:rPr>
          <w:rFonts w:ascii="Times New Roman" w:hAnsi="Times New Roman" w:cs="Times New Roman"/>
          <w:sz w:val="24"/>
          <w:szCs w:val="24"/>
          <w:lang w:val="en-GB"/>
        </w:rPr>
        <w:t>not at all</w:t>
      </w:r>
      <w:r w:rsidR="00E31CF9" w:rsidRPr="007C4490">
        <w:rPr>
          <w:rFonts w:ascii="Times New Roman" w:hAnsi="Times New Roman" w:cs="Times New Roman"/>
          <w:sz w:val="24"/>
          <w:szCs w:val="24"/>
          <w:lang w:val="en-GB"/>
        </w:rPr>
        <w:t>’</w:t>
      </w:r>
      <w:r w:rsidR="00745134" w:rsidRPr="007C4490">
        <w:rPr>
          <w:rFonts w:ascii="Times New Roman" w:hAnsi="Times New Roman" w:cs="Times New Roman"/>
          <w:sz w:val="24"/>
          <w:szCs w:val="24"/>
          <w:lang w:val="en-GB"/>
        </w:rPr>
        <w:t xml:space="preserve"> confident that they would be capable of saving enough to provide for basic needs after retirement, 16 </w:t>
      </w:r>
      <w:r w:rsidR="002E4EDB" w:rsidRPr="007C4490">
        <w:rPr>
          <w:rFonts w:ascii="Times New Roman" w:hAnsi="Times New Roman" w:cs="Times New Roman"/>
          <w:sz w:val="24"/>
          <w:szCs w:val="24"/>
          <w:lang w:val="en-GB"/>
        </w:rPr>
        <w:t>per cent</w:t>
      </w:r>
      <w:r w:rsidR="00745134" w:rsidRPr="007C4490">
        <w:rPr>
          <w:rFonts w:ascii="Times New Roman" w:hAnsi="Times New Roman" w:cs="Times New Roman"/>
          <w:sz w:val="24"/>
          <w:szCs w:val="24"/>
          <w:lang w:val="en-GB"/>
        </w:rPr>
        <w:t xml:space="preserve"> of workers said the same in 2014. </w:t>
      </w:r>
      <w:r w:rsidR="009B21E5" w:rsidRPr="007C4490">
        <w:rPr>
          <w:rFonts w:ascii="Times New Roman" w:hAnsi="Times New Roman" w:cs="Times New Roman"/>
          <w:sz w:val="24"/>
          <w:szCs w:val="24"/>
          <w:lang w:val="en-GB"/>
        </w:rPr>
        <w:t>Additionally,</w:t>
      </w:r>
      <w:r w:rsidR="00745134" w:rsidRPr="007C4490">
        <w:rPr>
          <w:rFonts w:ascii="Times New Roman" w:hAnsi="Times New Roman" w:cs="Times New Roman"/>
          <w:sz w:val="24"/>
          <w:szCs w:val="24"/>
          <w:lang w:val="en-GB"/>
        </w:rPr>
        <w:t xml:space="preserve"> </w:t>
      </w:r>
      <w:r w:rsidR="006A4FBF" w:rsidRPr="007C4490">
        <w:rPr>
          <w:rFonts w:ascii="Times New Roman" w:hAnsi="Times New Roman" w:cs="Times New Roman"/>
          <w:sz w:val="24"/>
          <w:szCs w:val="24"/>
          <w:lang w:val="en-GB"/>
        </w:rPr>
        <w:t>‘</w:t>
      </w:r>
      <w:r w:rsidR="00E1407C" w:rsidRPr="007C4490">
        <w:rPr>
          <w:rFonts w:ascii="Times New Roman" w:hAnsi="Times New Roman" w:cs="Times New Roman"/>
          <w:sz w:val="24"/>
          <w:szCs w:val="24"/>
          <w:lang w:val="en-GB"/>
        </w:rPr>
        <w:t xml:space="preserve">More than 38 million working-age households (45 </w:t>
      </w:r>
      <w:r w:rsidR="002E4EDB" w:rsidRPr="007C4490">
        <w:rPr>
          <w:rFonts w:ascii="Times New Roman" w:hAnsi="Times New Roman" w:cs="Times New Roman"/>
          <w:sz w:val="24"/>
          <w:szCs w:val="24"/>
          <w:lang w:val="en-GB"/>
        </w:rPr>
        <w:t>per cent</w:t>
      </w:r>
      <w:r w:rsidR="00E1407C" w:rsidRPr="007C4490">
        <w:rPr>
          <w:rFonts w:ascii="Times New Roman" w:hAnsi="Times New Roman" w:cs="Times New Roman"/>
          <w:sz w:val="24"/>
          <w:szCs w:val="24"/>
          <w:lang w:val="en-GB"/>
        </w:rPr>
        <w:t>) do not own any retirement account assets, whether in an employer-sponsored 401(k) type plan or an IRA [Individual Retirement Account].</w:t>
      </w:r>
      <w:r w:rsidR="006A4FBF" w:rsidRPr="007C4490">
        <w:rPr>
          <w:rFonts w:ascii="Times New Roman" w:hAnsi="Times New Roman" w:cs="Times New Roman"/>
          <w:sz w:val="24"/>
          <w:szCs w:val="24"/>
          <w:lang w:val="en-GB"/>
        </w:rPr>
        <w:t>’</w:t>
      </w:r>
      <w:r w:rsidR="000909B8" w:rsidRPr="007C4490">
        <w:rPr>
          <w:rFonts w:ascii="Times New Roman" w:hAnsi="Times New Roman" w:cs="Times New Roman"/>
          <w:sz w:val="24"/>
          <w:szCs w:val="24"/>
          <w:lang w:val="en-GB"/>
        </w:rPr>
        <w:t xml:space="preserve"> </w:t>
      </w:r>
      <w:r w:rsidR="000909B8" w:rsidRPr="007C4490">
        <w:rPr>
          <w:rFonts w:ascii="Times New Roman" w:hAnsi="Times New Roman" w:cs="Times New Roman"/>
          <w:sz w:val="24"/>
          <w:szCs w:val="24"/>
          <w:lang w:val="en-GB"/>
        </w:rPr>
        <w:lastRenderedPageBreak/>
        <w:t>(National I</w:t>
      </w:r>
      <w:r w:rsidR="00A166E3" w:rsidRPr="007C4490">
        <w:rPr>
          <w:rFonts w:ascii="Times New Roman" w:hAnsi="Times New Roman" w:cs="Times New Roman"/>
          <w:sz w:val="24"/>
          <w:szCs w:val="24"/>
          <w:lang w:val="en-GB"/>
        </w:rPr>
        <w:t>nstitute on Retirement Security</w:t>
      </w:r>
      <w:r w:rsidR="000909B8" w:rsidRPr="007C4490">
        <w:rPr>
          <w:rFonts w:ascii="Times New Roman" w:hAnsi="Times New Roman" w:cs="Times New Roman"/>
          <w:sz w:val="24"/>
          <w:szCs w:val="24"/>
          <w:lang w:val="en-GB"/>
        </w:rPr>
        <w:t xml:space="preserve"> 2013)</w:t>
      </w:r>
      <w:r w:rsidR="00E1407C" w:rsidRPr="007C4490">
        <w:rPr>
          <w:rFonts w:ascii="Times New Roman" w:hAnsi="Times New Roman" w:cs="Times New Roman"/>
          <w:sz w:val="24"/>
          <w:szCs w:val="24"/>
          <w:lang w:val="en-GB"/>
        </w:rPr>
        <w:t xml:space="preserve"> This means that the voluntary approach to retirement savings is seriously flawed and that, in the absence of greater protection from Social Security, millions of Americans face the prospect of acute retirement insecurity. In fact, </w:t>
      </w:r>
      <w:r w:rsidR="006A4FBF" w:rsidRPr="007C4490">
        <w:rPr>
          <w:rFonts w:ascii="Times New Roman" w:hAnsi="Times New Roman" w:cs="Times New Roman"/>
          <w:sz w:val="24"/>
          <w:szCs w:val="24"/>
          <w:lang w:val="en-GB"/>
        </w:rPr>
        <w:t>‘</w:t>
      </w:r>
      <w:r w:rsidR="00E1407C" w:rsidRPr="007C4490">
        <w:rPr>
          <w:rFonts w:ascii="Times New Roman" w:hAnsi="Times New Roman" w:cs="Times New Roman"/>
          <w:sz w:val="24"/>
          <w:szCs w:val="24"/>
          <w:lang w:val="en-GB"/>
        </w:rPr>
        <w:t xml:space="preserve">Access to workplace retirement plans in 2011 was at the lowest level since 1979, with just slightly over half (52 </w:t>
      </w:r>
      <w:r w:rsidR="002E4EDB" w:rsidRPr="007C4490">
        <w:rPr>
          <w:rFonts w:ascii="Times New Roman" w:hAnsi="Times New Roman" w:cs="Times New Roman"/>
          <w:sz w:val="24"/>
          <w:szCs w:val="24"/>
          <w:lang w:val="en-GB"/>
        </w:rPr>
        <w:t>per cent</w:t>
      </w:r>
      <w:r w:rsidR="00E1407C" w:rsidRPr="007C4490">
        <w:rPr>
          <w:rFonts w:ascii="Times New Roman" w:hAnsi="Times New Roman" w:cs="Times New Roman"/>
          <w:sz w:val="24"/>
          <w:szCs w:val="24"/>
          <w:lang w:val="en-GB"/>
        </w:rPr>
        <w:t>) of workers able to access a retirement plan at work.</w:t>
      </w:r>
      <w:r w:rsidR="006A4FBF" w:rsidRPr="007C4490">
        <w:rPr>
          <w:rFonts w:ascii="Times New Roman" w:hAnsi="Times New Roman" w:cs="Times New Roman"/>
          <w:sz w:val="24"/>
          <w:szCs w:val="24"/>
          <w:lang w:val="en-GB"/>
        </w:rPr>
        <w:t>’</w:t>
      </w:r>
      <w:r w:rsidR="000909B8" w:rsidRPr="007C4490">
        <w:rPr>
          <w:rFonts w:ascii="Times New Roman" w:hAnsi="Times New Roman" w:cs="Times New Roman"/>
          <w:sz w:val="24"/>
          <w:szCs w:val="24"/>
          <w:lang w:val="en-GB"/>
        </w:rPr>
        <w:t xml:space="preserve"> (</w:t>
      </w:r>
      <w:proofErr w:type="spellStart"/>
      <w:r w:rsidR="000909B8" w:rsidRPr="007C4490">
        <w:rPr>
          <w:rFonts w:ascii="Times New Roman" w:hAnsi="Times New Roman" w:cs="Times New Roman"/>
          <w:sz w:val="24"/>
          <w:szCs w:val="24"/>
          <w:lang w:val="en-GB"/>
        </w:rPr>
        <w:t>Emp</w:t>
      </w:r>
      <w:r w:rsidR="00A166E3" w:rsidRPr="007C4490">
        <w:rPr>
          <w:rFonts w:ascii="Times New Roman" w:hAnsi="Times New Roman" w:cs="Times New Roman"/>
          <w:sz w:val="24"/>
          <w:szCs w:val="24"/>
          <w:lang w:val="en-GB"/>
        </w:rPr>
        <w:t>le</w:t>
      </w:r>
      <w:proofErr w:type="spellEnd"/>
      <w:r w:rsidR="000909B8" w:rsidRPr="007C4490">
        <w:rPr>
          <w:rFonts w:ascii="Times New Roman" w:hAnsi="Times New Roman" w:cs="Times New Roman"/>
          <w:sz w:val="24"/>
          <w:szCs w:val="24"/>
          <w:lang w:val="en-GB"/>
        </w:rPr>
        <w:t xml:space="preserve"> 2013)</w:t>
      </w:r>
      <w:r w:rsidR="00E1407C" w:rsidRPr="007C4490">
        <w:rPr>
          <w:rFonts w:ascii="Times New Roman" w:hAnsi="Times New Roman" w:cs="Times New Roman"/>
          <w:sz w:val="24"/>
          <w:szCs w:val="24"/>
          <w:lang w:val="en-GB"/>
        </w:rPr>
        <w:t xml:space="preserve"> In the lowest income quartile, barely 25 </w:t>
      </w:r>
      <w:r w:rsidR="002E4EDB" w:rsidRPr="007C4490">
        <w:rPr>
          <w:rFonts w:ascii="Times New Roman" w:hAnsi="Times New Roman" w:cs="Times New Roman"/>
          <w:sz w:val="24"/>
          <w:szCs w:val="24"/>
          <w:lang w:val="en-GB"/>
        </w:rPr>
        <w:t>per cent</w:t>
      </w:r>
      <w:r w:rsidR="00E1407C" w:rsidRPr="007C4490">
        <w:rPr>
          <w:rFonts w:ascii="Times New Roman" w:hAnsi="Times New Roman" w:cs="Times New Roman"/>
          <w:sz w:val="24"/>
          <w:szCs w:val="24"/>
          <w:lang w:val="en-GB"/>
        </w:rPr>
        <w:t xml:space="preserve"> of workers are saving for retirement. At the other end of the spectrum, nearly 90 </w:t>
      </w:r>
      <w:r w:rsidR="002E4EDB" w:rsidRPr="007C4490">
        <w:rPr>
          <w:rFonts w:ascii="Times New Roman" w:hAnsi="Times New Roman" w:cs="Times New Roman"/>
          <w:sz w:val="24"/>
          <w:szCs w:val="24"/>
          <w:lang w:val="en-GB"/>
        </w:rPr>
        <w:t>per cent</w:t>
      </w:r>
      <w:r w:rsidR="00E1407C" w:rsidRPr="007C4490">
        <w:rPr>
          <w:rFonts w:ascii="Times New Roman" w:hAnsi="Times New Roman" w:cs="Times New Roman"/>
          <w:sz w:val="24"/>
          <w:szCs w:val="24"/>
          <w:lang w:val="en-GB"/>
        </w:rPr>
        <w:t xml:space="preserve"> of people in the top quartile are enrolled in one type of retirement plan or another</w:t>
      </w:r>
      <w:r w:rsidR="00A166E3" w:rsidRPr="007C4490">
        <w:rPr>
          <w:rFonts w:ascii="Times New Roman" w:hAnsi="Times New Roman" w:cs="Times New Roman"/>
          <w:sz w:val="24"/>
          <w:szCs w:val="24"/>
          <w:lang w:val="en-GB"/>
        </w:rPr>
        <w:t xml:space="preserve"> (</w:t>
      </w:r>
      <w:proofErr w:type="spellStart"/>
      <w:r w:rsidR="00A166E3" w:rsidRPr="007C4490">
        <w:rPr>
          <w:rFonts w:ascii="Times New Roman" w:hAnsi="Times New Roman" w:cs="Times New Roman"/>
          <w:sz w:val="24"/>
          <w:szCs w:val="24"/>
          <w:lang w:val="en-GB"/>
        </w:rPr>
        <w:t>Emple</w:t>
      </w:r>
      <w:proofErr w:type="spellEnd"/>
      <w:r w:rsidR="0074593F" w:rsidRPr="007C4490">
        <w:rPr>
          <w:rFonts w:ascii="Times New Roman" w:hAnsi="Times New Roman" w:cs="Times New Roman"/>
          <w:sz w:val="24"/>
          <w:szCs w:val="24"/>
          <w:lang w:val="en-GB"/>
        </w:rPr>
        <w:t xml:space="preserve"> 2013</w:t>
      </w:r>
      <w:r w:rsidR="009A0164" w:rsidRPr="007C4490">
        <w:rPr>
          <w:rFonts w:ascii="Times New Roman" w:hAnsi="Times New Roman" w:cs="Times New Roman"/>
          <w:sz w:val="24"/>
          <w:szCs w:val="24"/>
          <w:lang w:val="en-GB"/>
        </w:rPr>
        <w:t>).</w:t>
      </w:r>
    </w:p>
    <w:p w14:paraId="67828CC7" w14:textId="77777777" w:rsidR="0085290A" w:rsidRPr="007C4490" w:rsidRDefault="009A0164" w:rsidP="00DF72BC">
      <w:pPr>
        <w:spacing w:after="0" w:line="480" w:lineRule="auto"/>
        <w:jc w:val="center"/>
        <w:rPr>
          <w:rFonts w:ascii="Times New Roman" w:hAnsi="Times New Roman" w:cs="Times New Roman"/>
          <w:sz w:val="24"/>
          <w:szCs w:val="24"/>
          <w:vertAlign w:val="superscript"/>
          <w:lang w:val="en-GB"/>
        </w:rPr>
      </w:pPr>
      <w:r w:rsidRPr="007C4490">
        <w:rPr>
          <w:rFonts w:ascii="Times New Roman" w:hAnsi="Times New Roman" w:cs="Times New Roman"/>
          <w:sz w:val="24"/>
          <w:szCs w:val="24"/>
          <w:lang w:val="en-GB"/>
        </w:rPr>
        <w:t>(</w:t>
      </w:r>
      <w:r w:rsidR="0085290A" w:rsidRPr="007C4490">
        <w:rPr>
          <w:rFonts w:ascii="Times New Roman" w:hAnsi="Times New Roman" w:cs="Times New Roman"/>
          <w:sz w:val="24"/>
          <w:szCs w:val="24"/>
          <w:lang w:val="en-GB"/>
        </w:rPr>
        <w:t>T</w:t>
      </w:r>
      <w:r w:rsidRPr="007C4490">
        <w:rPr>
          <w:rFonts w:ascii="Times New Roman" w:hAnsi="Times New Roman" w:cs="Times New Roman"/>
          <w:sz w:val="24"/>
          <w:szCs w:val="24"/>
          <w:lang w:val="en-GB"/>
        </w:rPr>
        <w:t>able 1 about here)</w:t>
      </w:r>
    </w:p>
    <w:p w14:paraId="165F9D90" w14:textId="77777777" w:rsidR="00FB2720" w:rsidRPr="007C4490" w:rsidRDefault="009A0164" w:rsidP="00DF72BC">
      <w:pPr>
        <w:spacing w:after="0" w:line="480" w:lineRule="auto"/>
        <w:ind w:firstLine="720"/>
        <w:jc w:val="both"/>
        <w:rPr>
          <w:rFonts w:ascii="Times New Roman" w:hAnsi="Times New Roman" w:cs="Times New Roman"/>
          <w:sz w:val="24"/>
          <w:szCs w:val="24"/>
          <w:lang w:val="en-GB"/>
        </w:rPr>
      </w:pPr>
      <w:r w:rsidRPr="007C4490">
        <w:rPr>
          <w:rFonts w:ascii="Times New Roman" w:hAnsi="Times New Roman" w:cs="Times New Roman"/>
          <w:sz w:val="24"/>
          <w:lang w:val="en-GB"/>
        </w:rPr>
        <w:t>I</w:t>
      </w:r>
      <w:r w:rsidR="004528CC" w:rsidRPr="007C4490">
        <w:rPr>
          <w:rFonts w:ascii="Times New Roman" w:hAnsi="Times New Roman" w:cs="Times New Roman"/>
          <w:sz w:val="24"/>
          <w:lang w:val="en-GB"/>
        </w:rPr>
        <w:t>mportantly, this</w:t>
      </w:r>
      <w:r w:rsidR="00745134" w:rsidRPr="007C4490">
        <w:rPr>
          <w:rFonts w:ascii="Times New Roman" w:hAnsi="Times New Roman" w:cs="Times New Roman"/>
          <w:sz w:val="24"/>
          <w:szCs w:val="24"/>
          <w:lang w:val="en-GB"/>
        </w:rPr>
        <w:t xml:space="preserve"> pattern does not reflect a general mood about retirement savings, but a specific feeling among those affected by drift in retirement security policy. As 2014 survey results suggest, whereas both current retirees and workers report some common motivations to remain in paid work after retirement, current workers are far more likely than current retirees to report that they will stay in work to </w:t>
      </w:r>
      <w:r w:rsidR="00E31CF9" w:rsidRPr="007C4490">
        <w:rPr>
          <w:rFonts w:ascii="Times New Roman" w:hAnsi="Times New Roman" w:cs="Times New Roman"/>
          <w:sz w:val="24"/>
          <w:szCs w:val="24"/>
          <w:lang w:val="en-GB"/>
        </w:rPr>
        <w:t>‘</w:t>
      </w:r>
      <w:r w:rsidR="00745134" w:rsidRPr="007C4490">
        <w:rPr>
          <w:rFonts w:ascii="Times New Roman" w:hAnsi="Times New Roman" w:cs="Times New Roman"/>
          <w:sz w:val="24"/>
          <w:szCs w:val="24"/>
          <w:lang w:val="en-GB"/>
        </w:rPr>
        <w:t>make ends meet</w:t>
      </w:r>
      <w:r w:rsidR="00E31CF9" w:rsidRPr="007C4490">
        <w:rPr>
          <w:rFonts w:ascii="Times New Roman" w:hAnsi="Times New Roman" w:cs="Times New Roman"/>
          <w:sz w:val="24"/>
          <w:szCs w:val="24"/>
          <w:lang w:val="en-GB"/>
        </w:rPr>
        <w:t>’</w:t>
      </w:r>
      <w:r w:rsidR="00745134" w:rsidRPr="007C4490">
        <w:rPr>
          <w:rFonts w:ascii="Times New Roman" w:hAnsi="Times New Roman" w:cs="Times New Roman"/>
          <w:sz w:val="24"/>
          <w:szCs w:val="24"/>
          <w:lang w:val="en-GB"/>
        </w:rPr>
        <w:t xml:space="preserve"> or to hold on to current benefit</w:t>
      </w:r>
      <w:r w:rsidR="00F67ACD" w:rsidRPr="007C4490">
        <w:rPr>
          <w:rFonts w:ascii="Times New Roman" w:hAnsi="Times New Roman" w:cs="Times New Roman"/>
          <w:sz w:val="24"/>
          <w:szCs w:val="24"/>
          <w:lang w:val="en-GB"/>
        </w:rPr>
        <w:t>s derived from employment (see f</w:t>
      </w:r>
      <w:r w:rsidR="00745134" w:rsidRPr="007C4490">
        <w:rPr>
          <w:rFonts w:ascii="Times New Roman" w:hAnsi="Times New Roman" w:cs="Times New Roman"/>
          <w:sz w:val="24"/>
          <w:szCs w:val="24"/>
          <w:lang w:val="en-GB"/>
        </w:rPr>
        <w:t>igure 3). Thus</w:t>
      </w:r>
      <w:r w:rsidR="00F67ACD" w:rsidRPr="007C4490">
        <w:rPr>
          <w:rFonts w:ascii="Times New Roman" w:hAnsi="Times New Roman" w:cs="Times New Roman"/>
          <w:sz w:val="24"/>
          <w:szCs w:val="24"/>
          <w:lang w:val="en-GB"/>
        </w:rPr>
        <w:t>,</w:t>
      </w:r>
      <w:r w:rsidR="00745134" w:rsidRPr="007C4490">
        <w:rPr>
          <w:rFonts w:ascii="Times New Roman" w:hAnsi="Times New Roman" w:cs="Times New Roman"/>
          <w:sz w:val="24"/>
          <w:szCs w:val="24"/>
          <w:lang w:val="en-GB"/>
        </w:rPr>
        <w:t xml:space="preserve"> the </w:t>
      </w:r>
      <w:r w:rsidR="00143789" w:rsidRPr="007C4490">
        <w:rPr>
          <w:rFonts w:ascii="Times New Roman" w:hAnsi="Times New Roman" w:cs="Times New Roman"/>
          <w:sz w:val="24"/>
          <w:szCs w:val="24"/>
          <w:lang w:val="en-GB"/>
        </w:rPr>
        <w:t>problem for retirement security is not only the well documented and ongoing shift from defined-benefit to defined-contribution schemes but the lack of voluntary, supplemental savings now affect</w:t>
      </w:r>
      <w:r w:rsidR="004711E3" w:rsidRPr="007C4490">
        <w:rPr>
          <w:rFonts w:ascii="Times New Roman" w:hAnsi="Times New Roman" w:cs="Times New Roman"/>
          <w:sz w:val="24"/>
          <w:szCs w:val="24"/>
          <w:lang w:val="en-GB"/>
        </w:rPr>
        <w:t>ing</w:t>
      </w:r>
      <w:r w:rsidR="00143789" w:rsidRPr="007C4490">
        <w:rPr>
          <w:rFonts w:ascii="Times New Roman" w:hAnsi="Times New Roman" w:cs="Times New Roman"/>
          <w:sz w:val="24"/>
          <w:szCs w:val="24"/>
          <w:lang w:val="en-GB"/>
        </w:rPr>
        <w:t xml:space="preserve"> more than half of the </w:t>
      </w:r>
      <w:r w:rsidR="004711E3" w:rsidRPr="007C4490">
        <w:rPr>
          <w:rFonts w:ascii="Times New Roman" w:hAnsi="Times New Roman" w:cs="Times New Roman"/>
          <w:sz w:val="24"/>
          <w:szCs w:val="24"/>
          <w:lang w:val="en-GB"/>
        </w:rPr>
        <w:t xml:space="preserve">active </w:t>
      </w:r>
      <w:r w:rsidR="00143789" w:rsidRPr="007C4490">
        <w:rPr>
          <w:rFonts w:ascii="Times New Roman" w:hAnsi="Times New Roman" w:cs="Times New Roman"/>
          <w:sz w:val="24"/>
          <w:szCs w:val="24"/>
          <w:lang w:val="en-GB"/>
        </w:rPr>
        <w:t>population</w:t>
      </w:r>
      <w:r w:rsidR="00F67ACD" w:rsidRPr="007C4490">
        <w:rPr>
          <w:rFonts w:ascii="Times New Roman" w:hAnsi="Times New Roman" w:cs="Times New Roman"/>
          <w:sz w:val="24"/>
          <w:szCs w:val="24"/>
          <w:lang w:val="en-GB"/>
        </w:rPr>
        <w:t>, especially low-</w:t>
      </w:r>
      <w:r w:rsidR="00FB2720" w:rsidRPr="007C4490">
        <w:rPr>
          <w:rFonts w:ascii="Times New Roman" w:hAnsi="Times New Roman" w:cs="Times New Roman"/>
          <w:sz w:val="24"/>
          <w:szCs w:val="24"/>
          <w:lang w:val="en-GB"/>
        </w:rPr>
        <w:t>income workers</w:t>
      </w:r>
      <w:r w:rsidR="00143789" w:rsidRPr="007C4490">
        <w:rPr>
          <w:rFonts w:ascii="Times New Roman" w:hAnsi="Times New Roman" w:cs="Times New Roman"/>
          <w:sz w:val="24"/>
          <w:szCs w:val="24"/>
          <w:lang w:val="en-GB"/>
        </w:rPr>
        <w:t>.</w:t>
      </w:r>
      <w:r w:rsidR="00FB2720" w:rsidRPr="007C4490">
        <w:rPr>
          <w:rFonts w:ascii="Times New Roman" w:hAnsi="Times New Roman" w:cs="Times New Roman"/>
          <w:sz w:val="24"/>
          <w:szCs w:val="24"/>
          <w:lang w:val="en-GB"/>
        </w:rPr>
        <w:t xml:space="preserve"> This last remark stresses the strong relationship between income inequality and the decline of retirement security in the United States, a phenomenon central to US-style policy drift (</w:t>
      </w:r>
      <w:r w:rsidR="00F67ACD" w:rsidRPr="007C4490">
        <w:rPr>
          <w:rFonts w:ascii="Times New Roman" w:hAnsi="Times New Roman" w:cs="Times New Roman"/>
          <w:sz w:val="24"/>
          <w:szCs w:val="24"/>
          <w:lang w:val="en-GB"/>
        </w:rPr>
        <w:t>Hacker</w:t>
      </w:r>
      <w:r w:rsidR="0078571A" w:rsidRPr="007C4490">
        <w:rPr>
          <w:rFonts w:ascii="Times New Roman" w:hAnsi="Times New Roman" w:cs="Times New Roman"/>
          <w:sz w:val="24"/>
          <w:szCs w:val="24"/>
          <w:lang w:val="en-GB"/>
        </w:rPr>
        <w:t xml:space="preserve"> </w:t>
      </w:r>
      <w:r w:rsidR="00FB2720" w:rsidRPr="007C4490">
        <w:rPr>
          <w:rFonts w:ascii="Times New Roman" w:hAnsi="Times New Roman" w:cs="Times New Roman"/>
          <w:sz w:val="24"/>
          <w:szCs w:val="24"/>
          <w:lang w:val="en-GB"/>
        </w:rPr>
        <w:t xml:space="preserve">2004). To address drift and the related decline in economic retirement security, the most appropriate policy alternative might be to improve federal Social Security and social assistance (Supplemental Security Income, SSI) benefits, especially those that can improve the socio-economic status of lower-income retirees and their spouses. Yet, because this type of reform is not currently on the federal </w:t>
      </w:r>
      <w:r w:rsidR="00FB2720" w:rsidRPr="007C4490">
        <w:rPr>
          <w:rFonts w:ascii="Times New Roman" w:hAnsi="Times New Roman" w:cs="Times New Roman"/>
          <w:sz w:val="24"/>
          <w:szCs w:val="24"/>
          <w:lang w:val="en-GB"/>
        </w:rPr>
        <w:lastRenderedPageBreak/>
        <w:t>agenda, there is little sense that federal social protection will soon be improved to tackle policy drift and improve retirement security for all.</w:t>
      </w:r>
      <w:r w:rsidR="00547E75" w:rsidRPr="007C4490">
        <w:rPr>
          <w:rFonts w:ascii="Times New Roman" w:hAnsi="Times New Roman" w:cs="Times New Roman"/>
          <w:sz w:val="24"/>
          <w:szCs w:val="24"/>
          <w:lang w:val="en-GB"/>
        </w:rPr>
        <w:t xml:space="preserve"> </w:t>
      </w:r>
      <w:r w:rsidR="00FB2720" w:rsidRPr="007C4490">
        <w:rPr>
          <w:rFonts w:ascii="Times New Roman" w:hAnsi="Times New Roman" w:cs="Times New Roman"/>
          <w:sz w:val="24"/>
          <w:szCs w:val="24"/>
          <w:lang w:val="en-GB"/>
        </w:rPr>
        <w:t xml:space="preserve"> </w:t>
      </w:r>
    </w:p>
    <w:p w14:paraId="35671D9D" w14:textId="0DAB3BF6" w:rsidR="002F7C1D" w:rsidRPr="007C4490" w:rsidRDefault="0085290A" w:rsidP="00282389">
      <w:pPr>
        <w:spacing w:after="0" w:line="480" w:lineRule="auto"/>
        <w:jc w:val="both"/>
        <w:rPr>
          <w:rFonts w:ascii="Times New Roman" w:hAnsi="Times New Roman" w:cs="Times New Roman"/>
          <w:b/>
          <w:sz w:val="24"/>
          <w:szCs w:val="24"/>
          <w:lang w:val="en-GB"/>
        </w:rPr>
      </w:pPr>
      <w:r w:rsidRPr="007C4490">
        <w:rPr>
          <w:rFonts w:ascii="Times New Roman" w:hAnsi="Times New Roman" w:cs="Times New Roman"/>
          <w:sz w:val="24"/>
          <w:szCs w:val="24"/>
          <w:lang w:val="en-GB"/>
        </w:rPr>
        <w:t>(F</w:t>
      </w:r>
      <w:r w:rsidR="009B21E5" w:rsidRPr="007C4490">
        <w:rPr>
          <w:rFonts w:ascii="Times New Roman" w:hAnsi="Times New Roman" w:cs="Times New Roman"/>
          <w:sz w:val="24"/>
          <w:szCs w:val="24"/>
          <w:lang w:val="en-GB"/>
        </w:rPr>
        <w:t>igure 3 about here)</w:t>
      </w:r>
      <w:r w:rsidR="002F7C1D" w:rsidRPr="007C4490">
        <w:rPr>
          <w:rFonts w:ascii="Times New Roman" w:hAnsi="Times New Roman" w:cs="Times New Roman"/>
          <w:b/>
          <w:sz w:val="24"/>
          <w:szCs w:val="24"/>
          <w:lang w:val="en-GB"/>
        </w:rPr>
        <w:t>Conclusion</w:t>
      </w:r>
    </w:p>
    <w:p w14:paraId="4FE7EFF2" w14:textId="7D28126C" w:rsidR="003B354E" w:rsidRPr="007C4490" w:rsidRDefault="002F7C1D" w:rsidP="00282389">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The concept of policy drift is a major theoretical innovation in the field of policy research and</w:t>
      </w:r>
      <w:r w:rsidR="0078571A" w:rsidRPr="007C4490">
        <w:rPr>
          <w:rFonts w:ascii="Times New Roman" w:hAnsi="Times New Roman" w:cs="Times New Roman"/>
          <w:sz w:val="24"/>
          <w:szCs w:val="24"/>
          <w:lang w:val="en-GB"/>
        </w:rPr>
        <w:t xml:space="preserve"> particularly</w:t>
      </w:r>
      <w:r w:rsidRPr="007C4490">
        <w:rPr>
          <w:rFonts w:ascii="Times New Roman" w:hAnsi="Times New Roman" w:cs="Times New Roman"/>
          <w:sz w:val="24"/>
          <w:szCs w:val="24"/>
          <w:lang w:val="en-GB"/>
        </w:rPr>
        <w:t xml:space="preserve"> for the analysis of policy stability and change, which is the theme of this special issue. </w:t>
      </w:r>
      <w:r w:rsidR="0079329A" w:rsidRPr="007C4490">
        <w:rPr>
          <w:rFonts w:ascii="Times New Roman" w:hAnsi="Times New Roman" w:cs="Times New Roman"/>
          <w:sz w:val="24"/>
          <w:szCs w:val="24"/>
          <w:lang w:val="en-GB"/>
        </w:rPr>
        <w:t xml:space="preserve">Yet to solve some of the persistent empirical challenges with studying drift, </w:t>
      </w:r>
      <w:r w:rsidRPr="007C4490">
        <w:rPr>
          <w:rFonts w:ascii="Times New Roman" w:hAnsi="Times New Roman" w:cs="Times New Roman"/>
          <w:sz w:val="24"/>
          <w:szCs w:val="24"/>
          <w:lang w:val="en-GB"/>
        </w:rPr>
        <w:t>this article suggests that the analysis of policy drift should pay close</w:t>
      </w:r>
      <w:r w:rsidR="00CC6870" w:rsidRPr="007C4490">
        <w:rPr>
          <w:rFonts w:ascii="Times New Roman" w:hAnsi="Times New Roman" w:cs="Times New Roman"/>
          <w:sz w:val="24"/>
          <w:szCs w:val="24"/>
          <w:lang w:val="en-GB"/>
        </w:rPr>
        <w:t>r</w:t>
      </w:r>
      <w:r w:rsidRPr="007C4490">
        <w:rPr>
          <w:rFonts w:ascii="Times New Roman" w:hAnsi="Times New Roman" w:cs="Times New Roman"/>
          <w:sz w:val="24"/>
          <w:szCs w:val="24"/>
          <w:lang w:val="en-GB"/>
        </w:rPr>
        <w:t xml:space="preserve"> attention</w:t>
      </w:r>
      <w:r w:rsidR="00E124D9">
        <w:rPr>
          <w:rFonts w:ascii="Times New Roman" w:hAnsi="Times New Roman" w:cs="Times New Roman"/>
          <w:sz w:val="24"/>
          <w:szCs w:val="24"/>
          <w:lang w:val="en-GB"/>
        </w:rPr>
        <w:t xml:space="preserve"> not only to drift’s case-specific empirical implications, but also</w:t>
      </w:r>
      <w:r w:rsidRPr="007C4490">
        <w:rPr>
          <w:rFonts w:ascii="Times New Roman" w:hAnsi="Times New Roman" w:cs="Times New Roman"/>
          <w:sz w:val="24"/>
          <w:szCs w:val="24"/>
          <w:lang w:val="en-GB"/>
        </w:rPr>
        <w:t xml:space="preserve"> to the time frame used by researchers</w:t>
      </w:r>
      <w:r w:rsidR="00CC6870" w:rsidRPr="007C4490">
        <w:rPr>
          <w:rFonts w:ascii="Times New Roman" w:hAnsi="Times New Roman" w:cs="Times New Roman"/>
          <w:sz w:val="24"/>
          <w:szCs w:val="24"/>
          <w:lang w:val="en-GB"/>
        </w:rPr>
        <w:t xml:space="preserve">, an issue that </w:t>
      </w:r>
      <w:r w:rsidR="0078571A" w:rsidRPr="007C4490">
        <w:rPr>
          <w:rFonts w:ascii="Times New Roman" w:hAnsi="Times New Roman" w:cs="Times New Roman"/>
          <w:sz w:val="24"/>
          <w:szCs w:val="24"/>
          <w:lang w:val="en-GB"/>
        </w:rPr>
        <w:t>was relatively neglected by</w:t>
      </w:r>
      <w:r w:rsidR="00CC6870" w:rsidRPr="007C4490">
        <w:rPr>
          <w:rFonts w:ascii="Times New Roman" w:hAnsi="Times New Roman" w:cs="Times New Roman"/>
          <w:sz w:val="24"/>
          <w:szCs w:val="24"/>
          <w:lang w:val="en-GB"/>
        </w:rPr>
        <w:t xml:space="preserve"> Hacker (2004) and</w:t>
      </w:r>
      <w:r w:rsidR="0078571A" w:rsidRPr="007C4490">
        <w:rPr>
          <w:rFonts w:ascii="Times New Roman" w:hAnsi="Times New Roman" w:cs="Times New Roman"/>
          <w:sz w:val="24"/>
          <w:szCs w:val="24"/>
          <w:lang w:val="en-GB"/>
        </w:rPr>
        <w:t xml:space="preserve"> which has seldom been central to the subsequent literature on drift</w:t>
      </w:r>
      <w:r w:rsidRPr="007C4490">
        <w:rPr>
          <w:rFonts w:ascii="Times New Roman" w:hAnsi="Times New Roman" w:cs="Times New Roman"/>
          <w:sz w:val="24"/>
          <w:szCs w:val="24"/>
          <w:lang w:val="en-GB"/>
        </w:rPr>
        <w:t xml:space="preserve">. Simultaneously, </w:t>
      </w:r>
      <w:r w:rsidR="00CC6870" w:rsidRPr="007C4490">
        <w:rPr>
          <w:rFonts w:ascii="Times New Roman" w:hAnsi="Times New Roman" w:cs="Times New Roman"/>
          <w:sz w:val="24"/>
          <w:szCs w:val="24"/>
          <w:lang w:val="en-GB"/>
        </w:rPr>
        <w:t xml:space="preserve">once again in contrast to the existing scholarship on policy drift, </w:t>
      </w:r>
      <w:r w:rsidR="00263067" w:rsidRPr="007C4490">
        <w:rPr>
          <w:rFonts w:ascii="Times New Roman" w:hAnsi="Times New Roman" w:cs="Times New Roman"/>
          <w:sz w:val="24"/>
          <w:szCs w:val="24"/>
          <w:lang w:val="en-GB"/>
        </w:rPr>
        <w:t>our article</w:t>
      </w:r>
      <w:r w:rsidRPr="007C4490">
        <w:rPr>
          <w:rFonts w:ascii="Times New Roman" w:hAnsi="Times New Roman" w:cs="Times New Roman"/>
          <w:sz w:val="24"/>
          <w:szCs w:val="24"/>
          <w:lang w:val="en-GB"/>
        </w:rPr>
        <w:t xml:space="preserve"> stresses the potential role of policy implementation in the potential mitigation of policy drift and </w:t>
      </w:r>
      <w:r w:rsidR="009240AF" w:rsidRPr="007C4490">
        <w:rPr>
          <w:rFonts w:ascii="Times New Roman" w:hAnsi="Times New Roman" w:cs="Times New Roman"/>
          <w:sz w:val="24"/>
          <w:szCs w:val="24"/>
          <w:lang w:val="en-GB"/>
        </w:rPr>
        <w:t xml:space="preserve">its </w:t>
      </w:r>
      <w:r w:rsidRPr="007C4490">
        <w:rPr>
          <w:rFonts w:ascii="Times New Roman" w:hAnsi="Times New Roman" w:cs="Times New Roman"/>
          <w:sz w:val="24"/>
          <w:szCs w:val="24"/>
          <w:lang w:val="en-GB"/>
        </w:rPr>
        <w:t xml:space="preserve">corrosive effects on economic security. </w:t>
      </w:r>
      <w:r w:rsidR="00780273">
        <w:rPr>
          <w:rFonts w:ascii="Times New Roman" w:hAnsi="Times New Roman" w:cs="Times New Roman"/>
          <w:sz w:val="24"/>
          <w:szCs w:val="24"/>
          <w:lang w:val="en-GB"/>
        </w:rPr>
        <w:t>In particular</w:t>
      </w:r>
      <w:r w:rsidR="003346A1">
        <w:rPr>
          <w:rFonts w:ascii="Times New Roman" w:hAnsi="Times New Roman" w:cs="Times New Roman"/>
          <w:sz w:val="24"/>
          <w:szCs w:val="24"/>
          <w:lang w:val="en-GB"/>
        </w:rPr>
        <w:t>, in order to understand the relationship between</w:t>
      </w:r>
      <w:r w:rsidR="00780273">
        <w:rPr>
          <w:rFonts w:ascii="Times New Roman" w:hAnsi="Times New Roman" w:cs="Times New Roman"/>
          <w:sz w:val="24"/>
          <w:szCs w:val="24"/>
          <w:lang w:val="en-GB"/>
        </w:rPr>
        <w:t xml:space="preserve"> </w:t>
      </w:r>
      <w:r w:rsidR="003346A1">
        <w:rPr>
          <w:rFonts w:ascii="Times New Roman" w:hAnsi="Times New Roman" w:cs="Times New Roman"/>
          <w:sz w:val="24"/>
          <w:szCs w:val="24"/>
          <w:lang w:val="en-GB"/>
        </w:rPr>
        <w:t>formal revision and drift-correction</w:t>
      </w:r>
      <w:r w:rsidR="003C17DA">
        <w:rPr>
          <w:rFonts w:ascii="Times New Roman" w:hAnsi="Times New Roman" w:cs="Times New Roman"/>
          <w:sz w:val="24"/>
          <w:szCs w:val="24"/>
          <w:lang w:val="en-GB"/>
        </w:rPr>
        <w:t>,</w:t>
      </w:r>
      <w:r w:rsidR="003346A1">
        <w:rPr>
          <w:rFonts w:ascii="Times New Roman" w:hAnsi="Times New Roman" w:cs="Times New Roman"/>
          <w:sz w:val="24"/>
          <w:szCs w:val="24"/>
          <w:lang w:val="en-GB"/>
        </w:rPr>
        <w:t xml:space="preserve"> </w:t>
      </w:r>
      <w:r w:rsidR="00780273">
        <w:rPr>
          <w:rFonts w:ascii="Times New Roman" w:hAnsi="Times New Roman" w:cs="Times New Roman"/>
          <w:sz w:val="24"/>
          <w:szCs w:val="24"/>
          <w:lang w:val="en-GB"/>
        </w:rPr>
        <w:t xml:space="preserve">it is crucial to look at whether the institutional framework </w:t>
      </w:r>
      <w:r w:rsidR="003346A1">
        <w:rPr>
          <w:rFonts w:ascii="Times New Roman" w:hAnsi="Times New Roman" w:cs="Times New Roman"/>
          <w:sz w:val="24"/>
          <w:szCs w:val="24"/>
          <w:lang w:val="en-GB"/>
        </w:rPr>
        <w:t xml:space="preserve">in which that formal revision is implemented allows for variation </w:t>
      </w:r>
      <w:r w:rsidR="00780273">
        <w:rPr>
          <w:rFonts w:ascii="Times New Roman" w:hAnsi="Times New Roman" w:cs="Times New Roman"/>
          <w:sz w:val="24"/>
          <w:szCs w:val="24"/>
          <w:lang w:val="en-GB"/>
        </w:rPr>
        <w:t xml:space="preserve">at </w:t>
      </w:r>
      <w:r w:rsidR="003C17DA">
        <w:rPr>
          <w:rFonts w:ascii="Times New Roman" w:hAnsi="Times New Roman" w:cs="Times New Roman"/>
          <w:sz w:val="24"/>
          <w:szCs w:val="24"/>
          <w:lang w:val="en-GB"/>
        </w:rPr>
        <w:t xml:space="preserve">the </w:t>
      </w:r>
      <w:r w:rsidR="00780273">
        <w:rPr>
          <w:rFonts w:ascii="Times New Roman" w:hAnsi="Times New Roman" w:cs="Times New Roman"/>
          <w:sz w:val="24"/>
          <w:szCs w:val="24"/>
          <w:lang w:val="en-GB"/>
        </w:rPr>
        <w:t>sub-national level</w:t>
      </w:r>
      <w:r w:rsidR="003346A1">
        <w:rPr>
          <w:rFonts w:ascii="Times New Roman" w:hAnsi="Times New Roman" w:cs="Times New Roman"/>
          <w:sz w:val="24"/>
          <w:szCs w:val="24"/>
          <w:lang w:val="en-GB"/>
        </w:rPr>
        <w:t>.</w:t>
      </w:r>
      <w:r w:rsidR="00780273">
        <w:rPr>
          <w:rFonts w:ascii="Times New Roman" w:hAnsi="Times New Roman" w:cs="Times New Roman"/>
          <w:sz w:val="24"/>
          <w:szCs w:val="24"/>
          <w:lang w:val="en-GB"/>
        </w:rPr>
        <w:t xml:space="preserve"> </w:t>
      </w:r>
      <w:r w:rsidR="00263067" w:rsidRPr="007C4490">
        <w:rPr>
          <w:rFonts w:ascii="Times New Roman" w:hAnsi="Times New Roman" w:cs="Times New Roman"/>
          <w:sz w:val="24"/>
          <w:szCs w:val="24"/>
          <w:lang w:val="en-GB"/>
        </w:rPr>
        <w:t xml:space="preserve">Overall </w:t>
      </w:r>
      <w:r w:rsidR="00E9667B" w:rsidRPr="007C4490">
        <w:rPr>
          <w:rFonts w:ascii="Times New Roman" w:hAnsi="Times New Roman" w:cs="Times New Roman"/>
          <w:sz w:val="24"/>
          <w:szCs w:val="24"/>
          <w:lang w:val="en-GB"/>
        </w:rPr>
        <w:t>this article</w:t>
      </w:r>
      <w:r w:rsidR="00263067" w:rsidRPr="007C4490">
        <w:rPr>
          <w:rFonts w:ascii="Times New Roman" w:hAnsi="Times New Roman" w:cs="Times New Roman"/>
          <w:sz w:val="24"/>
          <w:szCs w:val="24"/>
          <w:lang w:val="en-GB"/>
        </w:rPr>
        <w:t xml:space="preserve"> both </w:t>
      </w:r>
      <w:r w:rsidR="00E9667B" w:rsidRPr="007C4490">
        <w:rPr>
          <w:rFonts w:ascii="Times New Roman" w:hAnsi="Times New Roman" w:cs="Times New Roman"/>
          <w:sz w:val="24"/>
          <w:szCs w:val="24"/>
          <w:lang w:val="en-GB"/>
        </w:rPr>
        <w:t xml:space="preserve">adds a new dimension to the use of policy drift as a tool of analysis while reinforcing the underlying importance of the concept as initially articulated. First, </w:t>
      </w:r>
      <w:r w:rsidRPr="007C4490">
        <w:rPr>
          <w:rFonts w:ascii="Times New Roman" w:hAnsi="Times New Roman" w:cs="Times New Roman"/>
          <w:sz w:val="24"/>
          <w:szCs w:val="24"/>
          <w:lang w:val="en-GB"/>
        </w:rPr>
        <w:t>our analy</w:t>
      </w:r>
      <w:r w:rsidR="00F97307" w:rsidRPr="007C4490">
        <w:rPr>
          <w:rFonts w:ascii="Times New Roman" w:hAnsi="Times New Roman" w:cs="Times New Roman"/>
          <w:sz w:val="24"/>
          <w:szCs w:val="24"/>
          <w:lang w:val="en-GB"/>
        </w:rPr>
        <w:t>sis of recent developments in US</w:t>
      </w:r>
      <w:r w:rsidRPr="007C4490">
        <w:rPr>
          <w:rFonts w:ascii="Times New Roman" w:hAnsi="Times New Roman" w:cs="Times New Roman"/>
          <w:sz w:val="24"/>
          <w:szCs w:val="24"/>
          <w:lang w:val="en-GB"/>
        </w:rPr>
        <w:t xml:space="preserve"> health care policy </w:t>
      </w:r>
      <w:r w:rsidR="00E9667B" w:rsidRPr="007C4490">
        <w:rPr>
          <w:rFonts w:ascii="Times New Roman" w:hAnsi="Times New Roman" w:cs="Times New Roman"/>
          <w:sz w:val="24"/>
          <w:szCs w:val="24"/>
          <w:lang w:val="en-GB"/>
        </w:rPr>
        <w:t>illustrates that even when an attempt is made to reverse long-term</w:t>
      </w:r>
      <w:r w:rsidRPr="007C4490">
        <w:rPr>
          <w:rFonts w:ascii="Times New Roman" w:hAnsi="Times New Roman" w:cs="Times New Roman"/>
          <w:sz w:val="24"/>
          <w:szCs w:val="24"/>
          <w:lang w:val="en-GB"/>
        </w:rPr>
        <w:t xml:space="preserve"> policy drift through </w:t>
      </w:r>
      <w:r w:rsidR="00E9667B" w:rsidRPr="007C4490">
        <w:rPr>
          <w:rFonts w:ascii="Times New Roman" w:hAnsi="Times New Roman" w:cs="Times New Roman"/>
          <w:sz w:val="24"/>
          <w:szCs w:val="24"/>
          <w:lang w:val="en-GB"/>
        </w:rPr>
        <w:t xml:space="preserve">formal </w:t>
      </w:r>
      <w:r w:rsidRPr="007C4490">
        <w:rPr>
          <w:rFonts w:ascii="Times New Roman" w:hAnsi="Times New Roman" w:cs="Times New Roman"/>
          <w:sz w:val="24"/>
          <w:szCs w:val="24"/>
          <w:lang w:val="en-GB"/>
        </w:rPr>
        <w:t>revision</w:t>
      </w:r>
      <w:r w:rsidR="00F97307" w:rsidRPr="007C4490">
        <w:rPr>
          <w:rFonts w:ascii="Times New Roman" w:hAnsi="Times New Roman" w:cs="Times New Roman"/>
          <w:sz w:val="24"/>
          <w:szCs w:val="24"/>
          <w:lang w:val="en-GB"/>
        </w:rPr>
        <w:t>,</w:t>
      </w:r>
      <w:r w:rsidR="00E9667B" w:rsidRPr="007C4490">
        <w:rPr>
          <w:rFonts w:ascii="Times New Roman" w:hAnsi="Times New Roman" w:cs="Times New Roman"/>
          <w:sz w:val="24"/>
          <w:szCs w:val="24"/>
          <w:lang w:val="en-GB"/>
        </w:rPr>
        <w:t xml:space="preserve"> it is important to track the implementation of reform,</w:t>
      </w:r>
      <w:r w:rsidRPr="007C4490">
        <w:rPr>
          <w:rFonts w:ascii="Times New Roman" w:hAnsi="Times New Roman" w:cs="Times New Roman"/>
          <w:sz w:val="24"/>
          <w:szCs w:val="24"/>
          <w:lang w:val="en-GB"/>
        </w:rPr>
        <w:t xml:space="preserve"> especially when the states play a major role in </w:t>
      </w:r>
      <w:r w:rsidR="00E9667B" w:rsidRPr="007C4490">
        <w:rPr>
          <w:rFonts w:ascii="Times New Roman" w:hAnsi="Times New Roman" w:cs="Times New Roman"/>
          <w:sz w:val="24"/>
          <w:szCs w:val="24"/>
          <w:lang w:val="en-GB"/>
        </w:rPr>
        <w:t>that</w:t>
      </w:r>
      <w:r w:rsidRPr="007C4490">
        <w:rPr>
          <w:rFonts w:ascii="Times New Roman" w:hAnsi="Times New Roman" w:cs="Times New Roman"/>
          <w:sz w:val="24"/>
          <w:szCs w:val="24"/>
          <w:lang w:val="en-GB"/>
        </w:rPr>
        <w:t xml:space="preserve"> implementation. </w:t>
      </w:r>
      <w:r w:rsidR="00C84F99" w:rsidRPr="007C4490">
        <w:rPr>
          <w:rFonts w:ascii="Times New Roman" w:hAnsi="Times New Roman" w:cs="Times New Roman"/>
          <w:sz w:val="24"/>
          <w:szCs w:val="24"/>
          <w:lang w:val="en-GB"/>
        </w:rPr>
        <w:t>Second, with regard to</w:t>
      </w:r>
      <w:r w:rsidRPr="007C4490">
        <w:rPr>
          <w:rFonts w:ascii="Times New Roman" w:hAnsi="Times New Roman" w:cs="Times New Roman"/>
          <w:sz w:val="24"/>
          <w:szCs w:val="24"/>
          <w:lang w:val="en-GB"/>
        </w:rPr>
        <w:t xml:space="preserve"> Social Security</w:t>
      </w:r>
      <w:r w:rsidR="00C84F99" w:rsidRPr="007C4490">
        <w:rPr>
          <w:rFonts w:ascii="Times New Roman" w:hAnsi="Times New Roman" w:cs="Times New Roman"/>
          <w:sz w:val="24"/>
          <w:szCs w:val="24"/>
          <w:lang w:val="en-GB"/>
        </w:rPr>
        <w:t>, the failure of the 2005 effort to partially privatise the programme illustrates the continuing resilience of that pillar of the American welfare s</w:t>
      </w:r>
      <w:r w:rsidR="007C4490">
        <w:rPr>
          <w:rFonts w:ascii="Times New Roman" w:hAnsi="Times New Roman" w:cs="Times New Roman"/>
          <w:sz w:val="24"/>
          <w:szCs w:val="24"/>
          <w:lang w:val="en-GB"/>
        </w:rPr>
        <w:t>tate</w:t>
      </w:r>
      <w:r w:rsidR="009B21E5" w:rsidRPr="007C4490">
        <w:rPr>
          <w:rFonts w:ascii="Times New Roman" w:hAnsi="Times New Roman" w:cs="Times New Roman"/>
          <w:sz w:val="24"/>
          <w:szCs w:val="24"/>
          <w:lang w:val="en-GB"/>
        </w:rPr>
        <w:t xml:space="preserve">. However, this failure </w:t>
      </w:r>
      <w:r w:rsidR="00C84F99" w:rsidRPr="007C4490">
        <w:rPr>
          <w:rFonts w:ascii="Times New Roman" w:hAnsi="Times New Roman" w:cs="Times New Roman"/>
          <w:sz w:val="24"/>
          <w:szCs w:val="24"/>
          <w:lang w:val="en-GB"/>
        </w:rPr>
        <w:t>emphasizes the importance of policy</w:t>
      </w:r>
      <w:r w:rsidR="00E9667B" w:rsidRPr="007C4490">
        <w:rPr>
          <w:rFonts w:ascii="Times New Roman" w:hAnsi="Times New Roman" w:cs="Times New Roman"/>
          <w:sz w:val="24"/>
          <w:szCs w:val="24"/>
          <w:lang w:val="en-GB"/>
        </w:rPr>
        <w:t xml:space="preserve"> drift </w:t>
      </w:r>
      <w:r w:rsidRPr="007C4490">
        <w:rPr>
          <w:rFonts w:ascii="Times New Roman" w:hAnsi="Times New Roman" w:cs="Times New Roman"/>
          <w:sz w:val="24"/>
          <w:szCs w:val="24"/>
          <w:lang w:val="en-GB"/>
        </w:rPr>
        <w:t>in a social-ec</w:t>
      </w:r>
      <w:r w:rsidR="00F97307" w:rsidRPr="007C4490">
        <w:rPr>
          <w:rFonts w:ascii="Times New Roman" w:hAnsi="Times New Roman" w:cs="Times New Roman"/>
          <w:sz w:val="24"/>
          <w:szCs w:val="24"/>
          <w:lang w:val="en-GB"/>
        </w:rPr>
        <w:t xml:space="preserve">onomic environment that further </w:t>
      </w:r>
      <w:r w:rsidRPr="007C4490">
        <w:rPr>
          <w:rFonts w:ascii="Times New Roman" w:hAnsi="Times New Roman" w:cs="Times New Roman"/>
          <w:sz w:val="24"/>
          <w:szCs w:val="24"/>
          <w:lang w:val="en-GB"/>
        </w:rPr>
        <w:t>weakens the protections granted by employers</w:t>
      </w:r>
      <w:r w:rsidR="00E41AD7" w:rsidRPr="007C4490">
        <w:rPr>
          <w:rFonts w:ascii="Times New Roman" w:hAnsi="Times New Roman" w:cs="Times New Roman"/>
          <w:sz w:val="24"/>
          <w:szCs w:val="24"/>
          <w:lang w:val="en-GB"/>
        </w:rPr>
        <w:t xml:space="preserve"> and other private yet publicly </w:t>
      </w:r>
      <w:r w:rsidRPr="007C4490">
        <w:rPr>
          <w:rFonts w:ascii="Times New Roman" w:hAnsi="Times New Roman" w:cs="Times New Roman"/>
          <w:sz w:val="24"/>
          <w:szCs w:val="24"/>
          <w:lang w:val="en-GB"/>
        </w:rPr>
        <w:t xml:space="preserve">subsidized actors, in a context where occupational pensions remain </w:t>
      </w:r>
      <w:r w:rsidRPr="007C4490">
        <w:rPr>
          <w:rFonts w:ascii="Times New Roman" w:hAnsi="Times New Roman" w:cs="Times New Roman"/>
          <w:sz w:val="24"/>
          <w:szCs w:val="24"/>
          <w:lang w:val="en-GB"/>
        </w:rPr>
        <w:lastRenderedPageBreak/>
        <w:t>voluntary. While it is too early to know whether the ACA will</w:t>
      </w:r>
      <w:r w:rsidR="009B21E5"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neutralize at least significant effects of policy drift</w:t>
      </w:r>
      <w:r w:rsidR="009B21E5" w:rsidRPr="007C4490">
        <w:rPr>
          <w:rFonts w:ascii="Times New Roman" w:hAnsi="Times New Roman" w:cs="Times New Roman"/>
          <w:sz w:val="24"/>
          <w:szCs w:val="24"/>
          <w:lang w:val="en-GB"/>
        </w:rPr>
        <w:t xml:space="preserve"> in the long run</w:t>
      </w:r>
      <w:r w:rsidRPr="007C4490">
        <w:rPr>
          <w:rFonts w:ascii="Times New Roman" w:hAnsi="Times New Roman" w:cs="Times New Roman"/>
          <w:sz w:val="24"/>
          <w:szCs w:val="24"/>
          <w:lang w:val="en-GB"/>
        </w:rPr>
        <w:t xml:space="preserve">, it is already clear that, in the field of pensions, the decline of economic security </w:t>
      </w:r>
      <w:r w:rsidR="00F97307" w:rsidRPr="007C4490">
        <w:rPr>
          <w:rFonts w:ascii="Times New Roman" w:hAnsi="Times New Roman" w:cs="Times New Roman"/>
          <w:sz w:val="24"/>
          <w:szCs w:val="24"/>
          <w:lang w:val="en-GB"/>
        </w:rPr>
        <w:t xml:space="preserve">Hacker identified </w:t>
      </w:r>
      <w:r w:rsidR="001D3A88">
        <w:rPr>
          <w:rFonts w:ascii="Times New Roman" w:hAnsi="Times New Roman" w:cs="Times New Roman"/>
          <w:sz w:val="24"/>
          <w:szCs w:val="24"/>
          <w:lang w:val="en-GB"/>
        </w:rPr>
        <w:t xml:space="preserve">in 2004 </w:t>
      </w:r>
      <w:r w:rsidR="009B21E5" w:rsidRPr="007C4490">
        <w:rPr>
          <w:rFonts w:ascii="Times New Roman" w:hAnsi="Times New Roman" w:cs="Times New Roman"/>
          <w:sz w:val="24"/>
          <w:szCs w:val="24"/>
          <w:lang w:val="en-GB"/>
        </w:rPr>
        <w:t>shows no signs of reversal.</w:t>
      </w:r>
      <w:r w:rsidR="00C84F99" w:rsidRPr="007C4490">
        <w:rPr>
          <w:rFonts w:ascii="Times New Roman" w:hAnsi="Times New Roman" w:cs="Times New Roman"/>
          <w:sz w:val="24"/>
          <w:szCs w:val="24"/>
          <w:lang w:val="en-GB"/>
        </w:rPr>
        <w:t xml:space="preserve"> </w:t>
      </w:r>
    </w:p>
    <w:p w14:paraId="4B4676AC" w14:textId="14FB59A4" w:rsidR="00CD765B" w:rsidRDefault="00547E75" w:rsidP="00282389">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 </w:t>
      </w:r>
    </w:p>
    <w:p w14:paraId="6943727C" w14:textId="77777777" w:rsidR="00CD765B" w:rsidRPr="00CD765B" w:rsidRDefault="00CD765B" w:rsidP="00282389">
      <w:pPr>
        <w:spacing w:after="0" w:line="480" w:lineRule="auto"/>
        <w:jc w:val="both"/>
        <w:rPr>
          <w:rFonts w:ascii="Times New Roman" w:hAnsi="Times New Roman" w:cs="Times New Roman"/>
          <w:b/>
          <w:sz w:val="24"/>
          <w:szCs w:val="24"/>
          <w:lang w:val="en-GB"/>
        </w:rPr>
        <w:sectPr w:rsidR="00CD765B" w:rsidRPr="00CD765B">
          <w:footerReference w:type="default" r:id="rId8"/>
          <w:endnotePr>
            <w:numFmt w:val="decimal"/>
          </w:endnotePr>
          <w:pgSz w:w="11906" w:h="16838"/>
          <w:pgMar w:top="1440" w:right="1440" w:bottom="1440" w:left="1440" w:header="708" w:footer="708" w:gutter="0"/>
          <w:cols w:space="708"/>
          <w:docGrid w:linePitch="360"/>
        </w:sectPr>
      </w:pPr>
      <w:r w:rsidRPr="00CD765B">
        <w:rPr>
          <w:rFonts w:ascii="Times New Roman" w:hAnsi="Times New Roman" w:cs="Times New Roman"/>
          <w:b/>
          <w:sz w:val="24"/>
          <w:szCs w:val="24"/>
          <w:lang w:val="en-GB"/>
        </w:rPr>
        <w:t>Endnotes</w:t>
      </w:r>
    </w:p>
    <w:p w14:paraId="5B8BDC42" w14:textId="77777777" w:rsidR="003D512F" w:rsidRPr="007C4490" w:rsidRDefault="00FB2720" w:rsidP="00282389">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b/>
          <w:sz w:val="24"/>
          <w:szCs w:val="24"/>
          <w:lang w:val="en-GB"/>
        </w:rPr>
        <w:lastRenderedPageBreak/>
        <w:t>References</w:t>
      </w:r>
    </w:p>
    <w:p w14:paraId="1F8DA852" w14:textId="77777777" w:rsidR="0048264A" w:rsidRPr="007C4490" w:rsidRDefault="007E4034" w:rsidP="0048264A">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Aaronson, B. (2013), </w:t>
      </w:r>
      <w:r w:rsidR="00615254" w:rsidRPr="007C4490">
        <w:rPr>
          <w:rFonts w:ascii="Times New Roman" w:hAnsi="Times New Roman" w:cs="Times New Roman"/>
          <w:sz w:val="24"/>
          <w:szCs w:val="24"/>
          <w:lang w:val="en-GB"/>
        </w:rPr>
        <w:t>Without Medicaid expansion, 1 million Texans lack insurance o</w:t>
      </w:r>
      <w:r w:rsidRPr="007C4490">
        <w:rPr>
          <w:rFonts w:ascii="Times New Roman" w:hAnsi="Times New Roman" w:cs="Times New Roman"/>
          <w:sz w:val="24"/>
          <w:szCs w:val="24"/>
          <w:lang w:val="en-GB"/>
        </w:rPr>
        <w:t xml:space="preserve">ptions, </w:t>
      </w:r>
      <w:r w:rsidRPr="007C4490">
        <w:rPr>
          <w:rFonts w:ascii="Times New Roman" w:hAnsi="Times New Roman" w:cs="Times New Roman"/>
          <w:i/>
          <w:sz w:val="24"/>
          <w:szCs w:val="24"/>
          <w:lang w:val="en-GB"/>
        </w:rPr>
        <w:t xml:space="preserve">The Texas </w:t>
      </w:r>
      <w:r w:rsidR="00A31199" w:rsidRPr="007C4490">
        <w:rPr>
          <w:rFonts w:ascii="Times New Roman" w:hAnsi="Times New Roman" w:cs="Times New Roman"/>
          <w:i/>
          <w:sz w:val="24"/>
          <w:szCs w:val="24"/>
          <w:lang w:val="en-GB"/>
        </w:rPr>
        <w:t>T</w:t>
      </w:r>
      <w:r w:rsidRPr="007C4490">
        <w:rPr>
          <w:rFonts w:ascii="Times New Roman" w:hAnsi="Times New Roman" w:cs="Times New Roman"/>
          <w:i/>
          <w:sz w:val="24"/>
          <w:szCs w:val="24"/>
          <w:lang w:val="en-GB"/>
        </w:rPr>
        <w:t>ribune</w:t>
      </w:r>
      <w:r w:rsidRPr="007C4490">
        <w:rPr>
          <w:rFonts w:ascii="Times New Roman" w:hAnsi="Times New Roman" w:cs="Times New Roman"/>
          <w:sz w:val="24"/>
          <w:szCs w:val="24"/>
          <w:lang w:val="en-GB"/>
        </w:rPr>
        <w:t>, Oct</w:t>
      </w:r>
      <w:r w:rsidR="00A31199" w:rsidRPr="007C4490">
        <w:rPr>
          <w:rFonts w:ascii="Times New Roman" w:hAnsi="Times New Roman" w:cs="Times New Roman"/>
          <w:sz w:val="24"/>
          <w:szCs w:val="24"/>
          <w:lang w:val="en-GB"/>
        </w:rPr>
        <w:t>ob</w:t>
      </w:r>
      <w:r w:rsidRPr="007C4490">
        <w:rPr>
          <w:rFonts w:ascii="Times New Roman" w:hAnsi="Times New Roman" w:cs="Times New Roman"/>
          <w:sz w:val="24"/>
          <w:szCs w:val="24"/>
          <w:lang w:val="en-GB"/>
        </w:rPr>
        <w:t>er 16</w:t>
      </w:r>
      <w:r w:rsidR="009A741C" w:rsidRPr="007C4490">
        <w:rPr>
          <w:rFonts w:ascii="Times New Roman" w:hAnsi="Times New Roman" w:cs="Times New Roman"/>
          <w:sz w:val="24"/>
          <w:szCs w:val="24"/>
          <w:lang w:val="en-GB"/>
        </w:rPr>
        <w:t>,</w:t>
      </w:r>
    </w:p>
    <w:p w14:paraId="187F0B30" w14:textId="77777777" w:rsidR="007E4034" w:rsidRPr="007C4490" w:rsidRDefault="0048264A" w:rsidP="0048264A">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ab/>
        <w:t>https://www.texastribune.org/2013/10/16/without-medicaid-expansion-million-texans-lack-ins/.</w:t>
      </w:r>
    </w:p>
    <w:p w14:paraId="5CDCE928" w14:textId="77777777" w:rsidR="00EE0DCD" w:rsidRPr="007C4490" w:rsidRDefault="00615254" w:rsidP="00EE0DCD">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Bhatia, V. (2010), </w:t>
      </w:r>
      <w:r w:rsidRPr="007C4490">
        <w:rPr>
          <w:rFonts w:ascii="Times New Roman" w:hAnsi="Times New Roman" w:cs="Times New Roman"/>
          <w:bCs/>
          <w:sz w:val="24"/>
          <w:szCs w:val="24"/>
          <w:lang w:val="en-GB"/>
        </w:rPr>
        <w:t>Social rights, civil r</w:t>
      </w:r>
      <w:r w:rsidR="00EE0DCD" w:rsidRPr="007C4490">
        <w:rPr>
          <w:rFonts w:ascii="Times New Roman" w:hAnsi="Times New Roman" w:cs="Times New Roman"/>
          <w:bCs/>
          <w:sz w:val="24"/>
          <w:szCs w:val="24"/>
          <w:lang w:val="en-GB"/>
        </w:rPr>
        <w:t>ight</w:t>
      </w:r>
      <w:r w:rsidRPr="007C4490">
        <w:rPr>
          <w:rFonts w:ascii="Times New Roman" w:hAnsi="Times New Roman" w:cs="Times New Roman"/>
          <w:bCs/>
          <w:sz w:val="24"/>
          <w:szCs w:val="24"/>
          <w:lang w:val="en-GB"/>
        </w:rPr>
        <w:t>s, and health reform in Canada,</w:t>
      </w:r>
      <w:r w:rsidR="00EE0DCD" w:rsidRPr="007C4490">
        <w:rPr>
          <w:rFonts w:ascii="Times New Roman" w:hAnsi="Times New Roman" w:cs="Times New Roman"/>
          <w:bCs/>
          <w:sz w:val="24"/>
          <w:szCs w:val="24"/>
          <w:lang w:val="en-GB"/>
        </w:rPr>
        <w:t xml:space="preserve"> </w:t>
      </w:r>
      <w:r w:rsidR="00EE0DCD" w:rsidRPr="007C4490">
        <w:rPr>
          <w:rFonts w:ascii="Times New Roman" w:hAnsi="Times New Roman" w:cs="Times New Roman"/>
          <w:bCs/>
          <w:i/>
          <w:sz w:val="24"/>
          <w:szCs w:val="24"/>
          <w:lang w:val="en-GB"/>
        </w:rPr>
        <w:t>Governance</w:t>
      </w:r>
      <w:r w:rsidRPr="007C4490">
        <w:rPr>
          <w:rFonts w:ascii="Times New Roman" w:hAnsi="Times New Roman" w:cs="Times New Roman"/>
          <w:bCs/>
          <w:sz w:val="24"/>
          <w:szCs w:val="24"/>
          <w:lang w:val="en-GB"/>
        </w:rPr>
        <w:t>,</w:t>
      </w:r>
      <w:r w:rsidR="00EE0DCD" w:rsidRPr="007C4490">
        <w:rPr>
          <w:rFonts w:ascii="Times New Roman" w:hAnsi="Times New Roman" w:cs="Times New Roman"/>
          <w:bCs/>
          <w:sz w:val="24"/>
          <w:szCs w:val="24"/>
          <w:lang w:val="en-GB"/>
        </w:rPr>
        <w:t xml:space="preserve"> </w:t>
      </w:r>
      <w:r w:rsidRPr="007C4490">
        <w:rPr>
          <w:rFonts w:ascii="Times New Roman" w:hAnsi="Times New Roman" w:cs="Times New Roman"/>
          <w:bCs/>
          <w:sz w:val="24"/>
          <w:szCs w:val="24"/>
          <w:lang w:val="en-GB"/>
        </w:rPr>
        <w:t>23, 1</w:t>
      </w:r>
      <w:r w:rsidR="00EE0DCD" w:rsidRPr="007C4490">
        <w:rPr>
          <w:rFonts w:ascii="Times New Roman" w:hAnsi="Times New Roman" w:cs="Times New Roman"/>
          <w:bCs/>
          <w:sz w:val="24"/>
          <w:szCs w:val="24"/>
          <w:lang w:val="en-GB"/>
        </w:rPr>
        <w:t>: 37-58.</w:t>
      </w:r>
    </w:p>
    <w:p w14:paraId="21E990A1" w14:textId="77777777" w:rsidR="00F333EF" w:rsidRPr="007C4490" w:rsidRDefault="00F333EF"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Baumgartner, F. and Jones</w:t>
      </w:r>
      <w:r w:rsidR="0061525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00615254" w:rsidRPr="007C4490">
        <w:rPr>
          <w:rFonts w:ascii="Times New Roman" w:hAnsi="Times New Roman" w:cs="Times New Roman"/>
          <w:sz w:val="24"/>
          <w:szCs w:val="24"/>
          <w:lang w:val="en-GB"/>
        </w:rPr>
        <w:t xml:space="preserve">B. D. </w:t>
      </w:r>
      <w:r w:rsidRPr="007C4490">
        <w:rPr>
          <w:rFonts w:ascii="Times New Roman" w:hAnsi="Times New Roman" w:cs="Times New Roman"/>
          <w:sz w:val="24"/>
          <w:szCs w:val="24"/>
          <w:lang w:val="en-GB"/>
        </w:rPr>
        <w:t xml:space="preserve">(1993), </w:t>
      </w:r>
      <w:r w:rsidRPr="007C4490">
        <w:rPr>
          <w:rFonts w:ascii="Times New Roman" w:hAnsi="Times New Roman" w:cs="Times New Roman"/>
          <w:i/>
          <w:iCs/>
          <w:sz w:val="24"/>
          <w:szCs w:val="24"/>
          <w:lang w:val="en-GB"/>
        </w:rPr>
        <w:t>Agendas and Instability in American Politics</w:t>
      </w:r>
      <w:r w:rsidRPr="007C4490">
        <w:rPr>
          <w:rFonts w:ascii="Times New Roman" w:hAnsi="Times New Roman" w:cs="Times New Roman"/>
          <w:sz w:val="24"/>
          <w:szCs w:val="24"/>
          <w:lang w:val="en-GB"/>
        </w:rPr>
        <w:t>, Chicago: University of Chicago Press.</w:t>
      </w:r>
    </w:p>
    <w:p w14:paraId="185E35F3" w14:textId="77777777" w:rsidR="00220806" w:rsidRPr="007C4490" w:rsidRDefault="00220806"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t>Béland</w:t>
      </w:r>
      <w:proofErr w:type="spellEnd"/>
      <w:r w:rsidRPr="007C4490">
        <w:rPr>
          <w:rFonts w:ascii="Times New Roman" w:hAnsi="Times New Roman" w:cs="Times New Roman"/>
          <w:sz w:val="24"/>
          <w:szCs w:val="24"/>
          <w:lang w:val="en-GB"/>
        </w:rPr>
        <w:t>, D., Rocco</w:t>
      </w:r>
      <w:r w:rsidR="002674C2"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P. and Waddan, A. (forthcoming),</w:t>
      </w:r>
      <w:r w:rsidRPr="007C4490">
        <w:rPr>
          <w:rFonts w:ascii="Times New Roman" w:hAnsi="Times New Roman" w:cs="Times New Roman"/>
          <w:i/>
          <w:sz w:val="24"/>
          <w:szCs w:val="24"/>
          <w:lang w:val="en-GB"/>
        </w:rPr>
        <w:t xml:space="preserve"> Unfinished Fight: Federalism and the Politics of the Affordable Care Act in the States</w:t>
      </w:r>
      <w:r w:rsidRPr="007C4490">
        <w:rPr>
          <w:rFonts w:ascii="Times New Roman" w:hAnsi="Times New Roman" w:cs="Times New Roman"/>
          <w:sz w:val="24"/>
          <w:szCs w:val="24"/>
          <w:lang w:val="en-GB"/>
        </w:rPr>
        <w:t>. Lawrence: University Press of Kansas.</w:t>
      </w:r>
    </w:p>
    <w:p w14:paraId="71486D5D" w14:textId="77777777" w:rsidR="009A6CFE" w:rsidRPr="007C4490" w:rsidRDefault="00583726"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lastRenderedPageBreak/>
        <w:t>Béland</w:t>
      </w:r>
      <w:proofErr w:type="spellEnd"/>
      <w:r w:rsidRPr="007C4490">
        <w:rPr>
          <w:rFonts w:ascii="Times New Roman" w:hAnsi="Times New Roman" w:cs="Times New Roman"/>
          <w:sz w:val="24"/>
          <w:szCs w:val="24"/>
          <w:lang w:val="en-GB"/>
        </w:rPr>
        <w:t>, D. and Waddan, A. (2012</w:t>
      </w:r>
      <w:r w:rsidR="0091244E" w:rsidRPr="007C4490">
        <w:rPr>
          <w:rFonts w:ascii="Times New Roman" w:hAnsi="Times New Roman" w:cs="Times New Roman"/>
          <w:sz w:val="24"/>
          <w:szCs w:val="24"/>
          <w:lang w:val="en-GB"/>
        </w:rPr>
        <w:t>a</w:t>
      </w:r>
      <w:r w:rsidRPr="007C4490">
        <w:rPr>
          <w:rFonts w:ascii="Times New Roman" w:hAnsi="Times New Roman" w:cs="Times New Roman"/>
          <w:sz w:val="24"/>
          <w:szCs w:val="24"/>
          <w:lang w:val="en-GB"/>
        </w:rPr>
        <w:t xml:space="preserve">), </w:t>
      </w:r>
      <w:proofErr w:type="gramStart"/>
      <w:r w:rsidRPr="007C4490">
        <w:rPr>
          <w:rFonts w:ascii="Times New Roman" w:hAnsi="Times New Roman" w:cs="Times New Roman"/>
          <w:i/>
          <w:sz w:val="24"/>
          <w:szCs w:val="24"/>
          <w:lang w:val="en-GB"/>
        </w:rPr>
        <w:t>The</w:t>
      </w:r>
      <w:proofErr w:type="gramEnd"/>
      <w:r w:rsidRPr="007C4490">
        <w:rPr>
          <w:rFonts w:ascii="Times New Roman" w:hAnsi="Times New Roman" w:cs="Times New Roman"/>
          <w:i/>
          <w:sz w:val="24"/>
          <w:szCs w:val="24"/>
          <w:lang w:val="en-GB"/>
        </w:rPr>
        <w:t xml:space="preserve"> Politics of Policy Change: Welfare, Medicare, and Social Security Reform in the United States</w:t>
      </w:r>
      <w:r w:rsidRPr="007C4490">
        <w:rPr>
          <w:rFonts w:ascii="Times New Roman" w:hAnsi="Times New Roman" w:cs="Times New Roman"/>
          <w:sz w:val="24"/>
          <w:szCs w:val="24"/>
          <w:lang w:val="en-GB"/>
        </w:rPr>
        <w:t>, Washington, DC: Georgetown University Press.</w:t>
      </w:r>
    </w:p>
    <w:p w14:paraId="02986A92" w14:textId="77777777" w:rsidR="0091244E" w:rsidRPr="007C4490" w:rsidRDefault="0091244E"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t>Béland</w:t>
      </w:r>
      <w:proofErr w:type="spellEnd"/>
      <w:r w:rsidRPr="007C4490">
        <w:rPr>
          <w:rFonts w:ascii="Times New Roman" w:hAnsi="Times New Roman" w:cs="Times New Roman"/>
          <w:sz w:val="24"/>
          <w:szCs w:val="24"/>
          <w:lang w:val="en-GB"/>
        </w:rPr>
        <w:t>, D. and Waddan, A. (2012b)</w:t>
      </w:r>
      <w:r w:rsidR="002674C2" w:rsidRPr="007C4490">
        <w:rPr>
          <w:rFonts w:ascii="Times New Roman" w:hAnsi="Times New Roman" w:cs="Times New Roman"/>
          <w:sz w:val="24"/>
          <w:szCs w:val="24"/>
          <w:lang w:val="en-GB"/>
        </w:rPr>
        <w:t xml:space="preserve">, </w:t>
      </w:r>
      <w:r w:rsidR="002674C2" w:rsidRPr="007C4490">
        <w:rPr>
          <w:rFonts w:ascii="Times New Roman" w:hAnsi="Times New Roman" w:cs="Times New Roman"/>
          <w:sz w:val="24"/>
          <w:szCs w:val="24"/>
          <w:lang w:val="en-GB" w:eastAsia="en-GB"/>
        </w:rPr>
        <w:t>The Obama p</w:t>
      </w:r>
      <w:r w:rsidR="00835ED5" w:rsidRPr="007C4490">
        <w:rPr>
          <w:rFonts w:ascii="Times New Roman" w:hAnsi="Times New Roman" w:cs="Times New Roman"/>
          <w:sz w:val="24"/>
          <w:szCs w:val="24"/>
          <w:lang w:val="en-GB" w:eastAsia="en-GB"/>
        </w:rPr>
        <w:t>residency an</w:t>
      </w:r>
      <w:r w:rsidR="002674C2" w:rsidRPr="007C4490">
        <w:rPr>
          <w:rFonts w:ascii="Times New Roman" w:hAnsi="Times New Roman" w:cs="Times New Roman"/>
          <w:sz w:val="24"/>
          <w:szCs w:val="24"/>
          <w:lang w:val="en-GB" w:eastAsia="en-GB"/>
        </w:rPr>
        <w:t>d health insurance reform: assessing continuity and change,</w:t>
      </w:r>
      <w:r w:rsidR="00835ED5" w:rsidRPr="007C4490">
        <w:rPr>
          <w:rFonts w:ascii="Times New Roman" w:hAnsi="Times New Roman" w:cs="Times New Roman"/>
          <w:sz w:val="24"/>
          <w:szCs w:val="24"/>
          <w:lang w:val="en-GB" w:eastAsia="en-GB"/>
        </w:rPr>
        <w:t xml:space="preserve"> </w:t>
      </w:r>
      <w:r w:rsidR="00835ED5" w:rsidRPr="007C4490">
        <w:rPr>
          <w:rFonts w:ascii="Times New Roman" w:hAnsi="Times New Roman" w:cs="Times New Roman"/>
          <w:i/>
          <w:iCs/>
          <w:sz w:val="24"/>
          <w:szCs w:val="24"/>
          <w:lang w:val="en-GB" w:eastAsia="en-GB"/>
        </w:rPr>
        <w:t>Social Policy &amp; Society</w:t>
      </w:r>
      <w:r w:rsidR="00F333EF" w:rsidRPr="007C4490">
        <w:rPr>
          <w:rFonts w:ascii="Times New Roman" w:hAnsi="Times New Roman" w:cs="Times New Roman"/>
          <w:sz w:val="24"/>
          <w:szCs w:val="24"/>
          <w:lang w:val="en-GB" w:eastAsia="en-GB"/>
        </w:rPr>
        <w:t>,</w:t>
      </w:r>
      <w:r w:rsidR="002674C2" w:rsidRPr="007C4490">
        <w:rPr>
          <w:rFonts w:ascii="Times New Roman" w:hAnsi="Times New Roman" w:cs="Times New Roman"/>
          <w:sz w:val="24"/>
          <w:szCs w:val="24"/>
          <w:lang w:val="en-GB" w:eastAsia="en-GB"/>
        </w:rPr>
        <w:t xml:space="preserve"> 11, 3</w:t>
      </w:r>
      <w:r w:rsidR="002551A1" w:rsidRPr="007C4490">
        <w:rPr>
          <w:rFonts w:ascii="Times New Roman" w:hAnsi="Times New Roman" w:cs="Times New Roman"/>
          <w:sz w:val="24"/>
          <w:szCs w:val="24"/>
          <w:lang w:val="en-GB" w:eastAsia="en-GB"/>
        </w:rPr>
        <w:t>: 319-</w:t>
      </w:r>
      <w:r w:rsidR="00835ED5" w:rsidRPr="007C4490">
        <w:rPr>
          <w:rFonts w:ascii="Times New Roman" w:hAnsi="Times New Roman" w:cs="Times New Roman"/>
          <w:sz w:val="24"/>
          <w:szCs w:val="24"/>
          <w:lang w:val="en-GB" w:eastAsia="en-GB"/>
        </w:rPr>
        <w:t>30</w:t>
      </w:r>
      <w:r w:rsidR="00E31CF9" w:rsidRPr="007C4490">
        <w:rPr>
          <w:rFonts w:ascii="Times New Roman" w:hAnsi="Times New Roman" w:cs="Times New Roman"/>
          <w:sz w:val="24"/>
          <w:szCs w:val="24"/>
          <w:lang w:val="en-GB" w:eastAsia="en-GB"/>
        </w:rPr>
        <w:t>.</w:t>
      </w:r>
    </w:p>
    <w:p w14:paraId="2C3D182A" w14:textId="77777777" w:rsidR="00884D72" w:rsidRPr="007C4490" w:rsidRDefault="00884D72"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t>Béland</w:t>
      </w:r>
      <w:proofErr w:type="spellEnd"/>
      <w:r w:rsidRPr="007C4490">
        <w:rPr>
          <w:rFonts w:ascii="Times New Roman" w:hAnsi="Times New Roman" w:cs="Times New Roman"/>
          <w:sz w:val="24"/>
          <w:szCs w:val="24"/>
          <w:lang w:val="en-GB"/>
        </w:rPr>
        <w:t>, D and Gran, B. (</w:t>
      </w:r>
      <w:proofErr w:type="spellStart"/>
      <w:proofErr w:type="gramStart"/>
      <w:r w:rsidRPr="007C4490">
        <w:rPr>
          <w:rFonts w:ascii="Times New Roman" w:hAnsi="Times New Roman" w:cs="Times New Roman"/>
          <w:sz w:val="24"/>
          <w:szCs w:val="24"/>
          <w:lang w:val="en-GB"/>
        </w:rPr>
        <w:t>eds</w:t>
      </w:r>
      <w:proofErr w:type="spellEnd"/>
      <w:proofErr w:type="gramEnd"/>
      <w:r w:rsidRPr="007C4490">
        <w:rPr>
          <w:rFonts w:ascii="Times New Roman" w:hAnsi="Times New Roman" w:cs="Times New Roman"/>
          <w:sz w:val="24"/>
          <w:szCs w:val="24"/>
          <w:lang w:val="en-GB"/>
        </w:rPr>
        <w:t xml:space="preserve">) (2008), </w:t>
      </w:r>
      <w:r w:rsidRPr="007C4490">
        <w:rPr>
          <w:rFonts w:ascii="Times New Roman" w:hAnsi="Times New Roman" w:cs="Times New Roman"/>
          <w:i/>
          <w:sz w:val="24"/>
          <w:szCs w:val="24"/>
          <w:lang w:val="en-GB"/>
        </w:rPr>
        <w:t>Public and Private Social Policy: Health and Pensions in a New Era</w:t>
      </w:r>
      <w:r w:rsidRPr="007C4490">
        <w:rPr>
          <w:rFonts w:ascii="Times New Roman" w:hAnsi="Times New Roman" w:cs="Times New Roman"/>
          <w:sz w:val="24"/>
          <w:szCs w:val="24"/>
          <w:lang w:val="en-GB"/>
        </w:rPr>
        <w:t>, Basingstoke: Palgrave Macmillan.</w:t>
      </w:r>
    </w:p>
    <w:p w14:paraId="3ED4D4C8" w14:textId="77777777" w:rsidR="00835ED5" w:rsidRPr="007C4490" w:rsidRDefault="00835ED5" w:rsidP="00282389">
      <w:pPr>
        <w:shd w:val="clear" w:color="auto" w:fill="FFFFFF"/>
        <w:spacing w:after="0" w:line="480" w:lineRule="auto"/>
        <w:ind w:left="720" w:hanging="720"/>
        <w:jc w:val="both"/>
        <w:rPr>
          <w:rFonts w:ascii="Times New Roman" w:eastAsia="Times New Roman" w:hAnsi="Times New Roman" w:cs="Times New Roman"/>
          <w:sz w:val="24"/>
          <w:szCs w:val="24"/>
          <w:lang w:val="en-GB" w:eastAsia="en-GB"/>
        </w:rPr>
      </w:pPr>
      <w:proofErr w:type="spellStart"/>
      <w:r w:rsidRPr="007C4490">
        <w:rPr>
          <w:rFonts w:ascii="Times New Roman" w:hAnsi="Times New Roman" w:cs="Times New Roman"/>
          <w:sz w:val="24"/>
          <w:szCs w:val="24"/>
          <w:lang w:val="en-GB"/>
        </w:rPr>
        <w:t>Béland</w:t>
      </w:r>
      <w:proofErr w:type="spellEnd"/>
      <w:r w:rsidRPr="007C4490">
        <w:rPr>
          <w:rFonts w:ascii="Times New Roman" w:hAnsi="Times New Roman" w:cs="Times New Roman"/>
          <w:sz w:val="24"/>
          <w:szCs w:val="24"/>
          <w:lang w:val="en-GB"/>
        </w:rPr>
        <w:t>, D., Roc</w:t>
      </w:r>
      <w:r w:rsidR="002551A1" w:rsidRPr="007C4490">
        <w:rPr>
          <w:rFonts w:ascii="Times New Roman" w:hAnsi="Times New Roman" w:cs="Times New Roman"/>
          <w:sz w:val="24"/>
          <w:szCs w:val="24"/>
          <w:lang w:val="en-GB"/>
        </w:rPr>
        <w:t xml:space="preserve">co, P. and Waddan, A. (2014), </w:t>
      </w:r>
      <w:r w:rsidRPr="007C4490">
        <w:rPr>
          <w:rFonts w:ascii="Times New Roman" w:hAnsi="Times New Roman" w:cs="Times New Roman"/>
          <w:sz w:val="24"/>
          <w:szCs w:val="24"/>
          <w:lang w:val="en-GB"/>
        </w:rPr>
        <w:t>Implementing health care reform in the United States: intergovernmental politics and the d</w:t>
      </w:r>
      <w:r w:rsidR="002551A1" w:rsidRPr="007C4490">
        <w:rPr>
          <w:rFonts w:ascii="Times New Roman" w:hAnsi="Times New Roman" w:cs="Times New Roman"/>
          <w:sz w:val="24"/>
          <w:szCs w:val="24"/>
          <w:lang w:val="en-GB"/>
        </w:rPr>
        <w:t>ilemmas of institutional design</w:t>
      </w:r>
      <w:r w:rsidRPr="007C4490">
        <w:rPr>
          <w:rFonts w:ascii="Times New Roman" w:hAnsi="Times New Roman" w:cs="Times New Roman"/>
          <w:sz w:val="24"/>
          <w:szCs w:val="24"/>
          <w:lang w:val="en-GB"/>
        </w:rPr>
        <w:t xml:space="preserve">, </w:t>
      </w:r>
      <w:hyperlink r:id="rId9" w:anchor="comments" w:history="1">
        <w:r w:rsidRPr="007C4490">
          <w:rPr>
            <w:rFonts w:ascii="Times New Roman" w:eastAsia="Times New Roman" w:hAnsi="Times New Roman" w:cs="Times New Roman"/>
            <w:i/>
            <w:vanish/>
            <w:sz w:val="24"/>
            <w:szCs w:val="24"/>
            <w:lang w:val="en-GB" w:eastAsia="en-GB"/>
          </w:rPr>
          <w:t>See comment in PubMed Commons below</w:t>
        </w:r>
      </w:hyperlink>
      <w:r w:rsidR="008A1A7C" w:rsidRPr="007C4490">
        <w:rPr>
          <w:rFonts w:ascii="Times New Roman" w:eastAsia="Times New Roman" w:hAnsi="Times New Roman" w:cs="Times New Roman"/>
          <w:i/>
          <w:sz w:val="24"/>
          <w:szCs w:val="24"/>
          <w:lang w:val="en-GB" w:eastAsia="en-GB"/>
        </w:rPr>
        <w:t>Health Policy</w:t>
      </w:r>
      <w:r w:rsidR="008A1A7C" w:rsidRPr="007C4490">
        <w:rPr>
          <w:rFonts w:ascii="Times New Roman" w:eastAsia="Times New Roman" w:hAnsi="Times New Roman" w:cs="Times New Roman"/>
          <w:sz w:val="24"/>
          <w:szCs w:val="24"/>
          <w:lang w:val="en-GB" w:eastAsia="en-GB"/>
        </w:rPr>
        <w:t>,</w:t>
      </w:r>
      <w:r w:rsidR="008A1A7C" w:rsidRPr="007C4490">
        <w:rPr>
          <w:rFonts w:ascii="Times New Roman" w:eastAsia="Times New Roman" w:hAnsi="Times New Roman" w:cs="Times New Roman"/>
          <w:i/>
          <w:sz w:val="24"/>
          <w:szCs w:val="24"/>
          <w:lang w:val="en-GB" w:eastAsia="en-GB"/>
        </w:rPr>
        <w:t xml:space="preserve"> </w:t>
      </w:r>
      <w:r w:rsidR="002551A1" w:rsidRPr="007C4490">
        <w:rPr>
          <w:rFonts w:ascii="Times New Roman" w:eastAsia="Times New Roman" w:hAnsi="Times New Roman" w:cs="Times New Roman"/>
          <w:sz w:val="24"/>
          <w:szCs w:val="24"/>
          <w:lang w:val="en-GB" w:eastAsia="en-GB"/>
        </w:rPr>
        <w:t>116, 1</w:t>
      </w:r>
      <w:r w:rsidRPr="007C4490">
        <w:rPr>
          <w:rFonts w:ascii="Times New Roman" w:eastAsia="Times New Roman" w:hAnsi="Times New Roman" w:cs="Times New Roman"/>
          <w:sz w:val="24"/>
          <w:szCs w:val="24"/>
          <w:lang w:val="en-GB" w:eastAsia="en-GB"/>
        </w:rPr>
        <w:t>:51-60</w:t>
      </w:r>
      <w:r w:rsidR="00E31CF9" w:rsidRPr="007C4490">
        <w:rPr>
          <w:rFonts w:ascii="Times New Roman" w:eastAsia="Times New Roman" w:hAnsi="Times New Roman" w:cs="Times New Roman"/>
          <w:sz w:val="24"/>
          <w:szCs w:val="24"/>
          <w:lang w:val="en-GB" w:eastAsia="en-GB"/>
        </w:rPr>
        <w:t>.</w:t>
      </w:r>
    </w:p>
    <w:p w14:paraId="05F3DF1E" w14:textId="77777777" w:rsidR="00104722" w:rsidRPr="007C4490" w:rsidRDefault="00104722" w:rsidP="00282389">
      <w:pPr>
        <w:shd w:val="clear" w:color="auto" w:fill="FFFFFF"/>
        <w:spacing w:after="0" w:line="480" w:lineRule="auto"/>
        <w:ind w:left="720" w:hanging="720"/>
        <w:jc w:val="both"/>
        <w:rPr>
          <w:rFonts w:ascii="Times New Roman" w:eastAsia="Times New Roman" w:hAnsi="Times New Roman" w:cs="Times New Roman"/>
          <w:sz w:val="24"/>
          <w:szCs w:val="24"/>
          <w:lang w:val="en-GB" w:eastAsia="en-GB"/>
        </w:rPr>
      </w:pPr>
      <w:proofErr w:type="spellStart"/>
      <w:r w:rsidRPr="007C4490">
        <w:rPr>
          <w:rFonts w:ascii="Times New Roman" w:hAnsi="Times New Roman" w:cs="Times New Roman"/>
          <w:sz w:val="24"/>
          <w:szCs w:val="24"/>
          <w:lang w:val="en-GB"/>
        </w:rPr>
        <w:t>Belluck</w:t>
      </w:r>
      <w:proofErr w:type="spellEnd"/>
      <w:r w:rsidRPr="007C4490">
        <w:rPr>
          <w:rFonts w:ascii="Times New Roman" w:hAnsi="Times New Roman" w:cs="Times New Roman"/>
          <w:sz w:val="24"/>
          <w:szCs w:val="24"/>
          <w:lang w:val="en-GB"/>
        </w:rPr>
        <w:t xml:space="preserve">, P. and </w:t>
      </w:r>
      <w:proofErr w:type="spellStart"/>
      <w:r w:rsidRPr="007C4490">
        <w:rPr>
          <w:rFonts w:ascii="Times New Roman" w:hAnsi="Times New Roman" w:cs="Times New Roman"/>
          <w:sz w:val="24"/>
          <w:szCs w:val="24"/>
          <w:lang w:val="en-GB"/>
        </w:rPr>
        <w:t>Zez</w:t>
      </w:r>
      <w:r w:rsidR="002551A1" w:rsidRPr="007C4490">
        <w:rPr>
          <w:rFonts w:ascii="Times New Roman" w:hAnsi="Times New Roman" w:cs="Times New Roman"/>
          <w:sz w:val="24"/>
          <w:szCs w:val="24"/>
          <w:lang w:val="en-GB"/>
        </w:rPr>
        <w:t>ima</w:t>
      </w:r>
      <w:proofErr w:type="spellEnd"/>
      <w:r w:rsidR="002551A1" w:rsidRPr="007C4490">
        <w:rPr>
          <w:rFonts w:ascii="Times New Roman" w:hAnsi="Times New Roman" w:cs="Times New Roman"/>
          <w:sz w:val="24"/>
          <w:szCs w:val="24"/>
          <w:lang w:val="en-GB"/>
        </w:rPr>
        <w:t>, K. (2006), Massachusetts legislation on insurance becomes law</w:t>
      </w:r>
      <w:r w:rsidRPr="007C4490">
        <w:rPr>
          <w:rFonts w:ascii="Times New Roman" w:hAnsi="Times New Roman" w:cs="Times New Roman"/>
          <w:sz w:val="24"/>
          <w:szCs w:val="24"/>
          <w:lang w:val="en-GB"/>
        </w:rPr>
        <w:t xml:space="preserve">, </w:t>
      </w:r>
      <w:r w:rsidRPr="007C4490">
        <w:rPr>
          <w:rFonts w:ascii="Times New Roman" w:hAnsi="Times New Roman" w:cs="Times New Roman"/>
          <w:i/>
          <w:sz w:val="24"/>
          <w:szCs w:val="24"/>
          <w:lang w:val="en-GB"/>
        </w:rPr>
        <w:t>New York Times</w:t>
      </w:r>
      <w:r w:rsidRPr="007C4490">
        <w:rPr>
          <w:rFonts w:ascii="Times New Roman" w:hAnsi="Times New Roman" w:cs="Times New Roman"/>
          <w:sz w:val="24"/>
          <w:szCs w:val="24"/>
          <w:lang w:val="en-GB"/>
        </w:rPr>
        <w:t>, April 13</w:t>
      </w:r>
      <w:r w:rsidR="00E31CF9"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p>
    <w:p w14:paraId="77C328EF" w14:textId="77777777" w:rsidR="003E49D6" w:rsidRPr="007C4490" w:rsidRDefault="00884D72"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Campbell, J.L. (2004), </w:t>
      </w:r>
      <w:r w:rsidRPr="007C4490">
        <w:rPr>
          <w:rFonts w:ascii="Times New Roman" w:hAnsi="Times New Roman" w:cs="Times New Roman"/>
          <w:i/>
          <w:sz w:val="24"/>
          <w:szCs w:val="24"/>
          <w:lang w:val="en-GB"/>
        </w:rPr>
        <w:t>Institutional Change and Globalization</w:t>
      </w:r>
      <w:r w:rsidRPr="007C4490">
        <w:rPr>
          <w:rFonts w:ascii="Times New Roman" w:hAnsi="Times New Roman" w:cs="Times New Roman"/>
          <w:sz w:val="24"/>
          <w:szCs w:val="24"/>
          <w:lang w:val="en-GB"/>
        </w:rPr>
        <w:t>, Princeton: Princeton University Press.</w:t>
      </w:r>
      <w:r w:rsidR="00547E75" w:rsidRPr="007C4490">
        <w:rPr>
          <w:rFonts w:ascii="Times New Roman" w:hAnsi="Times New Roman" w:cs="Times New Roman"/>
          <w:sz w:val="24"/>
          <w:szCs w:val="24"/>
          <w:lang w:val="en-GB"/>
        </w:rPr>
        <w:t xml:space="preserve"> </w:t>
      </w:r>
    </w:p>
    <w:p w14:paraId="15064B05" w14:textId="77777777" w:rsidR="00E369AB" w:rsidRPr="007C4490" w:rsidRDefault="005F1497"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CBC News (2014), Americans anxious about their retirement savings</w:t>
      </w:r>
      <w:r w:rsidR="009A741C" w:rsidRPr="007C4490">
        <w:rPr>
          <w:rFonts w:ascii="Times New Roman" w:hAnsi="Times New Roman" w:cs="Times New Roman"/>
          <w:sz w:val="24"/>
          <w:szCs w:val="24"/>
          <w:lang w:val="en-GB"/>
        </w:rPr>
        <w:t>, November 10,</w:t>
      </w:r>
      <w:r w:rsidR="00E369AB" w:rsidRPr="007C4490">
        <w:rPr>
          <w:rFonts w:ascii="Times New Roman" w:hAnsi="Times New Roman" w:cs="Times New Roman"/>
          <w:sz w:val="24"/>
          <w:szCs w:val="24"/>
          <w:lang w:val="en-GB"/>
        </w:rPr>
        <w:t xml:space="preserve"> </w:t>
      </w:r>
      <w:r w:rsidR="001652EE" w:rsidRPr="007C4490">
        <w:rPr>
          <w:rFonts w:ascii="Times New Roman" w:hAnsi="Times New Roman" w:cs="Times New Roman"/>
          <w:sz w:val="24"/>
          <w:szCs w:val="24"/>
          <w:lang w:val="en-GB"/>
        </w:rPr>
        <w:t>http://www.cbsnews.com/news/americans-anxious-about-their-retirement-savings/</w:t>
      </w:r>
      <w:r w:rsidRPr="007C4490">
        <w:rPr>
          <w:rFonts w:ascii="Times New Roman" w:hAnsi="Times New Roman" w:cs="Times New Roman"/>
          <w:sz w:val="24"/>
          <w:szCs w:val="24"/>
          <w:lang w:val="en-GB"/>
        </w:rPr>
        <w:t>.</w:t>
      </w:r>
    </w:p>
    <w:p w14:paraId="2D78AB66" w14:textId="77777777" w:rsidR="001652EE" w:rsidRPr="007C4490" w:rsidRDefault="001652EE" w:rsidP="00282389">
      <w:pPr>
        <w:pStyle w:val="NormalWeb"/>
        <w:spacing w:before="0" w:beforeAutospacing="0" w:after="0" w:afterAutospacing="0" w:line="480" w:lineRule="auto"/>
        <w:ind w:left="720" w:hanging="720"/>
        <w:jc w:val="both"/>
        <w:rPr>
          <w:rFonts w:ascii="Times New Roman" w:hAnsi="Times New Roman"/>
          <w:sz w:val="24"/>
          <w:szCs w:val="24"/>
        </w:rPr>
      </w:pPr>
      <w:r w:rsidRPr="007C4490">
        <w:rPr>
          <w:rFonts w:ascii="Times New Roman" w:hAnsi="Times New Roman"/>
          <w:sz w:val="24"/>
          <w:szCs w:val="24"/>
        </w:rPr>
        <w:t>Cohen R</w:t>
      </w:r>
      <w:r w:rsidR="005F1497" w:rsidRPr="007C4490">
        <w:rPr>
          <w:rFonts w:ascii="Times New Roman" w:hAnsi="Times New Roman"/>
          <w:sz w:val="24"/>
          <w:szCs w:val="24"/>
        </w:rPr>
        <w:t>.</w:t>
      </w:r>
      <w:r w:rsidRPr="007C4490">
        <w:rPr>
          <w:rFonts w:ascii="Times New Roman" w:hAnsi="Times New Roman"/>
          <w:sz w:val="24"/>
          <w:szCs w:val="24"/>
        </w:rPr>
        <w:t>A</w:t>
      </w:r>
      <w:r w:rsidR="005F1497" w:rsidRPr="007C4490">
        <w:rPr>
          <w:rFonts w:ascii="Times New Roman" w:hAnsi="Times New Roman"/>
          <w:sz w:val="24"/>
          <w:szCs w:val="24"/>
        </w:rPr>
        <w:t>.</w:t>
      </w:r>
      <w:r w:rsidRPr="007C4490">
        <w:rPr>
          <w:rFonts w:ascii="Times New Roman" w:hAnsi="Times New Roman"/>
          <w:sz w:val="24"/>
          <w:szCs w:val="24"/>
        </w:rPr>
        <w:t xml:space="preserve">, </w:t>
      </w:r>
      <w:proofErr w:type="spellStart"/>
      <w:r w:rsidRPr="007C4490">
        <w:rPr>
          <w:rFonts w:ascii="Times New Roman" w:hAnsi="Times New Roman"/>
          <w:sz w:val="24"/>
          <w:szCs w:val="24"/>
        </w:rPr>
        <w:t>Makuc</w:t>
      </w:r>
      <w:proofErr w:type="spellEnd"/>
      <w:r w:rsidRPr="007C4490">
        <w:rPr>
          <w:rFonts w:ascii="Times New Roman" w:hAnsi="Times New Roman"/>
          <w:sz w:val="24"/>
          <w:szCs w:val="24"/>
        </w:rPr>
        <w:t xml:space="preserve"> D</w:t>
      </w:r>
      <w:r w:rsidR="005F1497" w:rsidRPr="007C4490">
        <w:rPr>
          <w:rFonts w:ascii="Times New Roman" w:hAnsi="Times New Roman"/>
          <w:sz w:val="24"/>
          <w:szCs w:val="24"/>
        </w:rPr>
        <w:t>.</w:t>
      </w:r>
      <w:r w:rsidRPr="007C4490">
        <w:rPr>
          <w:rFonts w:ascii="Times New Roman" w:hAnsi="Times New Roman"/>
          <w:sz w:val="24"/>
          <w:szCs w:val="24"/>
        </w:rPr>
        <w:t>M</w:t>
      </w:r>
      <w:r w:rsidR="005F1497" w:rsidRPr="007C4490">
        <w:rPr>
          <w:rFonts w:ascii="Times New Roman" w:hAnsi="Times New Roman"/>
          <w:sz w:val="24"/>
          <w:szCs w:val="24"/>
        </w:rPr>
        <w:t>.</w:t>
      </w:r>
      <w:r w:rsidRPr="007C4490">
        <w:rPr>
          <w:rFonts w:ascii="Times New Roman" w:hAnsi="Times New Roman"/>
          <w:sz w:val="24"/>
          <w:szCs w:val="24"/>
        </w:rPr>
        <w:t>, Bernstein A</w:t>
      </w:r>
      <w:r w:rsidR="005F1497" w:rsidRPr="007C4490">
        <w:rPr>
          <w:rFonts w:ascii="Times New Roman" w:hAnsi="Times New Roman"/>
          <w:sz w:val="24"/>
          <w:szCs w:val="24"/>
        </w:rPr>
        <w:t>.</w:t>
      </w:r>
      <w:r w:rsidRPr="007C4490">
        <w:rPr>
          <w:rFonts w:ascii="Times New Roman" w:hAnsi="Times New Roman"/>
          <w:sz w:val="24"/>
          <w:szCs w:val="24"/>
        </w:rPr>
        <w:t>B</w:t>
      </w:r>
      <w:r w:rsidR="005F1497" w:rsidRPr="007C4490">
        <w:rPr>
          <w:rFonts w:ascii="Times New Roman" w:hAnsi="Times New Roman"/>
          <w:sz w:val="24"/>
          <w:szCs w:val="24"/>
        </w:rPr>
        <w:t>.</w:t>
      </w:r>
      <w:r w:rsidRPr="007C4490">
        <w:rPr>
          <w:rFonts w:ascii="Times New Roman" w:hAnsi="Times New Roman"/>
          <w:sz w:val="24"/>
          <w:szCs w:val="24"/>
        </w:rPr>
        <w:t xml:space="preserve">, </w:t>
      </w:r>
      <w:proofErr w:type="spellStart"/>
      <w:r w:rsidRPr="007C4490">
        <w:rPr>
          <w:rFonts w:ascii="Times New Roman" w:hAnsi="Times New Roman"/>
          <w:sz w:val="24"/>
          <w:szCs w:val="24"/>
        </w:rPr>
        <w:t>Bilheimer</w:t>
      </w:r>
      <w:proofErr w:type="spellEnd"/>
      <w:r w:rsidRPr="007C4490">
        <w:rPr>
          <w:rFonts w:ascii="Times New Roman" w:hAnsi="Times New Roman"/>
          <w:sz w:val="24"/>
          <w:szCs w:val="24"/>
        </w:rPr>
        <w:t xml:space="preserve"> L</w:t>
      </w:r>
      <w:r w:rsidR="005F1497" w:rsidRPr="007C4490">
        <w:rPr>
          <w:rFonts w:ascii="Times New Roman" w:hAnsi="Times New Roman"/>
          <w:sz w:val="24"/>
          <w:szCs w:val="24"/>
        </w:rPr>
        <w:t>.</w:t>
      </w:r>
      <w:r w:rsidRPr="007C4490">
        <w:rPr>
          <w:rFonts w:ascii="Times New Roman" w:hAnsi="Times New Roman"/>
          <w:sz w:val="24"/>
          <w:szCs w:val="24"/>
        </w:rPr>
        <w:t>T</w:t>
      </w:r>
      <w:r w:rsidR="005F1497" w:rsidRPr="007C4490">
        <w:rPr>
          <w:rFonts w:ascii="Times New Roman" w:hAnsi="Times New Roman"/>
          <w:sz w:val="24"/>
          <w:szCs w:val="24"/>
        </w:rPr>
        <w:t>.</w:t>
      </w:r>
      <w:r w:rsidRPr="007C4490">
        <w:rPr>
          <w:rFonts w:ascii="Times New Roman" w:hAnsi="Times New Roman"/>
          <w:sz w:val="24"/>
          <w:szCs w:val="24"/>
        </w:rPr>
        <w:t xml:space="preserve">, </w:t>
      </w:r>
      <w:r w:rsidR="005F1497" w:rsidRPr="007C4490">
        <w:rPr>
          <w:rFonts w:ascii="Times New Roman" w:hAnsi="Times New Roman"/>
          <w:sz w:val="24"/>
          <w:szCs w:val="24"/>
        </w:rPr>
        <w:t xml:space="preserve">and </w:t>
      </w:r>
      <w:r w:rsidRPr="007C4490">
        <w:rPr>
          <w:rFonts w:ascii="Times New Roman" w:hAnsi="Times New Roman"/>
          <w:sz w:val="24"/>
          <w:szCs w:val="24"/>
        </w:rPr>
        <w:t>Powell-</w:t>
      </w:r>
      <w:proofErr w:type="spellStart"/>
      <w:r w:rsidRPr="007C4490">
        <w:rPr>
          <w:rFonts w:ascii="Times New Roman" w:hAnsi="Times New Roman"/>
          <w:sz w:val="24"/>
          <w:szCs w:val="24"/>
        </w:rPr>
        <w:t>Griner</w:t>
      </w:r>
      <w:proofErr w:type="spellEnd"/>
      <w:r w:rsidRPr="007C4490">
        <w:rPr>
          <w:rFonts w:ascii="Times New Roman" w:hAnsi="Times New Roman"/>
          <w:sz w:val="24"/>
          <w:szCs w:val="24"/>
        </w:rPr>
        <w:t xml:space="preserve"> E. </w:t>
      </w:r>
      <w:r w:rsidR="00282389" w:rsidRPr="007C4490">
        <w:rPr>
          <w:rFonts w:ascii="Times New Roman" w:hAnsi="Times New Roman"/>
          <w:sz w:val="24"/>
          <w:szCs w:val="24"/>
        </w:rPr>
        <w:t xml:space="preserve">(2009), </w:t>
      </w:r>
      <w:r w:rsidR="005F1497" w:rsidRPr="007C4490">
        <w:rPr>
          <w:rFonts w:ascii="Times New Roman" w:hAnsi="Times New Roman"/>
          <w:i/>
          <w:sz w:val="24"/>
          <w:szCs w:val="24"/>
        </w:rPr>
        <w:t>Health Insurance Coverage T</w:t>
      </w:r>
      <w:r w:rsidRPr="007C4490">
        <w:rPr>
          <w:rFonts w:ascii="Times New Roman" w:hAnsi="Times New Roman"/>
          <w:i/>
          <w:sz w:val="24"/>
          <w:szCs w:val="24"/>
        </w:rPr>
        <w:t>rends, 1959–2007: Estimates from the National Hea</w:t>
      </w:r>
      <w:r w:rsidR="005F1497" w:rsidRPr="007C4490">
        <w:rPr>
          <w:rFonts w:ascii="Times New Roman" w:hAnsi="Times New Roman"/>
          <w:i/>
          <w:sz w:val="24"/>
          <w:szCs w:val="24"/>
        </w:rPr>
        <w:t>lth Interview Survey. National Health Statistics Reports, N</w:t>
      </w:r>
      <w:r w:rsidRPr="007C4490">
        <w:rPr>
          <w:rFonts w:ascii="Times New Roman" w:hAnsi="Times New Roman"/>
          <w:i/>
          <w:sz w:val="24"/>
          <w:szCs w:val="24"/>
        </w:rPr>
        <w:t>o</w:t>
      </w:r>
      <w:r w:rsidR="005F1497" w:rsidRPr="007C4490">
        <w:rPr>
          <w:rFonts w:ascii="Times New Roman" w:hAnsi="Times New Roman"/>
          <w:i/>
          <w:sz w:val="24"/>
          <w:szCs w:val="24"/>
        </w:rPr>
        <w:t>.</w:t>
      </w:r>
      <w:r w:rsidRPr="007C4490">
        <w:rPr>
          <w:rFonts w:ascii="Times New Roman" w:hAnsi="Times New Roman"/>
          <w:i/>
          <w:sz w:val="24"/>
          <w:szCs w:val="24"/>
        </w:rPr>
        <w:t xml:space="preserve"> 17</w:t>
      </w:r>
      <w:r w:rsidR="005F1497" w:rsidRPr="007C4490">
        <w:rPr>
          <w:rFonts w:ascii="Times New Roman" w:hAnsi="Times New Roman"/>
          <w:sz w:val="24"/>
          <w:szCs w:val="24"/>
        </w:rPr>
        <w:t>,</w:t>
      </w:r>
      <w:r w:rsidRPr="007C4490">
        <w:rPr>
          <w:rFonts w:ascii="Times New Roman" w:hAnsi="Times New Roman"/>
          <w:sz w:val="24"/>
          <w:szCs w:val="24"/>
        </w:rPr>
        <w:t xml:space="preserve"> Hyattsville, MD: National </w:t>
      </w:r>
      <w:proofErr w:type="spellStart"/>
      <w:r w:rsidRPr="007C4490">
        <w:rPr>
          <w:rFonts w:ascii="Times New Roman" w:hAnsi="Times New Roman"/>
          <w:sz w:val="24"/>
          <w:szCs w:val="24"/>
        </w:rPr>
        <w:t>Center</w:t>
      </w:r>
      <w:proofErr w:type="spellEnd"/>
      <w:r w:rsidRPr="007C4490">
        <w:rPr>
          <w:rFonts w:ascii="Times New Roman" w:hAnsi="Times New Roman"/>
          <w:sz w:val="24"/>
          <w:szCs w:val="24"/>
        </w:rPr>
        <w:t xml:space="preserve"> for Healt</w:t>
      </w:r>
      <w:r w:rsidR="009A741C" w:rsidRPr="007C4490">
        <w:rPr>
          <w:rFonts w:ascii="Times New Roman" w:hAnsi="Times New Roman"/>
          <w:sz w:val="24"/>
          <w:szCs w:val="24"/>
        </w:rPr>
        <w:t>h Statistics,</w:t>
      </w:r>
      <w:r w:rsidRPr="007C4490">
        <w:rPr>
          <w:rFonts w:ascii="Times New Roman" w:hAnsi="Times New Roman"/>
          <w:sz w:val="24"/>
          <w:szCs w:val="24"/>
        </w:rPr>
        <w:t xml:space="preserve"> http://www.cdc.gov/nchs/data/nhsr/nhsr017.pdf</w:t>
      </w:r>
      <w:r w:rsidR="005F1497" w:rsidRPr="007C4490">
        <w:rPr>
          <w:rStyle w:val="Hyperlink"/>
          <w:rFonts w:ascii="Times New Roman" w:hAnsi="Times New Roman"/>
          <w:color w:val="auto"/>
          <w:sz w:val="24"/>
          <w:szCs w:val="24"/>
          <w:u w:val="none"/>
        </w:rPr>
        <w:t>.</w:t>
      </w:r>
    </w:p>
    <w:p w14:paraId="095444D2" w14:textId="77777777" w:rsidR="00CF69F9" w:rsidRPr="007C4490" w:rsidRDefault="00745134" w:rsidP="00F55293">
      <w:pPr>
        <w:widowControl w:val="0"/>
        <w:autoSpaceDE w:val="0"/>
        <w:autoSpaceDN w:val="0"/>
        <w:adjustRightInd w:val="0"/>
        <w:spacing w:after="0" w:line="480" w:lineRule="auto"/>
        <w:jc w:val="both"/>
        <w:rPr>
          <w:rFonts w:ascii="Times New Roman" w:hAnsi="Times New Roman" w:cs="Times New Roman"/>
          <w:i/>
          <w:sz w:val="24"/>
          <w:szCs w:val="40"/>
          <w:lang w:val="en-GB"/>
        </w:rPr>
      </w:pPr>
      <w:r w:rsidRPr="007C4490">
        <w:rPr>
          <w:rFonts w:ascii="Times New Roman" w:eastAsia="Times New Roman" w:hAnsi="Times New Roman" w:cs="Times New Roman"/>
          <w:sz w:val="24"/>
          <w:szCs w:val="24"/>
          <w:lang w:val="en-GB"/>
        </w:rPr>
        <w:t xml:space="preserve">Congressional Budget Office (2015), </w:t>
      </w:r>
      <w:r w:rsidR="00CF69F9" w:rsidRPr="007C4490">
        <w:rPr>
          <w:rFonts w:ascii="Times New Roman" w:hAnsi="Times New Roman" w:cs="Times New Roman"/>
          <w:i/>
          <w:sz w:val="24"/>
          <w:szCs w:val="40"/>
          <w:lang w:val="en-GB"/>
        </w:rPr>
        <w:t xml:space="preserve">Insurance Coverage Provisions of the Affordable Care </w:t>
      </w:r>
      <w:r w:rsidR="00F55293" w:rsidRPr="007C4490">
        <w:rPr>
          <w:rFonts w:ascii="Times New Roman" w:hAnsi="Times New Roman" w:cs="Times New Roman"/>
          <w:i/>
          <w:sz w:val="24"/>
          <w:szCs w:val="40"/>
          <w:lang w:val="en-GB"/>
        </w:rPr>
        <w:tab/>
      </w:r>
      <w:r w:rsidR="00CF69F9" w:rsidRPr="007C4490">
        <w:rPr>
          <w:rFonts w:ascii="Times New Roman" w:hAnsi="Times New Roman" w:cs="Times New Roman"/>
          <w:i/>
          <w:sz w:val="24"/>
          <w:szCs w:val="40"/>
          <w:lang w:val="en-GB"/>
        </w:rPr>
        <w:t>Act—CBO’s March 2015 Baseline</w:t>
      </w:r>
      <w:r w:rsidR="00CF69F9" w:rsidRPr="007C4490">
        <w:rPr>
          <w:rFonts w:ascii="Times New Roman" w:hAnsi="Times New Roman" w:cs="Times New Roman"/>
          <w:sz w:val="24"/>
          <w:szCs w:val="40"/>
          <w:lang w:val="en-GB"/>
        </w:rPr>
        <w:t>, Washington, D</w:t>
      </w:r>
      <w:r w:rsidR="009A741C" w:rsidRPr="007C4490">
        <w:rPr>
          <w:rFonts w:ascii="Times New Roman" w:hAnsi="Times New Roman" w:cs="Times New Roman"/>
          <w:sz w:val="24"/>
          <w:szCs w:val="40"/>
          <w:lang w:val="en-GB"/>
        </w:rPr>
        <w:t>C</w:t>
      </w:r>
      <w:r w:rsidR="00CF69F9" w:rsidRPr="007C4490">
        <w:rPr>
          <w:rFonts w:ascii="Times New Roman" w:hAnsi="Times New Roman" w:cs="Times New Roman"/>
          <w:sz w:val="24"/>
          <w:szCs w:val="40"/>
          <w:lang w:val="en-GB"/>
        </w:rPr>
        <w:t xml:space="preserve">: Government Printing Office. </w:t>
      </w:r>
    </w:p>
    <w:p w14:paraId="00E0DAD3" w14:textId="77777777" w:rsidR="000909B8" w:rsidRPr="007C4490" w:rsidRDefault="009A741C"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eastAsia="Times New Roman" w:hAnsi="Times New Roman" w:cs="Times New Roman"/>
          <w:sz w:val="24"/>
          <w:szCs w:val="24"/>
          <w:lang w:val="en-GB"/>
        </w:rPr>
        <w:t>Edwards III, G.</w:t>
      </w:r>
      <w:r w:rsidR="003E49D6" w:rsidRPr="007C4490">
        <w:rPr>
          <w:rFonts w:ascii="Times New Roman" w:eastAsia="Times New Roman" w:hAnsi="Times New Roman" w:cs="Times New Roman"/>
          <w:sz w:val="24"/>
          <w:szCs w:val="24"/>
          <w:lang w:val="en-GB"/>
        </w:rPr>
        <w:t xml:space="preserve">C. (2007), </w:t>
      </w:r>
      <w:r w:rsidR="003E49D6" w:rsidRPr="007C4490">
        <w:rPr>
          <w:rFonts w:ascii="Times New Roman" w:eastAsia="Times New Roman" w:hAnsi="Times New Roman" w:cs="Times New Roman"/>
          <w:i/>
          <w:sz w:val="24"/>
          <w:szCs w:val="24"/>
          <w:lang w:val="en-GB"/>
        </w:rPr>
        <w:t>Governing by Campaigning: The Politics of the Bush Presidency</w:t>
      </w:r>
      <w:r w:rsidR="003E49D6" w:rsidRPr="007C4490">
        <w:rPr>
          <w:rFonts w:ascii="Times New Roman" w:eastAsia="Times New Roman" w:hAnsi="Times New Roman" w:cs="Times New Roman"/>
          <w:sz w:val="24"/>
          <w:szCs w:val="24"/>
          <w:lang w:val="en-GB"/>
        </w:rPr>
        <w:t xml:space="preserve">, New York: Pearson Longman. </w:t>
      </w:r>
    </w:p>
    <w:p w14:paraId="4D377C69" w14:textId="77777777" w:rsidR="00D528D3" w:rsidRPr="007C4490" w:rsidRDefault="000909B8"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lastRenderedPageBreak/>
        <w:t>Emple</w:t>
      </w:r>
      <w:proofErr w:type="spellEnd"/>
      <w:r w:rsidRPr="007C4490">
        <w:rPr>
          <w:rFonts w:ascii="Times New Roman" w:hAnsi="Times New Roman" w:cs="Times New Roman"/>
          <w:sz w:val="24"/>
          <w:szCs w:val="24"/>
          <w:lang w:val="en-GB"/>
        </w:rPr>
        <w:t xml:space="preserve">, </w:t>
      </w:r>
      <w:r w:rsidR="002026FC" w:rsidRPr="007C4490">
        <w:rPr>
          <w:rFonts w:ascii="Times New Roman" w:hAnsi="Times New Roman" w:cs="Times New Roman"/>
          <w:sz w:val="24"/>
          <w:szCs w:val="24"/>
          <w:lang w:val="en-GB"/>
        </w:rPr>
        <w:t>H. (2013),</w:t>
      </w:r>
      <w:r w:rsidRPr="007C4490">
        <w:rPr>
          <w:rFonts w:ascii="Times New Roman" w:hAnsi="Times New Roman" w:cs="Times New Roman"/>
          <w:sz w:val="24"/>
          <w:szCs w:val="24"/>
          <w:lang w:val="en-GB"/>
        </w:rPr>
        <w:t xml:space="preserve"> </w:t>
      </w:r>
      <w:r w:rsidR="009A741C" w:rsidRPr="007C4490">
        <w:rPr>
          <w:rFonts w:ascii="Times New Roman" w:hAnsi="Times New Roman" w:cs="Times New Roman"/>
          <w:sz w:val="24"/>
          <w:szCs w:val="24"/>
          <w:lang w:val="en-GB"/>
        </w:rPr>
        <w:t>New report sheds light on m</w:t>
      </w:r>
      <w:r w:rsidR="002026FC" w:rsidRPr="007C4490">
        <w:rPr>
          <w:rFonts w:ascii="Times New Roman" w:hAnsi="Times New Roman" w:cs="Times New Roman"/>
          <w:sz w:val="24"/>
          <w:szCs w:val="24"/>
          <w:lang w:val="en-GB"/>
        </w:rPr>
        <w:t>agnitude o</w:t>
      </w:r>
      <w:r w:rsidR="009A741C" w:rsidRPr="007C4490">
        <w:rPr>
          <w:rFonts w:ascii="Times New Roman" w:hAnsi="Times New Roman" w:cs="Times New Roman"/>
          <w:sz w:val="24"/>
          <w:szCs w:val="24"/>
          <w:lang w:val="en-GB"/>
        </w:rPr>
        <w:t>f the retirement savings crisis</w:t>
      </w:r>
      <w:r w:rsidR="002026FC" w:rsidRPr="007C4490">
        <w:rPr>
          <w:rFonts w:ascii="Times New Roman" w:hAnsi="Times New Roman" w:cs="Times New Roman"/>
          <w:sz w:val="24"/>
          <w:szCs w:val="24"/>
          <w:lang w:val="en-GB"/>
        </w:rPr>
        <w:t>, Washington, DC</w:t>
      </w:r>
      <w:r w:rsidR="009A741C" w:rsidRPr="007C4490">
        <w:rPr>
          <w:rFonts w:ascii="Times New Roman" w:hAnsi="Times New Roman" w:cs="Times New Roman"/>
          <w:sz w:val="24"/>
          <w:szCs w:val="24"/>
          <w:lang w:val="en-GB"/>
        </w:rPr>
        <w:t>: New America Foundation,</w:t>
      </w:r>
      <w:r w:rsidR="002026FC" w:rsidRPr="007C4490">
        <w:rPr>
          <w:rFonts w:ascii="Times New Roman" w:hAnsi="Times New Roman" w:cs="Times New Roman"/>
          <w:sz w:val="24"/>
          <w:szCs w:val="24"/>
          <w:lang w:val="en-GB"/>
        </w:rPr>
        <w:t xml:space="preserve"> </w:t>
      </w:r>
    </w:p>
    <w:p w14:paraId="64ACA4FB" w14:textId="77777777" w:rsidR="00EE0DCD" w:rsidRPr="007C4490" w:rsidRDefault="00D528D3" w:rsidP="00EE0DCD">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ab/>
      </w:r>
      <w:r w:rsidR="005E557F" w:rsidRPr="007C4490">
        <w:rPr>
          <w:rFonts w:ascii="Times New Roman" w:hAnsi="Times New Roman" w:cs="Times New Roman"/>
          <w:sz w:val="24"/>
          <w:szCs w:val="24"/>
          <w:lang w:val="en-GB"/>
        </w:rPr>
        <w:t>http://assets.newamerica.net/blogposts/2013/new_report_sheds_light_on_magnitude_of_the_retirement_savings_crisis-86426</w:t>
      </w:r>
      <w:r w:rsidR="009A741C" w:rsidRPr="007C4490">
        <w:rPr>
          <w:rFonts w:ascii="Times New Roman" w:hAnsi="Times New Roman" w:cs="Times New Roman"/>
          <w:sz w:val="24"/>
          <w:szCs w:val="24"/>
          <w:lang w:val="en-GB"/>
        </w:rPr>
        <w:t>.</w:t>
      </w:r>
    </w:p>
    <w:p w14:paraId="4E421882" w14:textId="77777777" w:rsidR="00EE0DCD" w:rsidRPr="007C4490" w:rsidRDefault="009A741C" w:rsidP="00F55293">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t>Gildiner</w:t>
      </w:r>
      <w:proofErr w:type="spellEnd"/>
      <w:r w:rsidRPr="007C4490">
        <w:rPr>
          <w:rFonts w:ascii="Times New Roman" w:hAnsi="Times New Roman" w:cs="Times New Roman"/>
          <w:sz w:val="24"/>
          <w:szCs w:val="24"/>
          <w:lang w:val="en-GB"/>
        </w:rPr>
        <w:t xml:space="preserve">, A. (2007), </w:t>
      </w:r>
      <w:proofErr w:type="gramStart"/>
      <w:r w:rsidRPr="007C4490">
        <w:rPr>
          <w:rFonts w:ascii="Times New Roman" w:hAnsi="Times New Roman" w:cs="Times New Roman"/>
          <w:sz w:val="24"/>
          <w:szCs w:val="24"/>
          <w:lang w:val="en-GB"/>
        </w:rPr>
        <w:t>The</w:t>
      </w:r>
      <w:proofErr w:type="gramEnd"/>
      <w:r w:rsidRPr="007C4490">
        <w:rPr>
          <w:rFonts w:ascii="Times New Roman" w:hAnsi="Times New Roman" w:cs="Times New Roman"/>
          <w:sz w:val="24"/>
          <w:szCs w:val="24"/>
          <w:lang w:val="en-GB"/>
        </w:rPr>
        <w:t xml:space="preserve"> organization of decision-making and the dynamics of p</w:t>
      </w:r>
      <w:r w:rsidR="00EE0DCD" w:rsidRPr="007C4490">
        <w:rPr>
          <w:rFonts w:ascii="Times New Roman" w:hAnsi="Times New Roman" w:cs="Times New Roman"/>
          <w:sz w:val="24"/>
          <w:szCs w:val="24"/>
          <w:lang w:val="en-GB"/>
        </w:rPr>
        <w:t>olicy</w:t>
      </w:r>
      <w:r w:rsidR="00F55293"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drift: a Canadian health sector example,</w:t>
      </w:r>
      <w:r w:rsidR="00EE0DCD" w:rsidRPr="007C4490">
        <w:rPr>
          <w:rFonts w:ascii="Times New Roman" w:hAnsi="Times New Roman" w:cs="Times New Roman"/>
          <w:sz w:val="24"/>
          <w:szCs w:val="24"/>
          <w:lang w:val="en-GB"/>
        </w:rPr>
        <w:t xml:space="preserve"> </w:t>
      </w:r>
      <w:r w:rsidR="00EE0DCD" w:rsidRPr="007C4490">
        <w:rPr>
          <w:rFonts w:ascii="Times New Roman" w:hAnsi="Times New Roman" w:cs="Times New Roman"/>
          <w:i/>
          <w:iCs/>
          <w:sz w:val="24"/>
          <w:szCs w:val="24"/>
          <w:lang w:val="en-GB"/>
        </w:rPr>
        <w:t>Social Policy &amp; Administration</w:t>
      </w:r>
      <w:r w:rsidR="00EE0DCD" w:rsidRPr="007C4490">
        <w:rPr>
          <w:rFonts w:ascii="Times New Roman" w:hAnsi="Times New Roman" w:cs="Times New Roman"/>
          <w:sz w:val="24"/>
          <w:szCs w:val="24"/>
          <w:lang w:val="en-GB"/>
        </w:rPr>
        <w:t xml:space="preserve">, </w:t>
      </w:r>
      <w:r w:rsidR="00EE0DCD" w:rsidRPr="007C4490">
        <w:rPr>
          <w:rFonts w:ascii="Times New Roman" w:hAnsi="Times New Roman" w:cs="Times New Roman"/>
          <w:iCs/>
          <w:sz w:val="24"/>
          <w:szCs w:val="24"/>
          <w:lang w:val="en-GB"/>
        </w:rPr>
        <w:t>41</w:t>
      </w:r>
      <w:r w:rsidRPr="007C4490">
        <w:rPr>
          <w:rFonts w:ascii="Times New Roman" w:hAnsi="Times New Roman" w:cs="Times New Roman"/>
          <w:iCs/>
          <w:sz w:val="24"/>
          <w:szCs w:val="24"/>
          <w:lang w:val="en-GB"/>
        </w:rPr>
        <w:t>, 5</w:t>
      </w:r>
      <w:r w:rsidR="00540BD4" w:rsidRPr="007C4490">
        <w:rPr>
          <w:rFonts w:ascii="Times New Roman" w:hAnsi="Times New Roman" w:cs="Times New Roman"/>
          <w:sz w:val="24"/>
          <w:szCs w:val="24"/>
          <w:lang w:val="en-GB"/>
        </w:rPr>
        <w:t>: 505-</w:t>
      </w:r>
      <w:r w:rsidR="00EE0DCD" w:rsidRPr="007C4490">
        <w:rPr>
          <w:rFonts w:ascii="Times New Roman" w:hAnsi="Times New Roman" w:cs="Times New Roman"/>
          <w:sz w:val="24"/>
          <w:szCs w:val="24"/>
          <w:lang w:val="en-GB"/>
        </w:rPr>
        <w:t>24.</w:t>
      </w:r>
    </w:p>
    <w:p w14:paraId="58B31F92" w14:textId="77777777" w:rsidR="005E557F" w:rsidRPr="007C4490" w:rsidRDefault="005E557F" w:rsidP="00282389">
      <w:pPr>
        <w:widowControl w:val="0"/>
        <w:autoSpaceDE w:val="0"/>
        <w:autoSpaceDN w:val="0"/>
        <w:adjustRightInd w:val="0"/>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Hacker, J.</w:t>
      </w:r>
      <w:r w:rsidR="008A1A7C" w:rsidRPr="007C4490">
        <w:rPr>
          <w:rFonts w:ascii="Times New Roman" w:hAnsi="Times New Roman" w:cs="Times New Roman"/>
          <w:sz w:val="24"/>
          <w:szCs w:val="24"/>
          <w:lang w:val="en-GB"/>
        </w:rPr>
        <w:t xml:space="preserve"> </w:t>
      </w:r>
      <w:r w:rsidR="00AD686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2005</w:t>
      </w:r>
      <w:r w:rsidR="00AD686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00F55293" w:rsidRPr="007C4490">
        <w:rPr>
          <w:rFonts w:ascii="Times New Roman" w:hAnsi="Times New Roman" w:cs="Times New Roman"/>
          <w:sz w:val="24"/>
          <w:szCs w:val="24"/>
          <w:lang w:val="en-GB"/>
        </w:rPr>
        <w:t>Policy drift: the hidden p</w:t>
      </w:r>
      <w:r w:rsidRPr="007C4490">
        <w:rPr>
          <w:rFonts w:ascii="Times New Roman" w:hAnsi="Times New Roman" w:cs="Times New Roman"/>
          <w:sz w:val="24"/>
          <w:szCs w:val="24"/>
          <w:lang w:val="en-GB"/>
        </w:rPr>
        <w:t>olitics o</w:t>
      </w:r>
      <w:r w:rsidR="00F55293" w:rsidRPr="007C4490">
        <w:rPr>
          <w:rFonts w:ascii="Times New Roman" w:hAnsi="Times New Roman" w:cs="Times New Roman"/>
          <w:sz w:val="24"/>
          <w:szCs w:val="24"/>
          <w:lang w:val="en-GB"/>
        </w:rPr>
        <w:t>f US welfare state r</w:t>
      </w:r>
      <w:r w:rsidRPr="007C4490">
        <w:rPr>
          <w:rFonts w:ascii="Times New Roman" w:hAnsi="Times New Roman" w:cs="Times New Roman"/>
          <w:sz w:val="24"/>
          <w:szCs w:val="24"/>
          <w:lang w:val="en-GB"/>
        </w:rPr>
        <w:t>etrenchment</w:t>
      </w:r>
      <w:r w:rsidR="00F55293" w:rsidRPr="007C4490">
        <w:rPr>
          <w:rFonts w:ascii="Times New Roman" w:hAnsi="Times New Roman" w:cs="Times New Roman"/>
          <w:sz w:val="24"/>
          <w:szCs w:val="24"/>
          <w:lang w:val="en-GB"/>
        </w:rPr>
        <w:t>. I</w:t>
      </w:r>
      <w:r w:rsidRPr="007C4490">
        <w:rPr>
          <w:rFonts w:ascii="Times New Roman" w:hAnsi="Times New Roman" w:cs="Times New Roman"/>
          <w:sz w:val="24"/>
          <w:szCs w:val="24"/>
          <w:lang w:val="en-GB"/>
        </w:rPr>
        <w:t xml:space="preserve">n </w:t>
      </w:r>
      <w:r w:rsidR="00F55293" w:rsidRPr="007C4490">
        <w:rPr>
          <w:rFonts w:ascii="Times New Roman" w:hAnsi="Times New Roman" w:cs="Times New Roman"/>
          <w:sz w:val="24"/>
          <w:szCs w:val="24"/>
          <w:lang w:val="en-GB"/>
        </w:rPr>
        <w:t xml:space="preserve">W. </w:t>
      </w:r>
      <w:proofErr w:type="spellStart"/>
      <w:r w:rsidR="00F55293" w:rsidRPr="007C4490">
        <w:rPr>
          <w:rFonts w:ascii="Times New Roman" w:hAnsi="Times New Roman" w:cs="Times New Roman"/>
          <w:sz w:val="24"/>
          <w:szCs w:val="24"/>
          <w:lang w:val="en-GB"/>
        </w:rPr>
        <w:t>Streeck</w:t>
      </w:r>
      <w:proofErr w:type="spellEnd"/>
      <w:r w:rsidR="00F55293" w:rsidRPr="007C4490">
        <w:rPr>
          <w:rFonts w:ascii="Times New Roman" w:hAnsi="Times New Roman" w:cs="Times New Roman"/>
          <w:sz w:val="24"/>
          <w:szCs w:val="24"/>
          <w:lang w:val="en-GB"/>
        </w:rPr>
        <w:t xml:space="preserve"> and K. </w:t>
      </w:r>
      <w:proofErr w:type="spellStart"/>
      <w:r w:rsidR="00F55293" w:rsidRPr="007C4490">
        <w:rPr>
          <w:rFonts w:ascii="Times New Roman" w:hAnsi="Times New Roman" w:cs="Times New Roman"/>
          <w:sz w:val="24"/>
          <w:szCs w:val="24"/>
          <w:lang w:val="en-GB"/>
        </w:rPr>
        <w:t>Thelen</w:t>
      </w:r>
      <w:proofErr w:type="spellEnd"/>
      <w:r w:rsidR="00F55293" w:rsidRPr="007C4490">
        <w:rPr>
          <w:rFonts w:ascii="Times New Roman" w:hAnsi="Times New Roman" w:cs="Times New Roman"/>
          <w:sz w:val="24"/>
          <w:szCs w:val="24"/>
          <w:lang w:val="en-GB"/>
        </w:rPr>
        <w:t xml:space="preserve"> (</w:t>
      </w:r>
      <w:proofErr w:type="spellStart"/>
      <w:proofErr w:type="gramStart"/>
      <w:r w:rsidR="00F55293" w:rsidRPr="007C4490">
        <w:rPr>
          <w:rFonts w:ascii="Times New Roman" w:hAnsi="Times New Roman" w:cs="Times New Roman"/>
          <w:sz w:val="24"/>
          <w:szCs w:val="24"/>
          <w:lang w:val="en-GB"/>
        </w:rPr>
        <w:t>eds</w:t>
      </w:r>
      <w:proofErr w:type="spellEnd"/>
      <w:proofErr w:type="gramEnd"/>
      <w:r w:rsidR="00F55293" w:rsidRPr="007C4490">
        <w:rPr>
          <w:rFonts w:ascii="Times New Roman" w:hAnsi="Times New Roman" w:cs="Times New Roman"/>
          <w:sz w:val="24"/>
          <w:szCs w:val="24"/>
          <w:lang w:val="en-GB"/>
        </w:rPr>
        <w:t xml:space="preserve">), </w:t>
      </w:r>
      <w:r w:rsidRPr="007C4490">
        <w:rPr>
          <w:rFonts w:ascii="Times New Roman" w:hAnsi="Times New Roman" w:cs="Times New Roman"/>
          <w:i/>
          <w:iCs/>
          <w:sz w:val="24"/>
          <w:szCs w:val="24"/>
          <w:lang w:val="en-GB"/>
        </w:rPr>
        <w:t>Beyond Continuity: Institutional Change in Advanced Political Economies</w:t>
      </w:r>
      <w:r w:rsidRPr="007C4490">
        <w:rPr>
          <w:rFonts w:ascii="Times New Roman" w:hAnsi="Times New Roman" w:cs="Times New Roman"/>
          <w:sz w:val="24"/>
          <w:szCs w:val="24"/>
          <w:lang w:val="en-GB"/>
        </w:rPr>
        <w:t xml:space="preserve">, </w:t>
      </w:r>
      <w:r w:rsidR="00664882" w:rsidRPr="007C4490">
        <w:rPr>
          <w:rFonts w:ascii="Times New Roman" w:hAnsi="Times New Roman" w:cs="Times New Roman"/>
          <w:sz w:val="24"/>
          <w:szCs w:val="24"/>
          <w:lang w:val="en-GB"/>
        </w:rPr>
        <w:t xml:space="preserve">Oxford: Oxford University Press, pp. </w:t>
      </w:r>
      <w:r w:rsidR="009B21E5" w:rsidRPr="007C4490">
        <w:rPr>
          <w:rFonts w:ascii="Times New Roman" w:hAnsi="Times New Roman" w:cs="Times New Roman"/>
          <w:sz w:val="24"/>
          <w:szCs w:val="24"/>
          <w:lang w:val="en-GB"/>
        </w:rPr>
        <w:t>40–82.</w:t>
      </w:r>
    </w:p>
    <w:p w14:paraId="6ACF16E7" w14:textId="77777777" w:rsidR="00CE767D" w:rsidRPr="007C4490" w:rsidRDefault="00CE767D"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Hacker, J. (2004), </w:t>
      </w:r>
      <w:r w:rsidR="00664882" w:rsidRPr="007C4490">
        <w:rPr>
          <w:rFonts w:ascii="Times New Roman" w:hAnsi="Times New Roman" w:cs="Times New Roman"/>
          <w:sz w:val="24"/>
          <w:szCs w:val="24"/>
          <w:lang w:val="en-GB"/>
        </w:rPr>
        <w:t>Privatizing risk without privatizing the welfare state: the h</w:t>
      </w:r>
      <w:r w:rsidRPr="007C4490">
        <w:rPr>
          <w:rFonts w:ascii="Times New Roman" w:hAnsi="Times New Roman" w:cs="Times New Roman"/>
          <w:sz w:val="24"/>
          <w:szCs w:val="24"/>
          <w:lang w:val="en-GB"/>
        </w:rPr>
        <w:t>id</w:t>
      </w:r>
      <w:r w:rsidR="00664882" w:rsidRPr="007C4490">
        <w:rPr>
          <w:rFonts w:ascii="Times New Roman" w:hAnsi="Times New Roman" w:cs="Times New Roman"/>
          <w:sz w:val="24"/>
          <w:szCs w:val="24"/>
          <w:lang w:val="en-GB"/>
        </w:rPr>
        <w:t>den politics of welfare state r</w:t>
      </w:r>
      <w:r w:rsidRPr="007C4490">
        <w:rPr>
          <w:rFonts w:ascii="Times New Roman" w:hAnsi="Times New Roman" w:cs="Times New Roman"/>
          <w:sz w:val="24"/>
          <w:szCs w:val="24"/>
          <w:lang w:val="en-GB"/>
        </w:rPr>
        <w:t xml:space="preserve">etrenchment in the United States, </w:t>
      </w:r>
      <w:r w:rsidRPr="007C4490">
        <w:rPr>
          <w:rFonts w:ascii="Times New Roman" w:hAnsi="Times New Roman" w:cs="Times New Roman"/>
          <w:i/>
          <w:sz w:val="24"/>
          <w:szCs w:val="24"/>
          <w:lang w:val="en-GB"/>
        </w:rPr>
        <w:t>American Political Science Review</w:t>
      </w:r>
      <w:r w:rsidR="00664882" w:rsidRPr="007C4490">
        <w:rPr>
          <w:rFonts w:ascii="Times New Roman" w:hAnsi="Times New Roman" w:cs="Times New Roman"/>
          <w:sz w:val="24"/>
          <w:szCs w:val="24"/>
          <w:lang w:val="en-GB"/>
        </w:rPr>
        <w:t xml:space="preserve"> 98: 243-</w:t>
      </w:r>
      <w:r w:rsidRPr="007C4490">
        <w:rPr>
          <w:rFonts w:ascii="Times New Roman" w:hAnsi="Times New Roman" w:cs="Times New Roman"/>
          <w:sz w:val="24"/>
          <w:szCs w:val="24"/>
          <w:lang w:val="en-GB"/>
        </w:rPr>
        <w:t>60.</w:t>
      </w:r>
    </w:p>
    <w:p w14:paraId="25AE8738" w14:textId="77777777" w:rsidR="00E93494" w:rsidRPr="007C4490" w:rsidRDefault="00E93494"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Hacker, J. (2002), </w:t>
      </w:r>
      <w:proofErr w:type="gramStart"/>
      <w:r w:rsidRPr="007C4490">
        <w:rPr>
          <w:rFonts w:ascii="Times New Roman" w:hAnsi="Times New Roman" w:cs="Times New Roman"/>
          <w:i/>
          <w:iCs/>
          <w:sz w:val="24"/>
          <w:szCs w:val="24"/>
          <w:lang w:val="en-GB"/>
        </w:rPr>
        <w:t>The</w:t>
      </w:r>
      <w:proofErr w:type="gramEnd"/>
      <w:r w:rsidRPr="007C4490">
        <w:rPr>
          <w:rFonts w:ascii="Times New Roman" w:hAnsi="Times New Roman" w:cs="Times New Roman"/>
          <w:i/>
          <w:iCs/>
          <w:sz w:val="24"/>
          <w:szCs w:val="24"/>
          <w:lang w:val="en-GB"/>
        </w:rPr>
        <w:t xml:space="preserve"> Divided Welfare State: The Battle Over Public and Private Social Benefits in the United States</w:t>
      </w:r>
      <w:r w:rsidRPr="007C4490">
        <w:rPr>
          <w:rFonts w:ascii="Times New Roman" w:hAnsi="Times New Roman" w:cs="Times New Roman"/>
          <w:sz w:val="24"/>
          <w:szCs w:val="24"/>
          <w:lang w:val="en-GB"/>
        </w:rPr>
        <w:t>, New York: Cambridge University Press.</w:t>
      </w:r>
    </w:p>
    <w:p w14:paraId="33862704" w14:textId="77777777" w:rsidR="00727820" w:rsidRPr="007C4490" w:rsidRDefault="00E62AD7" w:rsidP="00727820">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Hacker, J.</w:t>
      </w:r>
      <w:r w:rsidR="00AD6864" w:rsidRPr="007C4490">
        <w:rPr>
          <w:rFonts w:ascii="Times New Roman" w:hAnsi="Times New Roman" w:cs="Times New Roman"/>
          <w:sz w:val="24"/>
          <w:szCs w:val="24"/>
          <w:lang w:val="en-GB"/>
        </w:rPr>
        <w:t xml:space="preserve">, </w:t>
      </w:r>
      <w:proofErr w:type="spellStart"/>
      <w:r w:rsidRPr="007C4490">
        <w:rPr>
          <w:rFonts w:ascii="Times New Roman" w:hAnsi="Times New Roman" w:cs="Times New Roman"/>
          <w:sz w:val="24"/>
          <w:szCs w:val="24"/>
          <w:lang w:val="en-GB"/>
        </w:rPr>
        <w:t>Thelen</w:t>
      </w:r>
      <w:proofErr w:type="spellEnd"/>
      <w:r w:rsidRPr="007C4490">
        <w:rPr>
          <w:rFonts w:ascii="Times New Roman" w:hAnsi="Times New Roman" w:cs="Times New Roman"/>
          <w:sz w:val="24"/>
          <w:szCs w:val="24"/>
          <w:lang w:val="en-GB"/>
        </w:rPr>
        <w:t>, K</w:t>
      </w:r>
      <w:r w:rsidR="00AD686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and Pierson, P</w:t>
      </w:r>
      <w:r w:rsidR="00AD686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w:t>
      </w:r>
      <w:r w:rsidR="00AD6864" w:rsidRPr="007C4490">
        <w:rPr>
          <w:rFonts w:ascii="Times New Roman" w:hAnsi="Times New Roman" w:cs="Times New Roman"/>
          <w:sz w:val="24"/>
          <w:szCs w:val="24"/>
          <w:lang w:val="en-GB"/>
        </w:rPr>
        <w:t xml:space="preserve"> (2013),</w:t>
      </w:r>
      <w:r w:rsidRPr="007C4490">
        <w:rPr>
          <w:rFonts w:ascii="Times New Roman" w:hAnsi="Times New Roman" w:cs="Times New Roman"/>
          <w:sz w:val="24"/>
          <w:szCs w:val="24"/>
          <w:lang w:val="en-GB"/>
        </w:rPr>
        <w:t xml:space="preserve"> </w:t>
      </w:r>
      <w:r w:rsidR="0080158C" w:rsidRPr="007C4490">
        <w:rPr>
          <w:rFonts w:ascii="Times New Roman" w:hAnsi="Times New Roman" w:cs="Times New Roman"/>
          <w:sz w:val="24"/>
          <w:szCs w:val="24"/>
          <w:lang w:val="en-GB"/>
        </w:rPr>
        <w:t>Drift and conversion: hidden faces of institutional c</w:t>
      </w:r>
      <w:r w:rsidRPr="007C4490">
        <w:rPr>
          <w:rFonts w:ascii="Times New Roman" w:hAnsi="Times New Roman" w:cs="Times New Roman"/>
          <w:sz w:val="24"/>
          <w:szCs w:val="24"/>
          <w:lang w:val="en-GB"/>
        </w:rPr>
        <w:t>hange</w:t>
      </w:r>
      <w:r w:rsidR="0080158C" w:rsidRPr="007C4490">
        <w:rPr>
          <w:rFonts w:ascii="Times New Roman" w:hAnsi="Times New Roman" w:cs="Times New Roman"/>
          <w:sz w:val="24"/>
          <w:szCs w:val="24"/>
          <w:lang w:val="en-GB"/>
        </w:rPr>
        <w:t>.</w:t>
      </w:r>
      <w:r w:rsidR="00AD6864" w:rsidRPr="007C4490">
        <w:rPr>
          <w:rFonts w:ascii="Times New Roman" w:hAnsi="Times New Roman" w:cs="Times New Roman"/>
          <w:sz w:val="24"/>
          <w:szCs w:val="24"/>
          <w:lang w:val="en-GB"/>
        </w:rPr>
        <w:t xml:space="preserve"> </w:t>
      </w:r>
      <w:r w:rsidR="0080158C" w:rsidRPr="007C4490">
        <w:rPr>
          <w:rFonts w:ascii="Times New Roman" w:hAnsi="Times New Roman" w:cs="Times New Roman"/>
          <w:sz w:val="24"/>
          <w:szCs w:val="24"/>
          <w:lang w:val="en-GB"/>
        </w:rPr>
        <w:t xml:space="preserve">Paper presented at </w:t>
      </w:r>
      <w:r w:rsidRPr="007C4490">
        <w:rPr>
          <w:rFonts w:ascii="Times New Roman" w:hAnsi="Times New Roman" w:cs="Times New Roman"/>
          <w:sz w:val="24"/>
          <w:szCs w:val="24"/>
          <w:lang w:val="en-GB"/>
        </w:rPr>
        <w:t>American Political Science Association 2013 Ann</w:t>
      </w:r>
      <w:r w:rsidR="00AD6864" w:rsidRPr="007C4490">
        <w:rPr>
          <w:rFonts w:ascii="Times New Roman" w:hAnsi="Times New Roman" w:cs="Times New Roman"/>
          <w:sz w:val="24"/>
          <w:szCs w:val="24"/>
          <w:lang w:val="en-GB"/>
        </w:rPr>
        <w:t>ual Meeting</w:t>
      </w:r>
      <w:r w:rsidR="00727820" w:rsidRPr="007C4490">
        <w:rPr>
          <w:rFonts w:ascii="Times New Roman" w:hAnsi="Times New Roman" w:cs="Times New Roman"/>
          <w:sz w:val="24"/>
          <w:szCs w:val="24"/>
          <w:lang w:val="en-GB"/>
        </w:rPr>
        <w:t xml:space="preserve">, Chicago, IL, 29 August-1 September, </w:t>
      </w:r>
    </w:p>
    <w:p w14:paraId="3C939CB8" w14:textId="77777777" w:rsidR="00E62AD7" w:rsidRPr="007C4490" w:rsidRDefault="00AD6864" w:rsidP="00727820">
      <w:pPr>
        <w:spacing w:after="0" w:line="480" w:lineRule="auto"/>
        <w:ind w:left="720"/>
        <w:jc w:val="both"/>
        <w:rPr>
          <w:rFonts w:ascii="Times New Roman" w:hAnsi="Times New Roman" w:cs="Times New Roman"/>
          <w:sz w:val="24"/>
          <w:szCs w:val="24"/>
          <w:lang w:val="en-GB"/>
        </w:rPr>
      </w:pPr>
      <w:r w:rsidRPr="007C4490">
        <w:rPr>
          <w:rFonts w:ascii="Times New Roman" w:hAnsi="Times New Roman" w:cs="Times New Roman"/>
          <w:sz w:val="24"/>
          <w:szCs w:val="24"/>
          <w:u w:color="012087"/>
          <w:lang w:val="en-GB"/>
        </w:rPr>
        <w:t>http://ssrn.com/abstract=2303593</w:t>
      </w:r>
      <w:r w:rsidR="00727820" w:rsidRPr="007C4490">
        <w:rPr>
          <w:rFonts w:ascii="Times New Roman" w:hAnsi="Times New Roman" w:cs="Times New Roman"/>
          <w:sz w:val="24"/>
          <w:szCs w:val="24"/>
          <w:u w:color="012087"/>
          <w:lang w:val="en-GB"/>
        </w:rPr>
        <w:t>.</w:t>
      </w:r>
    </w:p>
    <w:p w14:paraId="05F017A3" w14:textId="77777777" w:rsidR="00203E62" w:rsidRPr="007C4490" w:rsidRDefault="00745134" w:rsidP="00282389">
      <w:pPr>
        <w:spacing w:after="0" w:line="480" w:lineRule="auto"/>
        <w:ind w:left="720" w:hanging="720"/>
        <w:jc w:val="both"/>
        <w:rPr>
          <w:rFonts w:ascii="Times New Roman" w:hAnsi="Times New Roman" w:cs="Times New Roman"/>
          <w:bCs/>
          <w:iCs/>
          <w:sz w:val="24"/>
          <w:szCs w:val="24"/>
          <w:lang w:val="en-GB"/>
        </w:rPr>
      </w:pPr>
      <w:proofErr w:type="spellStart"/>
      <w:r w:rsidRPr="007C4490">
        <w:rPr>
          <w:rFonts w:ascii="Times New Roman" w:hAnsi="Times New Roman" w:cs="Times New Roman"/>
          <w:bCs/>
          <w:iCs/>
          <w:sz w:val="24"/>
          <w:szCs w:val="24"/>
          <w:lang w:val="en-GB"/>
        </w:rPr>
        <w:t>Helman</w:t>
      </w:r>
      <w:proofErr w:type="spellEnd"/>
      <w:r w:rsidRPr="007C4490">
        <w:rPr>
          <w:rFonts w:ascii="Times New Roman" w:hAnsi="Times New Roman" w:cs="Times New Roman"/>
          <w:bCs/>
          <w:iCs/>
          <w:sz w:val="24"/>
          <w:szCs w:val="24"/>
          <w:lang w:val="en-GB"/>
        </w:rPr>
        <w:t>, R., Adams N., Copel</w:t>
      </w:r>
      <w:r w:rsidR="00282389" w:rsidRPr="007C4490">
        <w:rPr>
          <w:rFonts w:ascii="Times New Roman" w:hAnsi="Times New Roman" w:cs="Times New Roman"/>
          <w:bCs/>
          <w:iCs/>
          <w:sz w:val="24"/>
          <w:szCs w:val="24"/>
          <w:lang w:val="en-GB"/>
        </w:rPr>
        <w:t xml:space="preserve">and C., and </w:t>
      </w:r>
      <w:proofErr w:type="spellStart"/>
      <w:r w:rsidR="00282389" w:rsidRPr="007C4490">
        <w:rPr>
          <w:rFonts w:ascii="Times New Roman" w:hAnsi="Times New Roman" w:cs="Times New Roman"/>
          <w:bCs/>
          <w:iCs/>
          <w:sz w:val="24"/>
          <w:szCs w:val="24"/>
          <w:lang w:val="en-GB"/>
        </w:rPr>
        <w:t>VanDerhei</w:t>
      </w:r>
      <w:proofErr w:type="spellEnd"/>
      <w:r w:rsidR="00282389" w:rsidRPr="007C4490">
        <w:rPr>
          <w:rFonts w:ascii="Times New Roman" w:hAnsi="Times New Roman" w:cs="Times New Roman"/>
          <w:bCs/>
          <w:iCs/>
          <w:sz w:val="24"/>
          <w:szCs w:val="24"/>
          <w:lang w:val="en-GB"/>
        </w:rPr>
        <w:t xml:space="preserve"> J. (2014),</w:t>
      </w:r>
      <w:r w:rsidRPr="007C4490">
        <w:rPr>
          <w:rFonts w:ascii="Times New Roman" w:hAnsi="Times New Roman" w:cs="Times New Roman"/>
          <w:bCs/>
          <w:iCs/>
          <w:sz w:val="24"/>
          <w:szCs w:val="24"/>
          <w:lang w:val="en-GB"/>
        </w:rPr>
        <w:t xml:space="preserve"> </w:t>
      </w:r>
      <w:proofErr w:type="gramStart"/>
      <w:r w:rsidRPr="007C4490">
        <w:rPr>
          <w:rFonts w:ascii="Times New Roman" w:hAnsi="Times New Roman" w:cs="Times New Roman"/>
          <w:bCs/>
          <w:i/>
          <w:iCs/>
          <w:sz w:val="24"/>
          <w:szCs w:val="24"/>
          <w:lang w:val="en-GB"/>
        </w:rPr>
        <w:t>The</w:t>
      </w:r>
      <w:proofErr w:type="gramEnd"/>
      <w:r w:rsidRPr="007C4490">
        <w:rPr>
          <w:rFonts w:ascii="Times New Roman" w:hAnsi="Times New Roman" w:cs="Times New Roman"/>
          <w:bCs/>
          <w:i/>
          <w:iCs/>
          <w:sz w:val="24"/>
          <w:szCs w:val="24"/>
          <w:lang w:val="en-GB"/>
        </w:rPr>
        <w:t xml:space="preserve"> 2014 Retirement Confiden</w:t>
      </w:r>
      <w:r w:rsidR="00727820" w:rsidRPr="007C4490">
        <w:rPr>
          <w:rFonts w:ascii="Times New Roman" w:hAnsi="Times New Roman" w:cs="Times New Roman"/>
          <w:bCs/>
          <w:i/>
          <w:iCs/>
          <w:sz w:val="24"/>
          <w:szCs w:val="24"/>
          <w:lang w:val="en-GB"/>
        </w:rPr>
        <w:t>ce Survey: Confidence Rebounds–F</w:t>
      </w:r>
      <w:r w:rsidRPr="007C4490">
        <w:rPr>
          <w:rFonts w:ascii="Times New Roman" w:hAnsi="Times New Roman" w:cs="Times New Roman"/>
          <w:bCs/>
          <w:i/>
          <w:iCs/>
          <w:sz w:val="24"/>
          <w:szCs w:val="24"/>
          <w:lang w:val="en-GB"/>
        </w:rPr>
        <w:t>or Those With Retirement Plans.</w:t>
      </w:r>
      <w:r w:rsidR="00282389" w:rsidRPr="007C4490">
        <w:rPr>
          <w:rFonts w:ascii="Times New Roman" w:hAnsi="Times New Roman" w:cs="Times New Roman"/>
          <w:bCs/>
          <w:i/>
          <w:iCs/>
          <w:sz w:val="24"/>
          <w:szCs w:val="24"/>
          <w:lang w:val="en-GB"/>
        </w:rPr>
        <w:t xml:space="preserve"> </w:t>
      </w:r>
      <w:r w:rsidR="00282389" w:rsidRPr="007C4490">
        <w:rPr>
          <w:rFonts w:ascii="Times New Roman" w:hAnsi="Times New Roman" w:cs="Times New Roman"/>
          <w:bCs/>
          <w:iCs/>
          <w:sz w:val="24"/>
          <w:szCs w:val="24"/>
          <w:lang w:val="en-GB"/>
        </w:rPr>
        <w:t>Washing</w:t>
      </w:r>
      <w:r w:rsidR="00727820" w:rsidRPr="007C4490">
        <w:rPr>
          <w:rFonts w:ascii="Times New Roman" w:hAnsi="Times New Roman" w:cs="Times New Roman"/>
          <w:bCs/>
          <w:iCs/>
          <w:sz w:val="24"/>
          <w:szCs w:val="24"/>
          <w:lang w:val="en-GB"/>
        </w:rPr>
        <w:t xml:space="preserve">ton, DC: EBRI Issue Brief #397, </w:t>
      </w:r>
    </w:p>
    <w:p w14:paraId="66C7850E" w14:textId="77777777" w:rsidR="00CF6CB7" w:rsidRPr="007C4490" w:rsidRDefault="00727820" w:rsidP="00203E62">
      <w:pPr>
        <w:spacing w:after="0" w:line="480" w:lineRule="auto"/>
        <w:ind w:left="720"/>
        <w:jc w:val="both"/>
        <w:rPr>
          <w:rFonts w:ascii="Times New Roman" w:hAnsi="Times New Roman" w:cs="Times New Roman"/>
          <w:bCs/>
          <w:iCs/>
          <w:sz w:val="24"/>
          <w:szCs w:val="24"/>
          <w:lang w:val="en-GB"/>
        </w:rPr>
      </w:pPr>
      <w:r w:rsidRPr="007C4490">
        <w:rPr>
          <w:rFonts w:ascii="Times New Roman" w:hAnsi="Times New Roman" w:cs="Times New Roman"/>
          <w:bCs/>
          <w:iCs/>
          <w:sz w:val="24"/>
          <w:szCs w:val="24"/>
          <w:lang w:val="en-GB"/>
        </w:rPr>
        <w:t>http://www.ebri.org/pdf/briefspdf/EBRI_IB_397_Mar14.RCS.pdf,</w:t>
      </w:r>
    </w:p>
    <w:p w14:paraId="0F4856CF" w14:textId="77777777" w:rsidR="00E93494" w:rsidRPr="007C4490" w:rsidRDefault="00E93494"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bCs/>
          <w:iCs/>
          <w:sz w:val="24"/>
          <w:szCs w:val="24"/>
          <w:lang w:val="en-GB"/>
        </w:rPr>
        <w:t>Howard, C.</w:t>
      </w:r>
      <w:r w:rsidRPr="007C4490">
        <w:rPr>
          <w:rFonts w:ascii="Times New Roman" w:hAnsi="Times New Roman" w:cs="Times New Roman"/>
          <w:bCs/>
          <w:sz w:val="24"/>
          <w:szCs w:val="24"/>
          <w:lang w:val="en-GB"/>
        </w:rPr>
        <w:t xml:space="preserve"> (2006), </w:t>
      </w:r>
      <w:r w:rsidRPr="007C4490">
        <w:rPr>
          <w:rFonts w:ascii="Times New Roman" w:hAnsi="Times New Roman" w:cs="Times New Roman"/>
          <w:bCs/>
          <w:i/>
          <w:sz w:val="24"/>
          <w:szCs w:val="24"/>
          <w:lang w:val="en-GB"/>
        </w:rPr>
        <w:t>The Welfare State Nobody Knows: Debunking Myths about U.S. Social Policy</w:t>
      </w:r>
      <w:r w:rsidRPr="007C4490">
        <w:rPr>
          <w:rFonts w:ascii="Times New Roman" w:hAnsi="Times New Roman" w:cs="Times New Roman"/>
          <w:bCs/>
          <w:sz w:val="24"/>
          <w:szCs w:val="24"/>
          <w:lang w:val="en-GB"/>
        </w:rPr>
        <w:t>, Princeton: Princeton University Press.</w:t>
      </w:r>
    </w:p>
    <w:p w14:paraId="65370C2D" w14:textId="77777777" w:rsidR="00E93494" w:rsidRPr="007C4490" w:rsidRDefault="00E93494" w:rsidP="00282389">
      <w:pPr>
        <w:spacing w:after="0" w:line="480" w:lineRule="auto"/>
        <w:ind w:left="720" w:hanging="720"/>
        <w:jc w:val="both"/>
        <w:rPr>
          <w:rFonts w:ascii="Times New Roman" w:hAnsi="Times New Roman" w:cs="Times New Roman"/>
          <w:iCs/>
          <w:sz w:val="24"/>
          <w:szCs w:val="24"/>
          <w:lang w:val="en-GB"/>
        </w:rPr>
      </w:pPr>
      <w:r w:rsidRPr="007C4490">
        <w:rPr>
          <w:rFonts w:ascii="Times New Roman" w:hAnsi="Times New Roman" w:cs="Times New Roman"/>
          <w:sz w:val="24"/>
          <w:szCs w:val="24"/>
          <w:lang w:val="en-GB"/>
        </w:rPr>
        <w:lastRenderedPageBreak/>
        <w:t>Howard, C. (</w:t>
      </w:r>
      <w:r w:rsidRPr="007C4490">
        <w:rPr>
          <w:rFonts w:ascii="Times New Roman" w:hAnsi="Times New Roman" w:cs="Times New Roman"/>
          <w:iCs/>
          <w:sz w:val="24"/>
          <w:szCs w:val="24"/>
          <w:lang w:val="en-GB"/>
        </w:rPr>
        <w:t xml:space="preserve">1997), </w:t>
      </w:r>
      <w:proofErr w:type="gramStart"/>
      <w:r w:rsidRPr="007C4490">
        <w:rPr>
          <w:rFonts w:ascii="Times New Roman" w:hAnsi="Times New Roman" w:cs="Times New Roman"/>
          <w:i/>
          <w:sz w:val="24"/>
          <w:szCs w:val="24"/>
          <w:lang w:val="en-GB"/>
        </w:rPr>
        <w:t>The</w:t>
      </w:r>
      <w:proofErr w:type="gramEnd"/>
      <w:r w:rsidRPr="007C4490">
        <w:rPr>
          <w:rFonts w:ascii="Times New Roman" w:hAnsi="Times New Roman" w:cs="Times New Roman"/>
          <w:i/>
          <w:sz w:val="24"/>
          <w:szCs w:val="24"/>
          <w:lang w:val="en-GB"/>
        </w:rPr>
        <w:t xml:space="preserve"> Hidden Welfare State: Tax Expenditures and Social Policy in the United States</w:t>
      </w:r>
      <w:r w:rsidRPr="007C4490">
        <w:rPr>
          <w:rFonts w:ascii="Times New Roman" w:hAnsi="Times New Roman" w:cs="Times New Roman"/>
          <w:iCs/>
          <w:sz w:val="24"/>
          <w:szCs w:val="24"/>
          <w:lang w:val="en-GB"/>
        </w:rPr>
        <w:t>, Princeton: Princeton University Press.</w:t>
      </w:r>
    </w:p>
    <w:p w14:paraId="0BDB1768" w14:textId="77777777" w:rsidR="00A31199" w:rsidRPr="007C4490" w:rsidRDefault="00A31199" w:rsidP="00282389">
      <w:pPr>
        <w:spacing w:after="0" w:line="480" w:lineRule="auto"/>
        <w:ind w:left="720" w:hanging="720"/>
        <w:jc w:val="both"/>
        <w:rPr>
          <w:rFonts w:ascii="Times New Roman" w:hAnsi="Times New Roman" w:cs="Times New Roman"/>
          <w:iCs/>
          <w:sz w:val="24"/>
          <w:szCs w:val="24"/>
          <w:lang w:val="en-GB"/>
        </w:rPr>
      </w:pPr>
      <w:r w:rsidRPr="007C4490">
        <w:rPr>
          <w:rFonts w:ascii="Times New Roman" w:hAnsi="Times New Roman" w:cs="Times New Roman"/>
          <w:sz w:val="24"/>
          <w:szCs w:val="24"/>
          <w:lang w:val="en-GB"/>
        </w:rPr>
        <w:t xml:space="preserve">Jacobs, L. and </w:t>
      </w:r>
      <w:proofErr w:type="spellStart"/>
      <w:r w:rsidRPr="007C4490">
        <w:rPr>
          <w:rFonts w:ascii="Times New Roman" w:hAnsi="Times New Roman" w:cs="Times New Roman"/>
          <w:sz w:val="24"/>
          <w:szCs w:val="24"/>
          <w:lang w:val="en-GB"/>
        </w:rPr>
        <w:t>Skocpol</w:t>
      </w:r>
      <w:proofErr w:type="spellEnd"/>
      <w:r w:rsidRPr="007C4490">
        <w:rPr>
          <w:rFonts w:ascii="Times New Roman" w:hAnsi="Times New Roman" w:cs="Times New Roman"/>
          <w:sz w:val="24"/>
          <w:szCs w:val="24"/>
          <w:lang w:val="en-GB"/>
        </w:rPr>
        <w:t xml:space="preserve">, T. (2010), </w:t>
      </w:r>
      <w:r w:rsidRPr="007C4490">
        <w:rPr>
          <w:rFonts w:ascii="Times New Roman" w:hAnsi="Times New Roman" w:cs="Times New Roman"/>
          <w:i/>
          <w:iCs/>
          <w:sz w:val="24"/>
          <w:szCs w:val="24"/>
          <w:lang w:val="en-GB"/>
        </w:rPr>
        <w:t>Health Care Reform and American Politics: What Everyone Needs to Know</w:t>
      </w:r>
      <w:r w:rsidRPr="007C4490">
        <w:rPr>
          <w:rFonts w:ascii="Times New Roman" w:hAnsi="Times New Roman" w:cs="Times New Roman"/>
          <w:sz w:val="24"/>
          <w:szCs w:val="24"/>
          <w:lang w:val="en-GB"/>
        </w:rPr>
        <w:t>, New York: Oxford University Press</w:t>
      </w:r>
      <w:r w:rsidR="00E31CF9" w:rsidRPr="007C4490">
        <w:rPr>
          <w:rFonts w:ascii="Times New Roman" w:hAnsi="Times New Roman" w:cs="Times New Roman"/>
          <w:sz w:val="24"/>
          <w:szCs w:val="24"/>
          <w:lang w:val="en-GB"/>
        </w:rPr>
        <w:t>.</w:t>
      </w:r>
    </w:p>
    <w:p w14:paraId="6F1DAA53" w14:textId="77777777" w:rsidR="00FC5716" w:rsidRPr="007C4490" w:rsidRDefault="00FC5716" w:rsidP="00282389">
      <w:pPr>
        <w:spacing w:after="0" w:line="480" w:lineRule="auto"/>
        <w:ind w:left="720" w:hanging="720"/>
        <w:jc w:val="both"/>
        <w:rPr>
          <w:rFonts w:ascii="Times New Roman" w:hAnsi="Times New Roman" w:cs="Times New Roman"/>
          <w:iCs/>
          <w:sz w:val="24"/>
          <w:szCs w:val="24"/>
          <w:u w:val="single"/>
          <w:lang w:val="en-GB"/>
        </w:rPr>
      </w:pPr>
      <w:r w:rsidRPr="007C4490">
        <w:rPr>
          <w:rFonts w:ascii="Times New Roman" w:hAnsi="Times New Roman" w:cs="Times New Roman"/>
          <w:iCs/>
          <w:sz w:val="24"/>
          <w:szCs w:val="24"/>
          <w:lang w:val="en-GB"/>
        </w:rPr>
        <w:t>Kaiser Commission</w:t>
      </w:r>
      <w:r w:rsidR="00E31CF9" w:rsidRPr="007C4490">
        <w:rPr>
          <w:rFonts w:ascii="Times New Roman" w:hAnsi="Times New Roman" w:cs="Times New Roman"/>
          <w:iCs/>
          <w:sz w:val="24"/>
          <w:szCs w:val="24"/>
          <w:lang w:val="en-GB"/>
        </w:rPr>
        <w:t xml:space="preserve"> on Medicaid and the Uninsured </w:t>
      </w:r>
      <w:r w:rsidRPr="007C4490">
        <w:rPr>
          <w:rFonts w:ascii="Times New Roman" w:hAnsi="Times New Roman" w:cs="Times New Roman"/>
          <w:iCs/>
          <w:sz w:val="24"/>
          <w:szCs w:val="24"/>
          <w:lang w:val="en-GB"/>
        </w:rPr>
        <w:t xml:space="preserve">(2015), </w:t>
      </w:r>
      <w:proofErr w:type="gramStart"/>
      <w:r w:rsidRPr="007C4490">
        <w:rPr>
          <w:rFonts w:ascii="Times New Roman" w:hAnsi="Times New Roman" w:cs="Times New Roman"/>
          <w:iCs/>
          <w:sz w:val="24"/>
          <w:szCs w:val="24"/>
          <w:lang w:val="en-GB"/>
        </w:rPr>
        <w:t>Th</w:t>
      </w:r>
      <w:r w:rsidR="000560D5" w:rsidRPr="007C4490">
        <w:rPr>
          <w:rFonts w:ascii="Times New Roman" w:hAnsi="Times New Roman" w:cs="Times New Roman"/>
          <w:iCs/>
          <w:sz w:val="24"/>
          <w:szCs w:val="24"/>
          <w:lang w:val="en-GB"/>
        </w:rPr>
        <w:t>e</w:t>
      </w:r>
      <w:proofErr w:type="gramEnd"/>
      <w:r w:rsidR="000560D5" w:rsidRPr="007C4490">
        <w:rPr>
          <w:rFonts w:ascii="Times New Roman" w:hAnsi="Times New Roman" w:cs="Times New Roman"/>
          <w:iCs/>
          <w:sz w:val="24"/>
          <w:szCs w:val="24"/>
          <w:lang w:val="en-GB"/>
        </w:rPr>
        <w:t xml:space="preserve"> uninsured: a p</w:t>
      </w:r>
      <w:r w:rsidRPr="007C4490">
        <w:rPr>
          <w:rFonts w:ascii="Times New Roman" w:hAnsi="Times New Roman" w:cs="Times New Roman"/>
          <w:iCs/>
          <w:sz w:val="24"/>
          <w:szCs w:val="24"/>
          <w:lang w:val="en-GB"/>
        </w:rPr>
        <w:t>rimer</w:t>
      </w:r>
      <w:r w:rsidR="000560D5" w:rsidRPr="007C4490">
        <w:rPr>
          <w:rFonts w:ascii="Times New Roman" w:hAnsi="Times New Roman" w:cs="Times New Roman"/>
          <w:iCs/>
          <w:sz w:val="24"/>
          <w:szCs w:val="24"/>
          <w:lang w:val="en-GB"/>
        </w:rPr>
        <w:t>,</w:t>
      </w:r>
      <w:r w:rsidRPr="007C4490">
        <w:rPr>
          <w:rFonts w:ascii="Times New Roman" w:hAnsi="Times New Roman" w:cs="Times New Roman"/>
          <w:iCs/>
          <w:sz w:val="24"/>
          <w:szCs w:val="24"/>
          <w:lang w:val="en-GB"/>
        </w:rPr>
        <w:t xml:space="preserve"> http://kff.org/uninsured/report/the-uninsured-a-primer/</w:t>
      </w:r>
      <w:r w:rsidR="000560D5" w:rsidRPr="007C4490">
        <w:rPr>
          <w:rFonts w:ascii="Times New Roman" w:hAnsi="Times New Roman" w:cs="Times New Roman"/>
          <w:iCs/>
          <w:sz w:val="24"/>
          <w:szCs w:val="24"/>
          <w:lang w:val="en-GB"/>
        </w:rPr>
        <w:t>.</w:t>
      </w:r>
    </w:p>
    <w:p w14:paraId="601C1F2C" w14:textId="77777777" w:rsidR="0047051C" w:rsidRPr="007C4490" w:rsidRDefault="00E31CF9" w:rsidP="00282389">
      <w:pPr>
        <w:spacing w:after="0" w:line="480" w:lineRule="auto"/>
        <w:ind w:left="720" w:hanging="720"/>
        <w:jc w:val="both"/>
        <w:rPr>
          <w:rFonts w:ascii="Times New Roman" w:hAnsi="Times New Roman" w:cs="Times New Roman"/>
          <w:iCs/>
          <w:sz w:val="24"/>
          <w:szCs w:val="24"/>
          <w:lang w:val="en-GB"/>
        </w:rPr>
      </w:pPr>
      <w:proofErr w:type="gramStart"/>
      <w:r w:rsidRPr="007C4490">
        <w:rPr>
          <w:rFonts w:ascii="Times New Roman" w:hAnsi="Times New Roman" w:cs="Times New Roman"/>
          <w:iCs/>
          <w:sz w:val="24"/>
          <w:szCs w:val="24"/>
          <w:lang w:val="en-GB"/>
        </w:rPr>
        <w:t>Kaiser Family Foundation</w:t>
      </w:r>
      <w:r w:rsidR="0047051C" w:rsidRPr="007C4490">
        <w:rPr>
          <w:rFonts w:ascii="Times New Roman" w:hAnsi="Times New Roman" w:cs="Times New Roman"/>
          <w:iCs/>
          <w:sz w:val="24"/>
          <w:szCs w:val="24"/>
          <w:lang w:val="en-GB"/>
        </w:rPr>
        <w:t xml:space="preserve"> (2015</w:t>
      </w:r>
      <w:r w:rsidR="004854CC" w:rsidRPr="007C4490">
        <w:rPr>
          <w:rFonts w:ascii="Times New Roman" w:hAnsi="Times New Roman" w:cs="Times New Roman"/>
          <w:iCs/>
          <w:sz w:val="24"/>
          <w:szCs w:val="24"/>
          <w:lang w:val="en-GB"/>
        </w:rPr>
        <w:t>a</w:t>
      </w:r>
      <w:r w:rsidR="0047051C" w:rsidRPr="007C4490">
        <w:rPr>
          <w:rFonts w:ascii="Times New Roman" w:hAnsi="Times New Roman" w:cs="Times New Roman"/>
          <w:iCs/>
          <w:sz w:val="24"/>
          <w:szCs w:val="24"/>
          <w:lang w:val="en-GB"/>
        </w:rPr>
        <w:t xml:space="preserve">), </w:t>
      </w:r>
      <w:r w:rsidR="000560D5" w:rsidRPr="007C4490">
        <w:rPr>
          <w:rFonts w:ascii="Times New Roman" w:hAnsi="Times New Roman" w:cs="Times New Roman"/>
          <w:iCs/>
          <w:sz w:val="24"/>
          <w:szCs w:val="24"/>
          <w:lang w:val="en-GB"/>
        </w:rPr>
        <w:t>State health insurance marketplace t</w:t>
      </w:r>
      <w:r w:rsidR="0047051C" w:rsidRPr="007C4490">
        <w:rPr>
          <w:rFonts w:ascii="Times New Roman" w:hAnsi="Times New Roman" w:cs="Times New Roman"/>
          <w:iCs/>
          <w:sz w:val="24"/>
          <w:szCs w:val="24"/>
          <w:lang w:val="en-GB"/>
        </w:rPr>
        <w:t>ypes</w:t>
      </w:r>
      <w:r w:rsidR="000560D5" w:rsidRPr="007C4490">
        <w:rPr>
          <w:rFonts w:ascii="Times New Roman" w:hAnsi="Times New Roman" w:cs="Times New Roman"/>
          <w:iCs/>
          <w:sz w:val="24"/>
          <w:szCs w:val="24"/>
          <w:lang w:val="en-GB"/>
        </w:rPr>
        <w:t>, 2015, http://kff.org/health-reform/state-indicator/state-health-insurance-marketplace-types/.</w:t>
      </w:r>
      <w:proofErr w:type="gramEnd"/>
    </w:p>
    <w:p w14:paraId="31E4BFEA" w14:textId="77777777" w:rsidR="004854CC" w:rsidRPr="007C4490" w:rsidRDefault="00E31CF9" w:rsidP="00282389">
      <w:pPr>
        <w:spacing w:after="0" w:line="480" w:lineRule="auto"/>
        <w:ind w:left="720" w:hanging="720"/>
        <w:jc w:val="both"/>
        <w:rPr>
          <w:rFonts w:ascii="Times New Roman" w:hAnsi="Times New Roman" w:cs="Times New Roman"/>
          <w:iCs/>
          <w:sz w:val="24"/>
          <w:szCs w:val="24"/>
          <w:lang w:val="en-GB"/>
        </w:rPr>
      </w:pPr>
      <w:r w:rsidRPr="007C4490">
        <w:rPr>
          <w:rFonts w:ascii="Times New Roman" w:hAnsi="Times New Roman" w:cs="Times New Roman"/>
          <w:iCs/>
          <w:sz w:val="24"/>
          <w:szCs w:val="24"/>
          <w:lang w:val="en-GB"/>
        </w:rPr>
        <w:t>Kaiser Family Foundation</w:t>
      </w:r>
      <w:r w:rsidR="000560D5" w:rsidRPr="007C4490">
        <w:rPr>
          <w:rFonts w:ascii="Times New Roman" w:hAnsi="Times New Roman" w:cs="Times New Roman"/>
          <w:iCs/>
          <w:sz w:val="24"/>
          <w:szCs w:val="24"/>
          <w:lang w:val="en-GB"/>
        </w:rPr>
        <w:t xml:space="preserve"> (2015b), Status of state a</w:t>
      </w:r>
      <w:r w:rsidR="004854CC" w:rsidRPr="007C4490">
        <w:rPr>
          <w:rFonts w:ascii="Times New Roman" w:hAnsi="Times New Roman" w:cs="Times New Roman"/>
          <w:iCs/>
          <w:sz w:val="24"/>
          <w:szCs w:val="24"/>
          <w:lang w:val="en-GB"/>
        </w:rPr>
        <w:t>ction on the Medicaid expansion decision, http://kff.org/health-reform/state-indicator/state-activity-around-expanding-medicaid-under-the-affordable-care-act/</w:t>
      </w:r>
      <w:r w:rsidR="000560D5" w:rsidRPr="007C4490">
        <w:rPr>
          <w:rFonts w:ascii="Times New Roman" w:hAnsi="Times New Roman" w:cs="Times New Roman"/>
          <w:iCs/>
          <w:sz w:val="24"/>
          <w:szCs w:val="24"/>
          <w:lang w:val="en-GB"/>
        </w:rPr>
        <w:t>.</w:t>
      </w:r>
    </w:p>
    <w:p w14:paraId="2FA3412F" w14:textId="77777777" w:rsidR="00E93494" w:rsidRPr="007C4490" w:rsidRDefault="00E93494" w:rsidP="00282389">
      <w:pPr>
        <w:spacing w:after="0" w:line="480" w:lineRule="auto"/>
        <w:ind w:left="720" w:hanging="720"/>
        <w:jc w:val="both"/>
        <w:rPr>
          <w:rFonts w:ascii="Times New Roman" w:hAnsi="Times New Roman" w:cs="Times New Roman"/>
          <w:iCs/>
          <w:sz w:val="24"/>
          <w:szCs w:val="24"/>
          <w:lang w:val="en-GB"/>
        </w:rPr>
      </w:pPr>
      <w:r w:rsidRPr="007C4490">
        <w:rPr>
          <w:rFonts w:ascii="Times New Roman" w:hAnsi="Times New Roman" w:cs="Times New Roman"/>
          <w:iCs/>
          <w:sz w:val="24"/>
          <w:szCs w:val="24"/>
          <w:lang w:val="en-GB"/>
        </w:rPr>
        <w:t xml:space="preserve">Klein, J. (2003), </w:t>
      </w:r>
      <w:r w:rsidRPr="007C4490">
        <w:rPr>
          <w:rFonts w:ascii="Times New Roman" w:hAnsi="Times New Roman" w:cs="Times New Roman"/>
          <w:i/>
          <w:iCs/>
          <w:sz w:val="24"/>
          <w:szCs w:val="24"/>
          <w:lang w:val="en-GB"/>
        </w:rPr>
        <w:t xml:space="preserve">For All These Rights: Business, </w:t>
      </w:r>
      <w:proofErr w:type="spellStart"/>
      <w:r w:rsidRPr="007C4490">
        <w:rPr>
          <w:rFonts w:ascii="Times New Roman" w:hAnsi="Times New Roman" w:cs="Times New Roman"/>
          <w:i/>
          <w:iCs/>
          <w:sz w:val="24"/>
          <w:szCs w:val="24"/>
          <w:lang w:val="en-GB"/>
        </w:rPr>
        <w:t>Labor</w:t>
      </w:r>
      <w:proofErr w:type="spellEnd"/>
      <w:r w:rsidRPr="007C4490">
        <w:rPr>
          <w:rFonts w:ascii="Times New Roman" w:hAnsi="Times New Roman" w:cs="Times New Roman"/>
          <w:i/>
          <w:iCs/>
          <w:sz w:val="24"/>
          <w:szCs w:val="24"/>
          <w:lang w:val="en-GB"/>
        </w:rPr>
        <w:t>, and the Shaping of America’s Public-Private Welfare State</w:t>
      </w:r>
      <w:r w:rsidRPr="007C4490">
        <w:rPr>
          <w:rFonts w:ascii="Times New Roman" w:hAnsi="Times New Roman" w:cs="Times New Roman"/>
          <w:iCs/>
          <w:sz w:val="24"/>
          <w:szCs w:val="24"/>
          <w:lang w:val="en-GB"/>
        </w:rPr>
        <w:t>, Princeton: Princeton University Press.</w:t>
      </w:r>
    </w:p>
    <w:p w14:paraId="2508855D" w14:textId="77777777" w:rsidR="00B94E6A" w:rsidRPr="007C4490" w:rsidRDefault="00B94E6A" w:rsidP="00282389">
      <w:pPr>
        <w:spacing w:after="0" w:line="480" w:lineRule="auto"/>
        <w:ind w:left="720" w:hanging="720"/>
        <w:jc w:val="both"/>
        <w:rPr>
          <w:rFonts w:ascii="Times New Roman" w:hAnsi="Times New Roman" w:cs="Times New Roman"/>
          <w:iCs/>
          <w:sz w:val="24"/>
          <w:szCs w:val="24"/>
          <w:lang w:val="en-GB"/>
        </w:rPr>
      </w:pPr>
      <w:r w:rsidRPr="007C4490">
        <w:rPr>
          <w:rFonts w:ascii="Times New Roman" w:hAnsi="Times New Roman" w:cs="Times New Roman"/>
          <w:iCs/>
          <w:sz w:val="24"/>
          <w:szCs w:val="24"/>
          <w:lang w:val="en-GB"/>
        </w:rPr>
        <w:t>Krugman, P. (2015)</w:t>
      </w:r>
      <w:r w:rsidR="000560D5" w:rsidRPr="007C4490">
        <w:rPr>
          <w:rFonts w:ascii="Times New Roman" w:hAnsi="Times New Roman" w:cs="Times New Roman"/>
          <w:iCs/>
          <w:sz w:val="24"/>
          <w:szCs w:val="24"/>
          <w:lang w:val="en-GB"/>
        </w:rPr>
        <w:t>, Where Government Excels</w:t>
      </w:r>
      <w:r w:rsidR="0094356C" w:rsidRPr="007C4490">
        <w:rPr>
          <w:rFonts w:ascii="Times New Roman" w:hAnsi="Times New Roman" w:cs="Times New Roman"/>
          <w:iCs/>
          <w:sz w:val="24"/>
          <w:szCs w:val="24"/>
          <w:lang w:val="en-GB"/>
        </w:rPr>
        <w:t xml:space="preserve">, </w:t>
      </w:r>
      <w:r w:rsidR="0094356C" w:rsidRPr="007C4490">
        <w:rPr>
          <w:rFonts w:ascii="Times New Roman" w:hAnsi="Times New Roman" w:cs="Times New Roman"/>
          <w:i/>
          <w:iCs/>
          <w:sz w:val="24"/>
          <w:szCs w:val="24"/>
          <w:lang w:val="en-GB"/>
        </w:rPr>
        <w:t>New York Times</w:t>
      </w:r>
      <w:r w:rsidR="0094356C" w:rsidRPr="007C4490">
        <w:rPr>
          <w:rFonts w:ascii="Times New Roman" w:hAnsi="Times New Roman" w:cs="Times New Roman"/>
          <w:iCs/>
          <w:sz w:val="24"/>
          <w:szCs w:val="24"/>
          <w:lang w:val="en-GB"/>
        </w:rPr>
        <w:t>, 10 April, http://www.nytimes.com/2015/04/10/opinion/paul-krugman-where-government-excels.html?emc=edit_ty_20150410&amp;nl=opinion&amp;nlid=5348137&amp;_r=1</w:t>
      </w:r>
      <w:r w:rsidR="000560D5" w:rsidRPr="007C4490">
        <w:rPr>
          <w:rFonts w:ascii="Times New Roman" w:hAnsi="Times New Roman" w:cs="Times New Roman"/>
          <w:iCs/>
          <w:sz w:val="24"/>
          <w:szCs w:val="24"/>
          <w:lang w:val="en-GB"/>
        </w:rPr>
        <w:t>.</w:t>
      </w:r>
    </w:p>
    <w:p w14:paraId="52F0F9BB" w14:textId="77777777" w:rsidR="000216D1" w:rsidRPr="007C4490" w:rsidRDefault="000216D1"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Mahoney</w:t>
      </w:r>
      <w:r w:rsidR="000560D5" w:rsidRPr="007C4490">
        <w:rPr>
          <w:rFonts w:ascii="Times New Roman" w:hAnsi="Times New Roman" w:cs="Times New Roman"/>
          <w:sz w:val="24"/>
          <w:szCs w:val="24"/>
          <w:lang w:val="en-GB"/>
        </w:rPr>
        <w:t xml:space="preserve">, J. and </w:t>
      </w:r>
      <w:proofErr w:type="spellStart"/>
      <w:r w:rsidR="000560D5" w:rsidRPr="007C4490">
        <w:rPr>
          <w:rFonts w:ascii="Times New Roman" w:hAnsi="Times New Roman" w:cs="Times New Roman"/>
          <w:sz w:val="24"/>
          <w:szCs w:val="24"/>
          <w:lang w:val="en-GB"/>
        </w:rPr>
        <w:t>Thelen</w:t>
      </w:r>
      <w:proofErr w:type="spellEnd"/>
      <w:r w:rsidR="000560D5" w:rsidRPr="007C4490">
        <w:rPr>
          <w:rFonts w:ascii="Times New Roman" w:hAnsi="Times New Roman" w:cs="Times New Roman"/>
          <w:sz w:val="24"/>
          <w:szCs w:val="24"/>
          <w:lang w:val="en-GB"/>
        </w:rPr>
        <w:t>, K. (2009) (</w:t>
      </w:r>
      <w:proofErr w:type="spellStart"/>
      <w:proofErr w:type="gramStart"/>
      <w:r w:rsidR="000560D5" w:rsidRPr="007C4490">
        <w:rPr>
          <w:rFonts w:ascii="Times New Roman" w:hAnsi="Times New Roman" w:cs="Times New Roman"/>
          <w:sz w:val="24"/>
          <w:szCs w:val="24"/>
          <w:lang w:val="en-GB"/>
        </w:rPr>
        <w:t>eds</w:t>
      </w:r>
      <w:proofErr w:type="spellEnd"/>
      <w:proofErr w:type="gramEnd"/>
      <w:r w:rsidRPr="007C4490">
        <w:rPr>
          <w:rFonts w:ascii="Times New Roman" w:hAnsi="Times New Roman" w:cs="Times New Roman"/>
          <w:sz w:val="24"/>
          <w:szCs w:val="24"/>
          <w:lang w:val="en-GB"/>
        </w:rPr>
        <w:t xml:space="preserve">), </w:t>
      </w:r>
      <w:r w:rsidRPr="007C4490">
        <w:rPr>
          <w:rFonts w:ascii="Times New Roman" w:hAnsi="Times New Roman" w:cs="Times New Roman"/>
          <w:i/>
          <w:sz w:val="24"/>
          <w:szCs w:val="24"/>
          <w:lang w:val="en-GB"/>
        </w:rPr>
        <w:t>Explaining Institutional Change: Ambiguity, Agency, and Power</w:t>
      </w:r>
      <w:r w:rsidRPr="007C4490">
        <w:rPr>
          <w:rFonts w:ascii="Times New Roman" w:hAnsi="Times New Roman" w:cs="Times New Roman"/>
          <w:sz w:val="24"/>
          <w:szCs w:val="24"/>
          <w:lang w:val="en-GB"/>
        </w:rPr>
        <w:t xml:space="preserve">, New York: Cambridge University Press. </w:t>
      </w:r>
    </w:p>
    <w:p w14:paraId="01A95693" w14:textId="77777777" w:rsidR="00A31199" w:rsidRPr="007C4490" w:rsidRDefault="00A31199" w:rsidP="00282389">
      <w:pPr>
        <w:spacing w:after="0" w:line="480" w:lineRule="auto"/>
        <w:ind w:left="720" w:hanging="720"/>
        <w:jc w:val="both"/>
        <w:rPr>
          <w:rFonts w:ascii="Times New Roman" w:hAnsi="Times New Roman" w:cs="Times New Roman"/>
          <w:sz w:val="24"/>
          <w:szCs w:val="24"/>
          <w:lang w:val="en-GB"/>
        </w:rPr>
      </w:pPr>
      <w:proofErr w:type="spellStart"/>
      <w:proofErr w:type="gramStart"/>
      <w:r w:rsidRPr="007C4490">
        <w:rPr>
          <w:rFonts w:ascii="Times New Roman" w:hAnsi="Times New Roman" w:cs="Times New Roman"/>
          <w:sz w:val="24"/>
          <w:szCs w:val="24"/>
          <w:lang w:val="en-GB"/>
        </w:rPr>
        <w:t>Marmor</w:t>
      </w:r>
      <w:proofErr w:type="spellEnd"/>
      <w:r w:rsidRPr="007C4490">
        <w:rPr>
          <w:rFonts w:ascii="Times New Roman" w:hAnsi="Times New Roman" w:cs="Times New Roman"/>
          <w:sz w:val="24"/>
          <w:szCs w:val="24"/>
          <w:lang w:val="en-GB"/>
        </w:rPr>
        <w:t xml:space="preserve">, T.R. </w:t>
      </w:r>
      <w:r w:rsidR="00282389"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2000</w:t>
      </w:r>
      <w:r w:rsidR="00282389"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Pr="007C4490">
        <w:rPr>
          <w:rFonts w:ascii="Times New Roman" w:hAnsi="Times New Roman" w:cs="Times New Roman"/>
          <w:i/>
          <w:sz w:val="24"/>
          <w:szCs w:val="24"/>
          <w:lang w:val="en-GB"/>
        </w:rPr>
        <w:t>The Politics of Medicare</w:t>
      </w:r>
      <w:r w:rsidRPr="007C4490">
        <w:rPr>
          <w:rFonts w:ascii="Times New Roman" w:hAnsi="Times New Roman" w:cs="Times New Roman"/>
          <w:sz w:val="24"/>
          <w:szCs w:val="24"/>
          <w:lang w:val="en-GB"/>
        </w:rPr>
        <w:t xml:space="preserve"> (</w:t>
      </w:r>
      <w:r w:rsidR="000560D5" w:rsidRPr="007C4490">
        <w:rPr>
          <w:rFonts w:ascii="Times New Roman" w:hAnsi="Times New Roman" w:cs="Times New Roman"/>
          <w:sz w:val="24"/>
          <w:szCs w:val="24"/>
          <w:lang w:val="en-GB"/>
        </w:rPr>
        <w:t xml:space="preserve">2nd </w:t>
      </w:r>
      <w:r w:rsidRPr="007C4490">
        <w:rPr>
          <w:rFonts w:ascii="Times New Roman" w:hAnsi="Times New Roman" w:cs="Times New Roman"/>
          <w:sz w:val="24"/>
          <w:szCs w:val="24"/>
          <w:lang w:val="en-GB"/>
        </w:rPr>
        <w:t>edition).</w:t>
      </w:r>
      <w:proofErr w:type="gramEnd"/>
      <w:r w:rsidRPr="007C4490">
        <w:rPr>
          <w:rFonts w:ascii="Times New Roman" w:hAnsi="Times New Roman" w:cs="Times New Roman"/>
          <w:sz w:val="24"/>
          <w:szCs w:val="24"/>
          <w:lang w:val="en-GB"/>
        </w:rPr>
        <w:t xml:space="preserve"> New York: Aldine de </w:t>
      </w:r>
      <w:proofErr w:type="spellStart"/>
      <w:r w:rsidRPr="007C4490">
        <w:rPr>
          <w:rFonts w:ascii="Times New Roman" w:hAnsi="Times New Roman" w:cs="Times New Roman"/>
          <w:sz w:val="24"/>
          <w:szCs w:val="24"/>
          <w:lang w:val="en-GB"/>
        </w:rPr>
        <w:t>Gruyter</w:t>
      </w:r>
      <w:proofErr w:type="spellEnd"/>
      <w:r w:rsidR="00E31CF9" w:rsidRPr="007C4490">
        <w:rPr>
          <w:rFonts w:ascii="Times New Roman" w:hAnsi="Times New Roman" w:cs="Times New Roman"/>
          <w:sz w:val="24"/>
          <w:szCs w:val="24"/>
          <w:lang w:val="en-GB"/>
        </w:rPr>
        <w:t>.</w:t>
      </w:r>
    </w:p>
    <w:p w14:paraId="586AFE7F" w14:textId="77777777" w:rsidR="00B8386F" w:rsidRPr="007C4490" w:rsidRDefault="00884F7E" w:rsidP="00282389">
      <w:pPr>
        <w:pStyle w:val="BodyTextIndent"/>
        <w:spacing w:line="480" w:lineRule="auto"/>
        <w:ind w:hanging="720"/>
        <w:jc w:val="both"/>
      </w:pPr>
      <w:proofErr w:type="spellStart"/>
      <w:r w:rsidRPr="007C4490">
        <w:t>Marmor</w:t>
      </w:r>
      <w:proofErr w:type="spellEnd"/>
      <w:r w:rsidRPr="007C4490">
        <w:t xml:space="preserve">, T. and </w:t>
      </w:r>
      <w:proofErr w:type="spellStart"/>
      <w:r w:rsidRPr="007C4490">
        <w:t>Oberlander</w:t>
      </w:r>
      <w:proofErr w:type="spellEnd"/>
      <w:r w:rsidRPr="007C4490">
        <w:t xml:space="preserve">, J. (2011), </w:t>
      </w:r>
      <w:proofErr w:type="gramStart"/>
      <w:r w:rsidR="000560D5" w:rsidRPr="007C4490">
        <w:t>The</w:t>
      </w:r>
      <w:proofErr w:type="gramEnd"/>
      <w:r w:rsidR="000560D5" w:rsidRPr="007C4490">
        <w:t xml:space="preserve"> patchwork: health reform, American style,</w:t>
      </w:r>
      <w:r w:rsidR="00AE1378" w:rsidRPr="007C4490">
        <w:t xml:space="preserve"> </w:t>
      </w:r>
      <w:r w:rsidR="00AE1378" w:rsidRPr="007C4490">
        <w:rPr>
          <w:i/>
        </w:rPr>
        <w:t>Social Science and Medicine</w:t>
      </w:r>
      <w:r w:rsidR="000560D5" w:rsidRPr="007C4490">
        <w:t>, 72: 125-</w:t>
      </w:r>
      <w:r w:rsidR="00AE1378" w:rsidRPr="007C4490">
        <w:t xml:space="preserve">8. </w:t>
      </w:r>
    </w:p>
    <w:p w14:paraId="1BB237B7" w14:textId="77777777" w:rsidR="00FC5716" w:rsidRPr="007C4490" w:rsidRDefault="00282389" w:rsidP="00282389">
      <w:pPr>
        <w:pStyle w:val="BodyTextIndent"/>
        <w:spacing w:line="480" w:lineRule="auto"/>
        <w:ind w:hanging="720"/>
        <w:jc w:val="both"/>
      </w:pPr>
      <w:proofErr w:type="spellStart"/>
      <w:r w:rsidRPr="007C4490">
        <w:t>Mittlestadt</w:t>
      </w:r>
      <w:proofErr w:type="spellEnd"/>
      <w:r w:rsidRPr="007C4490">
        <w:t>, J. (2006),</w:t>
      </w:r>
      <w:r w:rsidR="00FC5716" w:rsidRPr="007C4490">
        <w:t xml:space="preserve"> </w:t>
      </w:r>
      <w:r w:rsidR="00FC5716" w:rsidRPr="007C4490">
        <w:rPr>
          <w:i/>
        </w:rPr>
        <w:t xml:space="preserve">From Welfare to Workfare: </w:t>
      </w:r>
      <w:r w:rsidR="00CF69F9" w:rsidRPr="007C4490">
        <w:rPr>
          <w:rStyle w:val="st"/>
          <w:i/>
        </w:rPr>
        <w:t>The Unintended Consequences of Liberal Reform, 1945–1965</w:t>
      </w:r>
      <w:r w:rsidR="00FC5716" w:rsidRPr="007C4490">
        <w:rPr>
          <w:rStyle w:val="st"/>
        </w:rPr>
        <w:t xml:space="preserve">, Chapel Hill, NC: University of North Carolina Press. </w:t>
      </w:r>
    </w:p>
    <w:p w14:paraId="1F1023CD" w14:textId="77777777" w:rsidR="00A31199" w:rsidRPr="007C4490" w:rsidRDefault="00A31199" w:rsidP="00282389">
      <w:pPr>
        <w:pStyle w:val="BodyTextIndent"/>
        <w:spacing w:line="480" w:lineRule="auto"/>
        <w:ind w:hanging="720"/>
        <w:jc w:val="both"/>
      </w:pPr>
      <w:r w:rsidRPr="007C4490">
        <w:t xml:space="preserve">Moran, M. </w:t>
      </w:r>
      <w:r w:rsidR="00282389" w:rsidRPr="007C4490">
        <w:t>(</w:t>
      </w:r>
      <w:r w:rsidRPr="007C4490">
        <w:t>2000</w:t>
      </w:r>
      <w:r w:rsidR="00282389" w:rsidRPr="007C4490">
        <w:t>),</w:t>
      </w:r>
      <w:r w:rsidR="0011261D" w:rsidRPr="007C4490">
        <w:t xml:space="preserve"> Understanding the welfare state: the case of health care</w:t>
      </w:r>
      <w:r w:rsidRPr="007C4490">
        <w:t xml:space="preserve">, </w:t>
      </w:r>
      <w:r w:rsidRPr="007C4490">
        <w:rPr>
          <w:i/>
        </w:rPr>
        <w:t>British Journal of Politics and International Relations</w:t>
      </w:r>
      <w:r w:rsidR="00E31CF9" w:rsidRPr="007C4490">
        <w:t>, 2</w:t>
      </w:r>
      <w:r w:rsidR="0011261D" w:rsidRPr="007C4490">
        <w:t>, 2: 135-</w:t>
      </w:r>
      <w:r w:rsidRPr="007C4490">
        <w:t>69</w:t>
      </w:r>
      <w:r w:rsidR="00E31CF9" w:rsidRPr="007C4490">
        <w:t>.</w:t>
      </w:r>
    </w:p>
    <w:p w14:paraId="493A2B6A" w14:textId="77777777" w:rsidR="00395D27" w:rsidRPr="007C4490" w:rsidRDefault="00395D27"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lastRenderedPageBreak/>
        <w:t xml:space="preserve">National </w:t>
      </w:r>
      <w:proofErr w:type="spellStart"/>
      <w:r w:rsidRPr="007C4490">
        <w:rPr>
          <w:rFonts w:ascii="Times New Roman" w:hAnsi="Times New Roman" w:cs="Times New Roman"/>
          <w:sz w:val="24"/>
          <w:szCs w:val="24"/>
          <w:lang w:val="en-GB"/>
        </w:rPr>
        <w:t>Cent</w:t>
      </w:r>
      <w:r w:rsidR="00282389" w:rsidRPr="007C4490">
        <w:rPr>
          <w:rFonts w:ascii="Times New Roman" w:hAnsi="Times New Roman" w:cs="Times New Roman"/>
          <w:sz w:val="24"/>
          <w:szCs w:val="24"/>
          <w:lang w:val="en-GB"/>
        </w:rPr>
        <w:t>er</w:t>
      </w:r>
      <w:proofErr w:type="spellEnd"/>
      <w:r w:rsidR="00282389" w:rsidRPr="007C4490">
        <w:rPr>
          <w:rFonts w:ascii="Times New Roman" w:hAnsi="Times New Roman" w:cs="Times New Roman"/>
          <w:sz w:val="24"/>
          <w:szCs w:val="24"/>
          <w:lang w:val="en-GB"/>
        </w:rPr>
        <w:t xml:space="preserve"> for Health Statistics (2014),</w:t>
      </w:r>
      <w:r w:rsidR="005866CD" w:rsidRPr="007C4490">
        <w:rPr>
          <w:rFonts w:ascii="Times New Roman" w:hAnsi="Times New Roman" w:cs="Times New Roman"/>
          <w:sz w:val="24"/>
          <w:szCs w:val="24"/>
          <w:lang w:val="en-GB"/>
        </w:rPr>
        <w:t xml:space="preserve"> Health insurance coverage: early release of estimates from national health interview survey, Washington, DC</w:t>
      </w:r>
      <w:r w:rsidRPr="007C4490">
        <w:rPr>
          <w:rFonts w:ascii="Times New Roman" w:hAnsi="Times New Roman" w:cs="Times New Roman"/>
          <w:sz w:val="24"/>
          <w:szCs w:val="24"/>
          <w:lang w:val="en-GB"/>
        </w:rPr>
        <w:t xml:space="preserve">: Government Printing Office. </w:t>
      </w:r>
    </w:p>
    <w:p w14:paraId="57A06756" w14:textId="77777777" w:rsidR="000909B8" w:rsidRPr="007C4490" w:rsidRDefault="0074593F"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National Institute on Retirement </w:t>
      </w:r>
      <w:r w:rsidR="00282389" w:rsidRPr="007C4490">
        <w:rPr>
          <w:rFonts w:ascii="Times New Roman" w:hAnsi="Times New Roman" w:cs="Times New Roman"/>
          <w:sz w:val="24"/>
          <w:szCs w:val="24"/>
          <w:lang w:val="en-GB"/>
        </w:rPr>
        <w:t>Security (2013),</w:t>
      </w:r>
      <w:r w:rsidR="000909B8" w:rsidRPr="007C4490">
        <w:rPr>
          <w:rFonts w:ascii="Times New Roman" w:hAnsi="Times New Roman" w:cs="Times New Roman"/>
          <w:sz w:val="24"/>
          <w:szCs w:val="24"/>
          <w:lang w:val="en-GB"/>
        </w:rPr>
        <w:t xml:space="preserve"> </w:t>
      </w:r>
      <w:proofErr w:type="gramStart"/>
      <w:r w:rsidR="005866CD" w:rsidRPr="007C4490">
        <w:rPr>
          <w:rFonts w:ascii="Times New Roman" w:hAnsi="Times New Roman" w:cs="Times New Roman"/>
          <w:sz w:val="24"/>
          <w:szCs w:val="24"/>
          <w:lang w:val="en-GB"/>
        </w:rPr>
        <w:t>The</w:t>
      </w:r>
      <w:proofErr w:type="gramEnd"/>
      <w:r w:rsidR="005866CD" w:rsidRPr="007C4490">
        <w:rPr>
          <w:rFonts w:ascii="Times New Roman" w:hAnsi="Times New Roman" w:cs="Times New Roman"/>
          <w:sz w:val="24"/>
          <w:szCs w:val="24"/>
          <w:lang w:val="en-GB"/>
        </w:rPr>
        <w:t xml:space="preserve"> retirement savings crisis: is it worse than we t</w:t>
      </w:r>
      <w:r w:rsidR="000909B8" w:rsidRPr="007C4490">
        <w:rPr>
          <w:rFonts w:ascii="Times New Roman" w:hAnsi="Times New Roman" w:cs="Times New Roman"/>
          <w:sz w:val="24"/>
          <w:szCs w:val="24"/>
          <w:lang w:val="en-GB"/>
        </w:rPr>
        <w:t>hink? Washington, DC: National I</w:t>
      </w:r>
      <w:r w:rsidR="005866CD" w:rsidRPr="007C4490">
        <w:rPr>
          <w:rFonts w:ascii="Times New Roman" w:hAnsi="Times New Roman" w:cs="Times New Roman"/>
          <w:sz w:val="24"/>
          <w:szCs w:val="24"/>
          <w:lang w:val="en-GB"/>
        </w:rPr>
        <w:t xml:space="preserve">nstitute on National Security, </w:t>
      </w:r>
      <w:r w:rsidR="000909B8" w:rsidRPr="007C4490">
        <w:rPr>
          <w:rFonts w:ascii="Times New Roman" w:hAnsi="Times New Roman" w:cs="Times New Roman"/>
          <w:sz w:val="24"/>
          <w:szCs w:val="24"/>
          <w:lang w:val="en-GB"/>
        </w:rPr>
        <w:t>http://www.nirsonline.org/research/index.php?option=com_content&amp;task=view&amp;id=768&amp;Itemid=</w:t>
      </w:r>
      <w:r w:rsidR="005866CD" w:rsidRPr="007C4490">
        <w:rPr>
          <w:rFonts w:ascii="Times New Roman" w:hAnsi="Times New Roman" w:cs="Times New Roman"/>
          <w:sz w:val="24"/>
          <w:szCs w:val="24"/>
          <w:lang w:val="en-GB"/>
        </w:rPr>
        <w:t>48.</w:t>
      </w:r>
    </w:p>
    <w:p w14:paraId="3FA92250" w14:textId="77777777" w:rsidR="00FC5716" w:rsidRPr="007C4490" w:rsidRDefault="00FC5716"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t>Patashnik</w:t>
      </w:r>
      <w:proofErr w:type="spellEnd"/>
      <w:r w:rsidRPr="007C4490">
        <w:rPr>
          <w:rFonts w:ascii="Times New Roman" w:hAnsi="Times New Roman" w:cs="Times New Roman"/>
          <w:sz w:val="24"/>
          <w:szCs w:val="24"/>
          <w:lang w:val="en-GB"/>
        </w:rPr>
        <w:t xml:space="preserve">, E. (2008), </w:t>
      </w:r>
      <w:r w:rsidRPr="007C4490">
        <w:rPr>
          <w:rFonts w:ascii="Times New Roman" w:hAnsi="Times New Roman" w:cs="Times New Roman"/>
          <w:i/>
          <w:sz w:val="24"/>
          <w:szCs w:val="24"/>
          <w:lang w:val="en-GB"/>
        </w:rPr>
        <w:t>Reforms at Risk: What Happens After Major Policy Changes are Enacted</w:t>
      </w:r>
      <w:r w:rsidRPr="007C4490">
        <w:rPr>
          <w:rFonts w:ascii="Times New Roman" w:hAnsi="Times New Roman" w:cs="Times New Roman"/>
          <w:sz w:val="24"/>
          <w:szCs w:val="24"/>
          <w:lang w:val="en-GB"/>
        </w:rPr>
        <w:t xml:space="preserve">, Princeton: Princeton University Press. </w:t>
      </w:r>
    </w:p>
    <w:p w14:paraId="56962942" w14:textId="77777777" w:rsidR="0091244E" w:rsidRPr="007C4490" w:rsidRDefault="0091244E"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Peterson, M. (2011)</w:t>
      </w:r>
      <w:r w:rsidR="005866CD" w:rsidRPr="007C4490">
        <w:rPr>
          <w:rFonts w:ascii="Times New Roman" w:hAnsi="Times New Roman" w:cs="Times New Roman"/>
          <w:sz w:val="24"/>
          <w:szCs w:val="24"/>
          <w:lang w:val="en-GB"/>
        </w:rPr>
        <w:t xml:space="preserve">, </w:t>
      </w:r>
      <w:proofErr w:type="gramStart"/>
      <w:r w:rsidR="005866CD" w:rsidRPr="007C4490">
        <w:rPr>
          <w:rFonts w:ascii="Times New Roman" w:hAnsi="Times New Roman" w:cs="Times New Roman"/>
          <w:sz w:val="24"/>
          <w:szCs w:val="24"/>
          <w:lang w:val="en-GB"/>
        </w:rPr>
        <w:t>It</w:t>
      </w:r>
      <w:proofErr w:type="gramEnd"/>
      <w:r w:rsidR="005866CD" w:rsidRPr="007C4490">
        <w:rPr>
          <w:rFonts w:ascii="Times New Roman" w:hAnsi="Times New Roman" w:cs="Times New Roman"/>
          <w:sz w:val="24"/>
          <w:szCs w:val="24"/>
          <w:lang w:val="en-GB"/>
        </w:rPr>
        <w:t xml:space="preserve"> was a different time: Obama and the unique opportunity for health care reform</w:t>
      </w:r>
      <w:r w:rsidR="00835ED5" w:rsidRPr="007C4490">
        <w:rPr>
          <w:rFonts w:ascii="Times New Roman" w:hAnsi="Times New Roman" w:cs="Times New Roman"/>
          <w:sz w:val="24"/>
          <w:szCs w:val="24"/>
          <w:lang w:val="en-GB"/>
        </w:rPr>
        <w:t xml:space="preserve">, </w:t>
      </w:r>
      <w:r w:rsidR="00835ED5" w:rsidRPr="007C4490">
        <w:rPr>
          <w:rFonts w:ascii="Times New Roman" w:hAnsi="Times New Roman" w:cs="Times New Roman"/>
          <w:i/>
          <w:iCs/>
          <w:sz w:val="24"/>
          <w:szCs w:val="24"/>
          <w:lang w:val="en-GB"/>
        </w:rPr>
        <w:t>Journal of Health Politics, Policy and Law</w:t>
      </w:r>
      <w:r w:rsidR="00835ED5" w:rsidRPr="007C4490">
        <w:rPr>
          <w:rFonts w:ascii="Times New Roman" w:hAnsi="Times New Roman" w:cs="Times New Roman"/>
          <w:sz w:val="24"/>
          <w:szCs w:val="24"/>
          <w:lang w:val="en-GB"/>
        </w:rPr>
        <w:t>, 36</w:t>
      </w:r>
      <w:r w:rsidR="005866CD" w:rsidRPr="007C4490">
        <w:rPr>
          <w:rFonts w:ascii="Times New Roman" w:hAnsi="Times New Roman" w:cs="Times New Roman"/>
          <w:sz w:val="24"/>
          <w:szCs w:val="24"/>
          <w:lang w:val="en-GB"/>
        </w:rPr>
        <w:t>, 3: 429-</w:t>
      </w:r>
      <w:r w:rsidR="00835ED5" w:rsidRPr="007C4490">
        <w:rPr>
          <w:rFonts w:ascii="Times New Roman" w:hAnsi="Times New Roman" w:cs="Times New Roman"/>
          <w:sz w:val="24"/>
          <w:szCs w:val="24"/>
          <w:lang w:val="en-GB"/>
        </w:rPr>
        <w:t>36</w:t>
      </w:r>
      <w:r w:rsidR="00E31CF9" w:rsidRPr="007C4490">
        <w:rPr>
          <w:rFonts w:ascii="Times New Roman" w:hAnsi="Times New Roman" w:cs="Times New Roman"/>
          <w:sz w:val="24"/>
          <w:szCs w:val="24"/>
          <w:lang w:val="en-GB"/>
        </w:rPr>
        <w:t>.</w:t>
      </w:r>
    </w:p>
    <w:p w14:paraId="59B9ACC8" w14:textId="77777777" w:rsidR="0052497C" w:rsidRPr="007C4490" w:rsidRDefault="00D45F43"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Pierson, P. (</w:t>
      </w:r>
      <w:proofErr w:type="spellStart"/>
      <w:proofErr w:type="gramStart"/>
      <w:r w:rsidRPr="007C4490">
        <w:rPr>
          <w:rFonts w:ascii="Times New Roman" w:hAnsi="Times New Roman" w:cs="Times New Roman"/>
          <w:sz w:val="24"/>
          <w:szCs w:val="24"/>
          <w:lang w:val="en-GB"/>
        </w:rPr>
        <w:t>ed</w:t>
      </w:r>
      <w:proofErr w:type="spellEnd"/>
      <w:proofErr w:type="gramEnd"/>
      <w:r w:rsidRPr="007C4490">
        <w:rPr>
          <w:rFonts w:ascii="Times New Roman" w:hAnsi="Times New Roman" w:cs="Times New Roman"/>
          <w:sz w:val="24"/>
          <w:szCs w:val="24"/>
          <w:lang w:val="en-GB"/>
        </w:rPr>
        <w:t xml:space="preserve">) (2001), </w:t>
      </w:r>
      <w:r w:rsidR="0052497C" w:rsidRPr="007C4490">
        <w:rPr>
          <w:rFonts w:ascii="Times New Roman" w:hAnsi="Times New Roman" w:cs="Times New Roman"/>
          <w:i/>
          <w:sz w:val="24"/>
          <w:szCs w:val="24"/>
          <w:lang w:val="en-GB"/>
        </w:rPr>
        <w:t>The New Politics of the Welfare State</w:t>
      </w:r>
      <w:r w:rsidR="0052497C" w:rsidRPr="007C4490">
        <w:rPr>
          <w:rFonts w:ascii="Times New Roman" w:hAnsi="Times New Roman" w:cs="Times New Roman"/>
          <w:sz w:val="24"/>
          <w:szCs w:val="24"/>
          <w:lang w:val="en-GB"/>
        </w:rPr>
        <w:t>, Oxford: Oxford University Press</w:t>
      </w:r>
      <w:r w:rsidR="00E31CF9" w:rsidRPr="007C4490">
        <w:rPr>
          <w:rFonts w:ascii="Times New Roman" w:hAnsi="Times New Roman" w:cs="Times New Roman"/>
          <w:sz w:val="24"/>
          <w:szCs w:val="24"/>
          <w:lang w:val="en-GB"/>
        </w:rPr>
        <w:t>.</w:t>
      </w:r>
    </w:p>
    <w:p w14:paraId="43264C66" w14:textId="77777777" w:rsidR="00A31199" w:rsidRPr="007C4490" w:rsidRDefault="00A31199"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Pierson, P. </w:t>
      </w:r>
      <w:r w:rsidR="00AD686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1994</w:t>
      </w:r>
      <w:r w:rsidR="00AD6864"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Pr="007C4490">
        <w:rPr>
          <w:rFonts w:ascii="Times New Roman" w:hAnsi="Times New Roman" w:cs="Times New Roman"/>
          <w:i/>
          <w:sz w:val="24"/>
          <w:szCs w:val="24"/>
          <w:lang w:val="en-GB"/>
        </w:rPr>
        <w:t xml:space="preserve">Dismantling the Welfare State? </w:t>
      </w:r>
      <w:proofErr w:type="gramStart"/>
      <w:r w:rsidRPr="007C4490">
        <w:rPr>
          <w:rFonts w:ascii="Times New Roman" w:hAnsi="Times New Roman" w:cs="Times New Roman"/>
          <w:i/>
          <w:sz w:val="24"/>
          <w:szCs w:val="24"/>
          <w:lang w:val="en-GB"/>
        </w:rPr>
        <w:t>Reagan, Thatcher, and the Politics of Retrenchment</w:t>
      </w:r>
      <w:r w:rsidRPr="007C4490">
        <w:rPr>
          <w:rFonts w:ascii="Times New Roman" w:hAnsi="Times New Roman" w:cs="Times New Roman"/>
          <w:sz w:val="24"/>
          <w:szCs w:val="24"/>
          <w:lang w:val="en-GB"/>
        </w:rPr>
        <w:t>.</w:t>
      </w:r>
      <w:proofErr w:type="gramEnd"/>
      <w:r w:rsidRPr="007C4490">
        <w:rPr>
          <w:rFonts w:ascii="Times New Roman" w:hAnsi="Times New Roman" w:cs="Times New Roman"/>
          <w:sz w:val="24"/>
          <w:szCs w:val="24"/>
          <w:lang w:val="en-GB"/>
        </w:rPr>
        <w:t xml:space="preserve"> New York: Cambridge University Press</w:t>
      </w:r>
      <w:r w:rsidR="00E31CF9" w:rsidRPr="007C4490">
        <w:rPr>
          <w:rFonts w:ascii="Times New Roman" w:hAnsi="Times New Roman" w:cs="Times New Roman"/>
          <w:sz w:val="24"/>
          <w:szCs w:val="24"/>
          <w:lang w:val="en-GB"/>
        </w:rPr>
        <w:t>.</w:t>
      </w:r>
    </w:p>
    <w:p w14:paraId="2F4DB36E" w14:textId="77777777" w:rsidR="00FC5716" w:rsidRPr="007C4490" w:rsidRDefault="00FC5716"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Pressman, J. and </w:t>
      </w:r>
      <w:proofErr w:type="spellStart"/>
      <w:r w:rsidRPr="007C4490">
        <w:rPr>
          <w:rFonts w:ascii="Times New Roman" w:hAnsi="Times New Roman" w:cs="Times New Roman"/>
          <w:sz w:val="24"/>
          <w:szCs w:val="24"/>
          <w:lang w:val="en-GB"/>
        </w:rPr>
        <w:t>Wildavsky</w:t>
      </w:r>
      <w:proofErr w:type="spellEnd"/>
      <w:r w:rsidRPr="007C4490">
        <w:rPr>
          <w:rFonts w:ascii="Times New Roman" w:hAnsi="Times New Roman" w:cs="Times New Roman"/>
          <w:sz w:val="24"/>
          <w:szCs w:val="24"/>
          <w:lang w:val="en-GB"/>
        </w:rPr>
        <w:t xml:space="preserve"> A. (1973)</w:t>
      </w:r>
      <w:r w:rsidR="00282389"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Pr="007C4490">
        <w:rPr>
          <w:rFonts w:ascii="Times New Roman" w:hAnsi="Times New Roman" w:cs="Times New Roman"/>
          <w:i/>
          <w:sz w:val="24"/>
          <w:szCs w:val="24"/>
          <w:lang w:val="en-GB"/>
        </w:rPr>
        <w:t>Implementation</w:t>
      </w:r>
      <w:r w:rsidRPr="007C4490">
        <w:rPr>
          <w:rFonts w:ascii="Times New Roman" w:hAnsi="Times New Roman" w:cs="Times New Roman"/>
          <w:sz w:val="24"/>
          <w:szCs w:val="24"/>
          <w:lang w:val="en-GB"/>
        </w:rPr>
        <w:t xml:space="preserve">, Berkeley, CA: University of California Press. </w:t>
      </w:r>
    </w:p>
    <w:p w14:paraId="52E95CA6" w14:textId="77777777" w:rsidR="004F782C" w:rsidRPr="007C4490" w:rsidRDefault="004F782C"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Rocc</w:t>
      </w:r>
      <w:r w:rsidR="00D45F43" w:rsidRPr="007C4490">
        <w:rPr>
          <w:rFonts w:ascii="Times New Roman" w:hAnsi="Times New Roman" w:cs="Times New Roman"/>
          <w:sz w:val="24"/>
          <w:szCs w:val="24"/>
          <w:lang w:val="en-GB"/>
        </w:rPr>
        <w:t xml:space="preserve">o, P. and Thurston, C. (2014), </w:t>
      </w:r>
      <w:proofErr w:type="gramStart"/>
      <w:r w:rsidR="00D45F43" w:rsidRPr="007C4490">
        <w:rPr>
          <w:rFonts w:ascii="Times New Roman" w:hAnsi="Times New Roman" w:cs="Times New Roman"/>
          <w:sz w:val="24"/>
          <w:szCs w:val="24"/>
          <w:lang w:val="en-GB"/>
        </w:rPr>
        <w:t>From</w:t>
      </w:r>
      <w:proofErr w:type="gramEnd"/>
      <w:r w:rsidR="00D45F43" w:rsidRPr="007C4490">
        <w:rPr>
          <w:rFonts w:ascii="Times New Roman" w:hAnsi="Times New Roman" w:cs="Times New Roman"/>
          <w:sz w:val="24"/>
          <w:szCs w:val="24"/>
          <w:lang w:val="en-GB"/>
        </w:rPr>
        <w:t xml:space="preserve"> metaphors to measures: observable indicators of gradual institutional c</w:t>
      </w:r>
      <w:r w:rsidRPr="007C4490">
        <w:rPr>
          <w:rFonts w:ascii="Times New Roman" w:hAnsi="Times New Roman" w:cs="Times New Roman"/>
          <w:sz w:val="24"/>
          <w:szCs w:val="24"/>
          <w:lang w:val="en-GB"/>
        </w:rPr>
        <w:t>han</w:t>
      </w:r>
      <w:r w:rsidR="00D45F43" w:rsidRPr="007C4490">
        <w:rPr>
          <w:rFonts w:ascii="Times New Roman" w:hAnsi="Times New Roman" w:cs="Times New Roman"/>
          <w:sz w:val="24"/>
          <w:szCs w:val="24"/>
          <w:lang w:val="en-GB"/>
        </w:rPr>
        <w:t>ge</w:t>
      </w:r>
      <w:r w:rsidRPr="007C4490">
        <w:rPr>
          <w:rFonts w:ascii="Times New Roman" w:hAnsi="Times New Roman" w:cs="Times New Roman"/>
          <w:sz w:val="24"/>
          <w:szCs w:val="24"/>
          <w:lang w:val="en-GB"/>
        </w:rPr>
        <w:t>,</w:t>
      </w:r>
      <w:r w:rsidRPr="007C4490">
        <w:rPr>
          <w:rFonts w:ascii="Times New Roman" w:hAnsi="Times New Roman" w:cs="Times New Roman"/>
          <w:i/>
          <w:sz w:val="24"/>
          <w:szCs w:val="24"/>
          <w:lang w:val="en-GB"/>
        </w:rPr>
        <w:t xml:space="preserve"> Journal of Public Policy</w:t>
      </w:r>
      <w:r w:rsidRPr="007C4490">
        <w:rPr>
          <w:rFonts w:ascii="Times New Roman" w:hAnsi="Times New Roman" w:cs="Times New Roman"/>
          <w:sz w:val="24"/>
          <w:szCs w:val="24"/>
          <w:lang w:val="en-GB"/>
        </w:rPr>
        <w:t>, 34</w:t>
      </w:r>
      <w:r w:rsidR="00D45F43" w:rsidRPr="007C4490">
        <w:rPr>
          <w:rFonts w:ascii="Times New Roman" w:hAnsi="Times New Roman" w:cs="Times New Roman"/>
          <w:sz w:val="24"/>
          <w:szCs w:val="24"/>
          <w:lang w:val="en-GB"/>
        </w:rPr>
        <w:t>, 1</w:t>
      </w:r>
      <w:r w:rsidRPr="007C4490">
        <w:rPr>
          <w:rFonts w:ascii="Times New Roman" w:hAnsi="Times New Roman" w:cs="Times New Roman"/>
          <w:sz w:val="24"/>
          <w:szCs w:val="24"/>
          <w:lang w:val="en-GB"/>
        </w:rPr>
        <w:t>: 35-62.</w:t>
      </w:r>
    </w:p>
    <w:p w14:paraId="5D943667" w14:textId="77777777" w:rsidR="003E49D6" w:rsidRPr="007C4490" w:rsidRDefault="003E49D6" w:rsidP="00282389">
      <w:pPr>
        <w:spacing w:after="0" w:line="480" w:lineRule="auto"/>
        <w:ind w:left="720" w:hanging="720"/>
        <w:jc w:val="both"/>
        <w:rPr>
          <w:rFonts w:ascii="Times New Roman" w:eastAsia="Calibri" w:hAnsi="Times New Roman" w:cs="Times New Roman"/>
          <w:sz w:val="24"/>
          <w:szCs w:val="24"/>
          <w:lang w:val="en-GB"/>
        </w:rPr>
      </w:pPr>
      <w:r w:rsidRPr="007C4490">
        <w:rPr>
          <w:rFonts w:ascii="Times New Roman" w:eastAsia="Calibri" w:hAnsi="Times New Roman" w:cs="Times New Roman"/>
          <w:sz w:val="24"/>
          <w:szCs w:val="24"/>
          <w:lang w:val="en-GB"/>
        </w:rPr>
        <w:t>Ross, F. (2007)</w:t>
      </w:r>
      <w:r w:rsidR="00203E62" w:rsidRPr="007C4490">
        <w:rPr>
          <w:rFonts w:ascii="Times New Roman" w:eastAsia="Calibri" w:hAnsi="Times New Roman" w:cs="Times New Roman"/>
          <w:sz w:val="24"/>
          <w:szCs w:val="24"/>
          <w:lang w:val="en-GB"/>
        </w:rPr>
        <w:t>,</w:t>
      </w:r>
      <w:r w:rsidR="000E6405" w:rsidRPr="007C4490">
        <w:rPr>
          <w:rFonts w:ascii="Times New Roman" w:eastAsia="Calibri" w:hAnsi="Times New Roman" w:cs="Times New Roman"/>
          <w:sz w:val="24"/>
          <w:szCs w:val="24"/>
          <w:lang w:val="en-GB"/>
        </w:rPr>
        <w:t xml:space="preserve"> Policy histories and partisan leadership in presidential studies: the case of social s</w:t>
      </w:r>
      <w:r w:rsidRPr="007C4490">
        <w:rPr>
          <w:rFonts w:ascii="Times New Roman" w:eastAsia="Calibri" w:hAnsi="Times New Roman" w:cs="Times New Roman"/>
          <w:sz w:val="24"/>
          <w:szCs w:val="24"/>
          <w:lang w:val="en-GB"/>
        </w:rPr>
        <w:t>ecurity</w:t>
      </w:r>
      <w:r w:rsidR="000E6405" w:rsidRPr="007C4490">
        <w:rPr>
          <w:rFonts w:ascii="Times New Roman" w:eastAsia="Calibri" w:hAnsi="Times New Roman" w:cs="Times New Roman"/>
          <w:sz w:val="24"/>
          <w:szCs w:val="24"/>
          <w:lang w:val="en-GB"/>
        </w:rPr>
        <w:t>. I</w:t>
      </w:r>
      <w:r w:rsidRPr="007C4490">
        <w:rPr>
          <w:rFonts w:ascii="Times New Roman" w:eastAsia="Calibri" w:hAnsi="Times New Roman" w:cs="Times New Roman"/>
          <w:sz w:val="24"/>
          <w:szCs w:val="24"/>
          <w:lang w:val="en-GB"/>
        </w:rPr>
        <w:t xml:space="preserve">n G. C. </w:t>
      </w:r>
      <w:r w:rsidR="000E6405" w:rsidRPr="007C4490">
        <w:rPr>
          <w:rFonts w:ascii="Times New Roman" w:eastAsia="Calibri" w:hAnsi="Times New Roman" w:cs="Times New Roman"/>
          <w:sz w:val="24"/>
          <w:szCs w:val="24"/>
          <w:lang w:val="en-GB"/>
        </w:rPr>
        <w:t>Edwards III and D. S. King (</w:t>
      </w:r>
      <w:proofErr w:type="spellStart"/>
      <w:proofErr w:type="gramStart"/>
      <w:r w:rsidR="000E6405" w:rsidRPr="007C4490">
        <w:rPr>
          <w:rFonts w:ascii="Times New Roman" w:eastAsia="Calibri" w:hAnsi="Times New Roman" w:cs="Times New Roman"/>
          <w:sz w:val="24"/>
          <w:szCs w:val="24"/>
          <w:lang w:val="en-GB"/>
        </w:rPr>
        <w:t>eds</w:t>
      </w:r>
      <w:proofErr w:type="spellEnd"/>
      <w:proofErr w:type="gramEnd"/>
      <w:r w:rsidRPr="007C4490">
        <w:rPr>
          <w:rFonts w:ascii="Times New Roman" w:eastAsia="Calibri" w:hAnsi="Times New Roman" w:cs="Times New Roman"/>
          <w:sz w:val="24"/>
          <w:szCs w:val="24"/>
          <w:lang w:val="en-GB"/>
        </w:rPr>
        <w:t>),</w:t>
      </w:r>
      <w:r w:rsidRPr="007C4490">
        <w:rPr>
          <w:rFonts w:ascii="Times New Roman" w:eastAsia="Calibri" w:hAnsi="Times New Roman" w:cs="Times New Roman"/>
          <w:i/>
          <w:sz w:val="24"/>
          <w:szCs w:val="24"/>
          <w:lang w:val="en-GB"/>
        </w:rPr>
        <w:t xml:space="preserve"> The Polarized Presidency of George W. Bush</w:t>
      </w:r>
      <w:r w:rsidRPr="007C4490">
        <w:rPr>
          <w:rFonts w:ascii="Times New Roman" w:eastAsia="Calibri" w:hAnsi="Times New Roman" w:cs="Times New Roman"/>
          <w:sz w:val="24"/>
          <w:szCs w:val="24"/>
          <w:lang w:val="en-GB"/>
        </w:rPr>
        <w:t xml:space="preserve">, New York: Oxford University Press. </w:t>
      </w:r>
    </w:p>
    <w:p w14:paraId="19F7EF0D" w14:textId="77777777" w:rsidR="00D83D82" w:rsidRPr="007C4490" w:rsidRDefault="00D83D82" w:rsidP="00282389">
      <w:pPr>
        <w:spacing w:after="0" w:line="480" w:lineRule="auto"/>
        <w:ind w:left="720" w:hanging="720"/>
        <w:jc w:val="both"/>
        <w:rPr>
          <w:rFonts w:ascii="Times New Roman" w:hAnsi="Times New Roman" w:cs="Times New Roman"/>
          <w:bCs/>
          <w:sz w:val="24"/>
          <w:szCs w:val="24"/>
          <w:lang w:val="en-GB"/>
        </w:rPr>
      </w:pPr>
      <w:proofErr w:type="spellStart"/>
      <w:r w:rsidRPr="007C4490">
        <w:rPr>
          <w:rFonts w:ascii="Times New Roman" w:hAnsi="Times New Roman" w:cs="Times New Roman"/>
          <w:bCs/>
          <w:sz w:val="24"/>
          <w:szCs w:val="24"/>
          <w:lang w:val="en-GB"/>
        </w:rPr>
        <w:t>Schmid</w:t>
      </w:r>
      <w:proofErr w:type="spellEnd"/>
      <w:r w:rsidRPr="007C4490">
        <w:rPr>
          <w:rFonts w:ascii="Times New Roman" w:hAnsi="Times New Roman" w:cs="Times New Roman"/>
          <w:bCs/>
          <w:sz w:val="24"/>
          <w:szCs w:val="24"/>
          <w:lang w:val="en-GB"/>
        </w:rPr>
        <w:t xml:space="preserve">, A., </w:t>
      </w:r>
      <w:proofErr w:type="spellStart"/>
      <w:r w:rsidRPr="007C4490">
        <w:rPr>
          <w:rFonts w:ascii="Times New Roman" w:hAnsi="Times New Roman" w:cs="Times New Roman"/>
          <w:bCs/>
          <w:sz w:val="24"/>
          <w:szCs w:val="24"/>
          <w:lang w:val="en-GB"/>
        </w:rPr>
        <w:t>Cacace</w:t>
      </w:r>
      <w:proofErr w:type="spellEnd"/>
      <w:r w:rsidRPr="007C4490">
        <w:rPr>
          <w:rFonts w:ascii="Times New Roman" w:hAnsi="Times New Roman" w:cs="Times New Roman"/>
          <w:bCs/>
          <w:sz w:val="24"/>
          <w:szCs w:val="24"/>
          <w:lang w:val="en-GB"/>
        </w:rPr>
        <w:t>, M., Göt</w:t>
      </w:r>
      <w:r w:rsidR="002C0343" w:rsidRPr="007C4490">
        <w:rPr>
          <w:rFonts w:ascii="Times New Roman" w:hAnsi="Times New Roman" w:cs="Times New Roman"/>
          <w:bCs/>
          <w:sz w:val="24"/>
          <w:szCs w:val="24"/>
          <w:lang w:val="en-GB"/>
        </w:rPr>
        <w:t xml:space="preserve">ze R. and </w:t>
      </w:r>
      <w:proofErr w:type="spellStart"/>
      <w:r w:rsidR="002C0343" w:rsidRPr="007C4490">
        <w:rPr>
          <w:rFonts w:ascii="Times New Roman" w:hAnsi="Times New Roman" w:cs="Times New Roman"/>
          <w:bCs/>
          <w:sz w:val="24"/>
          <w:szCs w:val="24"/>
          <w:lang w:val="en-GB"/>
        </w:rPr>
        <w:t>Rothgang</w:t>
      </w:r>
      <w:proofErr w:type="spellEnd"/>
      <w:r w:rsidR="002C0343" w:rsidRPr="007C4490">
        <w:rPr>
          <w:rFonts w:ascii="Times New Roman" w:hAnsi="Times New Roman" w:cs="Times New Roman"/>
          <w:bCs/>
          <w:sz w:val="24"/>
          <w:szCs w:val="24"/>
          <w:lang w:val="en-GB"/>
        </w:rPr>
        <w:t>, H. (2010), Explaining healthcare system change: problem pressure and the e</w:t>
      </w:r>
      <w:r w:rsidRPr="007C4490">
        <w:rPr>
          <w:rFonts w:ascii="Times New Roman" w:hAnsi="Times New Roman" w:cs="Times New Roman"/>
          <w:bCs/>
          <w:sz w:val="24"/>
          <w:szCs w:val="24"/>
          <w:lang w:val="en-GB"/>
        </w:rPr>
        <w:t xml:space="preserve">mergence of </w:t>
      </w:r>
      <w:r w:rsidR="002C0343" w:rsidRPr="007C4490">
        <w:rPr>
          <w:rFonts w:ascii="Times New Roman" w:hAnsi="Times New Roman" w:cs="Times New Roman"/>
          <w:bCs/>
          <w:sz w:val="24"/>
          <w:szCs w:val="24"/>
          <w:lang w:val="en-GB"/>
        </w:rPr>
        <w:t>“hybrid healthcare s</w:t>
      </w:r>
      <w:r w:rsidRPr="007C4490">
        <w:rPr>
          <w:rFonts w:ascii="Times New Roman" w:hAnsi="Times New Roman" w:cs="Times New Roman"/>
          <w:bCs/>
          <w:sz w:val="24"/>
          <w:szCs w:val="24"/>
          <w:lang w:val="en-GB"/>
        </w:rPr>
        <w:t>ystems</w:t>
      </w:r>
      <w:r w:rsidR="007C4490">
        <w:rPr>
          <w:rFonts w:ascii="Times New Roman" w:hAnsi="Times New Roman" w:cs="Times New Roman"/>
          <w:bCs/>
          <w:sz w:val="24"/>
          <w:szCs w:val="24"/>
          <w:lang w:val="en-GB"/>
        </w:rPr>
        <w:t>”,</w:t>
      </w:r>
      <w:r w:rsidRPr="007C4490">
        <w:rPr>
          <w:rFonts w:ascii="Times New Roman" w:hAnsi="Times New Roman" w:cs="Times New Roman"/>
          <w:bCs/>
          <w:sz w:val="24"/>
          <w:szCs w:val="24"/>
          <w:lang w:val="en-GB"/>
        </w:rPr>
        <w:t> </w:t>
      </w:r>
      <w:r w:rsidRPr="007C4490">
        <w:rPr>
          <w:rFonts w:ascii="Times New Roman" w:hAnsi="Times New Roman" w:cs="Times New Roman"/>
          <w:bCs/>
          <w:i/>
          <w:iCs/>
          <w:sz w:val="24"/>
          <w:szCs w:val="24"/>
          <w:lang w:val="en-GB"/>
        </w:rPr>
        <w:t xml:space="preserve">Journal of Health Politics, Policy and </w:t>
      </w:r>
      <w:r w:rsidRPr="007C4490">
        <w:rPr>
          <w:rFonts w:ascii="Times New Roman" w:hAnsi="Times New Roman" w:cs="Times New Roman"/>
          <w:bCs/>
          <w:iCs/>
          <w:sz w:val="24"/>
          <w:szCs w:val="24"/>
          <w:lang w:val="en-GB"/>
        </w:rPr>
        <w:t xml:space="preserve">Law, </w:t>
      </w:r>
      <w:r w:rsidR="007C4490">
        <w:rPr>
          <w:rFonts w:ascii="Times New Roman" w:hAnsi="Times New Roman" w:cs="Times New Roman"/>
          <w:bCs/>
          <w:sz w:val="24"/>
          <w:szCs w:val="24"/>
          <w:lang w:val="en-GB"/>
        </w:rPr>
        <w:t>35(</w:t>
      </w:r>
      <w:r w:rsidR="002C0343" w:rsidRPr="007C4490">
        <w:rPr>
          <w:rFonts w:ascii="Times New Roman" w:hAnsi="Times New Roman" w:cs="Times New Roman"/>
          <w:bCs/>
          <w:sz w:val="24"/>
          <w:szCs w:val="24"/>
          <w:lang w:val="en-GB"/>
        </w:rPr>
        <w:t>4</w:t>
      </w:r>
      <w:r w:rsidR="007C4490">
        <w:rPr>
          <w:rFonts w:ascii="Times New Roman" w:hAnsi="Times New Roman" w:cs="Times New Roman"/>
          <w:bCs/>
          <w:sz w:val="24"/>
          <w:szCs w:val="24"/>
          <w:lang w:val="en-GB"/>
        </w:rPr>
        <w:t>)</w:t>
      </w:r>
      <w:r w:rsidR="002C0343" w:rsidRPr="007C4490">
        <w:rPr>
          <w:rFonts w:ascii="Times New Roman" w:hAnsi="Times New Roman" w:cs="Times New Roman"/>
          <w:bCs/>
          <w:sz w:val="24"/>
          <w:szCs w:val="24"/>
          <w:lang w:val="en-GB"/>
        </w:rPr>
        <w:t>: 455-</w:t>
      </w:r>
      <w:r w:rsidRPr="007C4490">
        <w:rPr>
          <w:rFonts w:ascii="Times New Roman" w:hAnsi="Times New Roman" w:cs="Times New Roman"/>
          <w:bCs/>
          <w:sz w:val="24"/>
          <w:szCs w:val="24"/>
          <w:lang w:val="en-GB"/>
        </w:rPr>
        <w:t>86.</w:t>
      </w:r>
    </w:p>
    <w:p w14:paraId="579A9333" w14:textId="77777777" w:rsidR="00C74657" w:rsidRPr="007C4490" w:rsidRDefault="00AD6864" w:rsidP="00282389">
      <w:pPr>
        <w:spacing w:after="0" w:line="480" w:lineRule="auto"/>
        <w:ind w:left="720" w:hanging="720"/>
        <w:jc w:val="both"/>
        <w:rPr>
          <w:rFonts w:ascii="Times New Roman" w:hAnsi="Times New Roman" w:cs="Times New Roman"/>
          <w:bCs/>
          <w:sz w:val="24"/>
          <w:szCs w:val="24"/>
          <w:lang w:val="en-GB"/>
        </w:rPr>
      </w:pPr>
      <w:r w:rsidRPr="007C4490">
        <w:rPr>
          <w:rFonts w:ascii="Times New Roman" w:hAnsi="Times New Roman" w:cs="Times New Roman"/>
          <w:bCs/>
          <w:sz w:val="24"/>
          <w:szCs w:val="24"/>
          <w:lang w:val="en-GB"/>
        </w:rPr>
        <w:lastRenderedPageBreak/>
        <w:t xml:space="preserve">State Health Access </w:t>
      </w:r>
      <w:r w:rsidR="0097445C" w:rsidRPr="007C4490">
        <w:rPr>
          <w:rFonts w:ascii="Times New Roman" w:hAnsi="Times New Roman" w:cs="Times New Roman"/>
          <w:bCs/>
          <w:sz w:val="24"/>
          <w:szCs w:val="24"/>
          <w:lang w:val="en-GB"/>
        </w:rPr>
        <w:t xml:space="preserve">Data Assistance </w:t>
      </w:r>
      <w:proofErr w:type="spellStart"/>
      <w:r w:rsidR="0097445C" w:rsidRPr="007C4490">
        <w:rPr>
          <w:rFonts w:ascii="Times New Roman" w:hAnsi="Times New Roman" w:cs="Times New Roman"/>
          <w:bCs/>
          <w:sz w:val="24"/>
          <w:szCs w:val="24"/>
          <w:lang w:val="en-GB"/>
        </w:rPr>
        <w:t>Center</w:t>
      </w:r>
      <w:proofErr w:type="spellEnd"/>
      <w:r w:rsidR="0097445C" w:rsidRPr="007C4490">
        <w:rPr>
          <w:rFonts w:ascii="Times New Roman" w:hAnsi="Times New Roman" w:cs="Times New Roman"/>
          <w:bCs/>
          <w:sz w:val="24"/>
          <w:szCs w:val="24"/>
          <w:lang w:val="en-GB"/>
        </w:rPr>
        <w:t xml:space="preserve"> (2013), State-level trends in employer sponsored health insurance</w:t>
      </w:r>
      <w:r w:rsidRPr="007C4490">
        <w:rPr>
          <w:rFonts w:ascii="Times New Roman" w:hAnsi="Times New Roman" w:cs="Times New Roman"/>
          <w:bCs/>
          <w:sz w:val="24"/>
          <w:szCs w:val="24"/>
          <w:lang w:val="en-GB"/>
        </w:rPr>
        <w:t>, SHADAC Report, Minneapolis, MN: University of Minnesota</w:t>
      </w:r>
      <w:r w:rsidR="00203E62" w:rsidRPr="007C4490">
        <w:rPr>
          <w:rFonts w:ascii="Times New Roman" w:hAnsi="Times New Roman" w:cs="Times New Roman"/>
          <w:bCs/>
          <w:sz w:val="24"/>
          <w:szCs w:val="24"/>
          <w:lang w:val="en-GB"/>
        </w:rPr>
        <w:t>.</w:t>
      </w:r>
    </w:p>
    <w:p w14:paraId="600DDE52" w14:textId="77777777" w:rsidR="000216D1" w:rsidRPr="007C4490" w:rsidRDefault="000216D1"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t>Streeck</w:t>
      </w:r>
      <w:proofErr w:type="spellEnd"/>
      <w:r w:rsidRPr="007C4490">
        <w:rPr>
          <w:rFonts w:ascii="Times New Roman" w:hAnsi="Times New Roman" w:cs="Times New Roman"/>
          <w:sz w:val="24"/>
          <w:szCs w:val="24"/>
          <w:lang w:val="en-GB"/>
        </w:rPr>
        <w:t xml:space="preserve">, W. and </w:t>
      </w:r>
      <w:proofErr w:type="spellStart"/>
      <w:r w:rsidRPr="007C4490">
        <w:rPr>
          <w:rFonts w:ascii="Times New Roman" w:hAnsi="Times New Roman" w:cs="Times New Roman"/>
          <w:bCs/>
          <w:sz w:val="24"/>
          <w:szCs w:val="24"/>
          <w:lang w:val="en-GB"/>
        </w:rPr>
        <w:t>Thelen</w:t>
      </w:r>
      <w:proofErr w:type="spellEnd"/>
      <w:r w:rsidRPr="007C4490">
        <w:rPr>
          <w:rFonts w:ascii="Times New Roman" w:hAnsi="Times New Roman" w:cs="Times New Roman"/>
          <w:bCs/>
          <w:sz w:val="24"/>
          <w:szCs w:val="24"/>
          <w:lang w:val="en-GB"/>
        </w:rPr>
        <w:t xml:space="preserve"> K.</w:t>
      </w:r>
      <w:r w:rsidR="0097445C" w:rsidRPr="007C4490">
        <w:rPr>
          <w:rFonts w:ascii="Times New Roman" w:hAnsi="Times New Roman" w:cs="Times New Roman"/>
          <w:sz w:val="24"/>
          <w:szCs w:val="24"/>
          <w:lang w:val="en-GB"/>
        </w:rPr>
        <w:t xml:space="preserve"> (</w:t>
      </w:r>
      <w:proofErr w:type="spellStart"/>
      <w:proofErr w:type="gramStart"/>
      <w:r w:rsidR="0097445C" w:rsidRPr="007C4490">
        <w:rPr>
          <w:rFonts w:ascii="Times New Roman" w:hAnsi="Times New Roman" w:cs="Times New Roman"/>
          <w:sz w:val="24"/>
          <w:szCs w:val="24"/>
          <w:lang w:val="en-GB"/>
        </w:rPr>
        <w:t>eds</w:t>
      </w:r>
      <w:proofErr w:type="spellEnd"/>
      <w:proofErr w:type="gramEnd"/>
      <w:r w:rsidRPr="007C4490">
        <w:rPr>
          <w:rFonts w:ascii="Times New Roman" w:hAnsi="Times New Roman" w:cs="Times New Roman"/>
          <w:sz w:val="24"/>
          <w:szCs w:val="24"/>
          <w:lang w:val="en-GB"/>
        </w:rPr>
        <w:t xml:space="preserve">) (2005), </w:t>
      </w:r>
      <w:r w:rsidRPr="007C4490">
        <w:rPr>
          <w:rFonts w:ascii="Times New Roman" w:hAnsi="Times New Roman" w:cs="Times New Roman"/>
          <w:bCs/>
          <w:i/>
          <w:sz w:val="24"/>
          <w:szCs w:val="24"/>
          <w:lang w:val="en-GB"/>
        </w:rPr>
        <w:t>Beyond</w:t>
      </w:r>
      <w:r w:rsidRPr="007C4490">
        <w:rPr>
          <w:rFonts w:ascii="Times New Roman" w:hAnsi="Times New Roman" w:cs="Times New Roman"/>
          <w:i/>
          <w:sz w:val="24"/>
          <w:szCs w:val="24"/>
          <w:lang w:val="en-GB"/>
        </w:rPr>
        <w:t xml:space="preserve"> </w:t>
      </w:r>
      <w:r w:rsidRPr="007C4490">
        <w:rPr>
          <w:rFonts w:ascii="Times New Roman" w:hAnsi="Times New Roman" w:cs="Times New Roman"/>
          <w:bCs/>
          <w:i/>
          <w:sz w:val="24"/>
          <w:szCs w:val="24"/>
          <w:lang w:val="en-GB"/>
        </w:rPr>
        <w:t>Continuity</w:t>
      </w:r>
      <w:r w:rsidRPr="007C4490">
        <w:rPr>
          <w:rFonts w:ascii="Times New Roman" w:hAnsi="Times New Roman" w:cs="Times New Roman"/>
          <w:i/>
          <w:sz w:val="24"/>
          <w:szCs w:val="24"/>
          <w:lang w:val="en-GB"/>
        </w:rPr>
        <w:t>: Institutional Change in Advanced Political Economies</w:t>
      </w:r>
      <w:r w:rsidRPr="007C4490">
        <w:rPr>
          <w:rFonts w:ascii="Times New Roman" w:hAnsi="Times New Roman" w:cs="Times New Roman"/>
          <w:sz w:val="24"/>
          <w:szCs w:val="24"/>
          <w:lang w:val="en-GB"/>
        </w:rPr>
        <w:t>, Oxford: Oxford University Press.</w:t>
      </w:r>
    </w:p>
    <w:p w14:paraId="0F16E4FB" w14:textId="77777777" w:rsidR="006B51E0" w:rsidRPr="007C4490" w:rsidRDefault="006B51E0"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Taylor-</w:t>
      </w:r>
      <w:proofErr w:type="spellStart"/>
      <w:r w:rsidRPr="007C4490">
        <w:rPr>
          <w:rFonts w:ascii="Times New Roman" w:hAnsi="Times New Roman" w:cs="Times New Roman"/>
          <w:sz w:val="24"/>
          <w:szCs w:val="24"/>
          <w:lang w:val="en-GB"/>
        </w:rPr>
        <w:t>Gooby</w:t>
      </w:r>
      <w:proofErr w:type="spellEnd"/>
      <w:r w:rsidRPr="007C4490">
        <w:rPr>
          <w:rFonts w:ascii="Times New Roman" w:hAnsi="Times New Roman" w:cs="Times New Roman"/>
          <w:sz w:val="24"/>
          <w:szCs w:val="24"/>
          <w:lang w:val="en-GB"/>
        </w:rPr>
        <w:t>, P. (2013)</w:t>
      </w:r>
      <w:r w:rsidR="00203E62"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Pr="007C4490">
        <w:rPr>
          <w:rFonts w:ascii="Times New Roman" w:hAnsi="Times New Roman" w:cs="Times New Roman"/>
          <w:i/>
          <w:sz w:val="24"/>
          <w:szCs w:val="24"/>
          <w:lang w:val="en-GB"/>
        </w:rPr>
        <w:t>The Double Crisis of the Welfare State and What We Can Do About It</w:t>
      </w:r>
      <w:r w:rsidR="0097445C" w:rsidRPr="007C4490">
        <w:rPr>
          <w:rFonts w:ascii="Times New Roman" w:hAnsi="Times New Roman" w:cs="Times New Roman"/>
          <w:sz w:val="24"/>
          <w:szCs w:val="24"/>
          <w:lang w:val="en-GB"/>
        </w:rPr>
        <w:t>, Palgrave:</w:t>
      </w:r>
      <w:r w:rsidRPr="007C4490">
        <w:rPr>
          <w:rFonts w:ascii="Times New Roman" w:hAnsi="Times New Roman" w:cs="Times New Roman"/>
          <w:sz w:val="24"/>
          <w:szCs w:val="24"/>
          <w:lang w:val="en-GB"/>
        </w:rPr>
        <w:t xml:space="preserve"> Basingstoke</w:t>
      </w:r>
      <w:r w:rsidR="00203E62" w:rsidRPr="007C4490">
        <w:rPr>
          <w:rFonts w:ascii="Times New Roman" w:hAnsi="Times New Roman" w:cs="Times New Roman"/>
          <w:sz w:val="24"/>
          <w:szCs w:val="24"/>
          <w:lang w:val="en-GB"/>
        </w:rPr>
        <w:t>.</w:t>
      </w:r>
    </w:p>
    <w:p w14:paraId="7C5B27F4" w14:textId="77777777" w:rsidR="000216D1" w:rsidRPr="007C4490" w:rsidRDefault="000216D1" w:rsidP="00282389">
      <w:pPr>
        <w:spacing w:after="0" w:line="480" w:lineRule="auto"/>
        <w:ind w:left="720" w:hanging="720"/>
        <w:jc w:val="both"/>
        <w:rPr>
          <w:rFonts w:ascii="Times New Roman" w:hAnsi="Times New Roman" w:cs="Times New Roman"/>
          <w:sz w:val="24"/>
          <w:szCs w:val="24"/>
          <w:lang w:val="en-GB"/>
        </w:rPr>
      </w:pPr>
      <w:proofErr w:type="spellStart"/>
      <w:r w:rsidRPr="007C4490">
        <w:rPr>
          <w:rFonts w:ascii="Times New Roman" w:hAnsi="Times New Roman" w:cs="Times New Roman"/>
          <w:sz w:val="24"/>
          <w:szCs w:val="24"/>
          <w:lang w:val="en-GB"/>
        </w:rPr>
        <w:t>Thelen</w:t>
      </w:r>
      <w:proofErr w:type="spellEnd"/>
      <w:r w:rsidRPr="007C4490">
        <w:rPr>
          <w:rFonts w:ascii="Times New Roman" w:hAnsi="Times New Roman" w:cs="Times New Roman"/>
          <w:sz w:val="24"/>
          <w:szCs w:val="24"/>
          <w:lang w:val="en-GB"/>
        </w:rPr>
        <w:t xml:space="preserve">, K. (2004), </w:t>
      </w:r>
      <w:r w:rsidRPr="007C4490">
        <w:rPr>
          <w:rFonts w:ascii="Times New Roman" w:hAnsi="Times New Roman" w:cs="Times New Roman"/>
          <w:i/>
          <w:iCs/>
          <w:sz w:val="24"/>
          <w:szCs w:val="24"/>
          <w:lang w:val="en-GB"/>
        </w:rPr>
        <w:t>How Institutions Evolve: The Political Economy of Skills in Germany, Britain, the United States, and Japan</w:t>
      </w:r>
      <w:r w:rsidRPr="007C4490">
        <w:rPr>
          <w:rFonts w:ascii="Times New Roman" w:hAnsi="Times New Roman" w:cs="Times New Roman"/>
          <w:sz w:val="24"/>
          <w:szCs w:val="24"/>
          <w:lang w:val="en-GB"/>
        </w:rPr>
        <w:t>, Cambridge: Cambridge University Press.</w:t>
      </w:r>
    </w:p>
    <w:p w14:paraId="5018B360" w14:textId="77777777" w:rsidR="0091244E" w:rsidRPr="007C4490" w:rsidRDefault="0091244E" w:rsidP="00282389">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Thorne</w:t>
      </w:r>
      <w:r w:rsidR="00A31199" w:rsidRPr="007C4490">
        <w:rPr>
          <w:rFonts w:ascii="Times New Roman" w:hAnsi="Times New Roman" w:cs="Times New Roman"/>
          <w:sz w:val="24"/>
          <w:szCs w:val="24"/>
          <w:lang w:val="en-GB"/>
        </w:rPr>
        <w:t>, D.</w:t>
      </w:r>
      <w:r w:rsidRPr="007C4490">
        <w:rPr>
          <w:rFonts w:ascii="Times New Roman" w:hAnsi="Times New Roman" w:cs="Times New Roman"/>
          <w:sz w:val="24"/>
          <w:szCs w:val="24"/>
          <w:lang w:val="en-GB"/>
        </w:rPr>
        <w:t xml:space="preserve"> and Warren</w:t>
      </w:r>
      <w:r w:rsidR="00A31199" w:rsidRPr="007C4490">
        <w:rPr>
          <w:rFonts w:ascii="Times New Roman" w:hAnsi="Times New Roman" w:cs="Times New Roman"/>
          <w:sz w:val="24"/>
          <w:szCs w:val="24"/>
          <w:lang w:val="en-GB"/>
        </w:rPr>
        <w:t>, E.</w:t>
      </w:r>
      <w:r w:rsidRPr="007C4490">
        <w:rPr>
          <w:rFonts w:ascii="Times New Roman" w:hAnsi="Times New Roman" w:cs="Times New Roman"/>
          <w:sz w:val="24"/>
          <w:szCs w:val="24"/>
          <w:lang w:val="en-GB"/>
        </w:rPr>
        <w:t xml:space="preserve"> (2008)</w:t>
      </w:r>
      <w:r w:rsidR="0097445C" w:rsidRPr="007C4490">
        <w:rPr>
          <w:rFonts w:ascii="Times New Roman" w:hAnsi="Times New Roman" w:cs="Times New Roman"/>
          <w:sz w:val="24"/>
          <w:szCs w:val="24"/>
          <w:lang w:val="en-GB"/>
        </w:rPr>
        <w:t>, Get sick, go broke. I</w:t>
      </w:r>
      <w:r w:rsidR="00A31199" w:rsidRPr="007C4490">
        <w:rPr>
          <w:rFonts w:ascii="Times New Roman" w:hAnsi="Times New Roman" w:cs="Times New Roman"/>
          <w:sz w:val="24"/>
          <w:szCs w:val="24"/>
          <w:lang w:val="en-GB"/>
        </w:rPr>
        <w:t xml:space="preserve">n Jacob Hacker </w:t>
      </w:r>
      <w:r w:rsidR="0097445C" w:rsidRPr="007C4490">
        <w:rPr>
          <w:rFonts w:ascii="Times New Roman" w:hAnsi="Times New Roman" w:cs="Times New Roman"/>
          <w:sz w:val="24"/>
          <w:szCs w:val="24"/>
          <w:lang w:val="en-GB"/>
        </w:rPr>
        <w:t>(</w:t>
      </w:r>
      <w:proofErr w:type="spellStart"/>
      <w:proofErr w:type="gramStart"/>
      <w:r w:rsidR="0097445C" w:rsidRPr="007C4490">
        <w:rPr>
          <w:rFonts w:ascii="Times New Roman" w:hAnsi="Times New Roman" w:cs="Times New Roman"/>
          <w:sz w:val="24"/>
          <w:szCs w:val="24"/>
          <w:lang w:val="en-GB"/>
        </w:rPr>
        <w:t>ed</w:t>
      </w:r>
      <w:proofErr w:type="spellEnd"/>
      <w:proofErr w:type="gramEnd"/>
      <w:r w:rsidR="0097445C" w:rsidRPr="007C4490">
        <w:rPr>
          <w:rFonts w:ascii="Times New Roman" w:hAnsi="Times New Roman" w:cs="Times New Roman"/>
          <w:sz w:val="24"/>
          <w:szCs w:val="24"/>
          <w:lang w:val="en-GB"/>
        </w:rPr>
        <w:t>)</w:t>
      </w:r>
      <w:r w:rsidR="00A31199" w:rsidRPr="007C4490">
        <w:rPr>
          <w:rFonts w:ascii="Times New Roman" w:hAnsi="Times New Roman" w:cs="Times New Roman"/>
          <w:sz w:val="24"/>
          <w:szCs w:val="24"/>
          <w:lang w:val="en-GB"/>
        </w:rPr>
        <w:t xml:space="preserve">, </w:t>
      </w:r>
      <w:r w:rsidR="00A31199" w:rsidRPr="007C4490">
        <w:rPr>
          <w:rFonts w:ascii="Times New Roman" w:hAnsi="Times New Roman" w:cs="Times New Roman"/>
          <w:i/>
          <w:sz w:val="24"/>
          <w:szCs w:val="24"/>
          <w:lang w:val="en-GB"/>
        </w:rPr>
        <w:t>Health at Risk: America’s Ailing Health system and How to Heal It</w:t>
      </w:r>
      <w:r w:rsidR="0097445C" w:rsidRPr="007C4490">
        <w:rPr>
          <w:rFonts w:ascii="Times New Roman" w:hAnsi="Times New Roman" w:cs="Times New Roman"/>
          <w:sz w:val="24"/>
          <w:szCs w:val="24"/>
          <w:lang w:val="en-GB"/>
        </w:rPr>
        <w:t xml:space="preserve">, </w:t>
      </w:r>
      <w:r w:rsidR="00A31199" w:rsidRPr="007C4490">
        <w:rPr>
          <w:rFonts w:ascii="Times New Roman" w:hAnsi="Times New Roman" w:cs="Times New Roman"/>
          <w:sz w:val="24"/>
          <w:szCs w:val="24"/>
          <w:lang w:val="en-GB"/>
        </w:rPr>
        <w:t>New York: Columbia University Pr</w:t>
      </w:r>
      <w:r w:rsidR="00FF0535" w:rsidRPr="007C4490">
        <w:rPr>
          <w:rFonts w:ascii="Times New Roman" w:hAnsi="Times New Roman" w:cs="Times New Roman"/>
          <w:sz w:val="24"/>
          <w:szCs w:val="24"/>
          <w:lang w:val="en-GB"/>
        </w:rPr>
        <w:t>ess,</w:t>
      </w:r>
      <w:r w:rsidR="00A31199" w:rsidRPr="007C4490">
        <w:rPr>
          <w:rFonts w:ascii="Times New Roman" w:hAnsi="Times New Roman" w:cs="Times New Roman"/>
          <w:sz w:val="24"/>
          <w:szCs w:val="24"/>
          <w:lang w:val="en-GB"/>
        </w:rPr>
        <w:t xml:space="preserve"> pp.66-87.</w:t>
      </w:r>
    </w:p>
    <w:p w14:paraId="5EA64DE7" w14:textId="77777777" w:rsidR="00E31CF9" w:rsidRPr="007C4490" w:rsidRDefault="00FF0535" w:rsidP="00282389">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U</w:t>
      </w:r>
      <w:r w:rsidR="008C55C7" w:rsidRPr="007C4490">
        <w:rPr>
          <w:rFonts w:ascii="Times New Roman" w:hAnsi="Times New Roman" w:cs="Times New Roman"/>
          <w:sz w:val="24"/>
          <w:szCs w:val="24"/>
          <w:lang w:val="en-GB"/>
        </w:rPr>
        <w:t>S</w:t>
      </w:r>
      <w:r w:rsidR="00203E62" w:rsidRPr="007C4490">
        <w:rPr>
          <w:rFonts w:ascii="Times New Roman" w:hAnsi="Times New Roman" w:cs="Times New Roman"/>
          <w:sz w:val="24"/>
          <w:szCs w:val="24"/>
          <w:lang w:val="en-GB"/>
        </w:rPr>
        <w:t xml:space="preserve"> Census Bureau</w:t>
      </w:r>
      <w:r w:rsidR="008C55C7" w:rsidRPr="007C4490">
        <w:rPr>
          <w:rFonts w:ascii="Times New Roman" w:hAnsi="Times New Roman" w:cs="Times New Roman"/>
          <w:sz w:val="24"/>
          <w:szCs w:val="24"/>
          <w:lang w:val="en-GB"/>
        </w:rPr>
        <w:t xml:space="preserve"> (2011), </w:t>
      </w:r>
      <w:r w:rsidR="008C55C7" w:rsidRPr="007C4490">
        <w:rPr>
          <w:rFonts w:ascii="Times New Roman" w:hAnsi="Times New Roman" w:cs="Times New Roman"/>
          <w:i/>
          <w:sz w:val="24"/>
          <w:szCs w:val="24"/>
          <w:lang w:val="en-GB"/>
        </w:rPr>
        <w:t>Coverage by Type of Health Insurance, 2009 and 2010</w:t>
      </w:r>
      <w:r w:rsidR="008C55C7" w:rsidRPr="007C4490">
        <w:rPr>
          <w:rFonts w:ascii="Times New Roman" w:hAnsi="Times New Roman" w:cs="Times New Roman"/>
          <w:sz w:val="24"/>
          <w:szCs w:val="24"/>
          <w:lang w:val="en-GB"/>
        </w:rPr>
        <w:t xml:space="preserve">, </w:t>
      </w:r>
      <w:r w:rsidR="00CD02F8" w:rsidRPr="007C4490">
        <w:rPr>
          <w:rFonts w:ascii="Times New Roman" w:hAnsi="Times New Roman" w:cs="Times New Roman"/>
          <w:sz w:val="24"/>
          <w:szCs w:val="24"/>
          <w:lang w:val="en-GB"/>
        </w:rPr>
        <w:t>U.S. Census Bureau, Current Population Survey, 2010 and 2011 Annual Social and Economic</w:t>
      </w:r>
      <w:r w:rsidR="00AD6864" w:rsidRPr="007C4490">
        <w:rPr>
          <w:rFonts w:ascii="Times New Roman" w:hAnsi="Times New Roman" w:cs="Times New Roman"/>
          <w:sz w:val="24"/>
          <w:szCs w:val="24"/>
          <w:lang w:val="en-GB"/>
        </w:rPr>
        <w:t xml:space="preserve"> </w:t>
      </w:r>
      <w:r w:rsidRPr="007C4490">
        <w:rPr>
          <w:rFonts w:ascii="Times New Roman" w:hAnsi="Times New Roman" w:cs="Times New Roman"/>
          <w:sz w:val="24"/>
          <w:szCs w:val="24"/>
          <w:lang w:val="en-GB"/>
        </w:rPr>
        <w:t xml:space="preserve">Supplements, </w:t>
      </w:r>
    </w:p>
    <w:p w14:paraId="2D078391" w14:textId="77777777" w:rsidR="008C55C7" w:rsidRPr="007C4490" w:rsidRDefault="00CD02F8" w:rsidP="00E31CF9">
      <w:pPr>
        <w:autoSpaceDE w:val="0"/>
        <w:autoSpaceDN w:val="0"/>
        <w:adjustRightInd w:val="0"/>
        <w:spacing w:after="0" w:line="480" w:lineRule="auto"/>
        <w:ind w:left="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https://www.census.gov/hhes/www/hlthins/data/incpovhlth/2010/table10.pdf</w:t>
      </w:r>
      <w:r w:rsidR="00FF0535" w:rsidRPr="007C4490">
        <w:rPr>
          <w:rFonts w:ascii="Times New Roman" w:hAnsi="Times New Roman" w:cs="Times New Roman"/>
          <w:sz w:val="24"/>
          <w:szCs w:val="24"/>
          <w:lang w:val="en-GB"/>
        </w:rPr>
        <w:t>.</w:t>
      </w:r>
    </w:p>
    <w:p w14:paraId="144F13B1" w14:textId="77777777" w:rsidR="007E6768" w:rsidRPr="007C4490" w:rsidRDefault="00FF0535" w:rsidP="00DF72BC">
      <w:pPr>
        <w:spacing w:after="0" w:line="480" w:lineRule="auto"/>
        <w:ind w:left="720" w:hanging="720"/>
        <w:rPr>
          <w:rFonts w:ascii="Times New Roman" w:hAnsi="Times New Roman" w:cs="Times New Roman"/>
          <w:i/>
          <w:sz w:val="24"/>
          <w:szCs w:val="24"/>
          <w:lang w:val="en-GB"/>
        </w:rPr>
      </w:pPr>
      <w:r w:rsidRPr="007C4490">
        <w:rPr>
          <w:rFonts w:ascii="Times New Roman" w:hAnsi="Times New Roman" w:cs="Times New Roman"/>
          <w:sz w:val="24"/>
          <w:szCs w:val="24"/>
          <w:lang w:val="en-GB"/>
        </w:rPr>
        <w:t>US</w:t>
      </w:r>
      <w:r w:rsidR="00203E62" w:rsidRPr="007C4490">
        <w:rPr>
          <w:rFonts w:ascii="Times New Roman" w:hAnsi="Times New Roman" w:cs="Times New Roman"/>
          <w:sz w:val="24"/>
          <w:szCs w:val="24"/>
          <w:lang w:val="en-GB"/>
        </w:rPr>
        <w:t xml:space="preserve"> Census Bureau</w:t>
      </w:r>
      <w:r w:rsidR="009751F8" w:rsidRPr="007C4490">
        <w:rPr>
          <w:rFonts w:ascii="Times New Roman" w:hAnsi="Times New Roman" w:cs="Times New Roman"/>
          <w:sz w:val="24"/>
          <w:szCs w:val="24"/>
          <w:lang w:val="en-GB"/>
        </w:rPr>
        <w:t xml:space="preserve"> </w:t>
      </w:r>
      <w:r w:rsidR="00293669" w:rsidRPr="007C4490">
        <w:rPr>
          <w:rFonts w:ascii="Times New Roman" w:hAnsi="Times New Roman" w:cs="Times New Roman"/>
          <w:sz w:val="24"/>
          <w:szCs w:val="24"/>
          <w:lang w:val="en-GB"/>
        </w:rPr>
        <w:t>(</w:t>
      </w:r>
      <w:r w:rsidR="009751F8" w:rsidRPr="007C4490">
        <w:rPr>
          <w:rFonts w:ascii="Times New Roman" w:hAnsi="Times New Roman" w:cs="Times New Roman"/>
          <w:sz w:val="24"/>
          <w:szCs w:val="24"/>
          <w:lang w:val="en-GB"/>
        </w:rPr>
        <w:t>2012</w:t>
      </w:r>
      <w:r w:rsidR="003D57AC" w:rsidRPr="007C4490">
        <w:rPr>
          <w:rFonts w:ascii="Times New Roman" w:hAnsi="Times New Roman" w:cs="Times New Roman"/>
          <w:sz w:val="24"/>
          <w:szCs w:val="24"/>
          <w:lang w:val="en-GB"/>
        </w:rPr>
        <w:t>a</w:t>
      </w:r>
      <w:r w:rsidR="00293669" w:rsidRPr="007C4490">
        <w:rPr>
          <w:rFonts w:ascii="Times New Roman" w:hAnsi="Times New Roman" w:cs="Times New Roman"/>
          <w:sz w:val="24"/>
          <w:szCs w:val="24"/>
          <w:lang w:val="en-GB"/>
        </w:rPr>
        <w:t>),</w:t>
      </w:r>
      <w:r w:rsidR="009751F8" w:rsidRPr="007C4490">
        <w:rPr>
          <w:rFonts w:ascii="Times New Roman" w:hAnsi="Times New Roman" w:cs="Times New Roman"/>
          <w:sz w:val="24"/>
          <w:szCs w:val="24"/>
          <w:lang w:val="en-GB"/>
        </w:rPr>
        <w:t xml:space="preserve"> </w:t>
      </w:r>
      <w:r w:rsidRPr="007C4490">
        <w:rPr>
          <w:rFonts w:ascii="Times New Roman" w:hAnsi="Times New Roman" w:cs="Times New Roman"/>
          <w:i/>
          <w:sz w:val="24"/>
          <w:szCs w:val="24"/>
          <w:lang w:val="en-GB"/>
        </w:rPr>
        <w:t>Health Insurance Historical T</w:t>
      </w:r>
      <w:r w:rsidR="009751F8" w:rsidRPr="007C4490">
        <w:rPr>
          <w:rFonts w:ascii="Times New Roman" w:hAnsi="Times New Roman" w:cs="Times New Roman"/>
          <w:i/>
          <w:sz w:val="24"/>
          <w:szCs w:val="24"/>
          <w:lang w:val="en-GB"/>
        </w:rPr>
        <w:t>ables, Table HIB-1 Health Insurance Coverage Status and Type of Coverage by Sex, Race and Hispanic Origin: 1999 to 2011</w:t>
      </w:r>
      <w:r w:rsidR="009B21E5" w:rsidRPr="007C4490">
        <w:rPr>
          <w:rFonts w:ascii="Times New Roman" w:hAnsi="Times New Roman" w:cs="Times New Roman"/>
          <w:sz w:val="24"/>
          <w:szCs w:val="24"/>
          <w:lang w:val="en-GB"/>
        </w:rPr>
        <w:t>, http://www.census.gov/hhes/www/hlthins/data/historical/files/hihistt1B.xls</w:t>
      </w:r>
      <w:r w:rsidRPr="007C4490">
        <w:rPr>
          <w:rFonts w:ascii="Times New Roman" w:hAnsi="Times New Roman" w:cs="Times New Roman"/>
          <w:i/>
          <w:sz w:val="24"/>
          <w:szCs w:val="24"/>
          <w:lang w:val="en-GB"/>
        </w:rPr>
        <w:t>.</w:t>
      </w:r>
    </w:p>
    <w:p w14:paraId="38B321C0" w14:textId="77777777" w:rsidR="00784113" w:rsidRPr="007C4490" w:rsidRDefault="00FF0535" w:rsidP="00282389">
      <w:pPr>
        <w:spacing w:after="0" w:line="480" w:lineRule="auto"/>
        <w:ind w:left="720" w:hanging="720"/>
        <w:jc w:val="both"/>
        <w:rPr>
          <w:rFonts w:ascii="Times New Roman" w:hAnsi="Times New Roman" w:cs="Times New Roman"/>
          <w:sz w:val="24"/>
          <w:szCs w:val="24"/>
          <w:lang w:val="en-GB"/>
        </w:rPr>
      </w:pPr>
      <w:proofErr w:type="gramStart"/>
      <w:r w:rsidRPr="007C4490">
        <w:rPr>
          <w:rFonts w:ascii="Times New Roman" w:hAnsi="Times New Roman" w:cs="Times New Roman"/>
          <w:sz w:val="24"/>
          <w:szCs w:val="24"/>
          <w:lang w:val="en-GB"/>
        </w:rPr>
        <w:t>US</w:t>
      </w:r>
      <w:r w:rsidR="00203E62" w:rsidRPr="007C4490">
        <w:rPr>
          <w:rFonts w:ascii="Times New Roman" w:hAnsi="Times New Roman" w:cs="Times New Roman"/>
          <w:sz w:val="24"/>
          <w:szCs w:val="24"/>
          <w:lang w:val="en-GB"/>
        </w:rPr>
        <w:t xml:space="preserve"> Census Bureau</w:t>
      </w:r>
      <w:r w:rsidR="003D57AC" w:rsidRPr="007C4490">
        <w:rPr>
          <w:rFonts w:ascii="Times New Roman" w:hAnsi="Times New Roman" w:cs="Times New Roman"/>
          <w:sz w:val="24"/>
          <w:szCs w:val="24"/>
          <w:lang w:val="en-GB"/>
        </w:rPr>
        <w:t xml:space="preserve"> (2012b)</w:t>
      </w:r>
      <w:r w:rsidR="00203E62" w:rsidRPr="007C4490">
        <w:rPr>
          <w:rFonts w:ascii="Times New Roman" w:hAnsi="Times New Roman" w:cs="Times New Roman"/>
          <w:sz w:val="24"/>
          <w:szCs w:val="24"/>
          <w:lang w:val="en-GB"/>
        </w:rPr>
        <w:t>,</w:t>
      </w:r>
      <w:r w:rsidR="00784113" w:rsidRPr="007C4490">
        <w:rPr>
          <w:rFonts w:ascii="Times New Roman" w:hAnsi="Times New Roman" w:cs="Times New Roman"/>
          <w:sz w:val="24"/>
          <w:szCs w:val="24"/>
          <w:lang w:val="en-GB"/>
        </w:rPr>
        <w:t xml:space="preserve"> </w:t>
      </w:r>
      <w:r w:rsidR="00784113" w:rsidRPr="007C4490">
        <w:rPr>
          <w:rFonts w:ascii="Times New Roman" w:hAnsi="Times New Roman" w:cs="Times New Roman"/>
          <w:i/>
          <w:sz w:val="24"/>
          <w:szCs w:val="24"/>
          <w:lang w:val="en-GB"/>
        </w:rPr>
        <w:t xml:space="preserve">Health Insurance </w:t>
      </w:r>
      <w:r w:rsidRPr="007C4490">
        <w:rPr>
          <w:rFonts w:ascii="Times New Roman" w:hAnsi="Times New Roman" w:cs="Times New Roman"/>
          <w:i/>
          <w:sz w:val="24"/>
          <w:szCs w:val="24"/>
          <w:lang w:val="en-GB"/>
        </w:rPr>
        <w:t>Historical T</w:t>
      </w:r>
      <w:r w:rsidR="00203E62" w:rsidRPr="007C4490">
        <w:rPr>
          <w:rFonts w:ascii="Times New Roman" w:hAnsi="Times New Roman" w:cs="Times New Roman"/>
          <w:i/>
          <w:sz w:val="24"/>
          <w:szCs w:val="24"/>
          <w:lang w:val="en-GB"/>
        </w:rPr>
        <w:t>ables, Table HIB-4.</w:t>
      </w:r>
      <w:proofErr w:type="gramEnd"/>
      <w:r w:rsidR="00784113" w:rsidRPr="007C4490">
        <w:rPr>
          <w:rFonts w:ascii="Times New Roman" w:hAnsi="Times New Roman" w:cs="Times New Roman"/>
          <w:i/>
          <w:sz w:val="24"/>
          <w:szCs w:val="24"/>
          <w:lang w:val="en-GB"/>
        </w:rPr>
        <w:t xml:space="preserve"> Health Insurance Coverage Status and Type of Coverage by State All People: 1999 to 2012</w:t>
      </w:r>
      <w:r w:rsidRPr="007C4490">
        <w:rPr>
          <w:rFonts w:ascii="Times New Roman" w:hAnsi="Times New Roman" w:cs="Times New Roman"/>
          <w:sz w:val="24"/>
          <w:szCs w:val="24"/>
          <w:lang w:val="en-GB"/>
        </w:rPr>
        <w:t xml:space="preserve">, </w:t>
      </w:r>
      <w:r w:rsidR="009B21E5" w:rsidRPr="007C4490">
        <w:rPr>
          <w:rFonts w:ascii="Times New Roman" w:hAnsi="Times New Roman" w:cs="Times New Roman"/>
          <w:sz w:val="24"/>
          <w:szCs w:val="24"/>
          <w:lang w:val="en-GB"/>
        </w:rPr>
        <w:t>http://www.census.gov/hhes/www/hlthins/data/historical/files/hihistt4B.xls.</w:t>
      </w:r>
    </w:p>
    <w:p w14:paraId="4B22A249" w14:textId="77777777" w:rsidR="00B8386F" w:rsidRPr="007C4490" w:rsidRDefault="00A31199" w:rsidP="00F86B86">
      <w:pPr>
        <w:spacing w:after="0" w:line="480" w:lineRule="auto"/>
        <w:ind w:left="720" w:hanging="720"/>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Wendt, </w:t>
      </w:r>
      <w:r w:rsidR="00203E62" w:rsidRPr="007C4490">
        <w:rPr>
          <w:rFonts w:ascii="Times New Roman" w:hAnsi="Times New Roman" w:cs="Times New Roman"/>
          <w:sz w:val="24"/>
          <w:szCs w:val="24"/>
          <w:lang w:val="en-GB"/>
        </w:rPr>
        <w:t xml:space="preserve">C., L. </w:t>
      </w:r>
      <w:proofErr w:type="spellStart"/>
      <w:r w:rsidR="00203E62" w:rsidRPr="007C4490">
        <w:rPr>
          <w:rFonts w:ascii="Times New Roman" w:hAnsi="Times New Roman" w:cs="Times New Roman"/>
          <w:sz w:val="24"/>
          <w:szCs w:val="24"/>
          <w:lang w:val="en-GB"/>
        </w:rPr>
        <w:t>Frisina</w:t>
      </w:r>
      <w:proofErr w:type="spellEnd"/>
      <w:r w:rsidR="00203E62" w:rsidRPr="007C4490">
        <w:rPr>
          <w:rFonts w:ascii="Times New Roman" w:hAnsi="Times New Roman" w:cs="Times New Roman"/>
          <w:sz w:val="24"/>
          <w:szCs w:val="24"/>
          <w:lang w:val="en-GB"/>
        </w:rPr>
        <w:t xml:space="preserve"> and H. </w:t>
      </w:r>
      <w:proofErr w:type="spellStart"/>
      <w:r w:rsidR="00203E62" w:rsidRPr="007C4490">
        <w:rPr>
          <w:rFonts w:ascii="Times New Roman" w:hAnsi="Times New Roman" w:cs="Times New Roman"/>
          <w:sz w:val="24"/>
          <w:szCs w:val="24"/>
          <w:lang w:val="en-GB"/>
        </w:rPr>
        <w:t>Rothgang</w:t>
      </w:r>
      <w:proofErr w:type="spellEnd"/>
      <w:r w:rsidR="00203E62" w:rsidRPr="007C4490">
        <w:rPr>
          <w:rFonts w:ascii="Times New Roman" w:hAnsi="Times New Roman" w:cs="Times New Roman"/>
          <w:sz w:val="24"/>
          <w:szCs w:val="24"/>
          <w:lang w:val="en-GB"/>
        </w:rPr>
        <w:t xml:space="preserve"> (2009),</w:t>
      </w:r>
      <w:r w:rsidR="00FF0535" w:rsidRPr="007C4490">
        <w:rPr>
          <w:rFonts w:ascii="Times New Roman" w:hAnsi="Times New Roman" w:cs="Times New Roman"/>
          <w:sz w:val="24"/>
          <w:szCs w:val="24"/>
          <w:lang w:val="en-GB"/>
        </w:rPr>
        <w:t xml:space="preserve"> Health care system types: a conceptual framework for c</w:t>
      </w:r>
      <w:r w:rsidRPr="007C4490">
        <w:rPr>
          <w:rFonts w:ascii="Times New Roman" w:hAnsi="Times New Roman" w:cs="Times New Roman"/>
          <w:sz w:val="24"/>
          <w:szCs w:val="24"/>
          <w:lang w:val="en-GB"/>
        </w:rPr>
        <w:t>omparison</w:t>
      </w:r>
      <w:r w:rsidR="00FF0535" w:rsidRPr="007C4490">
        <w:rPr>
          <w:rFonts w:ascii="Times New Roman" w:hAnsi="Times New Roman" w:cs="Times New Roman"/>
          <w:sz w:val="24"/>
          <w:szCs w:val="24"/>
          <w:lang w:val="en-GB"/>
        </w:rPr>
        <w:t>,</w:t>
      </w:r>
      <w:r w:rsidRPr="007C4490">
        <w:rPr>
          <w:rFonts w:ascii="Times New Roman" w:hAnsi="Times New Roman" w:cs="Times New Roman"/>
          <w:sz w:val="24"/>
          <w:szCs w:val="24"/>
          <w:lang w:val="en-GB"/>
        </w:rPr>
        <w:t xml:space="preserve"> </w:t>
      </w:r>
      <w:r w:rsidRPr="007C4490">
        <w:rPr>
          <w:rFonts w:ascii="Times New Roman" w:hAnsi="Times New Roman" w:cs="Times New Roman"/>
          <w:i/>
          <w:iCs/>
          <w:sz w:val="24"/>
          <w:szCs w:val="24"/>
          <w:lang w:val="en-GB"/>
        </w:rPr>
        <w:t>Social Policy and Administration</w:t>
      </w:r>
      <w:r w:rsidR="00FF0535" w:rsidRPr="007C4490">
        <w:rPr>
          <w:rFonts w:ascii="Times New Roman" w:hAnsi="Times New Roman" w:cs="Times New Roman"/>
          <w:sz w:val="24"/>
          <w:szCs w:val="24"/>
          <w:lang w:val="en-GB"/>
        </w:rPr>
        <w:t>, 43, 1</w:t>
      </w:r>
      <w:r w:rsidRPr="007C4490">
        <w:rPr>
          <w:rFonts w:ascii="Times New Roman" w:hAnsi="Times New Roman" w:cs="Times New Roman"/>
          <w:sz w:val="24"/>
          <w:szCs w:val="24"/>
          <w:lang w:val="en-GB"/>
        </w:rPr>
        <w:t>: 70-90</w:t>
      </w:r>
      <w:r w:rsidR="00FF0535" w:rsidRPr="007C4490">
        <w:rPr>
          <w:rFonts w:ascii="Times New Roman" w:hAnsi="Times New Roman" w:cs="Times New Roman"/>
          <w:sz w:val="24"/>
          <w:szCs w:val="24"/>
          <w:lang w:val="en-GB"/>
        </w:rPr>
        <w:t>.</w:t>
      </w:r>
    </w:p>
    <w:p w14:paraId="0AB894B4" w14:textId="77777777" w:rsidR="00E947F2" w:rsidRPr="007C4490" w:rsidRDefault="00E947F2">
      <w:pPr>
        <w:rPr>
          <w:rFonts w:ascii="Times New Roman" w:hAnsi="Times New Roman" w:cs="Times New Roman"/>
          <w:b/>
          <w:sz w:val="24"/>
          <w:szCs w:val="24"/>
          <w:lang w:val="en-GB"/>
        </w:rPr>
      </w:pPr>
      <w:r w:rsidRPr="007C4490">
        <w:rPr>
          <w:rFonts w:ascii="Times New Roman" w:hAnsi="Times New Roman" w:cs="Times New Roman"/>
          <w:b/>
          <w:sz w:val="24"/>
          <w:szCs w:val="24"/>
          <w:lang w:val="en-GB"/>
        </w:rPr>
        <w:br w:type="page"/>
      </w:r>
    </w:p>
    <w:p w14:paraId="662D6A1F" w14:textId="77777777" w:rsidR="00E947F2" w:rsidRPr="007C4490" w:rsidRDefault="00E947F2" w:rsidP="00E947F2">
      <w:pPr>
        <w:spacing w:after="0" w:line="480" w:lineRule="auto"/>
        <w:jc w:val="both"/>
        <w:rPr>
          <w:rFonts w:ascii="Times New Roman" w:hAnsi="Times New Roman" w:cs="Times New Roman"/>
          <w:sz w:val="24"/>
          <w:lang w:val="en-GB"/>
        </w:rPr>
      </w:pPr>
      <w:r w:rsidRPr="007C4490">
        <w:rPr>
          <w:rFonts w:ascii="Times New Roman" w:hAnsi="Times New Roman" w:cs="Times New Roman"/>
          <w:sz w:val="24"/>
          <w:lang w:val="en-GB"/>
        </w:rPr>
        <w:lastRenderedPageBreak/>
        <w:t xml:space="preserve">Figure 1: Coverage Changes </w:t>
      </w:r>
      <w:proofErr w:type="gramStart"/>
      <w:r w:rsidRPr="007C4490">
        <w:rPr>
          <w:rFonts w:ascii="Times New Roman" w:hAnsi="Times New Roman" w:cs="Times New Roman"/>
          <w:sz w:val="24"/>
          <w:lang w:val="en-GB"/>
        </w:rPr>
        <w:t>Among</w:t>
      </w:r>
      <w:proofErr w:type="gramEnd"/>
      <w:r w:rsidRPr="007C4490">
        <w:rPr>
          <w:rFonts w:ascii="Times New Roman" w:hAnsi="Times New Roman" w:cs="Times New Roman"/>
          <w:sz w:val="24"/>
          <w:lang w:val="en-GB"/>
        </w:rPr>
        <w:t xml:space="preserve"> the Non</w:t>
      </w:r>
      <w:r w:rsidR="006F44B4" w:rsidRPr="007C4490">
        <w:rPr>
          <w:rFonts w:ascii="Times New Roman" w:hAnsi="Times New Roman" w:cs="Times New Roman"/>
          <w:sz w:val="24"/>
          <w:lang w:val="en-GB"/>
        </w:rPr>
        <w:t>-</w:t>
      </w:r>
      <w:r w:rsidRPr="007C4490">
        <w:rPr>
          <w:rFonts w:ascii="Times New Roman" w:hAnsi="Times New Roman" w:cs="Times New Roman"/>
          <w:sz w:val="24"/>
          <w:lang w:val="en-GB"/>
        </w:rPr>
        <w:t>elderly, 2000–2013</w:t>
      </w:r>
    </w:p>
    <w:p w14:paraId="774D11F5" w14:textId="77777777" w:rsidR="00E947F2" w:rsidRPr="007C4490" w:rsidRDefault="00E947F2" w:rsidP="00E947F2">
      <w:pPr>
        <w:spacing w:after="0" w:line="480" w:lineRule="auto"/>
        <w:jc w:val="both"/>
        <w:rPr>
          <w:rFonts w:ascii="Times New Roman" w:hAnsi="Times New Roman" w:cs="Times New Roman"/>
          <w:sz w:val="24"/>
          <w:lang w:val="en-GB"/>
        </w:rPr>
      </w:pPr>
      <w:r w:rsidRPr="007C4490">
        <w:rPr>
          <w:rFonts w:ascii="Times New Roman" w:hAnsi="Times New Roman" w:cs="Times New Roman"/>
          <w:sz w:val="24"/>
          <w:lang w:val="en-GB"/>
        </w:rPr>
        <w:t xml:space="preserve">     </w:t>
      </w:r>
      <w:r w:rsidRPr="007C4490">
        <w:rPr>
          <w:rFonts w:ascii="Times New Roman" w:hAnsi="Times New Roman" w:cs="Times New Roman"/>
          <w:noProof/>
          <w:sz w:val="24"/>
          <w:lang w:val="en-GB" w:eastAsia="en-GB"/>
        </w:rPr>
        <w:drawing>
          <wp:inline distT="0" distB="0" distL="0" distR="0" wp14:anchorId="2930BA8D" wp14:editId="4D718C03">
            <wp:extent cx="4740275" cy="2392680"/>
            <wp:effectExtent l="25400" t="0" r="9525"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B6D704" w14:textId="77777777" w:rsidR="00E947F2" w:rsidRPr="007C4490" w:rsidRDefault="00E947F2" w:rsidP="00E947F2">
      <w:pPr>
        <w:spacing w:after="0" w:line="480" w:lineRule="auto"/>
        <w:jc w:val="both"/>
        <w:rPr>
          <w:rFonts w:ascii="Times New Roman" w:hAnsi="Times New Roman" w:cs="Times New Roman"/>
          <w:sz w:val="24"/>
          <w:lang w:val="en-GB"/>
        </w:rPr>
      </w:pPr>
      <w:r w:rsidRPr="007C4490">
        <w:rPr>
          <w:rFonts w:ascii="Times New Roman" w:hAnsi="Times New Roman" w:cs="Times New Roman"/>
          <w:sz w:val="24"/>
          <w:lang w:val="en-GB"/>
        </w:rPr>
        <w:t xml:space="preserve">Source: Kaiser Commission on Medicaid and the Uninsured (2015) </w:t>
      </w:r>
    </w:p>
    <w:p w14:paraId="1B63ADC4" w14:textId="77777777" w:rsidR="00FB76AB" w:rsidRPr="007C4490" w:rsidRDefault="00FB76AB">
      <w:pPr>
        <w:rPr>
          <w:rFonts w:ascii="Times New Roman" w:hAnsi="Times New Roman" w:cs="Times New Roman"/>
          <w:b/>
          <w:sz w:val="24"/>
          <w:szCs w:val="24"/>
          <w:lang w:val="en-GB"/>
        </w:rPr>
      </w:pPr>
      <w:r w:rsidRPr="007C4490">
        <w:rPr>
          <w:rFonts w:ascii="Times New Roman" w:hAnsi="Times New Roman" w:cs="Times New Roman"/>
          <w:b/>
          <w:sz w:val="24"/>
          <w:szCs w:val="24"/>
          <w:lang w:val="en-GB"/>
        </w:rPr>
        <w:br w:type="page"/>
      </w:r>
    </w:p>
    <w:p w14:paraId="5A0DEE9A" w14:textId="77777777" w:rsidR="00FB76AB" w:rsidRPr="007C4490" w:rsidRDefault="00FB76AB" w:rsidP="00FB76AB">
      <w:pPr>
        <w:spacing w:after="0" w:line="240" w:lineRule="auto"/>
        <w:jc w:val="both"/>
        <w:rPr>
          <w:rFonts w:ascii="Times New Roman" w:hAnsi="Times New Roman" w:cs="Times New Roman"/>
          <w:sz w:val="24"/>
          <w:lang w:val="en-GB"/>
        </w:rPr>
      </w:pPr>
      <w:r w:rsidRPr="007C4490">
        <w:rPr>
          <w:rFonts w:ascii="Times New Roman" w:hAnsi="Times New Roman" w:cs="Times New Roman"/>
          <w:sz w:val="24"/>
          <w:szCs w:val="24"/>
          <w:lang w:val="en-GB"/>
        </w:rPr>
        <w:lastRenderedPageBreak/>
        <w:t xml:space="preserve">Figure 2: </w:t>
      </w:r>
      <w:r w:rsidRPr="007C4490">
        <w:rPr>
          <w:rFonts w:ascii="Times New Roman" w:hAnsi="Times New Roman" w:cs="Times New Roman"/>
          <w:sz w:val="24"/>
          <w:lang w:val="en-GB"/>
        </w:rPr>
        <w:t xml:space="preserve">Decrease in </w:t>
      </w:r>
      <w:r w:rsidR="006F44B4" w:rsidRPr="007C4490">
        <w:rPr>
          <w:rFonts w:ascii="Times New Roman" w:hAnsi="Times New Roman" w:cs="Times New Roman"/>
          <w:sz w:val="24"/>
          <w:lang w:val="en-GB"/>
        </w:rPr>
        <w:t>Per C</w:t>
      </w:r>
      <w:r w:rsidRPr="007C4490">
        <w:rPr>
          <w:rFonts w:ascii="Times New Roman" w:hAnsi="Times New Roman" w:cs="Times New Roman"/>
          <w:sz w:val="24"/>
          <w:lang w:val="en-GB"/>
        </w:rPr>
        <w:t xml:space="preserve">ent of Uninsured by State Medicaid Expansion Status, </w:t>
      </w:r>
    </w:p>
    <w:p w14:paraId="63875ED6" w14:textId="77777777" w:rsidR="00FB76AB" w:rsidRPr="007C4490" w:rsidRDefault="00FB76AB" w:rsidP="00FB76AB">
      <w:pPr>
        <w:spacing w:after="0" w:line="240" w:lineRule="auto"/>
        <w:jc w:val="both"/>
        <w:rPr>
          <w:rFonts w:ascii="Times New Roman" w:hAnsi="Times New Roman" w:cs="Times New Roman"/>
          <w:sz w:val="24"/>
          <w:szCs w:val="24"/>
          <w:lang w:val="en-GB"/>
        </w:rPr>
      </w:pPr>
      <w:r w:rsidRPr="007C4490">
        <w:rPr>
          <w:rFonts w:ascii="Times New Roman" w:hAnsi="Times New Roman" w:cs="Times New Roman"/>
          <w:sz w:val="24"/>
          <w:lang w:val="en-GB"/>
        </w:rPr>
        <w:t>Q1 2014</w:t>
      </w:r>
    </w:p>
    <w:p w14:paraId="5B4E303A" w14:textId="77777777" w:rsidR="00FB76AB" w:rsidRPr="007C4490" w:rsidRDefault="00FB76AB" w:rsidP="00FB76AB">
      <w:pPr>
        <w:spacing w:after="0" w:line="480" w:lineRule="auto"/>
        <w:jc w:val="both"/>
        <w:rPr>
          <w:rFonts w:ascii="Times New Roman" w:hAnsi="Times New Roman" w:cs="Times New Roman"/>
          <w:b/>
          <w:sz w:val="24"/>
          <w:szCs w:val="24"/>
          <w:lang w:val="en-GB"/>
        </w:rPr>
      </w:pPr>
      <w:r w:rsidRPr="007C4490">
        <w:rPr>
          <w:rFonts w:ascii="Times New Roman" w:hAnsi="Times New Roman" w:cs="Times New Roman"/>
          <w:b/>
          <w:noProof/>
          <w:sz w:val="24"/>
          <w:szCs w:val="24"/>
          <w:lang w:val="en-GB" w:eastAsia="en-GB"/>
        </w:rPr>
        <w:drawing>
          <wp:inline distT="0" distB="0" distL="0" distR="0" wp14:anchorId="1815324C" wp14:editId="003753F9">
            <wp:extent cx="3962400" cy="2451100"/>
            <wp:effectExtent l="25400" t="0" r="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9CFDE8" w14:textId="77777777" w:rsidR="00FB76AB" w:rsidRPr="007C4490" w:rsidRDefault="00FB76AB" w:rsidP="00FB76AB">
      <w:pPr>
        <w:spacing w:after="0" w:line="480" w:lineRule="auto"/>
        <w:jc w:val="both"/>
        <w:rPr>
          <w:rFonts w:ascii="Times New Roman" w:hAnsi="Times New Roman" w:cs="Times New Roman"/>
          <w:sz w:val="24"/>
          <w:szCs w:val="24"/>
          <w:lang w:val="en-GB"/>
        </w:rPr>
      </w:pPr>
      <w:r w:rsidRPr="007C4490">
        <w:rPr>
          <w:rFonts w:ascii="Times New Roman" w:hAnsi="Times New Roman" w:cs="Times New Roman"/>
          <w:sz w:val="24"/>
          <w:szCs w:val="24"/>
          <w:lang w:val="en-GB"/>
        </w:rPr>
        <w:t xml:space="preserve">Source: National </w:t>
      </w:r>
      <w:proofErr w:type="spellStart"/>
      <w:r w:rsidRPr="007C4490">
        <w:rPr>
          <w:rFonts w:ascii="Times New Roman" w:hAnsi="Times New Roman" w:cs="Times New Roman"/>
          <w:sz w:val="24"/>
          <w:szCs w:val="24"/>
          <w:lang w:val="en-GB"/>
        </w:rPr>
        <w:t>Center</w:t>
      </w:r>
      <w:proofErr w:type="spellEnd"/>
      <w:r w:rsidRPr="007C4490">
        <w:rPr>
          <w:rFonts w:ascii="Times New Roman" w:hAnsi="Times New Roman" w:cs="Times New Roman"/>
          <w:sz w:val="24"/>
          <w:szCs w:val="24"/>
          <w:lang w:val="en-GB"/>
        </w:rPr>
        <w:t xml:space="preserve"> for Health Statistics (2014) </w:t>
      </w:r>
    </w:p>
    <w:p w14:paraId="5EC58924" w14:textId="77777777" w:rsidR="00A166E3" w:rsidRPr="007C4490" w:rsidRDefault="00A166E3">
      <w:pPr>
        <w:rPr>
          <w:rFonts w:ascii="Times New Roman" w:hAnsi="Times New Roman" w:cs="Times New Roman"/>
          <w:b/>
          <w:sz w:val="24"/>
          <w:szCs w:val="24"/>
          <w:lang w:val="en-GB"/>
        </w:rPr>
      </w:pPr>
      <w:r w:rsidRPr="007C4490">
        <w:rPr>
          <w:rFonts w:ascii="Times New Roman" w:hAnsi="Times New Roman" w:cs="Times New Roman"/>
          <w:b/>
          <w:sz w:val="24"/>
          <w:szCs w:val="24"/>
          <w:lang w:val="en-GB"/>
        </w:rPr>
        <w:br w:type="page"/>
      </w:r>
    </w:p>
    <w:p w14:paraId="5B2B1E71" w14:textId="77777777" w:rsidR="00A166E3" w:rsidRPr="007C4490" w:rsidRDefault="00A166E3" w:rsidP="00A166E3">
      <w:pPr>
        <w:spacing w:after="0" w:line="240" w:lineRule="auto"/>
        <w:jc w:val="both"/>
        <w:rPr>
          <w:rFonts w:ascii="Times New Roman" w:hAnsi="Times New Roman" w:cs="Times New Roman"/>
          <w:sz w:val="24"/>
          <w:lang w:val="en-GB"/>
        </w:rPr>
      </w:pPr>
      <w:r w:rsidRPr="007C4490">
        <w:rPr>
          <w:rFonts w:ascii="Times New Roman" w:hAnsi="Times New Roman" w:cs="Times New Roman"/>
          <w:sz w:val="24"/>
          <w:lang w:val="en-GB"/>
        </w:rPr>
        <w:lastRenderedPageBreak/>
        <w:t xml:space="preserve">Table </w:t>
      </w:r>
      <w:r w:rsidR="00A55C93" w:rsidRPr="007C4490">
        <w:rPr>
          <w:rFonts w:ascii="Times New Roman" w:hAnsi="Times New Roman" w:cs="Times New Roman"/>
          <w:sz w:val="24"/>
          <w:lang w:val="en-GB"/>
        </w:rPr>
        <w:t>1</w:t>
      </w:r>
      <w:r w:rsidRPr="007C4490">
        <w:rPr>
          <w:rFonts w:ascii="Times New Roman" w:hAnsi="Times New Roman" w:cs="Times New Roman"/>
          <w:sz w:val="24"/>
          <w:lang w:val="en-GB"/>
        </w:rPr>
        <w:t>: Worker Confidence in Retirement Savings Capacity, 1995-2014</w:t>
      </w:r>
    </w:p>
    <w:p w14:paraId="203BB244" w14:textId="77777777" w:rsidR="00A166E3" w:rsidRPr="007C4490" w:rsidRDefault="00A166E3" w:rsidP="00A166E3">
      <w:pPr>
        <w:spacing w:after="0" w:line="240" w:lineRule="auto"/>
        <w:jc w:val="both"/>
        <w:rPr>
          <w:rFonts w:ascii="Times New Roman" w:hAnsi="Times New Roman" w:cs="Times New Roman"/>
          <w:sz w:val="24"/>
          <w:lang w:val="en-GB"/>
        </w:rPr>
      </w:pPr>
    </w:p>
    <w:tbl>
      <w:tblPr>
        <w:tblW w:w="8748" w:type="dxa"/>
        <w:tblLook w:val="04A0" w:firstRow="1" w:lastRow="0" w:firstColumn="1" w:lastColumn="0" w:noHBand="0" w:noVBand="1"/>
      </w:tblPr>
      <w:tblGrid>
        <w:gridCol w:w="2024"/>
        <w:gridCol w:w="1812"/>
        <w:gridCol w:w="1643"/>
        <w:gridCol w:w="1946"/>
        <w:gridCol w:w="1323"/>
      </w:tblGrid>
      <w:tr w:rsidR="00A166E3" w:rsidRPr="007C4490" w14:paraId="4D31AE71" w14:textId="77777777">
        <w:trPr>
          <w:trHeight w:val="477"/>
        </w:trPr>
        <w:tc>
          <w:tcPr>
            <w:tcW w:w="2024" w:type="dxa"/>
            <w:tcBorders>
              <w:top w:val="nil"/>
              <w:left w:val="nil"/>
              <w:bottom w:val="nil"/>
              <w:right w:val="nil"/>
            </w:tcBorders>
            <w:shd w:val="clear" w:color="auto" w:fill="auto"/>
            <w:vAlign w:val="bottom"/>
          </w:tcPr>
          <w:p w14:paraId="2D328CAF" w14:textId="77777777" w:rsidR="00A166E3" w:rsidRPr="007C4490" w:rsidRDefault="00A166E3" w:rsidP="009F692A">
            <w:pPr>
              <w:spacing w:after="0" w:line="240" w:lineRule="auto"/>
              <w:jc w:val="both"/>
              <w:rPr>
                <w:rFonts w:ascii="Times New Roman" w:eastAsia="Times New Roman" w:hAnsi="Times New Roman" w:cs="Times New Roman"/>
                <w:sz w:val="24"/>
                <w:szCs w:val="24"/>
                <w:lang w:val="en-GB"/>
              </w:rPr>
            </w:pPr>
          </w:p>
        </w:tc>
        <w:tc>
          <w:tcPr>
            <w:tcW w:w="3455" w:type="dxa"/>
            <w:gridSpan w:val="2"/>
            <w:tcBorders>
              <w:top w:val="nil"/>
              <w:left w:val="nil"/>
              <w:bottom w:val="nil"/>
              <w:right w:val="nil"/>
            </w:tcBorders>
            <w:shd w:val="clear" w:color="auto" w:fill="auto"/>
            <w:vAlign w:val="bottom"/>
          </w:tcPr>
          <w:p w14:paraId="074BCEF9" w14:textId="77777777" w:rsidR="00A166E3" w:rsidRPr="007C4490" w:rsidRDefault="00A166E3" w:rsidP="009F692A">
            <w:pPr>
              <w:keepNext/>
              <w:keepLines/>
              <w:spacing w:after="0" w:line="24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Confident will be able to live comfortably</w:t>
            </w:r>
          </w:p>
        </w:tc>
        <w:tc>
          <w:tcPr>
            <w:tcW w:w="3269" w:type="dxa"/>
            <w:gridSpan w:val="2"/>
            <w:tcBorders>
              <w:top w:val="nil"/>
              <w:left w:val="nil"/>
              <w:bottom w:val="nil"/>
              <w:right w:val="nil"/>
            </w:tcBorders>
            <w:shd w:val="clear" w:color="auto" w:fill="auto"/>
            <w:vAlign w:val="bottom"/>
          </w:tcPr>
          <w:p w14:paraId="024FDF2F" w14:textId="77777777" w:rsidR="00A166E3" w:rsidRPr="007C4490" w:rsidRDefault="00A166E3" w:rsidP="009F692A">
            <w:pPr>
              <w:keepNext/>
              <w:keepLines/>
              <w:spacing w:after="0" w:line="24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Confident will be able to pay for basic expenses</w:t>
            </w:r>
          </w:p>
        </w:tc>
      </w:tr>
      <w:tr w:rsidR="00A166E3" w:rsidRPr="007C4490" w14:paraId="734A4D99" w14:textId="77777777">
        <w:trPr>
          <w:trHeight w:val="355"/>
        </w:trPr>
        <w:tc>
          <w:tcPr>
            <w:tcW w:w="2024" w:type="dxa"/>
            <w:tcBorders>
              <w:top w:val="nil"/>
              <w:left w:val="nil"/>
              <w:bottom w:val="nil"/>
              <w:right w:val="nil"/>
            </w:tcBorders>
            <w:shd w:val="clear" w:color="auto" w:fill="auto"/>
            <w:vAlign w:val="bottom"/>
          </w:tcPr>
          <w:p w14:paraId="05FE10E1" w14:textId="77777777" w:rsidR="00A166E3" w:rsidRPr="007C4490" w:rsidRDefault="00A166E3" w:rsidP="009F692A">
            <w:pPr>
              <w:spacing w:after="0" w:line="480" w:lineRule="auto"/>
              <w:jc w:val="both"/>
              <w:rPr>
                <w:rFonts w:ascii="Times New Roman" w:eastAsia="Times New Roman" w:hAnsi="Times New Roman" w:cs="Times New Roman"/>
                <w:sz w:val="24"/>
                <w:szCs w:val="20"/>
                <w:lang w:val="en-GB"/>
              </w:rPr>
            </w:pPr>
          </w:p>
        </w:tc>
        <w:tc>
          <w:tcPr>
            <w:tcW w:w="1812" w:type="dxa"/>
            <w:tcBorders>
              <w:top w:val="nil"/>
              <w:left w:val="nil"/>
              <w:bottom w:val="nil"/>
              <w:right w:val="nil"/>
            </w:tcBorders>
            <w:shd w:val="clear" w:color="auto" w:fill="auto"/>
            <w:vAlign w:val="bottom"/>
          </w:tcPr>
          <w:p w14:paraId="7EDA3A76" w14:textId="77777777" w:rsidR="00A166E3" w:rsidRPr="007C4490" w:rsidRDefault="00A166E3" w:rsidP="009F692A">
            <w:pPr>
              <w:spacing w:after="0" w:line="480" w:lineRule="auto"/>
              <w:jc w:val="both"/>
              <w:rPr>
                <w:rFonts w:ascii="Times New Roman" w:eastAsia="Times New Roman" w:hAnsi="Times New Roman" w:cs="Times New Roman"/>
                <w:i/>
                <w:color w:val="000000"/>
                <w:sz w:val="24"/>
                <w:lang w:val="en-GB"/>
              </w:rPr>
            </w:pPr>
          </w:p>
          <w:p w14:paraId="1501BFF3"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i/>
                <w:color w:val="000000"/>
                <w:sz w:val="24"/>
                <w:lang w:val="en-GB"/>
              </w:rPr>
            </w:pPr>
            <w:r w:rsidRPr="007C4490">
              <w:rPr>
                <w:rFonts w:ascii="Times New Roman" w:eastAsia="Times New Roman" w:hAnsi="Times New Roman" w:cs="Times New Roman"/>
                <w:i/>
                <w:color w:val="000000"/>
                <w:sz w:val="24"/>
                <w:lang w:val="en-GB"/>
              </w:rPr>
              <w:t>Very confident</w:t>
            </w:r>
          </w:p>
        </w:tc>
        <w:tc>
          <w:tcPr>
            <w:tcW w:w="1643" w:type="dxa"/>
            <w:tcBorders>
              <w:top w:val="nil"/>
              <w:left w:val="nil"/>
              <w:bottom w:val="nil"/>
              <w:right w:val="nil"/>
            </w:tcBorders>
            <w:shd w:val="clear" w:color="auto" w:fill="auto"/>
            <w:vAlign w:val="bottom"/>
          </w:tcPr>
          <w:p w14:paraId="7F2D8326"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i/>
                <w:color w:val="000000"/>
                <w:sz w:val="24"/>
                <w:lang w:val="en-GB"/>
              </w:rPr>
            </w:pPr>
            <w:r w:rsidRPr="007C4490">
              <w:rPr>
                <w:rFonts w:ascii="Times New Roman" w:eastAsia="Times New Roman" w:hAnsi="Times New Roman" w:cs="Times New Roman"/>
                <w:i/>
                <w:color w:val="000000"/>
                <w:sz w:val="24"/>
                <w:lang w:val="en-GB"/>
              </w:rPr>
              <w:t>Not at all</w:t>
            </w:r>
          </w:p>
        </w:tc>
        <w:tc>
          <w:tcPr>
            <w:tcW w:w="1946" w:type="dxa"/>
            <w:tcBorders>
              <w:top w:val="nil"/>
              <w:left w:val="nil"/>
              <w:bottom w:val="nil"/>
              <w:right w:val="nil"/>
            </w:tcBorders>
            <w:shd w:val="clear" w:color="auto" w:fill="auto"/>
            <w:vAlign w:val="bottom"/>
          </w:tcPr>
          <w:p w14:paraId="100D39A6"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i/>
                <w:color w:val="000000"/>
                <w:sz w:val="24"/>
                <w:lang w:val="en-GB"/>
              </w:rPr>
            </w:pPr>
            <w:r w:rsidRPr="007C4490">
              <w:rPr>
                <w:rFonts w:ascii="Times New Roman" w:eastAsia="Times New Roman" w:hAnsi="Times New Roman" w:cs="Times New Roman"/>
                <w:i/>
                <w:color w:val="000000"/>
                <w:sz w:val="24"/>
                <w:lang w:val="en-GB"/>
              </w:rPr>
              <w:t>Very confident</w:t>
            </w:r>
          </w:p>
        </w:tc>
        <w:tc>
          <w:tcPr>
            <w:tcW w:w="1323" w:type="dxa"/>
            <w:tcBorders>
              <w:top w:val="nil"/>
              <w:left w:val="nil"/>
              <w:bottom w:val="nil"/>
              <w:right w:val="nil"/>
            </w:tcBorders>
            <w:shd w:val="clear" w:color="auto" w:fill="auto"/>
            <w:vAlign w:val="bottom"/>
          </w:tcPr>
          <w:p w14:paraId="66695E0F"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i/>
                <w:color w:val="000000"/>
                <w:sz w:val="24"/>
                <w:lang w:val="en-GB"/>
              </w:rPr>
            </w:pPr>
            <w:r w:rsidRPr="007C4490">
              <w:rPr>
                <w:rFonts w:ascii="Times New Roman" w:eastAsia="Times New Roman" w:hAnsi="Times New Roman" w:cs="Times New Roman"/>
                <w:i/>
                <w:color w:val="000000"/>
                <w:sz w:val="24"/>
                <w:lang w:val="en-GB"/>
              </w:rPr>
              <w:t>Not at all</w:t>
            </w:r>
          </w:p>
        </w:tc>
      </w:tr>
      <w:tr w:rsidR="00A166E3" w:rsidRPr="007C4490" w14:paraId="760D8B7D" w14:textId="77777777">
        <w:trPr>
          <w:trHeight w:val="355"/>
        </w:trPr>
        <w:tc>
          <w:tcPr>
            <w:tcW w:w="2024" w:type="dxa"/>
            <w:tcBorders>
              <w:top w:val="nil"/>
              <w:left w:val="nil"/>
              <w:bottom w:val="nil"/>
              <w:right w:val="nil"/>
            </w:tcBorders>
            <w:shd w:val="clear" w:color="auto" w:fill="auto"/>
            <w:vAlign w:val="bottom"/>
          </w:tcPr>
          <w:p w14:paraId="048FD2DB"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1995</w:t>
            </w:r>
          </w:p>
        </w:tc>
        <w:tc>
          <w:tcPr>
            <w:tcW w:w="1812" w:type="dxa"/>
            <w:tcBorders>
              <w:top w:val="nil"/>
              <w:left w:val="nil"/>
              <w:bottom w:val="nil"/>
              <w:right w:val="nil"/>
            </w:tcBorders>
            <w:shd w:val="clear" w:color="auto" w:fill="auto"/>
            <w:vAlign w:val="bottom"/>
          </w:tcPr>
          <w:p w14:paraId="1C98E12B"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21%</w:t>
            </w:r>
          </w:p>
        </w:tc>
        <w:tc>
          <w:tcPr>
            <w:tcW w:w="1643" w:type="dxa"/>
            <w:tcBorders>
              <w:top w:val="nil"/>
              <w:left w:val="nil"/>
              <w:bottom w:val="nil"/>
              <w:right w:val="nil"/>
            </w:tcBorders>
            <w:shd w:val="clear" w:color="auto" w:fill="auto"/>
            <w:vAlign w:val="bottom"/>
          </w:tcPr>
          <w:p w14:paraId="3002FEA5"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8%</w:t>
            </w:r>
          </w:p>
        </w:tc>
        <w:tc>
          <w:tcPr>
            <w:tcW w:w="1946" w:type="dxa"/>
            <w:tcBorders>
              <w:top w:val="nil"/>
              <w:left w:val="nil"/>
              <w:bottom w:val="nil"/>
              <w:right w:val="nil"/>
            </w:tcBorders>
            <w:shd w:val="clear" w:color="auto" w:fill="auto"/>
            <w:vAlign w:val="bottom"/>
          </w:tcPr>
          <w:p w14:paraId="7DEFD97A"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38</w:t>
            </w:r>
            <w:r w:rsidR="006F44B4" w:rsidRPr="007C4490">
              <w:rPr>
                <w:rFonts w:ascii="Times New Roman" w:eastAsia="Times New Roman" w:hAnsi="Times New Roman" w:cs="Times New Roman"/>
                <w:color w:val="000000"/>
                <w:sz w:val="24"/>
                <w:lang w:val="en-GB"/>
              </w:rPr>
              <w:t>%</w:t>
            </w:r>
          </w:p>
        </w:tc>
        <w:tc>
          <w:tcPr>
            <w:tcW w:w="1323" w:type="dxa"/>
            <w:tcBorders>
              <w:top w:val="nil"/>
              <w:left w:val="nil"/>
              <w:bottom w:val="nil"/>
              <w:right w:val="nil"/>
            </w:tcBorders>
            <w:shd w:val="clear" w:color="auto" w:fill="auto"/>
            <w:vAlign w:val="bottom"/>
          </w:tcPr>
          <w:p w14:paraId="75771FD8"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3</w:t>
            </w:r>
            <w:r w:rsidR="006F44B4" w:rsidRPr="007C4490">
              <w:rPr>
                <w:rFonts w:ascii="Times New Roman" w:eastAsia="Times New Roman" w:hAnsi="Times New Roman" w:cs="Times New Roman"/>
                <w:color w:val="000000"/>
                <w:sz w:val="24"/>
                <w:lang w:val="en-GB"/>
              </w:rPr>
              <w:t>%</w:t>
            </w:r>
          </w:p>
        </w:tc>
      </w:tr>
      <w:tr w:rsidR="00A166E3" w:rsidRPr="007C4490" w14:paraId="73226CBF" w14:textId="77777777">
        <w:trPr>
          <w:trHeight w:val="355"/>
        </w:trPr>
        <w:tc>
          <w:tcPr>
            <w:tcW w:w="2024" w:type="dxa"/>
            <w:tcBorders>
              <w:top w:val="nil"/>
              <w:left w:val="nil"/>
              <w:bottom w:val="nil"/>
              <w:right w:val="nil"/>
            </w:tcBorders>
            <w:shd w:val="clear" w:color="auto" w:fill="auto"/>
            <w:vAlign w:val="bottom"/>
          </w:tcPr>
          <w:p w14:paraId="00AD3B84"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2007</w:t>
            </w:r>
          </w:p>
        </w:tc>
        <w:tc>
          <w:tcPr>
            <w:tcW w:w="1812" w:type="dxa"/>
            <w:tcBorders>
              <w:top w:val="nil"/>
              <w:left w:val="nil"/>
              <w:bottom w:val="nil"/>
              <w:right w:val="nil"/>
            </w:tcBorders>
            <w:shd w:val="clear" w:color="auto" w:fill="auto"/>
            <w:vAlign w:val="bottom"/>
          </w:tcPr>
          <w:p w14:paraId="10D0E93C"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27</w:t>
            </w:r>
            <w:r w:rsidR="006F44B4" w:rsidRPr="007C4490">
              <w:rPr>
                <w:rFonts w:ascii="Times New Roman" w:eastAsia="Times New Roman" w:hAnsi="Times New Roman" w:cs="Times New Roman"/>
                <w:color w:val="000000"/>
                <w:sz w:val="24"/>
                <w:lang w:val="en-GB"/>
              </w:rPr>
              <w:t>%</w:t>
            </w:r>
          </w:p>
        </w:tc>
        <w:tc>
          <w:tcPr>
            <w:tcW w:w="1643" w:type="dxa"/>
            <w:tcBorders>
              <w:top w:val="nil"/>
              <w:left w:val="nil"/>
              <w:bottom w:val="nil"/>
              <w:right w:val="nil"/>
            </w:tcBorders>
            <w:shd w:val="clear" w:color="auto" w:fill="auto"/>
            <w:vAlign w:val="bottom"/>
          </w:tcPr>
          <w:p w14:paraId="399051B4"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10</w:t>
            </w:r>
            <w:r w:rsidR="006F44B4" w:rsidRPr="007C4490">
              <w:rPr>
                <w:rFonts w:ascii="Times New Roman" w:eastAsia="Times New Roman" w:hAnsi="Times New Roman" w:cs="Times New Roman"/>
                <w:color w:val="000000"/>
                <w:sz w:val="24"/>
                <w:lang w:val="en-GB"/>
              </w:rPr>
              <w:t>%</w:t>
            </w:r>
          </w:p>
        </w:tc>
        <w:tc>
          <w:tcPr>
            <w:tcW w:w="1946" w:type="dxa"/>
            <w:tcBorders>
              <w:top w:val="nil"/>
              <w:left w:val="nil"/>
              <w:bottom w:val="nil"/>
              <w:right w:val="nil"/>
            </w:tcBorders>
            <w:shd w:val="clear" w:color="auto" w:fill="auto"/>
            <w:vAlign w:val="bottom"/>
          </w:tcPr>
          <w:p w14:paraId="709B407D"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40</w:t>
            </w:r>
            <w:r w:rsidR="006F44B4" w:rsidRPr="007C4490">
              <w:rPr>
                <w:rFonts w:ascii="Times New Roman" w:eastAsia="Times New Roman" w:hAnsi="Times New Roman" w:cs="Times New Roman"/>
                <w:color w:val="000000"/>
                <w:sz w:val="24"/>
                <w:lang w:val="en-GB"/>
              </w:rPr>
              <w:t>%</w:t>
            </w:r>
          </w:p>
        </w:tc>
        <w:tc>
          <w:tcPr>
            <w:tcW w:w="1323" w:type="dxa"/>
            <w:tcBorders>
              <w:top w:val="nil"/>
              <w:left w:val="nil"/>
              <w:bottom w:val="nil"/>
              <w:right w:val="nil"/>
            </w:tcBorders>
            <w:shd w:val="clear" w:color="auto" w:fill="auto"/>
            <w:vAlign w:val="bottom"/>
          </w:tcPr>
          <w:p w14:paraId="0F05F8B2"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7</w:t>
            </w:r>
            <w:r w:rsidR="006F44B4" w:rsidRPr="007C4490">
              <w:rPr>
                <w:rFonts w:ascii="Times New Roman" w:eastAsia="Times New Roman" w:hAnsi="Times New Roman" w:cs="Times New Roman"/>
                <w:color w:val="000000"/>
                <w:sz w:val="24"/>
                <w:lang w:val="en-GB"/>
              </w:rPr>
              <w:t>%</w:t>
            </w:r>
          </w:p>
        </w:tc>
      </w:tr>
      <w:tr w:rsidR="00A166E3" w:rsidRPr="007C4490" w14:paraId="7F719B05" w14:textId="77777777">
        <w:trPr>
          <w:trHeight w:val="355"/>
        </w:trPr>
        <w:tc>
          <w:tcPr>
            <w:tcW w:w="2024" w:type="dxa"/>
            <w:tcBorders>
              <w:top w:val="nil"/>
              <w:left w:val="nil"/>
              <w:bottom w:val="nil"/>
              <w:right w:val="nil"/>
            </w:tcBorders>
            <w:shd w:val="clear" w:color="auto" w:fill="auto"/>
            <w:vAlign w:val="bottom"/>
          </w:tcPr>
          <w:p w14:paraId="0AB2E269"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2009</w:t>
            </w:r>
          </w:p>
        </w:tc>
        <w:tc>
          <w:tcPr>
            <w:tcW w:w="1812" w:type="dxa"/>
            <w:tcBorders>
              <w:top w:val="nil"/>
              <w:left w:val="nil"/>
              <w:bottom w:val="nil"/>
              <w:right w:val="nil"/>
            </w:tcBorders>
            <w:shd w:val="clear" w:color="auto" w:fill="auto"/>
            <w:vAlign w:val="bottom"/>
          </w:tcPr>
          <w:p w14:paraId="0BA495E9"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13</w:t>
            </w:r>
            <w:r w:rsidR="006F44B4" w:rsidRPr="007C4490">
              <w:rPr>
                <w:rFonts w:ascii="Times New Roman" w:eastAsia="Times New Roman" w:hAnsi="Times New Roman" w:cs="Times New Roman"/>
                <w:color w:val="000000"/>
                <w:sz w:val="24"/>
                <w:lang w:val="en-GB"/>
              </w:rPr>
              <w:t>%</w:t>
            </w:r>
          </w:p>
        </w:tc>
        <w:tc>
          <w:tcPr>
            <w:tcW w:w="1643" w:type="dxa"/>
            <w:tcBorders>
              <w:top w:val="nil"/>
              <w:left w:val="nil"/>
              <w:bottom w:val="nil"/>
              <w:right w:val="nil"/>
            </w:tcBorders>
            <w:shd w:val="clear" w:color="auto" w:fill="auto"/>
            <w:vAlign w:val="bottom"/>
          </w:tcPr>
          <w:p w14:paraId="4417D539"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22</w:t>
            </w:r>
            <w:r w:rsidR="006F44B4" w:rsidRPr="007C4490">
              <w:rPr>
                <w:rFonts w:ascii="Times New Roman" w:eastAsia="Times New Roman" w:hAnsi="Times New Roman" w:cs="Times New Roman"/>
                <w:color w:val="000000"/>
                <w:sz w:val="24"/>
                <w:lang w:val="en-GB"/>
              </w:rPr>
              <w:t>%</w:t>
            </w:r>
          </w:p>
        </w:tc>
        <w:tc>
          <w:tcPr>
            <w:tcW w:w="1946" w:type="dxa"/>
            <w:tcBorders>
              <w:top w:val="nil"/>
              <w:left w:val="nil"/>
              <w:bottom w:val="nil"/>
              <w:right w:val="nil"/>
            </w:tcBorders>
            <w:shd w:val="clear" w:color="auto" w:fill="auto"/>
            <w:vAlign w:val="bottom"/>
          </w:tcPr>
          <w:p w14:paraId="615BD3C8"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25</w:t>
            </w:r>
            <w:r w:rsidR="006F44B4" w:rsidRPr="007C4490">
              <w:rPr>
                <w:rFonts w:ascii="Times New Roman" w:eastAsia="Times New Roman" w:hAnsi="Times New Roman" w:cs="Times New Roman"/>
                <w:color w:val="000000"/>
                <w:sz w:val="24"/>
                <w:lang w:val="en-GB"/>
              </w:rPr>
              <w:t>%</w:t>
            </w:r>
          </w:p>
        </w:tc>
        <w:tc>
          <w:tcPr>
            <w:tcW w:w="1323" w:type="dxa"/>
            <w:tcBorders>
              <w:top w:val="nil"/>
              <w:left w:val="nil"/>
              <w:bottom w:val="nil"/>
              <w:right w:val="nil"/>
            </w:tcBorders>
            <w:shd w:val="clear" w:color="auto" w:fill="auto"/>
            <w:vAlign w:val="bottom"/>
          </w:tcPr>
          <w:p w14:paraId="1AD884F6"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11</w:t>
            </w:r>
            <w:r w:rsidR="006F44B4" w:rsidRPr="007C4490">
              <w:rPr>
                <w:rFonts w:ascii="Times New Roman" w:eastAsia="Times New Roman" w:hAnsi="Times New Roman" w:cs="Times New Roman"/>
                <w:color w:val="000000"/>
                <w:sz w:val="24"/>
                <w:lang w:val="en-GB"/>
              </w:rPr>
              <w:t>%</w:t>
            </w:r>
          </w:p>
        </w:tc>
      </w:tr>
      <w:tr w:rsidR="00A166E3" w:rsidRPr="007C4490" w14:paraId="5B533DAA" w14:textId="77777777">
        <w:trPr>
          <w:trHeight w:val="355"/>
        </w:trPr>
        <w:tc>
          <w:tcPr>
            <w:tcW w:w="2024" w:type="dxa"/>
            <w:tcBorders>
              <w:top w:val="nil"/>
              <w:left w:val="nil"/>
              <w:bottom w:val="nil"/>
              <w:right w:val="nil"/>
            </w:tcBorders>
            <w:shd w:val="clear" w:color="auto" w:fill="auto"/>
            <w:vAlign w:val="bottom"/>
          </w:tcPr>
          <w:p w14:paraId="4454FDDC"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2014</w:t>
            </w:r>
          </w:p>
        </w:tc>
        <w:tc>
          <w:tcPr>
            <w:tcW w:w="1812" w:type="dxa"/>
            <w:tcBorders>
              <w:top w:val="nil"/>
              <w:left w:val="nil"/>
              <w:bottom w:val="nil"/>
              <w:right w:val="nil"/>
            </w:tcBorders>
            <w:shd w:val="clear" w:color="auto" w:fill="auto"/>
            <w:vAlign w:val="bottom"/>
          </w:tcPr>
          <w:p w14:paraId="0B9BC242"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18</w:t>
            </w:r>
            <w:r w:rsidR="006F44B4" w:rsidRPr="007C4490">
              <w:rPr>
                <w:rFonts w:ascii="Times New Roman" w:eastAsia="Times New Roman" w:hAnsi="Times New Roman" w:cs="Times New Roman"/>
                <w:color w:val="000000"/>
                <w:sz w:val="24"/>
                <w:lang w:val="en-GB"/>
              </w:rPr>
              <w:t>%</w:t>
            </w:r>
          </w:p>
        </w:tc>
        <w:tc>
          <w:tcPr>
            <w:tcW w:w="1643" w:type="dxa"/>
            <w:tcBorders>
              <w:top w:val="nil"/>
              <w:left w:val="nil"/>
              <w:bottom w:val="nil"/>
              <w:right w:val="nil"/>
            </w:tcBorders>
            <w:shd w:val="clear" w:color="auto" w:fill="auto"/>
            <w:vAlign w:val="bottom"/>
          </w:tcPr>
          <w:p w14:paraId="71780F94"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24</w:t>
            </w:r>
            <w:r w:rsidR="006F44B4" w:rsidRPr="007C4490">
              <w:rPr>
                <w:rFonts w:ascii="Times New Roman" w:eastAsia="Times New Roman" w:hAnsi="Times New Roman" w:cs="Times New Roman"/>
                <w:color w:val="000000"/>
                <w:sz w:val="24"/>
                <w:lang w:val="en-GB"/>
              </w:rPr>
              <w:t>%</w:t>
            </w:r>
          </w:p>
        </w:tc>
        <w:tc>
          <w:tcPr>
            <w:tcW w:w="1946" w:type="dxa"/>
            <w:tcBorders>
              <w:top w:val="nil"/>
              <w:left w:val="nil"/>
              <w:bottom w:val="nil"/>
              <w:right w:val="nil"/>
            </w:tcBorders>
            <w:shd w:val="clear" w:color="auto" w:fill="auto"/>
            <w:vAlign w:val="bottom"/>
          </w:tcPr>
          <w:p w14:paraId="25FA840C"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29</w:t>
            </w:r>
            <w:r w:rsidR="006F44B4" w:rsidRPr="007C4490">
              <w:rPr>
                <w:rFonts w:ascii="Times New Roman" w:eastAsia="Times New Roman" w:hAnsi="Times New Roman" w:cs="Times New Roman"/>
                <w:color w:val="000000"/>
                <w:sz w:val="24"/>
                <w:lang w:val="en-GB"/>
              </w:rPr>
              <w:t>%</w:t>
            </w:r>
          </w:p>
        </w:tc>
        <w:tc>
          <w:tcPr>
            <w:tcW w:w="1323" w:type="dxa"/>
            <w:tcBorders>
              <w:top w:val="nil"/>
              <w:left w:val="nil"/>
              <w:bottom w:val="nil"/>
              <w:right w:val="nil"/>
            </w:tcBorders>
            <w:shd w:val="clear" w:color="auto" w:fill="auto"/>
            <w:vAlign w:val="bottom"/>
          </w:tcPr>
          <w:p w14:paraId="16A88DC3" w14:textId="77777777" w:rsidR="00A166E3" w:rsidRPr="007C4490" w:rsidRDefault="00A166E3" w:rsidP="009F692A">
            <w:pPr>
              <w:keepNext/>
              <w:keepLines/>
              <w:spacing w:after="0" w:line="480" w:lineRule="auto"/>
              <w:jc w:val="both"/>
              <w:outlineLvl w:val="2"/>
              <w:rPr>
                <w:rFonts w:ascii="Times New Roman" w:eastAsia="Times New Roman" w:hAnsi="Times New Roman" w:cs="Times New Roman"/>
                <w:color w:val="000000"/>
                <w:sz w:val="24"/>
                <w:lang w:val="en-GB"/>
              </w:rPr>
            </w:pPr>
            <w:r w:rsidRPr="007C4490">
              <w:rPr>
                <w:rFonts w:ascii="Times New Roman" w:eastAsia="Times New Roman" w:hAnsi="Times New Roman" w:cs="Times New Roman"/>
                <w:color w:val="000000"/>
                <w:sz w:val="24"/>
                <w:lang w:val="en-GB"/>
              </w:rPr>
              <w:t>16</w:t>
            </w:r>
            <w:r w:rsidR="006F44B4" w:rsidRPr="007C4490">
              <w:rPr>
                <w:rFonts w:ascii="Times New Roman" w:eastAsia="Times New Roman" w:hAnsi="Times New Roman" w:cs="Times New Roman"/>
                <w:color w:val="000000"/>
                <w:sz w:val="24"/>
                <w:lang w:val="en-GB"/>
              </w:rPr>
              <w:t>%</w:t>
            </w:r>
          </w:p>
        </w:tc>
      </w:tr>
    </w:tbl>
    <w:p w14:paraId="23719C12" w14:textId="77777777" w:rsidR="00A166E3" w:rsidRPr="007C4490" w:rsidRDefault="00A166E3" w:rsidP="00A166E3">
      <w:pPr>
        <w:spacing w:after="0" w:line="480" w:lineRule="auto"/>
        <w:jc w:val="both"/>
        <w:rPr>
          <w:rFonts w:ascii="Times New Roman" w:hAnsi="Times New Roman" w:cs="Times New Roman"/>
          <w:sz w:val="24"/>
          <w:lang w:val="en-GB"/>
        </w:rPr>
      </w:pPr>
      <w:r w:rsidRPr="007C4490">
        <w:rPr>
          <w:rFonts w:ascii="Times New Roman" w:hAnsi="Times New Roman" w:cs="Times New Roman"/>
          <w:sz w:val="24"/>
          <w:lang w:val="en-GB"/>
        </w:rPr>
        <w:t xml:space="preserve">Source: </w:t>
      </w:r>
      <w:proofErr w:type="spellStart"/>
      <w:r w:rsidRPr="007C4490">
        <w:rPr>
          <w:rFonts w:ascii="Times New Roman" w:hAnsi="Times New Roman" w:cs="Times New Roman"/>
          <w:sz w:val="24"/>
          <w:lang w:val="en-GB"/>
        </w:rPr>
        <w:t>Helman</w:t>
      </w:r>
      <w:proofErr w:type="spellEnd"/>
      <w:r w:rsidRPr="007C4490">
        <w:rPr>
          <w:rFonts w:ascii="Times New Roman" w:hAnsi="Times New Roman" w:cs="Times New Roman"/>
          <w:sz w:val="24"/>
          <w:lang w:val="en-GB"/>
        </w:rPr>
        <w:t xml:space="preserve"> </w:t>
      </w:r>
      <w:r w:rsidRPr="007C4490">
        <w:rPr>
          <w:rFonts w:ascii="Times New Roman" w:hAnsi="Times New Roman" w:cs="Times New Roman"/>
          <w:i/>
          <w:sz w:val="24"/>
          <w:lang w:val="en-GB"/>
        </w:rPr>
        <w:t>et al.</w:t>
      </w:r>
      <w:r w:rsidRPr="007C4490">
        <w:rPr>
          <w:rFonts w:ascii="Times New Roman" w:hAnsi="Times New Roman" w:cs="Times New Roman"/>
          <w:sz w:val="24"/>
          <w:lang w:val="en-GB"/>
        </w:rPr>
        <w:t xml:space="preserve"> (2014) </w:t>
      </w:r>
    </w:p>
    <w:p w14:paraId="587D14F0" w14:textId="77777777" w:rsidR="00A166E3" w:rsidRPr="007C4490" w:rsidRDefault="00A166E3">
      <w:pPr>
        <w:rPr>
          <w:rFonts w:ascii="Times New Roman" w:hAnsi="Times New Roman" w:cs="Times New Roman"/>
          <w:b/>
          <w:sz w:val="24"/>
          <w:szCs w:val="24"/>
          <w:lang w:val="en-GB"/>
        </w:rPr>
      </w:pPr>
      <w:r w:rsidRPr="007C4490">
        <w:rPr>
          <w:rFonts w:ascii="Times New Roman" w:hAnsi="Times New Roman" w:cs="Times New Roman"/>
          <w:b/>
          <w:sz w:val="24"/>
          <w:szCs w:val="24"/>
          <w:lang w:val="en-GB"/>
        </w:rPr>
        <w:br w:type="page"/>
      </w:r>
    </w:p>
    <w:p w14:paraId="51991015" w14:textId="77777777" w:rsidR="00A166E3" w:rsidRPr="007C4490" w:rsidRDefault="00A166E3" w:rsidP="00A166E3">
      <w:pPr>
        <w:spacing w:after="0" w:line="240" w:lineRule="auto"/>
        <w:jc w:val="both"/>
        <w:rPr>
          <w:rFonts w:ascii="Times New Roman" w:hAnsi="Times New Roman" w:cs="Times New Roman"/>
          <w:sz w:val="24"/>
          <w:lang w:val="en-GB"/>
        </w:rPr>
      </w:pPr>
      <w:r w:rsidRPr="007C4490">
        <w:rPr>
          <w:rFonts w:ascii="Times New Roman" w:hAnsi="Times New Roman" w:cs="Times New Roman"/>
          <w:sz w:val="24"/>
          <w:lang w:val="en-GB"/>
        </w:rPr>
        <w:lastRenderedPageBreak/>
        <w:t xml:space="preserve">Figure 3: Worker and Retiree Rationales for Staying in Paid Work </w:t>
      </w:r>
    </w:p>
    <w:p w14:paraId="780AC7BF" w14:textId="77777777" w:rsidR="00A166E3" w:rsidRPr="007C4490" w:rsidRDefault="00A166E3" w:rsidP="00A166E3">
      <w:pPr>
        <w:spacing w:after="0" w:line="240" w:lineRule="auto"/>
        <w:jc w:val="both"/>
        <w:rPr>
          <w:rFonts w:ascii="Times New Roman" w:hAnsi="Times New Roman" w:cs="Times New Roman"/>
          <w:sz w:val="24"/>
          <w:lang w:val="en-GB"/>
        </w:rPr>
      </w:pPr>
      <w:r w:rsidRPr="007C4490">
        <w:rPr>
          <w:rFonts w:ascii="Times New Roman" w:hAnsi="Times New Roman" w:cs="Times New Roman"/>
          <w:sz w:val="24"/>
          <w:lang w:val="en-GB"/>
        </w:rPr>
        <w:t>After Retirement, 2014</w:t>
      </w:r>
    </w:p>
    <w:p w14:paraId="509DED96" w14:textId="77777777" w:rsidR="00A166E3" w:rsidRPr="007C4490" w:rsidRDefault="00A166E3" w:rsidP="00A166E3">
      <w:pPr>
        <w:spacing w:after="0" w:line="480" w:lineRule="auto"/>
        <w:jc w:val="both"/>
        <w:rPr>
          <w:rFonts w:ascii="Times New Roman" w:hAnsi="Times New Roman" w:cs="Times New Roman"/>
          <w:b/>
          <w:sz w:val="24"/>
          <w:lang w:val="en-GB"/>
        </w:rPr>
      </w:pPr>
      <w:r w:rsidRPr="007C4490">
        <w:rPr>
          <w:rFonts w:ascii="Times New Roman" w:hAnsi="Times New Roman" w:cs="Times New Roman"/>
          <w:b/>
          <w:noProof/>
          <w:sz w:val="24"/>
          <w:lang w:val="en-GB" w:eastAsia="en-GB"/>
        </w:rPr>
        <w:drawing>
          <wp:inline distT="0" distB="0" distL="0" distR="0" wp14:anchorId="659D1A12" wp14:editId="56FE2198">
            <wp:extent cx="5943600" cy="2517434"/>
            <wp:effectExtent l="25400" t="0" r="0" b="0"/>
            <wp:docPr id="1"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B06F6E" w14:textId="77777777" w:rsidR="00A166E3" w:rsidRPr="007C4490" w:rsidRDefault="00A166E3" w:rsidP="00A166E3">
      <w:pPr>
        <w:spacing w:after="0" w:line="480" w:lineRule="auto"/>
        <w:jc w:val="both"/>
        <w:rPr>
          <w:rFonts w:ascii="Times New Roman" w:hAnsi="Times New Roman" w:cs="Times New Roman"/>
          <w:sz w:val="24"/>
          <w:lang w:val="en-GB"/>
        </w:rPr>
      </w:pPr>
      <w:r w:rsidRPr="007C4490">
        <w:rPr>
          <w:rFonts w:ascii="Times New Roman" w:hAnsi="Times New Roman" w:cs="Times New Roman"/>
          <w:sz w:val="24"/>
          <w:lang w:val="en-GB"/>
        </w:rPr>
        <w:t xml:space="preserve">Source: </w:t>
      </w:r>
      <w:proofErr w:type="spellStart"/>
      <w:r w:rsidRPr="007C4490">
        <w:rPr>
          <w:rFonts w:ascii="Times New Roman" w:hAnsi="Times New Roman" w:cs="Times New Roman"/>
          <w:sz w:val="24"/>
          <w:lang w:val="en-GB"/>
        </w:rPr>
        <w:t>Helman</w:t>
      </w:r>
      <w:proofErr w:type="spellEnd"/>
      <w:r w:rsidRPr="007C4490">
        <w:rPr>
          <w:rFonts w:ascii="Times New Roman" w:hAnsi="Times New Roman" w:cs="Times New Roman"/>
          <w:sz w:val="24"/>
          <w:lang w:val="en-GB"/>
        </w:rPr>
        <w:t xml:space="preserve"> </w:t>
      </w:r>
      <w:r w:rsidRPr="007C4490">
        <w:rPr>
          <w:rFonts w:ascii="Times New Roman" w:hAnsi="Times New Roman" w:cs="Times New Roman"/>
          <w:i/>
          <w:sz w:val="24"/>
          <w:lang w:val="en-GB"/>
        </w:rPr>
        <w:t>et al.</w:t>
      </w:r>
      <w:r w:rsidRPr="007C4490">
        <w:rPr>
          <w:rFonts w:ascii="Times New Roman" w:hAnsi="Times New Roman" w:cs="Times New Roman"/>
          <w:sz w:val="24"/>
          <w:lang w:val="en-GB"/>
        </w:rPr>
        <w:t xml:space="preserve"> (2014) </w:t>
      </w:r>
    </w:p>
    <w:p w14:paraId="6CAFA3ED" w14:textId="77777777" w:rsidR="008A053D" w:rsidRPr="007C4490" w:rsidRDefault="008A053D" w:rsidP="00282389">
      <w:pPr>
        <w:spacing w:after="0" w:line="240" w:lineRule="auto"/>
        <w:jc w:val="both"/>
        <w:rPr>
          <w:rFonts w:ascii="Times New Roman" w:hAnsi="Times New Roman" w:cs="Times New Roman"/>
          <w:b/>
          <w:sz w:val="24"/>
          <w:szCs w:val="24"/>
          <w:lang w:val="en-GB"/>
        </w:rPr>
      </w:pPr>
    </w:p>
    <w:sectPr w:rsidR="008A053D" w:rsidRPr="007C4490" w:rsidSect="00F7016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77B8" w14:textId="77777777" w:rsidR="00780273" w:rsidRDefault="00780273" w:rsidP="001A4D90">
      <w:pPr>
        <w:spacing w:after="0" w:line="240" w:lineRule="auto"/>
      </w:pPr>
      <w:r>
        <w:separator/>
      </w:r>
    </w:p>
  </w:endnote>
  <w:endnote w:type="continuationSeparator" w:id="0">
    <w:p w14:paraId="194B3D08" w14:textId="77777777" w:rsidR="00780273" w:rsidRDefault="00780273" w:rsidP="001A4D90">
      <w:pPr>
        <w:spacing w:after="0" w:line="240" w:lineRule="auto"/>
      </w:pPr>
      <w:r>
        <w:continuationSeparator/>
      </w:r>
    </w:p>
  </w:endnote>
  <w:endnote w:id="1">
    <w:p w14:paraId="559EF7F8" w14:textId="77777777" w:rsidR="00780273" w:rsidRPr="00F70167" w:rsidRDefault="00780273" w:rsidP="00F70167">
      <w:pPr>
        <w:pStyle w:val="EndnoteText"/>
        <w:spacing w:line="480" w:lineRule="auto"/>
        <w:contextualSpacing/>
        <w:rPr>
          <w:rFonts w:ascii="Times New Roman" w:hAnsi="Times New Roman" w:cs="Times New Roman"/>
          <w:sz w:val="24"/>
          <w:szCs w:val="24"/>
          <w:lang w:val="en-US"/>
        </w:rPr>
      </w:pPr>
      <w:r w:rsidRPr="00F70167">
        <w:rPr>
          <w:rStyle w:val="EndnoteReference"/>
          <w:rFonts w:ascii="Times New Roman" w:hAnsi="Times New Roman" w:cs="Times New Roman"/>
          <w:sz w:val="24"/>
          <w:szCs w:val="24"/>
          <w:vertAlign w:val="baseline"/>
        </w:rPr>
        <w:endnoteRef/>
      </w:r>
      <w:r w:rsidRPr="00F70167">
        <w:rPr>
          <w:rFonts w:ascii="Times New Roman" w:hAnsi="Times New Roman" w:cs="Times New Roman"/>
          <w:sz w:val="24"/>
          <w:szCs w:val="24"/>
        </w:rPr>
        <w:t xml:space="preserve"> Although the data cited here and that from the Census Bureau b</w:t>
      </w:r>
      <w:r>
        <w:rPr>
          <w:rFonts w:ascii="Times New Roman" w:hAnsi="Times New Roman" w:cs="Times New Roman"/>
          <w:sz w:val="24"/>
          <w:szCs w:val="24"/>
        </w:rPr>
        <w:t>elow are both from official US</w:t>
      </w:r>
      <w:r w:rsidRPr="00F70167">
        <w:rPr>
          <w:rFonts w:ascii="Times New Roman" w:hAnsi="Times New Roman" w:cs="Times New Roman"/>
          <w:sz w:val="24"/>
          <w:szCs w:val="24"/>
        </w:rPr>
        <w:t xml:space="preserve"> government sources</w:t>
      </w:r>
      <w:r>
        <w:rPr>
          <w:rFonts w:ascii="Times New Roman" w:hAnsi="Times New Roman" w:cs="Times New Roman"/>
          <w:sz w:val="24"/>
          <w:szCs w:val="24"/>
        </w:rPr>
        <w:t>,</w:t>
      </w:r>
      <w:r w:rsidRPr="00F70167">
        <w:rPr>
          <w:rFonts w:ascii="Times New Roman" w:hAnsi="Times New Roman" w:cs="Times New Roman"/>
          <w:sz w:val="24"/>
          <w:szCs w:val="24"/>
        </w:rPr>
        <w:t xml:space="preserve"> they do reflect different methods of data collection and so are not directly comparable.</w:t>
      </w:r>
    </w:p>
  </w:endnote>
  <w:endnote w:id="2">
    <w:p w14:paraId="4E9BC36E" w14:textId="77777777" w:rsidR="00780273" w:rsidRPr="00F70167" w:rsidRDefault="00780273" w:rsidP="006D1547">
      <w:pPr>
        <w:pStyle w:val="EndnoteText"/>
        <w:spacing w:line="480" w:lineRule="auto"/>
        <w:rPr>
          <w:rFonts w:ascii="Times New Roman" w:hAnsi="Times New Roman" w:cs="Times New Roman"/>
          <w:sz w:val="24"/>
          <w:szCs w:val="24"/>
          <w:lang w:val="en-US"/>
        </w:rPr>
      </w:pPr>
      <w:r w:rsidRPr="00F70167">
        <w:rPr>
          <w:rStyle w:val="EndnoteReference"/>
          <w:rFonts w:ascii="Times New Roman" w:hAnsi="Times New Roman" w:cs="Times New Roman"/>
          <w:sz w:val="24"/>
          <w:szCs w:val="24"/>
          <w:vertAlign w:val="baseline"/>
        </w:rPr>
        <w:endnoteRef/>
      </w:r>
      <w:r w:rsidRPr="00F70167">
        <w:rPr>
          <w:rFonts w:ascii="Times New Roman" w:hAnsi="Times New Roman" w:cs="Times New Roman"/>
          <w:sz w:val="24"/>
          <w:szCs w:val="24"/>
        </w:rPr>
        <w:t xml:space="preserve"> </w:t>
      </w:r>
      <w:r w:rsidRPr="00F70167">
        <w:rPr>
          <w:rFonts w:ascii="Times New Roman" w:hAnsi="Times New Roman" w:cs="Times New Roman"/>
          <w:sz w:val="24"/>
          <w:szCs w:val="24"/>
          <w:lang w:val="en-US"/>
        </w:rPr>
        <w:t xml:space="preserve">This number includes Washington </w:t>
      </w:r>
      <w:r>
        <w:rPr>
          <w:rFonts w:ascii="Times New Roman" w:hAnsi="Times New Roman" w:cs="Times New Roman"/>
          <w:sz w:val="24"/>
          <w:szCs w:val="24"/>
          <w:lang w:val="en-US"/>
        </w:rPr>
        <w:t>DC. It also includes seven</w:t>
      </w:r>
      <w:r w:rsidRPr="00F70167">
        <w:rPr>
          <w:rFonts w:ascii="Times New Roman" w:hAnsi="Times New Roman" w:cs="Times New Roman"/>
          <w:sz w:val="24"/>
          <w:szCs w:val="24"/>
          <w:lang w:val="en-US"/>
        </w:rPr>
        <w:t xml:space="preserve"> states operating a so-called ‘state-part</w:t>
      </w:r>
      <w:r>
        <w:rPr>
          <w:rFonts w:ascii="Times New Roman" w:hAnsi="Times New Roman" w:cs="Times New Roman"/>
          <w:sz w:val="24"/>
          <w:szCs w:val="24"/>
          <w:lang w:val="en-US"/>
        </w:rPr>
        <w:t>nership’ based marketplace and three</w:t>
      </w:r>
      <w:r w:rsidRPr="00F70167">
        <w:rPr>
          <w:rFonts w:ascii="Times New Roman" w:hAnsi="Times New Roman" w:cs="Times New Roman"/>
          <w:sz w:val="24"/>
          <w:szCs w:val="24"/>
          <w:lang w:val="en-US"/>
        </w:rPr>
        <w:t xml:space="preserve"> states with what were known as ‘federally-supported marketpl</w:t>
      </w:r>
      <w:r>
        <w:rPr>
          <w:rFonts w:ascii="Times New Roman" w:hAnsi="Times New Roman" w:cs="Times New Roman"/>
          <w:sz w:val="24"/>
          <w:szCs w:val="24"/>
          <w:lang w:val="en-US"/>
        </w:rPr>
        <w:t>aces’ (Kaiser Family Foundation</w:t>
      </w:r>
      <w:r w:rsidRPr="00F70167">
        <w:rPr>
          <w:rFonts w:ascii="Times New Roman" w:hAnsi="Times New Roman" w:cs="Times New Roman"/>
          <w:sz w:val="24"/>
          <w:szCs w:val="24"/>
          <w:lang w:val="en-US"/>
        </w:rPr>
        <w:t xml:space="preserv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903213"/>
      <w:docPartObj>
        <w:docPartGallery w:val="Page Numbers (Bottom of Page)"/>
        <w:docPartUnique/>
      </w:docPartObj>
    </w:sdtPr>
    <w:sdtEndPr>
      <w:rPr>
        <w:noProof/>
      </w:rPr>
    </w:sdtEndPr>
    <w:sdtContent>
      <w:p w14:paraId="6AA4518E" w14:textId="77777777" w:rsidR="00780273" w:rsidRPr="008A053D" w:rsidRDefault="00780273">
        <w:pPr>
          <w:pStyle w:val="Footer"/>
          <w:jc w:val="center"/>
          <w:rPr>
            <w:rFonts w:ascii="Times New Roman" w:hAnsi="Times New Roman" w:cs="Times New Roman"/>
            <w:sz w:val="24"/>
            <w:szCs w:val="24"/>
          </w:rPr>
        </w:pPr>
        <w:r>
          <w:fldChar w:fldCharType="begin"/>
        </w:r>
        <w:r>
          <w:instrText xml:space="preserve"> PAGE   \* MERGEFORMAT </w:instrText>
        </w:r>
        <w:r>
          <w:fldChar w:fldCharType="separate"/>
        </w:r>
        <w:r w:rsidR="0035185F" w:rsidRPr="0035185F">
          <w:rPr>
            <w:rFonts w:ascii="Times New Roman" w:hAnsi="Times New Roman" w:cs="Times New Roman"/>
            <w:noProof/>
            <w:sz w:val="24"/>
            <w:szCs w:val="24"/>
          </w:rPr>
          <w:t>8</w:t>
        </w:r>
        <w:r>
          <w:rPr>
            <w:rFonts w:ascii="Times New Roman" w:hAnsi="Times New Roman" w:cs="Times New Roman"/>
            <w:noProof/>
            <w:sz w:val="24"/>
            <w:szCs w:val="24"/>
          </w:rPr>
          <w:fldChar w:fldCharType="end"/>
        </w:r>
      </w:p>
    </w:sdtContent>
  </w:sdt>
  <w:p w14:paraId="3CD9AA99" w14:textId="77777777" w:rsidR="00780273" w:rsidRDefault="00780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BB283" w14:textId="77777777" w:rsidR="00780273" w:rsidRDefault="00780273" w:rsidP="001A4D90">
      <w:pPr>
        <w:spacing w:after="0" w:line="240" w:lineRule="auto"/>
      </w:pPr>
      <w:r>
        <w:separator/>
      </w:r>
    </w:p>
  </w:footnote>
  <w:footnote w:type="continuationSeparator" w:id="0">
    <w:p w14:paraId="70BCA5E0" w14:textId="77777777" w:rsidR="00780273" w:rsidRDefault="00780273" w:rsidP="001A4D9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and, Daniel">
    <w15:presenceInfo w15:providerId="AD" w15:userId="S-1-5-21-1060284298-436374069-1708537768-119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SG"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D8"/>
    <w:rsid w:val="00003F19"/>
    <w:rsid w:val="00013704"/>
    <w:rsid w:val="00015E73"/>
    <w:rsid w:val="000216D1"/>
    <w:rsid w:val="0002501E"/>
    <w:rsid w:val="00025CBC"/>
    <w:rsid w:val="000362CD"/>
    <w:rsid w:val="00043C0D"/>
    <w:rsid w:val="00045D11"/>
    <w:rsid w:val="00050FD9"/>
    <w:rsid w:val="00051DD5"/>
    <w:rsid w:val="0005398C"/>
    <w:rsid w:val="000560D5"/>
    <w:rsid w:val="00060B2E"/>
    <w:rsid w:val="00061F36"/>
    <w:rsid w:val="00065283"/>
    <w:rsid w:val="00065B77"/>
    <w:rsid w:val="00075609"/>
    <w:rsid w:val="00080594"/>
    <w:rsid w:val="000822E2"/>
    <w:rsid w:val="000909B8"/>
    <w:rsid w:val="000A3A53"/>
    <w:rsid w:val="000A7EE4"/>
    <w:rsid w:val="000B3E1D"/>
    <w:rsid w:val="000B47A6"/>
    <w:rsid w:val="000B62A8"/>
    <w:rsid w:val="000B7868"/>
    <w:rsid w:val="000C08A0"/>
    <w:rsid w:val="000E0DAC"/>
    <w:rsid w:val="000E6405"/>
    <w:rsid w:val="000F3432"/>
    <w:rsid w:val="00104722"/>
    <w:rsid w:val="00106B80"/>
    <w:rsid w:val="00106CFE"/>
    <w:rsid w:val="00110ADB"/>
    <w:rsid w:val="0011261D"/>
    <w:rsid w:val="00117892"/>
    <w:rsid w:val="00122072"/>
    <w:rsid w:val="0013395F"/>
    <w:rsid w:val="00136A29"/>
    <w:rsid w:val="00140746"/>
    <w:rsid w:val="00142576"/>
    <w:rsid w:val="00143789"/>
    <w:rsid w:val="0014381D"/>
    <w:rsid w:val="001526C0"/>
    <w:rsid w:val="001568BC"/>
    <w:rsid w:val="00160629"/>
    <w:rsid w:val="0016506A"/>
    <w:rsid w:val="001652EE"/>
    <w:rsid w:val="00181FFC"/>
    <w:rsid w:val="00187868"/>
    <w:rsid w:val="001929FB"/>
    <w:rsid w:val="00197592"/>
    <w:rsid w:val="001A415F"/>
    <w:rsid w:val="001A4D90"/>
    <w:rsid w:val="001B0288"/>
    <w:rsid w:val="001B0F28"/>
    <w:rsid w:val="001B7900"/>
    <w:rsid w:val="001C43C6"/>
    <w:rsid w:val="001C4B1D"/>
    <w:rsid w:val="001D17FE"/>
    <w:rsid w:val="001D3A88"/>
    <w:rsid w:val="001D5D08"/>
    <w:rsid w:val="001D7566"/>
    <w:rsid w:val="00201093"/>
    <w:rsid w:val="002026FC"/>
    <w:rsid w:val="00203E62"/>
    <w:rsid w:val="00220806"/>
    <w:rsid w:val="00221750"/>
    <w:rsid w:val="00223547"/>
    <w:rsid w:val="00231AD5"/>
    <w:rsid w:val="0023289E"/>
    <w:rsid w:val="002328B4"/>
    <w:rsid w:val="00233F70"/>
    <w:rsid w:val="00242E3F"/>
    <w:rsid w:val="00244691"/>
    <w:rsid w:val="00253896"/>
    <w:rsid w:val="00253FBB"/>
    <w:rsid w:val="002551A1"/>
    <w:rsid w:val="002571BA"/>
    <w:rsid w:val="00263067"/>
    <w:rsid w:val="002674C2"/>
    <w:rsid w:val="00270569"/>
    <w:rsid w:val="002733D2"/>
    <w:rsid w:val="00273740"/>
    <w:rsid w:val="00282389"/>
    <w:rsid w:val="00284298"/>
    <w:rsid w:val="00284D7C"/>
    <w:rsid w:val="00285650"/>
    <w:rsid w:val="00293669"/>
    <w:rsid w:val="002A7AAB"/>
    <w:rsid w:val="002B2227"/>
    <w:rsid w:val="002B5118"/>
    <w:rsid w:val="002C0343"/>
    <w:rsid w:val="002D6C8F"/>
    <w:rsid w:val="002D7049"/>
    <w:rsid w:val="002D7440"/>
    <w:rsid w:val="002E4EDB"/>
    <w:rsid w:val="002E608C"/>
    <w:rsid w:val="002F3745"/>
    <w:rsid w:val="002F381E"/>
    <w:rsid w:val="002F64E5"/>
    <w:rsid w:val="002F7C1D"/>
    <w:rsid w:val="00302498"/>
    <w:rsid w:val="00303EA9"/>
    <w:rsid w:val="0031260C"/>
    <w:rsid w:val="003154B4"/>
    <w:rsid w:val="0032417E"/>
    <w:rsid w:val="003249A7"/>
    <w:rsid w:val="00325D34"/>
    <w:rsid w:val="0032633B"/>
    <w:rsid w:val="00331128"/>
    <w:rsid w:val="003346A1"/>
    <w:rsid w:val="00342312"/>
    <w:rsid w:val="0034382A"/>
    <w:rsid w:val="003446E3"/>
    <w:rsid w:val="003452EF"/>
    <w:rsid w:val="0035185F"/>
    <w:rsid w:val="00353AF3"/>
    <w:rsid w:val="00353BB0"/>
    <w:rsid w:val="0035581A"/>
    <w:rsid w:val="00372FE8"/>
    <w:rsid w:val="00384265"/>
    <w:rsid w:val="003869F4"/>
    <w:rsid w:val="00387F02"/>
    <w:rsid w:val="00390397"/>
    <w:rsid w:val="003937AA"/>
    <w:rsid w:val="00395D27"/>
    <w:rsid w:val="003A7A72"/>
    <w:rsid w:val="003B2A77"/>
    <w:rsid w:val="003B2F1B"/>
    <w:rsid w:val="003B354E"/>
    <w:rsid w:val="003B3EB0"/>
    <w:rsid w:val="003B64B9"/>
    <w:rsid w:val="003B7B23"/>
    <w:rsid w:val="003C028F"/>
    <w:rsid w:val="003C17DA"/>
    <w:rsid w:val="003C2D76"/>
    <w:rsid w:val="003C6362"/>
    <w:rsid w:val="003D3AB3"/>
    <w:rsid w:val="003D512F"/>
    <w:rsid w:val="003D57AC"/>
    <w:rsid w:val="003D625B"/>
    <w:rsid w:val="003E49D6"/>
    <w:rsid w:val="0040058D"/>
    <w:rsid w:val="00401BD5"/>
    <w:rsid w:val="00413E94"/>
    <w:rsid w:val="00443373"/>
    <w:rsid w:val="004506CB"/>
    <w:rsid w:val="0045239A"/>
    <w:rsid w:val="004528CC"/>
    <w:rsid w:val="00453C69"/>
    <w:rsid w:val="0046497D"/>
    <w:rsid w:val="0047051C"/>
    <w:rsid w:val="004711E3"/>
    <w:rsid w:val="0048264A"/>
    <w:rsid w:val="00482B6D"/>
    <w:rsid w:val="004854CC"/>
    <w:rsid w:val="00491347"/>
    <w:rsid w:val="00495B06"/>
    <w:rsid w:val="004B241E"/>
    <w:rsid w:val="004B4824"/>
    <w:rsid w:val="004C5DA7"/>
    <w:rsid w:val="004D2E91"/>
    <w:rsid w:val="004D33CE"/>
    <w:rsid w:val="004F782C"/>
    <w:rsid w:val="004F7E5F"/>
    <w:rsid w:val="00500257"/>
    <w:rsid w:val="00512A9F"/>
    <w:rsid w:val="0051445B"/>
    <w:rsid w:val="00522759"/>
    <w:rsid w:val="005248E0"/>
    <w:rsid w:val="0052497C"/>
    <w:rsid w:val="005259F4"/>
    <w:rsid w:val="00530821"/>
    <w:rsid w:val="00531AEA"/>
    <w:rsid w:val="00540BD4"/>
    <w:rsid w:val="00547128"/>
    <w:rsid w:val="00547E75"/>
    <w:rsid w:val="00553A0A"/>
    <w:rsid w:val="00554308"/>
    <w:rsid w:val="00566E51"/>
    <w:rsid w:val="0056790C"/>
    <w:rsid w:val="00583726"/>
    <w:rsid w:val="005866CD"/>
    <w:rsid w:val="005A1251"/>
    <w:rsid w:val="005B4E2F"/>
    <w:rsid w:val="005B6A21"/>
    <w:rsid w:val="005B7055"/>
    <w:rsid w:val="005B736B"/>
    <w:rsid w:val="005D37BC"/>
    <w:rsid w:val="005D5C20"/>
    <w:rsid w:val="005E0F05"/>
    <w:rsid w:val="005E4A2C"/>
    <w:rsid w:val="005E557F"/>
    <w:rsid w:val="005F1497"/>
    <w:rsid w:val="005F64CE"/>
    <w:rsid w:val="00604E45"/>
    <w:rsid w:val="006063AE"/>
    <w:rsid w:val="006126B8"/>
    <w:rsid w:val="006130AC"/>
    <w:rsid w:val="00613332"/>
    <w:rsid w:val="00615254"/>
    <w:rsid w:val="00615F65"/>
    <w:rsid w:val="00620CCD"/>
    <w:rsid w:val="006218E5"/>
    <w:rsid w:val="006323D6"/>
    <w:rsid w:val="00635886"/>
    <w:rsid w:val="0064001F"/>
    <w:rsid w:val="006477F2"/>
    <w:rsid w:val="00653EE8"/>
    <w:rsid w:val="00664882"/>
    <w:rsid w:val="006823C4"/>
    <w:rsid w:val="006825BB"/>
    <w:rsid w:val="00687391"/>
    <w:rsid w:val="006926B0"/>
    <w:rsid w:val="0069376D"/>
    <w:rsid w:val="006A4FBF"/>
    <w:rsid w:val="006A529D"/>
    <w:rsid w:val="006A6124"/>
    <w:rsid w:val="006A793A"/>
    <w:rsid w:val="006B51E0"/>
    <w:rsid w:val="006C5910"/>
    <w:rsid w:val="006D1521"/>
    <w:rsid w:val="006D1547"/>
    <w:rsid w:val="006E7222"/>
    <w:rsid w:val="006F0335"/>
    <w:rsid w:val="006F44B4"/>
    <w:rsid w:val="006F4B1E"/>
    <w:rsid w:val="00702882"/>
    <w:rsid w:val="00706B11"/>
    <w:rsid w:val="00710787"/>
    <w:rsid w:val="00716EDD"/>
    <w:rsid w:val="0071744D"/>
    <w:rsid w:val="007179D8"/>
    <w:rsid w:val="007249AA"/>
    <w:rsid w:val="007273CA"/>
    <w:rsid w:val="00727820"/>
    <w:rsid w:val="00745134"/>
    <w:rsid w:val="0074593F"/>
    <w:rsid w:val="0075190B"/>
    <w:rsid w:val="00755F91"/>
    <w:rsid w:val="00756F5E"/>
    <w:rsid w:val="007628FC"/>
    <w:rsid w:val="0076666F"/>
    <w:rsid w:val="00767755"/>
    <w:rsid w:val="007703CF"/>
    <w:rsid w:val="00770B52"/>
    <w:rsid w:val="00770E81"/>
    <w:rsid w:val="007750DF"/>
    <w:rsid w:val="00777B55"/>
    <w:rsid w:val="00780273"/>
    <w:rsid w:val="007834D0"/>
    <w:rsid w:val="00784113"/>
    <w:rsid w:val="0078571A"/>
    <w:rsid w:val="00786E20"/>
    <w:rsid w:val="007879F0"/>
    <w:rsid w:val="0079329A"/>
    <w:rsid w:val="007A1594"/>
    <w:rsid w:val="007B1463"/>
    <w:rsid w:val="007B3437"/>
    <w:rsid w:val="007B3698"/>
    <w:rsid w:val="007B419E"/>
    <w:rsid w:val="007B6649"/>
    <w:rsid w:val="007C4490"/>
    <w:rsid w:val="007D7716"/>
    <w:rsid w:val="007E4034"/>
    <w:rsid w:val="007E5889"/>
    <w:rsid w:val="007E6768"/>
    <w:rsid w:val="007F2738"/>
    <w:rsid w:val="007F27B2"/>
    <w:rsid w:val="0080158C"/>
    <w:rsid w:val="00801D23"/>
    <w:rsid w:val="00803630"/>
    <w:rsid w:val="00815699"/>
    <w:rsid w:val="0082147C"/>
    <w:rsid w:val="00821A3C"/>
    <w:rsid w:val="00835ED5"/>
    <w:rsid w:val="00836B31"/>
    <w:rsid w:val="00842B3F"/>
    <w:rsid w:val="00845059"/>
    <w:rsid w:val="008457A8"/>
    <w:rsid w:val="00851875"/>
    <w:rsid w:val="0085290A"/>
    <w:rsid w:val="00853563"/>
    <w:rsid w:val="00853FD6"/>
    <w:rsid w:val="00863B4B"/>
    <w:rsid w:val="008647C4"/>
    <w:rsid w:val="00870CFE"/>
    <w:rsid w:val="00871051"/>
    <w:rsid w:val="00883FB2"/>
    <w:rsid w:val="00884D72"/>
    <w:rsid w:val="00884F7E"/>
    <w:rsid w:val="00890C73"/>
    <w:rsid w:val="00895FDF"/>
    <w:rsid w:val="008A053D"/>
    <w:rsid w:val="008A0C8B"/>
    <w:rsid w:val="008A1A7C"/>
    <w:rsid w:val="008B6B65"/>
    <w:rsid w:val="008B6C94"/>
    <w:rsid w:val="008C55C7"/>
    <w:rsid w:val="008C6651"/>
    <w:rsid w:val="008C7802"/>
    <w:rsid w:val="008C7DFC"/>
    <w:rsid w:val="008D1973"/>
    <w:rsid w:val="008D2578"/>
    <w:rsid w:val="008D7E5B"/>
    <w:rsid w:val="008F4A8A"/>
    <w:rsid w:val="008F5032"/>
    <w:rsid w:val="008F5DD3"/>
    <w:rsid w:val="008F78E1"/>
    <w:rsid w:val="00911DC7"/>
    <w:rsid w:val="0091244E"/>
    <w:rsid w:val="00913207"/>
    <w:rsid w:val="009240AF"/>
    <w:rsid w:val="00934141"/>
    <w:rsid w:val="00934EAD"/>
    <w:rsid w:val="00936942"/>
    <w:rsid w:val="0094356C"/>
    <w:rsid w:val="009444B8"/>
    <w:rsid w:val="009508B3"/>
    <w:rsid w:val="00962C83"/>
    <w:rsid w:val="009665A4"/>
    <w:rsid w:val="0097445C"/>
    <w:rsid w:val="00974B4D"/>
    <w:rsid w:val="009751F8"/>
    <w:rsid w:val="0097729F"/>
    <w:rsid w:val="00983F8C"/>
    <w:rsid w:val="00987F11"/>
    <w:rsid w:val="009951E7"/>
    <w:rsid w:val="009A0164"/>
    <w:rsid w:val="009A2FC9"/>
    <w:rsid w:val="009A3741"/>
    <w:rsid w:val="009A6CFE"/>
    <w:rsid w:val="009A741C"/>
    <w:rsid w:val="009B0768"/>
    <w:rsid w:val="009B21E5"/>
    <w:rsid w:val="009B63AF"/>
    <w:rsid w:val="009C2B2D"/>
    <w:rsid w:val="009C6D13"/>
    <w:rsid w:val="009D3F4F"/>
    <w:rsid w:val="009D49D2"/>
    <w:rsid w:val="009F313A"/>
    <w:rsid w:val="009F4632"/>
    <w:rsid w:val="009F692A"/>
    <w:rsid w:val="00A055A7"/>
    <w:rsid w:val="00A05AAF"/>
    <w:rsid w:val="00A16694"/>
    <w:rsid w:val="00A166E3"/>
    <w:rsid w:val="00A20425"/>
    <w:rsid w:val="00A21284"/>
    <w:rsid w:val="00A226D0"/>
    <w:rsid w:val="00A31199"/>
    <w:rsid w:val="00A357E3"/>
    <w:rsid w:val="00A3594F"/>
    <w:rsid w:val="00A521C7"/>
    <w:rsid w:val="00A539CA"/>
    <w:rsid w:val="00A55C93"/>
    <w:rsid w:val="00A62D4B"/>
    <w:rsid w:val="00A74B83"/>
    <w:rsid w:val="00A92940"/>
    <w:rsid w:val="00AA50D9"/>
    <w:rsid w:val="00AA7918"/>
    <w:rsid w:val="00AA7A21"/>
    <w:rsid w:val="00AC197E"/>
    <w:rsid w:val="00AC48AA"/>
    <w:rsid w:val="00AC6C3E"/>
    <w:rsid w:val="00AC6EB6"/>
    <w:rsid w:val="00AD6864"/>
    <w:rsid w:val="00AE1378"/>
    <w:rsid w:val="00B04B0F"/>
    <w:rsid w:val="00B115AD"/>
    <w:rsid w:val="00B36428"/>
    <w:rsid w:val="00B53A04"/>
    <w:rsid w:val="00B61A65"/>
    <w:rsid w:val="00B62402"/>
    <w:rsid w:val="00B719F8"/>
    <w:rsid w:val="00B74B36"/>
    <w:rsid w:val="00B75F80"/>
    <w:rsid w:val="00B77533"/>
    <w:rsid w:val="00B808DF"/>
    <w:rsid w:val="00B81E9C"/>
    <w:rsid w:val="00B8386F"/>
    <w:rsid w:val="00B90E5A"/>
    <w:rsid w:val="00B92320"/>
    <w:rsid w:val="00B94E6A"/>
    <w:rsid w:val="00B94E6D"/>
    <w:rsid w:val="00B97380"/>
    <w:rsid w:val="00BA1A5C"/>
    <w:rsid w:val="00BA28BD"/>
    <w:rsid w:val="00BC3214"/>
    <w:rsid w:val="00BC5A62"/>
    <w:rsid w:val="00BE2F2C"/>
    <w:rsid w:val="00BE4B49"/>
    <w:rsid w:val="00BF21A0"/>
    <w:rsid w:val="00C015F1"/>
    <w:rsid w:val="00C0430D"/>
    <w:rsid w:val="00C04B65"/>
    <w:rsid w:val="00C06772"/>
    <w:rsid w:val="00C1772E"/>
    <w:rsid w:val="00C22937"/>
    <w:rsid w:val="00C24444"/>
    <w:rsid w:val="00C35918"/>
    <w:rsid w:val="00C431AB"/>
    <w:rsid w:val="00C46723"/>
    <w:rsid w:val="00C4675C"/>
    <w:rsid w:val="00C46936"/>
    <w:rsid w:val="00C50F9B"/>
    <w:rsid w:val="00C54259"/>
    <w:rsid w:val="00C72C7B"/>
    <w:rsid w:val="00C74657"/>
    <w:rsid w:val="00C84F99"/>
    <w:rsid w:val="00C850FC"/>
    <w:rsid w:val="00C90D84"/>
    <w:rsid w:val="00C96A48"/>
    <w:rsid w:val="00CA14D5"/>
    <w:rsid w:val="00CA4965"/>
    <w:rsid w:val="00CB0236"/>
    <w:rsid w:val="00CB3E59"/>
    <w:rsid w:val="00CB5E99"/>
    <w:rsid w:val="00CB7E19"/>
    <w:rsid w:val="00CC5A16"/>
    <w:rsid w:val="00CC6870"/>
    <w:rsid w:val="00CC77E3"/>
    <w:rsid w:val="00CD02F8"/>
    <w:rsid w:val="00CD524D"/>
    <w:rsid w:val="00CD537B"/>
    <w:rsid w:val="00CD765B"/>
    <w:rsid w:val="00CE521E"/>
    <w:rsid w:val="00CE767D"/>
    <w:rsid w:val="00CF69F9"/>
    <w:rsid w:val="00CF6CB7"/>
    <w:rsid w:val="00D0381E"/>
    <w:rsid w:val="00D045BB"/>
    <w:rsid w:val="00D12692"/>
    <w:rsid w:val="00D15C99"/>
    <w:rsid w:val="00D23289"/>
    <w:rsid w:val="00D334A0"/>
    <w:rsid w:val="00D3646D"/>
    <w:rsid w:val="00D451CF"/>
    <w:rsid w:val="00D45F43"/>
    <w:rsid w:val="00D528D3"/>
    <w:rsid w:val="00D60623"/>
    <w:rsid w:val="00D64AD1"/>
    <w:rsid w:val="00D653F6"/>
    <w:rsid w:val="00D65E3F"/>
    <w:rsid w:val="00D67466"/>
    <w:rsid w:val="00D76AF7"/>
    <w:rsid w:val="00D80694"/>
    <w:rsid w:val="00D82CF8"/>
    <w:rsid w:val="00D83D82"/>
    <w:rsid w:val="00DA054E"/>
    <w:rsid w:val="00DA6C4C"/>
    <w:rsid w:val="00DC0316"/>
    <w:rsid w:val="00DC7E27"/>
    <w:rsid w:val="00DD61C2"/>
    <w:rsid w:val="00DF0DAE"/>
    <w:rsid w:val="00DF59D3"/>
    <w:rsid w:val="00DF72BC"/>
    <w:rsid w:val="00DF7463"/>
    <w:rsid w:val="00DF7CC8"/>
    <w:rsid w:val="00E00757"/>
    <w:rsid w:val="00E01EDE"/>
    <w:rsid w:val="00E063AD"/>
    <w:rsid w:val="00E119A7"/>
    <w:rsid w:val="00E124D9"/>
    <w:rsid w:val="00E1407C"/>
    <w:rsid w:val="00E14D0F"/>
    <w:rsid w:val="00E23EE0"/>
    <w:rsid w:val="00E252A5"/>
    <w:rsid w:val="00E318B6"/>
    <w:rsid w:val="00E31CF9"/>
    <w:rsid w:val="00E369AB"/>
    <w:rsid w:val="00E41AD7"/>
    <w:rsid w:val="00E43B23"/>
    <w:rsid w:val="00E46C65"/>
    <w:rsid w:val="00E47E23"/>
    <w:rsid w:val="00E5285C"/>
    <w:rsid w:val="00E542B5"/>
    <w:rsid w:val="00E6002F"/>
    <w:rsid w:val="00E60054"/>
    <w:rsid w:val="00E60AA1"/>
    <w:rsid w:val="00E62AD7"/>
    <w:rsid w:val="00E67F61"/>
    <w:rsid w:val="00E72AD7"/>
    <w:rsid w:val="00E7598A"/>
    <w:rsid w:val="00E76A3F"/>
    <w:rsid w:val="00E8709E"/>
    <w:rsid w:val="00E93494"/>
    <w:rsid w:val="00E947F2"/>
    <w:rsid w:val="00E9667B"/>
    <w:rsid w:val="00EA5E6E"/>
    <w:rsid w:val="00EA6261"/>
    <w:rsid w:val="00EB4222"/>
    <w:rsid w:val="00EC09B9"/>
    <w:rsid w:val="00EC0D65"/>
    <w:rsid w:val="00EE0DCD"/>
    <w:rsid w:val="00EE69F9"/>
    <w:rsid w:val="00EF3AE3"/>
    <w:rsid w:val="00EF5ABF"/>
    <w:rsid w:val="00EF7109"/>
    <w:rsid w:val="00F12D8B"/>
    <w:rsid w:val="00F173D7"/>
    <w:rsid w:val="00F254F3"/>
    <w:rsid w:val="00F310B3"/>
    <w:rsid w:val="00F333EF"/>
    <w:rsid w:val="00F33690"/>
    <w:rsid w:val="00F365DC"/>
    <w:rsid w:val="00F41555"/>
    <w:rsid w:val="00F4352B"/>
    <w:rsid w:val="00F4619B"/>
    <w:rsid w:val="00F47539"/>
    <w:rsid w:val="00F5157F"/>
    <w:rsid w:val="00F55293"/>
    <w:rsid w:val="00F555E1"/>
    <w:rsid w:val="00F6291F"/>
    <w:rsid w:val="00F6462A"/>
    <w:rsid w:val="00F67ACD"/>
    <w:rsid w:val="00F70167"/>
    <w:rsid w:val="00F76AAD"/>
    <w:rsid w:val="00F86B86"/>
    <w:rsid w:val="00F90771"/>
    <w:rsid w:val="00F95274"/>
    <w:rsid w:val="00F97307"/>
    <w:rsid w:val="00FA104F"/>
    <w:rsid w:val="00FA4A22"/>
    <w:rsid w:val="00FB2720"/>
    <w:rsid w:val="00FB2A5E"/>
    <w:rsid w:val="00FB6E8D"/>
    <w:rsid w:val="00FB76AB"/>
    <w:rsid w:val="00FC5236"/>
    <w:rsid w:val="00FC5716"/>
    <w:rsid w:val="00FC5E76"/>
    <w:rsid w:val="00FE281C"/>
    <w:rsid w:val="00FF0535"/>
    <w:rsid w:val="00FF3474"/>
    <w:rsid w:val="00FF5811"/>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D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6A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0601FF"/>
    <w:rPr>
      <w:rFonts w:ascii="Lucida Grande" w:hAnsi="Lucida Grande" w:cs="Lucida Grande"/>
      <w:sz w:val="18"/>
      <w:szCs w:val="18"/>
    </w:rPr>
  </w:style>
  <w:style w:type="character" w:customStyle="1" w:styleId="BalloonTextChar0">
    <w:name w:val="Balloon Text Char"/>
    <w:basedOn w:val="DefaultParagraphFont"/>
    <w:uiPriority w:val="99"/>
    <w:semiHidden/>
    <w:rsid w:val="00BD1102"/>
    <w:rPr>
      <w:rFonts w:ascii="Lucida Grande" w:hAnsi="Lucida Grande"/>
      <w:sz w:val="18"/>
      <w:szCs w:val="18"/>
    </w:rPr>
  </w:style>
  <w:style w:type="character" w:customStyle="1" w:styleId="BalloonTextChar2">
    <w:name w:val="Balloon Text Char"/>
    <w:basedOn w:val="DefaultParagraphFont"/>
    <w:uiPriority w:val="99"/>
    <w:semiHidden/>
    <w:rsid w:val="00BD1102"/>
    <w:rPr>
      <w:rFonts w:ascii="Lucida Grande" w:hAnsi="Lucida Grande"/>
      <w:sz w:val="18"/>
      <w:szCs w:val="18"/>
    </w:rPr>
  </w:style>
  <w:style w:type="paragraph" w:styleId="Header">
    <w:name w:val="header"/>
    <w:basedOn w:val="Normal"/>
    <w:link w:val="HeaderChar"/>
    <w:uiPriority w:val="99"/>
    <w:unhideWhenUsed/>
    <w:rsid w:val="001A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90"/>
  </w:style>
  <w:style w:type="paragraph" w:styleId="Footer">
    <w:name w:val="footer"/>
    <w:basedOn w:val="Normal"/>
    <w:link w:val="FooterChar"/>
    <w:uiPriority w:val="99"/>
    <w:unhideWhenUsed/>
    <w:rsid w:val="001A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90"/>
  </w:style>
  <w:style w:type="character" w:customStyle="1" w:styleId="BalloonTextChar1">
    <w:name w:val="Balloon Text Char1"/>
    <w:basedOn w:val="DefaultParagraphFont"/>
    <w:link w:val="BalloonText"/>
    <w:uiPriority w:val="99"/>
    <w:semiHidden/>
    <w:rsid w:val="00E76A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6A3F"/>
    <w:rPr>
      <w:sz w:val="18"/>
      <w:szCs w:val="18"/>
    </w:rPr>
  </w:style>
  <w:style w:type="paragraph" w:styleId="CommentText">
    <w:name w:val="annotation text"/>
    <w:basedOn w:val="Normal"/>
    <w:link w:val="CommentTextChar"/>
    <w:uiPriority w:val="99"/>
    <w:unhideWhenUsed/>
    <w:rsid w:val="00E76A3F"/>
    <w:pPr>
      <w:spacing w:line="240" w:lineRule="auto"/>
    </w:pPr>
    <w:rPr>
      <w:sz w:val="24"/>
      <w:szCs w:val="24"/>
    </w:rPr>
  </w:style>
  <w:style w:type="character" w:customStyle="1" w:styleId="CommentTextChar">
    <w:name w:val="Comment Text Char"/>
    <w:basedOn w:val="DefaultParagraphFont"/>
    <w:link w:val="CommentText"/>
    <w:uiPriority w:val="99"/>
    <w:rsid w:val="00E76A3F"/>
    <w:rPr>
      <w:sz w:val="24"/>
      <w:szCs w:val="24"/>
    </w:rPr>
  </w:style>
  <w:style w:type="paragraph" w:styleId="CommentSubject">
    <w:name w:val="annotation subject"/>
    <w:basedOn w:val="CommentText"/>
    <w:next w:val="CommentText"/>
    <w:link w:val="CommentSubjectChar"/>
    <w:uiPriority w:val="99"/>
    <w:semiHidden/>
    <w:unhideWhenUsed/>
    <w:rsid w:val="00E76A3F"/>
    <w:rPr>
      <w:b/>
      <w:bCs/>
      <w:sz w:val="20"/>
      <w:szCs w:val="20"/>
    </w:rPr>
  </w:style>
  <w:style w:type="character" w:customStyle="1" w:styleId="CommentSubjectChar">
    <w:name w:val="Comment Subject Char"/>
    <w:basedOn w:val="CommentTextChar"/>
    <w:link w:val="CommentSubject"/>
    <w:uiPriority w:val="99"/>
    <w:semiHidden/>
    <w:rsid w:val="00E76A3F"/>
    <w:rPr>
      <w:b/>
      <w:bCs/>
      <w:sz w:val="20"/>
      <w:szCs w:val="20"/>
    </w:rPr>
  </w:style>
  <w:style w:type="paragraph" w:styleId="FootnoteText">
    <w:name w:val="footnote text"/>
    <w:basedOn w:val="Normal"/>
    <w:link w:val="FootnoteTextChar"/>
    <w:uiPriority w:val="99"/>
    <w:unhideWhenUsed/>
    <w:rsid w:val="00962C83"/>
    <w:pPr>
      <w:spacing w:after="0" w:line="240" w:lineRule="auto"/>
    </w:pPr>
    <w:rPr>
      <w:sz w:val="20"/>
      <w:szCs w:val="20"/>
    </w:rPr>
  </w:style>
  <w:style w:type="character" w:customStyle="1" w:styleId="FootnoteTextChar">
    <w:name w:val="Footnote Text Char"/>
    <w:basedOn w:val="DefaultParagraphFont"/>
    <w:link w:val="FootnoteText"/>
    <w:uiPriority w:val="99"/>
    <w:rsid w:val="00962C83"/>
    <w:rPr>
      <w:sz w:val="20"/>
      <w:szCs w:val="20"/>
    </w:rPr>
  </w:style>
  <w:style w:type="character" w:styleId="FootnoteReference">
    <w:name w:val="footnote reference"/>
    <w:basedOn w:val="DefaultParagraphFont"/>
    <w:uiPriority w:val="99"/>
    <w:unhideWhenUsed/>
    <w:rsid w:val="00962C83"/>
    <w:rPr>
      <w:vertAlign w:val="superscript"/>
    </w:rPr>
  </w:style>
  <w:style w:type="character" w:styleId="Hyperlink">
    <w:name w:val="Hyperlink"/>
    <w:basedOn w:val="DefaultParagraphFont"/>
    <w:uiPriority w:val="99"/>
    <w:unhideWhenUsed/>
    <w:rsid w:val="00962C83"/>
    <w:rPr>
      <w:color w:val="0563C1" w:themeColor="hyperlink"/>
      <w:u w:val="single"/>
    </w:rPr>
  </w:style>
  <w:style w:type="paragraph" w:styleId="EndnoteText">
    <w:name w:val="endnote text"/>
    <w:basedOn w:val="Normal"/>
    <w:link w:val="EndnoteTextChar"/>
    <w:uiPriority w:val="99"/>
    <w:unhideWhenUsed/>
    <w:rsid w:val="00E1407C"/>
    <w:pPr>
      <w:spacing w:after="0" w:line="240" w:lineRule="auto"/>
    </w:pPr>
    <w:rPr>
      <w:sz w:val="20"/>
      <w:szCs w:val="20"/>
    </w:rPr>
  </w:style>
  <w:style w:type="character" w:customStyle="1" w:styleId="EndnoteTextChar">
    <w:name w:val="Endnote Text Char"/>
    <w:basedOn w:val="DefaultParagraphFont"/>
    <w:link w:val="EndnoteText"/>
    <w:uiPriority w:val="99"/>
    <w:rsid w:val="00E1407C"/>
    <w:rPr>
      <w:sz w:val="20"/>
      <w:szCs w:val="20"/>
    </w:rPr>
  </w:style>
  <w:style w:type="character" w:styleId="EndnoteReference">
    <w:name w:val="endnote reference"/>
    <w:basedOn w:val="DefaultParagraphFont"/>
    <w:uiPriority w:val="99"/>
    <w:unhideWhenUsed/>
    <w:rsid w:val="00E1407C"/>
    <w:rPr>
      <w:vertAlign w:val="superscript"/>
    </w:rPr>
  </w:style>
  <w:style w:type="paragraph" w:styleId="NormalWeb">
    <w:name w:val="Normal (Web)"/>
    <w:basedOn w:val="Normal"/>
    <w:uiPriority w:val="99"/>
    <w:unhideWhenUsed/>
    <w:rsid w:val="001652EE"/>
    <w:pPr>
      <w:spacing w:before="100" w:beforeAutospacing="1" w:after="100" w:afterAutospacing="1" w:line="240" w:lineRule="auto"/>
    </w:pPr>
    <w:rPr>
      <w:rFonts w:ascii="Times" w:hAnsi="Times" w:cs="Times New Roman"/>
      <w:sz w:val="20"/>
      <w:szCs w:val="20"/>
      <w:lang w:val="en-GB"/>
    </w:rPr>
  </w:style>
  <w:style w:type="paragraph" w:styleId="BodyTextIndent">
    <w:name w:val="Body Text Indent"/>
    <w:basedOn w:val="Normal"/>
    <w:link w:val="BodyTextIndentChar"/>
    <w:semiHidden/>
    <w:rsid w:val="00A31199"/>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A31199"/>
    <w:rPr>
      <w:rFonts w:ascii="Times New Roman" w:eastAsia="Times New Roman" w:hAnsi="Times New Roman" w:cs="Times New Roman"/>
      <w:sz w:val="24"/>
      <w:szCs w:val="24"/>
      <w:lang w:val="en-GB"/>
    </w:rPr>
  </w:style>
  <w:style w:type="character" w:styleId="Emphasis">
    <w:name w:val="Emphasis"/>
    <w:basedOn w:val="DefaultParagraphFont"/>
    <w:uiPriority w:val="20"/>
    <w:rsid w:val="005D5C20"/>
    <w:rPr>
      <w:i/>
    </w:rPr>
  </w:style>
  <w:style w:type="character" w:customStyle="1" w:styleId="st">
    <w:name w:val="st"/>
    <w:basedOn w:val="DefaultParagraphFont"/>
    <w:rsid w:val="00FC5716"/>
  </w:style>
  <w:style w:type="paragraph" w:styleId="Revision">
    <w:name w:val="Revision"/>
    <w:hidden/>
    <w:uiPriority w:val="99"/>
    <w:semiHidden/>
    <w:rsid w:val="006D1547"/>
    <w:pPr>
      <w:spacing w:after="0" w:line="240" w:lineRule="auto"/>
    </w:pPr>
  </w:style>
  <w:style w:type="character" w:styleId="FollowedHyperlink">
    <w:name w:val="FollowedHyperlink"/>
    <w:basedOn w:val="DefaultParagraphFont"/>
    <w:uiPriority w:val="99"/>
    <w:semiHidden/>
    <w:unhideWhenUsed/>
    <w:rsid w:val="004826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6A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0601FF"/>
    <w:rPr>
      <w:rFonts w:ascii="Lucida Grande" w:hAnsi="Lucida Grande" w:cs="Lucida Grande"/>
      <w:sz w:val="18"/>
      <w:szCs w:val="18"/>
    </w:rPr>
  </w:style>
  <w:style w:type="character" w:customStyle="1" w:styleId="BalloonTextChar0">
    <w:name w:val="Balloon Text Char"/>
    <w:basedOn w:val="DefaultParagraphFont"/>
    <w:uiPriority w:val="99"/>
    <w:semiHidden/>
    <w:rsid w:val="00BD1102"/>
    <w:rPr>
      <w:rFonts w:ascii="Lucida Grande" w:hAnsi="Lucida Grande"/>
      <w:sz w:val="18"/>
      <w:szCs w:val="18"/>
    </w:rPr>
  </w:style>
  <w:style w:type="character" w:customStyle="1" w:styleId="BalloonTextChar2">
    <w:name w:val="Balloon Text Char"/>
    <w:basedOn w:val="DefaultParagraphFont"/>
    <w:uiPriority w:val="99"/>
    <w:semiHidden/>
    <w:rsid w:val="00BD1102"/>
    <w:rPr>
      <w:rFonts w:ascii="Lucida Grande" w:hAnsi="Lucida Grande"/>
      <w:sz w:val="18"/>
      <w:szCs w:val="18"/>
    </w:rPr>
  </w:style>
  <w:style w:type="paragraph" w:styleId="Header">
    <w:name w:val="header"/>
    <w:basedOn w:val="Normal"/>
    <w:link w:val="HeaderChar"/>
    <w:uiPriority w:val="99"/>
    <w:unhideWhenUsed/>
    <w:rsid w:val="001A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90"/>
  </w:style>
  <w:style w:type="paragraph" w:styleId="Footer">
    <w:name w:val="footer"/>
    <w:basedOn w:val="Normal"/>
    <w:link w:val="FooterChar"/>
    <w:uiPriority w:val="99"/>
    <w:unhideWhenUsed/>
    <w:rsid w:val="001A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90"/>
  </w:style>
  <w:style w:type="character" w:customStyle="1" w:styleId="BalloonTextChar1">
    <w:name w:val="Balloon Text Char1"/>
    <w:basedOn w:val="DefaultParagraphFont"/>
    <w:link w:val="BalloonText"/>
    <w:uiPriority w:val="99"/>
    <w:semiHidden/>
    <w:rsid w:val="00E76A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6A3F"/>
    <w:rPr>
      <w:sz w:val="18"/>
      <w:szCs w:val="18"/>
    </w:rPr>
  </w:style>
  <w:style w:type="paragraph" w:styleId="CommentText">
    <w:name w:val="annotation text"/>
    <w:basedOn w:val="Normal"/>
    <w:link w:val="CommentTextChar"/>
    <w:uiPriority w:val="99"/>
    <w:unhideWhenUsed/>
    <w:rsid w:val="00E76A3F"/>
    <w:pPr>
      <w:spacing w:line="240" w:lineRule="auto"/>
    </w:pPr>
    <w:rPr>
      <w:sz w:val="24"/>
      <w:szCs w:val="24"/>
    </w:rPr>
  </w:style>
  <w:style w:type="character" w:customStyle="1" w:styleId="CommentTextChar">
    <w:name w:val="Comment Text Char"/>
    <w:basedOn w:val="DefaultParagraphFont"/>
    <w:link w:val="CommentText"/>
    <w:uiPriority w:val="99"/>
    <w:rsid w:val="00E76A3F"/>
    <w:rPr>
      <w:sz w:val="24"/>
      <w:szCs w:val="24"/>
    </w:rPr>
  </w:style>
  <w:style w:type="paragraph" w:styleId="CommentSubject">
    <w:name w:val="annotation subject"/>
    <w:basedOn w:val="CommentText"/>
    <w:next w:val="CommentText"/>
    <w:link w:val="CommentSubjectChar"/>
    <w:uiPriority w:val="99"/>
    <w:semiHidden/>
    <w:unhideWhenUsed/>
    <w:rsid w:val="00E76A3F"/>
    <w:rPr>
      <w:b/>
      <w:bCs/>
      <w:sz w:val="20"/>
      <w:szCs w:val="20"/>
    </w:rPr>
  </w:style>
  <w:style w:type="character" w:customStyle="1" w:styleId="CommentSubjectChar">
    <w:name w:val="Comment Subject Char"/>
    <w:basedOn w:val="CommentTextChar"/>
    <w:link w:val="CommentSubject"/>
    <w:uiPriority w:val="99"/>
    <w:semiHidden/>
    <w:rsid w:val="00E76A3F"/>
    <w:rPr>
      <w:b/>
      <w:bCs/>
      <w:sz w:val="20"/>
      <w:szCs w:val="20"/>
    </w:rPr>
  </w:style>
  <w:style w:type="paragraph" w:styleId="FootnoteText">
    <w:name w:val="footnote text"/>
    <w:basedOn w:val="Normal"/>
    <w:link w:val="FootnoteTextChar"/>
    <w:uiPriority w:val="99"/>
    <w:unhideWhenUsed/>
    <w:rsid w:val="00962C83"/>
    <w:pPr>
      <w:spacing w:after="0" w:line="240" w:lineRule="auto"/>
    </w:pPr>
    <w:rPr>
      <w:sz w:val="20"/>
      <w:szCs w:val="20"/>
    </w:rPr>
  </w:style>
  <w:style w:type="character" w:customStyle="1" w:styleId="FootnoteTextChar">
    <w:name w:val="Footnote Text Char"/>
    <w:basedOn w:val="DefaultParagraphFont"/>
    <w:link w:val="FootnoteText"/>
    <w:uiPriority w:val="99"/>
    <w:rsid w:val="00962C83"/>
    <w:rPr>
      <w:sz w:val="20"/>
      <w:szCs w:val="20"/>
    </w:rPr>
  </w:style>
  <w:style w:type="character" w:styleId="FootnoteReference">
    <w:name w:val="footnote reference"/>
    <w:basedOn w:val="DefaultParagraphFont"/>
    <w:uiPriority w:val="99"/>
    <w:unhideWhenUsed/>
    <w:rsid w:val="00962C83"/>
    <w:rPr>
      <w:vertAlign w:val="superscript"/>
    </w:rPr>
  </w:style>
  <w:style w:type="character" w:styleId="Hyperlink">
    <w:name w:val="Hyperlink"/>
    <w:basedOn w:val="DefaultParagraphFont"/>
    <w:uiPriority w:val="99"/>
    <w:unhideWhenUsed/>
    <w:rsid w:val="00962C83"/>
    <w:rPr>
      <w:color w:val="0563C1" w:themeColor="hyperlink"/>
      <w:u w:val="single"/>
    </w:rPr>
  </w:style>
  <w:style w:type="paragraph" w:styleId="EndnoteText">
    <w:name w:val="endnote text"/>
    <w:basedOn w:val="Normal"/>
    <w:link w:val="EndnoteTextChar"/>
    <w:uiPriority w:val="99"/>
    <w:unhideWhenUsed/>
    <w:rsid w:val="00E1407C"/>
    <w:pPr>
      <w:spacing w:after="0" w:line="240" w:lineRule="auto"/>
    </w:pPr>
    <w:rPr>
      <w:sz w:val="20"/>
      <w:szCs w:val="20"/>
    </w:rPr>
  </w:style>
  <w:style w:type="character" w:customStyle="1" w:styleId="EndnoteTextChar">
    <w:name w:val="Endnote Text Char"/>
    <w:basedOn w:val="DefaultParagraphFont"/>
    <w:link w:val="EndnoteText"/>
    <w:uiPriority w:val="99"/>
    <w:rsid w:val="00E1407C"/>
    <w:rPr>
      <w:sz w:val="20"/>
      <w:szCs w:val="20"/>
    </w:rPr>
  </w:style>
  <w:style w:type="character" w:styleId="EndnoteReference">
    <w:name w:val="endnote reference"/>
    <w:basedOn w:val="DefaultParagraphFont"/>
    <w:uiPriority w:val="99"/>
    <w:unhideWhenUsed/>
    <w:rsid w:val="00E1407C"/>
    <w:rPr>
      <w:vertAlign w:val="superscript"/>
    </w:rPr>
  </w:style>
  <w:style w:type="paragraph" w:styleId="NormalWeb">
    <w:name w:val="Normal (Web)"/>
    <w:basedOn w:val="Normal"/>
    <w:uiPriority w:val="99"/>
    <w:unhideWhenUsed/>
    <w:rsid w:val="001652EE"/>
    <w:pPr>
      <w:spacing w:before="100" w:beforeAutospacing="1" w:after="100" w:afterAutospacing="1" w:line="240" w:lineRule="auto"/>
    </w:pPr>
    <w:rPr>
      <w:rFonts w:ascii="Times" w:hAnsi="Times" w:cs="Times New Roman"/>
      <w:sz w:val="20"/>
      <w:szCs w:val="20"/>
      <w:lang w:val="en-GB"/>
    </w:rPr>
  </w:style>
  <w:style w:type="paragraph" w:styleId="BodyTextIndent">
    <w:name w:val="Body Text Indent"/>
    <w:basedOn w:val="Normal"/>
    <w:link w:val="BodyTextIndentChar"/>
    <w:semiHidden/>
    <w:rsid w:val="00A31199"/>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A31199"/>
    <w:rPr>
      <w:rFonts w:ascii="Times New Roman" w:eastAsia="Times New Roman" w:hAnsi="Times New Roman" w:cs="Times New Roman"/>
      <w:sz w:val="24"/>
      <w:szCs w:val="24"/>
      <w:lang w:val="en-GB"/>
    </w:rPr>
  </w:style>
  <w:style w:type="character" w:styleId="Emphasis">
    <w:name w:val="Emphasis"/>
    <w:basedOn w:val="DefaultParagraphFont"/>
    <w:uiPriority w:val="20"/>
    <w:rsid w:val="005D5C20"/>
    <w:rPr>
      <w:i/>
    </w:rPr>
  </w:style>
  <w:style w:type="character" w:customStyle="1" w:styleId="st">
    <w:name w:val="st"/>
    <w:basedOn w:val="DefaultParagraphFont"/>
    <w:rsid w:val="00FC5716"/>
  </w:style>
  <w:style w:type="paragraph" w:styleId="Revision">
    <w:name w:val="Revision"/>
    <w:hidden/>
    <w:uiPriority w:val="99"/>
    <w:semiHidden/>
    <w:rsid w:val="006D1547"/>
    <w:pPr>
      <w:spacing w:after="0" w:line="240" w:lineRule="auto"/>
    </w:pPr>
  </w:style>
  <w:style w:type="character" w:styleId="FollowedHyperlink">
    <w:name w:val="FollowedHyperlink"/>
    <w:basedOn w:val="DefaultParagraphFont"/>
    <w:uiPriority w:val="99"/>
    <w:semiHidden/>
    <w:unhideWhenUsed/>
    <w:rsid w:val="00482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303">
      <w:bodyDiv w:val="1"/>
      <w:marLeft w:val="0"/>
      <w:marRight w:val="0"/>
      <w:marTop w:val="0"/>
      <w:marBottom w:val="0"/>
      <w:divBdr>
        <w:top w:val="none" w:sz="0" w:space="0" w:color="auto"/>
        <w:left w:val="none" w:sz="0" w:space="0" w:color="auto"/>
        <w:bottom w:val="none" w:sz="0" w:space="0" w:color="auto"/>
        <w:right w:val="none" w:sz="0" w:space="0" w:color="auto"/>
      </w:divBdr>
      <w:divsChild>
        <w:div w:id="453450694">
          <w:marLeft w:val="0"/>
          <w:marRight w:val="0"/>
          <w:marTop w:val="0"/>
          <w:marBottom w:val="0"/>
          <w:divBdr>
            <w:top w:val="none" w:sz="0" w:space="0" w:color="auto"/>
            <w:left w:val="none" w:sz="0" w:space="0" w:color="auto"/>
            <w:bottom w:val="none" w:sz="0" w:space="0" w:color="auto"/>
            <w:right w:val="none" w:sz="0" w:space="0" w:color="auto"/>
          </w:divBdr>
          <w:divsChild>
            <w:div w:id="1432583758">
              <w:marLeft w:val="0"/>
              <w:marRight w:val="0"/>
              <w:marTop w:val="0"/>
              <w:marBottom w:val="0"/>
              <w:divBdr>
                <w:top w:val="none" w:sz="0" w:space="0" w:color="auto"/>
                <w:left w:val="none" w:sz="0" w:space="0" w:color="auto"/>
                <w:bottom w:val="none" w:sz="0" w:space="0" w:color="auto"/>
                <w:right w:val="none" w:sz="0" w:space="0" w:color="auto"/>
              </w:divBdr>
              <w:divsChild>
                <w:div w:id="18730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5053">
      <w:bodyDiv w:val="1"/>
      <w:marLeft w:val="0"/>
      <w:marRight w:val="0"/>
      <w:marTop w:val="0"/>
      <w:marBottom w:val="0"/>
      <w:divBdr>
        <w:top w:val="none" w:sz="0" w:space="0" w:color="auto"/>
        <w:left w:val="none" w:sz="0" w:space="0" w:color="auto"/>
        <w:bottom w:val="none" w:sz="0" w:space="0" w:color="auto"/>
        <w:right w:val="none" w:sz="0" w:space="0" w:color="auto"/>
      </w:divBdr>
      <w:divsChild>
        <w:div w:id="889656612">
          <w:marLeft w:val="0"/>
          <w:marRight w:val="0"/>
          <w:marTop w:val="0"/>
          <w:marBottom w:val="0"/>
          <w:divBdr>
            <w:top w:val="none" w:sz="0" w:space="0" w:color="auto"/>
            <w:left w:val="none" w:sz="0" w:space="0" w:color="auto"/>
            <w:bottom w:val="none" w:sz="0" w:space="0" w:color="auto"/>
            <w:right w:val="none" w:sz="0" w:space="0" w:color="auto"/>
          </w:divBdr>
          <w:divsChild>
            <w:div w:id="1381637874">
              <w:marLeft w:val="0"/>
              <w:marRight w:val="0"/>
              <w:marTop w:val="0"/>
              <w:marBottom w:val="0"/>
              <w:divBdr>
                <w:top w:val="none" w:sz="0" w:space="0" w:color="auto"/>
                <w:left w:val="none" w:sz="0" w:space="0" w:color="auto"/>
                <w:bottom w:val="none" w:sz="0" w:space="0" w:color="auto"/>
                <w:right w:val="none" w:sz="0" w:space="0" w:color="auto"/>
              </w:divBdr>
              <w:divsChild>
                <w:div w:id="677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142">
      <w:bodyDiv w:val="1"/>
      <w:marLeft w:val="0"/>
      <w:marRight w:val="0"/>
      <w:marTop w:val="0"/>
      <w:marBottom w:val="0"/>
      <w:divBdr>
        <w:top w:val="none" w:sz="0" w:space="0" w:color="auto"/>
        <w:left w:val="none" w:sz="0" w:space="0" w:color="auto"/>
        <w:bottom w:val="none" w:sz="0" w:space="0" w:color="auto"/>
        <w:right w:val="none" w:sz="0" w:space="0" w:color="auto"/>
      </w:divBdr>
      <w:divsChild>
        <w:div w:id="206065130">
          <w:marLeft w:val="0"/>
          <w:marRight w:val="0"/>
          <w:marTop w:val="0"/>
          <w:marBottom w:val="0"/>
          <w:divBdr>
            <w:top w:val="none" w:sz="0" w:space="0" w:color="auto"/>
            <w:left w:val="none" w:sz="0" w:space="0" w:color="auto"/>
            <w:bottom w:val="none" w:sz="0" w:space="0" w:color="auto"/>
            <w:right w:val="none" w:sz="0" w:space="0" w:color="auto"/>
          </w:divBdr>
          <w:divsChild>
            <w:div w:id="20706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57">
      <w:bodyDiv w:val="1"/>
      <w:marLeft w:val="0"/>
      <w:marRight w:val="0"/>
      <w:marTop w:val="0"/>
      <w:marBottom w:val="0"/>
      <w:divBdr>
        <w:top w:val="none" w:sz="0" w:space="0" w:color="auto"/>
        <w:left w:val="none" w:sz="0" w:space="0" w:color="auto"/>
        <w:bottom w:val="none" w:sz="0" w:space="0" w:color="auto"/>
        <w:right w:val="none" w:sz="0" w:space="0" w:color="auto"/>
      </w:divBdr>
    </w:div>
    <w:div w:id="999965435">
      <w:bodyDiv w:val="1"/>
      <w:marLeft w:val="0"/>
      <w:marRight w:val="0"/>
      <w:marTop w:val="0"/>
      <w:marBottom w:val="0"/>
      <w:divBdr>
        <w:top w:val="none" w:sz="0" w:space="0" w:color="auto"/>
        <w:left w:val="none" w:sz="0" w:space="0" w:color="auto"/>
        <w:bottom w:val="none" w:sz="0" w:space="0" w:color="auto"/>
        <w:right w:val="none" w:sz="0" w:space="0" w:color="auto"/>
      </w:divBdr>
      <w:divsChild>
        <w:div w:id="1937057643">
          <w:marLeft w:val="0"/>
          <w:marRight w:val="0"/>
          <w:marTop w:val="0"/>
          <w:marBottom w:val="0"/>
          <w:divBdr>
            <w:top w:val="none" w:sz="0" w:space="0" w:color="auto"/>
            <w:left w:val="none" w:sz="0" w:space="0" w:color="auto"/>
            <w:bottom w:val="none" w:sz="0" w:space="0" w:color="auto"/>
            <w:right w:val="none" w:sz="0" w:space="0" w:color="auto"/>
          </w:divBdr>
          <w:divsChild>
            <w:div w:id="1518076447">
              <w:marLeft w:val="0"/>
              <w:marRight w:val="0"/>
              <w:marTop w:val="0"/>
              <w:marBottom w:val="0"/>
              <w:divBdr>
                <w:top w:val="none" w:sz="0" w:space="0" w:color="auto"/>
                <w:left w:val="none" w:sz="0" w:space="0" w:color="auto"/>
                <w:bottom w:val="none" w:sz="0" w:space="0" w:color="auto"/>
                <w:right w:val="none" w:sz="0" w:space="0" w:color="auto"/>
              </w:divBdr>
              <w:divsChild>
                <w:div w:id="1211652241">
                  <w:marLeft w:val="0"/>
                  <w:marRight w:val="0"/>
                  <w:marTop w:val="0"/>
                  <w:marBottom w:val="0"/>
                  <w:divBdr>
                    <w:top w:val="none" w:sz="0" w:space="0" w:color="auto"/>
                    <w:left w:val="none" w:sz="0" w:space="0" w:color="auto"/>
                    <w:bottom w:val="none" w:sz="0" w:space="0" w:color="auto"/>
                    <w:right w:val="none" w:sz="0" w:space="0" w:color="auto"/>
                  </w:divBdr>
                  <w:divsChild>
                    <w:div w:id="21350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7812">
      <w:bodyDiv w:val="1"/>
      <w:marLeft w:val="0"/>
      <w:marRight w:val="0"/>
      <w:marTop w:val="0"/>
      <w:marBottom w:val="0"/>
      <w:divBdr>
        <w:top w:val="none" w:sz="0" w:space="0" w:color="auto"/>
        <w:left w:val="none" w:sz="0" w:space="0" w:color="auto"/>
        <w:bottom w:val="none" w:sz="0" w:space="0" w:color="auto"/>
        <w:right w:val="none" w:sz="0" w:space="0" w:color="auto"/>
      </w:divBdr>
    </w:div>
    <w:div w:id="1175607383">
      <w:bodyDiv w:val="1"/>
      <w:marLeft w:val="0"/>
      <w:marRight w:val="0"/>
      <w:marTop w:val="0"/>
      <w:marBottom w:val="0"/>
      <w:divBdr>
        <w:top w:val="none" w:sz="0" w:space="0" w:color="auto"/>
        <w:left w:val="none" w:sz="0" w:space="0" w:color="auto"/>
        <w:bottom w:val="none" w:sz="0" w:space="0" w:color="auto"/>
        <w:right w:val="none" w:sz="0" w:space="0" w:color="auto"/>
      </w:divBdr>
      <w:divsChild>
        <w:div w:id="302732526">
          <w:marLeft w:val="0"/>
          <w:marRight w:val="1"/>
          <w:marTop w:val="0"/>
          <w:marBottom w:val="0"/>
          <w:divBdr>
            <w:top w:val="none" w:sz="0" w:space="0" w:color="auto"/>
            <w:left w:val="none" w:sz="0" w:space="0" w:color="auto"/>
            <w:bottom w:val="none" w:sz="0" w:space="0" w:color="auto"/>
            <w:right w:val="none" w:sz="0" w:space="0" w:color="auto"/>
          </w:divBdr>
          <w:divsChild>
            <w:div w:id="1389525765">
              <w:marLeft w:val="0"/>
              <w:marRight w:val="0"/>
              <w:marTop w:val="0"/>
              <w:marBottom w:val="0"/>
              <w:divBdr>
                <w:top w:val="none" w:sz="0" w:space="0" w:color="auto"/>
                <w:left w:val="none" w:sz="0" w:space="0" w:color="auto"/>
                <w:bottom w:val="none" w:sz="0" w:space="0" w:color="auto"/>
                <w:right w:val="none" w:sz="0" w:space="0" w:color="auto"/>
              </w:divBdr>
              <w:divsChild>
                <w:div w:id="709765068">
                  <w:marLeft w:val="0"/>
                  <w:marRight w:val="1"/>
                  <w:marTop w:val="0"/>
                  <w:marBottom w:val="0"/>
                  <w:divBdr>
                    <w:top w:val="none" w:sz="0" w:space="0" w:color="auto"/>
                    <w:left w:val="none" w:sz="0" w:space="0" w:color="auto"/>
                    <w:bottom w:val="none" w:sz="0" w:space="0" w:color="auto"/>
                    <w:right w:val="none" w:sz="0" w:space="0" w:color="auto"/>
                  </w:divBdr>
                  <w:divsChild>
                    <w:div w:id="1235821338">
                      <w:marLeft w:val="0"/>
                      <w:marRight w:val="0"/>
                      <w:marTop w:val="0"/>
                      <w:marBottom w:val="0"/>
                      <w:divBdr>
                        <w:top w:val="none" w:sz="0" w:space="0" w:color="auto"/>
                        <w:left w:val="none" w:sz="0" w:space="0" w:color="auto"/>
                        <w:bottom w:val="none" w:sz="0" w:space="0" w:color="auto"/>
                        <w:right w:val="none" w:sz="0" w:space="0" w:color="auto"/>
                      </w:divBdr>
                      <w:divsChild>
                        <w:div w:id="768157996">
                          <w:marLeft w:val="0"/>
                          <w:marRight w:val="0"/>
                          <w:marTop w:val="0"/>
                          <w:marBottom w:val="0"/>
                          <w:divBdr>
                            <w:top w:val="none" w:sz="0" w:space="0" w:color="auto"/>
                            <w:left w:val="none" w:sz="0" w:space="0" w:color="auto"/>
                            <w:bottom w:val="none" w:sz="0" w:space="0" w:color="auto"/>
                            <w:right w:val="none" w:sz="0" w:space="0" w:color="auto"/>
                          </w:divBdr>
                          <w:divsChild>
                            <w:div w:id="282932315">
                              <w:marLeft w:val="0"/>
                              <w:marRight w:val="0"/>
                              <w:marTop w:val="0"/>
                              <w:marBottom w:val="0"/>
                              <w:divBdr>
                                <w:top w:val="none" w:sz="0" w:space="0" w:color="auto"/>
                                <w:left w:val="none" w:sz="0" w:space="0" w:color="auto"/>
                                <w:bottom w:val="none" w:sz="0" w:space="0" w:color="auto"/>
                                <w:right w:val="none" w:sz="0" w:space="0" w:color="auto"/>
                              </w:divBdr>
                            </w:div>
                          </w:divsChild>
                        </w:div>
                        <w:div w:id="525143747">
                          <w:marLeft w:val="0"/>
                          <w:marRight w:val="0"/>
                          <w:marTop w:val="0"/>
                          <w:marBottom w:val="0"/>
                          <w:divBdr>
                            <w:top w:val="none" w:sz="0" w:space="0" w:color="auto"/>
                            <w:left w:val="none" w:sz="0" w:space="0" w:color="auto"/>
                            <w:bottom w:val="none" w:sz="0" w:space="0" w:color="auto"/>
                            <w:right w:val="none" w:sz="0" w:space="0" w:color="auto"/>
                          </w:divBdr>
                          <w:divsChild>
                            <w:div w:id="1163273853">
                              <w:marLeft w:val="0"/>
                              <w:marRight w:val="0"/>
                              <w:marTop w:val="120"/>
                              <w:marBottom w:val="360"/>
                              <w:divBdr>
                                <w:top w:val="none" w:sz="0" w:space="0" w:color="auto"/>
                                <w:left w:val="none" w:sz="0" w:space="0" w:color="auto"/>
                                <w:bottom w:val="none" w:sz="0" w:space="0" w:color="auto"/>
                                <w:right w:val="none" w:sz="0" w:space="0" w:color="auto"/>
                              </w:divBdr>
                              <w:divsChild>
                                <w:div w:id="1577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5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363">
          <w:marLeft w:val="0"/>
          <w:marRight w:val="0"/>
          <w:marTop w:val="0"/>
          <w:marBottom w:val="0"/>
          <w:divBdr>
            <w:top w:val="none" w:sz="0" w:space="0" w:color="auto"/>
            <w:left w:val="none" w:sz="0" w:space="0" w:color="auto"/>
            <w:bottom w:val="none" w:sz="0" w:space="0" w:color="auto"/>
            <w:right w:val="none" w:sz="0" w:space="0" w:color="auto"/>
          </w:divBdr>
          <w:divsChild>
            <w:div w:id="1044863285">
              <w:marLeft w:val="0"/>
              <w:marRight w:val="0"/>
              <w:marTop w:val="0"/>
              <w:marBottom w:val="0"/>
              <w:divBdr>
                <w:top w:val="none" w:sz="0" w:space="0" w:color="auto"/>
                <w:left w:val="none" w:sz="0" w:space="0" w:color="auto"/>
                <w:bottom w:val="none" w:sz="0" w:space="0" w:color="auto"/>
                <w:right w:val="none" w:sz="0" w:space="0" w:color="auto"/>
              </w:divBdr>
              <w:divsChild>
                <w:div w:id="1049038874">
                  <w:marLeft w:val="0"/>
                  <w:marRight w:val="0"/>
                  <w:marTop w:val="0"/>
                  <w:marBottom w:val="0"/>
                  <w:divBdr>
                    <w:top w:val="none" w:sz="0" w:space="0" w:color="auto"/>
                    <w:left w:val="none" w:sz="0" w:space="0" w:color="auto"/>
                    <w:bottom w:val="none" w:sz="0" w:space="0" w:color="auto"/>
                    <w:right w:val="none" w:sz="0" w:space="0" w:color="auto"/>
                  </w:divBdr>
                  <w:divsChild>
                    <w:div w:id="891426035">
                      <w:marLeft w:val="0"/>
                      <w:marRight w:val="0"/>
                      <w:marTop w:val="0"/>
                      <w:marBottom w:val="0"/>
                      <w:divBdr>
                        <w:top w:val="none" w:sz="0" w:space="0" w:color="auto"/>
                        <w:left w:val="none" w:sz="0" w:space="0" w:color="auto"/>
                        <w:bottom w:val="none" w:sz="0" w:space="0" w:color="auto"/>
                        <w:right w:val="none" w:sz="0" w:space="0" w:color="auto"/>
                      </w:divBdr>
                      <w:divsChild>
                        <w:div w:id="767119213">
                          <w:marLeft w:val="0"/>
                          <w:marRight w:val="0"/>
                          <w:marTop w:val="0"/>
                          <w:marBottom w:val="0"/>
                          <w:divBdr>
                            <w:top w:val="none" w:sz="0" w:space="0" w:color="auto"/>
                            <w:left w:val="none" w:sz="0" w:space="0" w:color="auto"/>
                            <w:bottom w:val="none" w:sz="0" w:space="0" w:color="auto"/>
                            <w:right w:val="none" w:sz="0" w:space="0" w:color="auto"/>
                          </w:divBdr>
                          <w:divsChild>
                            <w:div w:id="1297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ncbi.nlm.nih.gov/pubmed/2450818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hiliprocco:Downloads:drif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philiprocco:Downloads:drif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hiliprocco:Downloads:dri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13168724279802E-2"/>
          <c:y val="4.6733927392805498E-2"/>
          <c:w val="0.92827748383303899"/>
          <c:h val="0.84067979297907203"/>
        </c:manualLayout>
      </c:layout>
      <c:lineChart>
        <c:grouping val="standard"/>
        <c:varyColors val="0"/>
        <c:ser>
          <c:idx val="0"/>
          <c:order val="0"/>
          <c:tx>
            <c:v>% Private</c:v>
          </c:tx>
          <c:spPr>
            <a:ln w="28575" cap="rnd">
              <a:solidFill>
                <a:schemeClr val="bg1">
                  <a:lumMod val="50000"/>
                </a:schemeClr>
              </a:solidFill>
              <a:round/>
            </a:ln>
            <a:effectLst/>
          </c:spPr>
          <c:marker>
            <c:symbol val="none"/>
          </c:marker>
          <c:cat>
            <c:numRef>
              <c:f>Sheet1!$A$30:$A$37</c:f>
              <c:numCache>
                <c:formatCode>General</c:formatCode>
                <c:ptCount val="8"/>
                <c:pt idx="0">
                  <c:v>2000</c:v>
                </c:pt>
                <c:pt idx="1">
                  <c:v>2002</c:v>
                </c:pt>
                <c:pt idx="2">
                  <c:v>2004</c:v>
                </c:pt>
                <c:pt idx="3">
                  <c:v>2006</c:v>
                </c:pt>
                <c:pt idx="4">
                  <c:v>2008</c:v>
                </c:pt>
                <c:pt idx="5">
                  <c:v>2010</c:v>
                </c:pt>
                <c:pt idx="6">
                  <c:v>2012</c:v>
                </c:pt>
                <c:pt idx="7">
                  <c:v>2013</c:v>
                </c:pt>
              </c:numCache>
            </c:numRef>
          </c:cat>
          <c:val>
            <c:numRef>
              <c:f>Sheet1!$B$30:$B$37</c:f>
              <c:numCache>
                <c:formatCode>General</c:formatCode>
                <c:ptCount val="8"/>
                <c:pt idx="0">
                  <c:v>71.8</c:v>
                </c:pt>
                <c:pt idx="1">
                  <c:v>69.8</c:v>
                </c:pt>
                <c:pt idx="2">
                  <c:v>68.599999999999994</c:v>
                </c:pt>
                <c:pt idx="3">
                  <c:v>66.5</c:v>
                </c:pt>
                <c:pt idx="4">
                  <c:v>65.400000000000006</c:v>
                </c:pt>
                <c:pt idx="5">
                  <c:v>61.2</c:v>
                </c:pt>
                <c:pt idx="6">
                  <c:v>61</c:v>
                </c:pt>
                <c:pt idx="7">
                  <c:v>61</c:v>
                </c:pt>
              </c:numCache>
            </c:numRef>
          </c:val>
          <c:smooth val="0"/>
        </c:ser>
        <c:ser>
          <c:idx val="1"/>
          <c:order val="1"/>
          <c:tx>
            <c:v>% Public </c:v>
          </c:tx>
          <c:spPr>
            <a:ln w="28575" cap="rnd">
              <a:solidFill>
                <a:schemeClr val="tx1"/>
              </a:solidFill>
              <a:prstDash val="dash"/>
              <a:round/>
            </a:ln>
            <a:effectLst/>
          </c:spPr>
          <c:marker>
            <c:symbol val="none"/>
          </c:marker>
          <c:cat>
            <c:numRef>
              <c:f>Sheet1!$A$30:$A$37</c:f>
              <c:numCache>
                <c:formatCode>General</c:formatCode>
                <c:ptCount val="8"/>
                <c:pt idx="0">
                  <c:v>2000</c:v>
                </c:pt>
                <c:pt idx="1">
                  <c:v>2002</c:v>
                </c:pt>
                <c:pt idx="2">
                  <c:v>2004</c:v>
                </c:pt>
                <c:pt idx="3">
                  <c:v>2006</c:v>
                </c:pt>
                <c:pt idx="4">
                  <c:v>2008</c:v>
                </c:pt>
                <c:pt idx="5">
                  <c:v>2010</c:v>
                </c:pt>
                <c:pt idx="6">
                  <c:v>2012</c:v>
                </c:pt>
                <c:pt idx="7">
                  <c:v>2013</c:v>
                </c:pt>
              </c:numCache>
            </c:numRef>
          </c:cat>
          <c:val>
            <c:numRef>
              <c:f>Sheet1!$C$30:$C$37</c:f>
              <c:numCache>
                <c:formatCode>General</c:formatCode>
                <c:ptCount val="8"/>
                <c:pt idx="0">
                  <c:v>16.8</c:v>
                </c:pt>
                <c:pt idx="1">
                  <c:v>16.5</c:v>
                </c:pt>
                <c:pt idx="2">
                  <c:v>16.399999999999999</c:v>
                </c:pt>
                <c:pt idx="3">
                  <c:v>18.100000000000001</c:v>
                </c:pt>
                <c:pt idx="4">
                  <c:v>19.3</c:v>
                </c:pt>
                <c:pt idx="5">
                  <c:v>22</c:v>
                </c:pt>
                <c:pt idx="6">
                  <c:v>23.5</c:v>
                </c:pt>
                <c:pt idx="7">
                  <c:v>23.8</c:v>
                </c:pt>
              </c:numCache>
            </c:numRef>
          </c:val>
          <c:smooth val="0"/>
        </c:ser>
        <c:ser>
          <c:idx val="2"/>
          <c:order val="2"/>
          <c:tx>
            <c:v>% Uninsured</c:v>
          </c:tx>
          <c:spPr>
            <a:ln w="28575" cap="rnd">
              <a:solidFill>
                <a:schemeClr val="tx1"/>
              </a:solidFill>
              <a:round/>
            </a:ln>
            <a:effectLst/>
          </c:spPr>
          <c:marker>
            <c:symbol val="none"/>
          </c:marker>
          <c:cat>
            <c:numRef>
              <c:f>Sheet1!$A$30:$A$37</c:f>
              <c:numCache>
                <c:formatCode>General</c:formatCode>
                <c:ptCount val="8"/>
                <c:pt idx="0">
                  <c:v>2000</c:v>
                </c:pt>
                <c:pt idx="1">
                  <c:v>2002</c:v>
                </c:pt>
                <c:pt idx="2">
                  <c:v>2004</c:v>
                </c:pt>
                <c:pt idx="3">
                  <c:v>2006</c:v>
                </c:pt>
                <c:pt idx="4">
                  <c:v>2008</c:v>
                </c:pt>
                <c:pt idx="5">
                  <c:v>2010</c:v>
                </c:pt>
                <c:pt idx="6">
                  <c:v>2012</c:v>
                </c:pt>
                <c:pt idx="7">
                  <c:v>2013</c:v>
                </c:pt>
              </c:numCache>
            </c:numRef>
          </c:cat>
          <c:val>
            <c:numRef>
              <c:f>Sheet1!$D$30:$D$37</c:f>
              <c:numCache>
                <c:formatCode>General</c:formatCode>
                <c:ptCount val="8"/>
                <c:pt idx="0">
                  <c:v>12.9</c:v>
                </c:pt>
                <c:pt idx="1">
                  <c:v>15.2</c:v>
                </c:pt>
                <c:pt idx="2">
                  <c:v>16.2</c:v>
                </c:pt>
                <c:pt idx="3">
                  <c:v>17</c:v>
                </c:pt>
                <c:pt idx="4">
                  <c:v>16.8</c:v>
                </c:pt>
                <c:pt idx="5">
                  <c:v>18.2</c:v>
                </c:pt>
                <c:pt idx="6">
                  <c:v>16.899999999999999</c:v>
                </c:pt>
                <c:pt idx="7">
                  <c:v>16.7</c:v>
                </c:pt>
              </c:numCache>
            </c:numRef>
          </c:val>
          <c:smooth val="0"/>
        </c:ser>
        <c:dLbls>
          <c:showLegendKey val="0"/>
          <c:showVal val="0"/>
          <c:showCatName val="0"/>
          <c:showSerName val="0"/>
          <c:showPercent val="0"/>
          <c:showBubbleSize val="0"/>
        </c:dLbls>
        <c:marker val="1"/>
        <c:smooth val="0"/>
        <c:axId val="91510272"/>
        <c:axId val="91511808"/>
      </c:lineChart>
      <c:catAx>
        <c:axId val="91510272"/>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a:ea typeface="+mn-ea"/>
                <a:cs typeface="Times"/>
              </a:defRPr>
            </a:pPr>
            <a:endParaRPr lang="en-US"/>
          </a:p>
        </c:txPr>
        <c:crossAx val="91511808"/>
        <c:crosses val="autoZero"/>
        <c:auto val="1"/>
        <c:lblAlgn val="ctr"/>
        <c:lblOffset val="100"/>
        <c:noMultiLvlLbl val="0"/>
      </c:catAx>
      <c:valAx>
        <c:axId val="91511808"/>
        <c:scaling>
          <c:orientation val="minMax"/>
        </c:scaling>
        <c:delete val="0"/>
        <c:axPos val="l"/>
        <c:numFmt formatCode="General"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a:ea typeface="+mn-ea"/>
                <a:cs typeface="Times"/>
              </a:defRPr>
            </a:pPr>
            <a:endParaRPr lang="en-US"/>
          </a:p>
        </c:txPr>
        <c:crossAx val="91510272"/>
        <c:crosses val="autoZero"/>
        <c:crossBetween val="between"/>
      </c:valAx>
      <c:spPr>
        <a:noFill/>
        <a:ln>
          <a:noFill/>
        </a:ln>
        <a:effectLst/>
      </c:spPr>
    </c:plotArea>
    <c:legend>
      <c:legendPos val="b"/>
      <c:layout>
        <c:manualLayout>
          <c:xMode val="edge"/>
          <c:yMode val="edge"/>
          <c:x val="0.147221041814218"/>
          <c:y val="2.3260917490364699E-2"/>
          <c:w val="0.63501117915816097"/>
          <c:h val="6.755176777687339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a:ea typeface="+mn-ea"/>
              <a:cs typeface="Time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v>All Nonelderly</c:v>
          </c:tx>
          <c:spPr>
            <a:solidFill>
              <a:schemeClr val="tx1"/>
            </a:solidFill>
            <a:ln>
              <a:solidFill>
                <a:schemeClr val="tx1"/>
              </a:solidFill>
            </a:ln>
          </c:spPr>
          <c:invertIfNegative val="0"/>
          <c:cat>
            <c:strRef>
              <c:f>Sheet2!$B$25:$C$25</c:f>
              <c:strCache>
                <c:ptCount val="2"/>
                <c:pt idx="0">
                  <c:v>Expanded Medicaid</c:v>
                </c:pt>
                <c:pt idx="1">
                  <c:v>Did Not Expand Medicaid</c:v>
                </c:pt>
              </c:strCache>
            </c:strRef>
          </c:cat>
          <c:val>
            <c:numRef>
              <c:f>Sheet2!$B$26:$C$26</c:f>
              <c:numCache>
                <c:formatCode>General</c:formatCode>
                <c:ptCount val="2"/>
                <c:pt idx="0">
                  <c:v>-1.9</c:v>
                </c:pt>
                <c:pt idx="1">
                  <c:v>-0.7</c:v>
                </c:pt>
              </c:numCache>
            </c:numRef>
          </c:val>
        </c:ser>
        <c:ser>
          <c:idx val="1"/>
          <c:order val="1"/>
          <c:tx>
            <c:v>Nonelderly Adults</c:v>
          </c:tx>
          <c:spPr>
            <a:solidFill>
              <a:schemeClr val="bg1">
                <a:lumMod val="50000"/>
              </a:schemeClr>
            </a:solidFill>
            <a:ln>
              <a:solidFill>
                <a:schemeClr val="tx1"/>
              </a:solidFill>
            </a:ln>
          </c:spPr>
          <c:invertIfNegative val="0"/>
          <c:cat>
            <c:strRef>
              <c:f>Sheet2!$B$25:$C$25</c:f>
              <c:strCache>
                <c:ptCount val="2"/>
                <c:pt idx="0">
                  <c:v>Expanded Medicaid</c:v>
                </c:pt>
                <c:pt idx="1">
                  <c:v>Did Not Expand Medicaid</c:v>
                </c:pt>
              </c:strCache>
            </c:strRef>
          </c:cat>
          <c:val>
            <c:numRef>
              <c:f>Sheet2!$B$27:$C$27</c:f>
              <c:numCache>
                <c:formatCode>General</c:formatCode>
                <c:ptCount val="2"/>
                <c:pt idx="0">
                  <c:v>-2.7</c:v>
                </c:pt>
                <c:pt idx="1">
                  <c:v>-0.8</c:v>
                </c:pt>
              </c:numCache>
            </c:numRef>
          </c:val>
        </c:ser>
        <c:dLbls>
          <c:showLegendKey val="0"/>
          <c:showVal val="0"/>
          <c:showCatName val="0"/>
          <c:showSerName val="0"/>
          <c:showPercent val="0"/>
          <c:showBubbleSize val="0"/>
        </c:dLbls>
        <c:gapWidth val="150"/>
        <c:axId val="104881152"/>
        <c:axId val="46600960"/>
      </c:barChart>
      <c:catAx>
        <c:axId val="104881152"/>
        <c:scaling>
          <c:orientation val="minMax"/>
        </c:scaling>
        <c:delete val="0"/>
        <c:axPos val="b"/>
        <c:numFmt formatCode="General" sourceLinked="0"/>
        <c:majorTickMark val="out"/>
        <c:minorTickMark val="none"/>
        <c:tickLblPos val="high"/>
        <c:txPr>
          <a:bodyPr/>
          <a:lstStyle/>
          <a:p>
            <a:pPr>
              <a:defRPr>
                <a:latin typeface="Times"/>
                <a:cs typeface="Times"/>
              </a:defRPr>
            </a:pPr>
            <a:endParaRPr lang="en-US"/>
          </a:p>
        </c:txPr>
        <c:crossAx val="46600960"/>
        <c:crosses val="autoZero"/>
        <c:auto val="1"/>
        <c:lblAlgn val="ctr"/>
        <c:lblOffset val="100"/>
        <c:noMultiLvlLbl val="0"/>
      </c:catAx>
      <c:valAx>
        <c:axId val="46600960"/>
        <c:scaling>
          <c:orientation val="minMax"/>
        </c:scaling>
        <c:delete val="0"/>
        <c:axPos val="l"/>
        <c:numFmt formatCode="General" sourceLinked="1"/>
        <c:majorTickMark val="out"/>
        <c:minorTickMark val="none"/>
        <c:tickLblPos val="nextTo"/>
        <c:txPr>
          <a:bodyPr/>
          <a:lstStyle/>
          <a:p>
            <a:pPr>
              <a:defRPr>
                <a:latin typeface="Times"/>
                <a:cs typeface="Times"/>
              </a:defRPr>
            </a:pPr>
            <a:endParaRPr lang="en-US"/>
          </a:p>
        </c:txPr>
        <c:crossAx val="104881152"/>
        <c:crosses val="autoZero"/>
        <c:crossBetween val="between"/>
      </c:valAx>
    </c:plotArea>
    <c:legend>
      <c:legendPos val="r"/>
      <c:overlay val="0"/>
      <c:txPr>
        <a:bodyPr/>
        <a:lstStyle/>
        <a:p>
          <a:pPr>
            <a:defRPr>
              <a:latin typeface="Times"/>
              <a:cs typeface="Times"/>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847222222222199"/>
          <c:y val="5.5E-2"/>
          <c:w val="0.78356481481481499"/>
          <c:h val="0.65749999999999997"/>
        </c:manualLayout>
      </c:layout>
      <c:barChart>
        <c:barDir val="col"/>
        <c:grouping val="clustered"/>
        <c:varyColors val="0"/>
        <c:ser>
          <c:idx val="0"/>
          <c:order val="0"/>
          <c:tx>
            <c:v>Retirees who worked (N=149)</c:v>
          </c:tx>
          <c:spPr>
            <a:solidFill>
              <a:schemeClr val="tx1"/>
            </a:solidFill>
            <a:ln>
              <a:solidFill>
                <a:schemeClr val="tx1"/>
              </a:solidFill>
            </a:ln>
          </c:spPr>
          <c:invertIfNegative val="0"/>
          <c:cat>
            <c:strRef>
              <c:f>Sheet1!$A$9:$A$13</c:f>
              <c:strCache>
                <c:ptCount val="5"/>
                <c:pt idx="0">
                  <c:v>Enjoy working</c:v>
                </c:pt>
                <c:pt idx="1">
                  <c:v>Wanting to stay active and involved</c:v>
                </c:pt>
                <c:pt idx="2">
                  <c:v>Wanting money to buy extras</c:v>
                </c:pt>
                <c:pt idx="3">
                  <c:v>Needing money to make ends meet</c:v>
                </c:pt>
                <c:pt idx="4">
                  <c:v>Keeping health insurance or other benefits</c:v>
                </c:pt>
              </c:strCache>
            </c:strRef>
          </c:cat>
          <c:val>
            <c:numRef>
              <c:f>Sheet1!$B$9:$B$13</c:f>
              <c:numCache>
                <c:formatCode>General</c:formatCode>
                <c:ptCount val="5"/>
                <c:pt idx="0">
                  <c:v>83</c:v>
                </c:pt>
                <c:pt idx="1">
                  <c:v>79</c:v>
                </c:pt>
                <c:pt idx="2">
                  <c:v>54</c:v>
                </c:pt>
                <c:pt idx="3">
                  <c:v>52</c:v>
                </c:pt>
                <c:pt idx="4">
                  <c:v>34</c:v>
                </c:pt>
              </c:numCache>
            </c:numRef>
          </c:val>
        </c:ser>
        <c:ser>
          <c:idx val="1"/>
          <c:order val="1"/>
          <c:tx>
            <c:v>Workers (N=610)</c:v>
          </c:tx>
          <c:spPr>
            <a:solidFill>
              <a:schemeClr val="bg1">
                <a:lumMod val="50000"/>
              </a:schemeClr>
            </a:solidFill>
            <a:ln>
              <a:solidFill>
                <a:schemeClr val="tx1"/>
              </a:solidFill>
            </a:ln>
          </c:spPr>
          <c:invertIfNegative val="0"/>
          <c:cat>
            <c:strRef>
              <c:f>Sheet1!$A$9:$A$13</c:f>
              <c:strCache>
                <c:ptCount val="5"/>
                <c:pt idx="0">
                  <c:v>Enjoy working</c:v>
                </c:pt>
                <c:pt idx="1">
                  <c:v>Wanting to stay active and involved</c:v>
                </c:pt>
                <c:pt idx="2">
                  <c:v>Wanting money to buy extras</c:v>
                </c:pt>
                <c:pt idx="3">
                  <c:v>Needing money to make ends meet</c:v>
                </c:pt>
                <c:pt idx="4">
                  <c:v>Keeping health insurance or other benefits</c:v>
                </c:pt>
              </c:strCache>
            </c:strRef>
          </c:cat>
          <c:val>
            <c:numRef>
              <c:f>Sheet1!$C$9:$C$13</c:f>
              <c:numCache>
                <c:formatCode>General</c:formatCode>
                <c:ptCount val="5"/>
                <c:pt idx="0">
                  <c:v>82</c:v>
                </c:pt>
                <c:pt idx="1">
                  <c:v>90</c:v>
                </c:pt>
                <c:pt idx="2">
                  <c:v>82</c:v>
                </c:pt>
                <c:pt idx="3">
                  <c:v>81</c:v>
                </c:pt>
                <c:pt idx="4">
                  <c:v>74</c:v>
                </c:pt>
              </c:numCache>
            </c:numRef>
          </c:val>
        </c:ser>
        <c:dLbls>
          <c:showLegendKey val="0"/>
          <c:showVal val="0"/>
          <c:showCatName val="0"/>
          <c:showSerName val="0"/>
          <c:showPercent val="0"/>
          <c:showBubbleSize val="0"/>
        </c:dLbls>
        <c:gapWidth val="150"/>
        <c:axId val="46621056"/>
        <c:axId val="46622592"/>
      </c:barChart>
      <c:catAx>
        <c:axId val="46621056"/>
        <c:scaling>
          <c:orientation val="minMax"/>
        </c:scaling>
        <c:delete val="0"/>
        <c:axPos val="b"/>
        <c:numFmt formatCode="General" sourceLinked="0"/>
        <c:majorTickMark val="out"/>
        <c:minorTickMark val="none"/>
        <c:tickLblPos val="nextTo"/>
        <c:txPr>
          <a:bodyPr/>
          <a:lstStyle/>
          <a:p>
            <a:pPr>
              <a:defRPr>
                <a:latin typeface="Times"/>
                <a:cs typeface="Times"/>
              </a:defRPr>
            </a:pPr>
            <a:endParaRPr lang="en-US"/>
          </a:p>
        </c:txPr>
        <c:crossAx val="46622592"/>
        <c:crosses val="autoZero"/>
        <c:auto val="1"/>
        <c:lblAlgn val="ctr"/>
        <c:lblOffset val="100"/>
        <c:noMultiLvlLbl val="0"/>
      </c:catAx>
      <c:valAx>
        <c:axId val="46622592"/>
        <c:scaling>
          <c:orientation val="minMax"/>
        </c:scaling>
        <c:delete val="0"/>
        <c:axPos val="l"/>
        <c:title>
          <c:tx>
            <c:rich>
              <a:bodyPr/>
              <a:lstStyle/>
              <a:p>
                <a:pPr>
                  <a:defRPr>
                    <a:latin typeface="Times"/>
                    <a:cs typeface="Times"/>
                  </a:defRPr>
                </a:pPr>
                <a:r>
                  <a:rPr lang="en-US">
                    <a:latin typeface="Times"/>
                    <a:cs typeface="Times"/>
                  </a:rPr>
                  <a:t>Percent Giving Reason</a:t>
                </a:r>
              </a:p>
            </c:rich>
          </c:tx>
          <c:overlay val="0"/>
        </c:title>
        <c:numFmt formatCode="General" sourceLinked="0"/>
        <c:majorTickMark val="out"/>
        <c:minorTickMark val="none"/>
        <c:tickLblPos val="nextTo"/>
        <c:txPr>
          <a:bodyPr/>
          <a:lstStyle/>
          <a:p>
            <a:pPr>
              <a:defRPr>
                <a:latin typeface="Times"/>
                <a:cs typeface="Times"/>
              </a:defRPr>
            </a:pPr>
            <a:endParaRPr lang="en-US"/>
          </a:p>
        </c:txPr>
        <c:crossAx val="46621056"/>
        <c:crosses val="autoZero"/>
        <c:crossBetween val="between"/>
      </c:valAx>
    </c:plotArea>
    <c:legend>
      <c:legendPos val="r"/>
      <c:layout>
        <c:manualLayout>
          <c:xMode val="edge"/>
          <c:yMode val="edge"/>
          <c:x val="0.66203703703703698"/>
          <c:y val="0"/>
          <c:w val="0.31712962962962998"/>
          <c:h val="0.159"/>
        </c:manualLayout>
      </c:layout>
      <c:overlay val="0"/>
      <c:txPr>
        <a:bodyPr/>
        <a:lstStyle/>
        <a:p>
          <a:pPr>
            <a:defRPr>
              <a:latin typeface="Times"/>
              <a:cs typeface="Times"/>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1570-D0D4-46E3-B475-4F349D9F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41367C59.dotm</Template>
  <TotalTime>0</TotalTime>
  <Pages>31</Pages>
  <Words>8281</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55379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Beland</dc:creator>
  <cp:lastModifiedBy>aw148</cp:lastModifiedBy>
  <cp:revision>3</cp:revision>
  <dcterms:created xsi:type="dcterms:W3CDTF">2015-08-21T10:46:00Z</dcterms:created>
  <dcterms:modified xsi:type="dcterms:W3CDTF">2015-08-21T10:47:00Z</dcterms:modified>
</cp:coreProperties>
</file>