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85" w:rsidRPr="00037D9E" w:rsidRDefault="00E8493A" w:rsidP="003C1636">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Certainty of beneficiaries in Jersey</w:t>
      </w:r>
      <w:r w:rsidR="00037D9E">
        <w:rPr>
          <w:rFonts w:ascii="Times New Roman" w:hAnsi="Times New Roman" w:cs="Times New Roman"/>
          <w:b/>
          <w:i/>
          <w:sz w:val="28"/>
          <w:szCs w:val="28"/>
        </w:rPr>
        <w:t xml:space="preserve"> </w:t>
      </w:r>
      <w:r w:rsidR="00482FC4">
        <w:rPr>
          <w:rFonts w:ascii="Times New Roman" w:hAnsi="Times New Roman" w:cs="Times New Roman"/>
          <w:b/>
          <w:sz w:val="28"/>
          <w:szCs w:val="28"/>
        </w:rPr>
        <w:t>and the First</w:t>
      </w:r>
      <w:r w:rsidR="00037D9E">
        <w:rPr>
          <w:rFonts w:ascii="Times New Roman" w:hAnsi="Times New Roman" w:cs="Times New Roman"/>
          <w:b/>
          <w:sz w:val="28"/>
          <w:szCs w:val="28"/>
        </w:rPr>
        <w:t xml:space="preserve"> Principles of Trust Law</w:t>
      </w:r>
    </w:p>
    <w:p w:rsidR="00F35AFC" w:rsidRDefault="00F35AFC" w:rsidP="00F35AFC">
      <w:pPr>
        <w:spacing w:after="0"/>
        <w:jc w:val="both"/>
        <w:rPr>
          <w:rFonts w:ascii="Times New Roman" w:hAnsi="Times New Roman" w:cs="Times New Roman"/>
          <w:sz w:val="24"/>
          <w:szCs w:val="24"/>
        </w:rPr>
      </w:pPr>
    </w:p>
    <w:p w:rsidR="00037D9E" w:rsidRPr="00037D9E" w:rsidRDefault="00037D9E" w:rsidP="00F35AFC">
      <w:pPr>
        <w:spacing w:after="0"/>
        <w:jc w:val="both"/>
        <w:rPr>
          <w:rFonts w:ascii="Times New Roman" w:hAnsi="Times New Roman" w:cs="Times New Roman"/>
        </w:rPr>
      </w:pPr>
      <w:r w:rsidRPr="00037D9E">
        <w:rPr>
          <w:rFonts w:ascii="Times New Roman" w:hAnsi="Times New Roman" w:cs="Times New Roman"/>
        </w:rPr>
        <w:t>“Underlying and underpinning the trust obligation is the fundamental principle that just as a car needs an engine, so a trust needs an enforcer”.</w:t>
      </w:r>
      <w:r w:rsidR="00D20D60">
        <w:rPr>
          <w:rStyle w:val="FootnoteReference"/>
          <w:rFonts w:ascii="Times New Roman" w:hAnsi="Times New Roman" w:cs="Times New Roman"/>
        </w:rPr>
        <w:footnoteReference w:id="1"/>
      </w:r>
    </w:p>
    <w:p w:rsidR="005378E0" w:rsidRDefault="005378E0" w:rsidP="00F35AFC">
      <w:pPr>
        <w:spacing w:after="0"/>
        <w:jc w:val="both"/>
        <w:rPr>
          <w:rFonts w:ascii="Times New Roman" w:hAnsi="Times New Roman" w:cs="Times New Roman"/>
          <w:sz w:val="24"/>
          <w:szCs w:val="24"/>
        </w:rPr>
      </w:pPr>
    </w:p>
    <w:p w:rsidR="00A51341" w:rsidRDefault="00A51341" w:rsidP="00F35AFC">
      <w:pPr>
        <w:spacing w:after="0"/>
        <w:jc w:val="both"/>
        <w:rPr>
          <w:rFonts w:ascii="Times New Roman" w:hAnsi="Times New Roman" w:cs="Times New Roman"/>
          <w:sz w:val="24"/>
          <w:szCs w:val="24"/>
        </w:rPr>
      </w:pPr>
    </w:p>
    <w:p w:rsidR="003B4912" w:rsidRPr="003B4912" w:rsidRDefault="003B4912" w:rsidP="00213421">
      <w:pPr>
        <w:spacing w:after="0"/>
        <w:jc w:val="both"/>
        <w:rPr>
          <w:rFonts w:ascii="Times New Roman" w:hAnsi="Times New Roman" w:cs="Times New Roman"/>
          <w:b/>
          <w:sz w:val="28"/>
          <w:szCs w:val="28"/>
        </w:rPr>
      </w:pPr>
      <w:r>
        <w:rPr>
          <w:rFonts w:ascii="Times New Roman" w:hAnsi="Times New Roman" w:cs="Times New Roman"/>
          <w:b/>
          <w:sz w:val="28"/>
          <w:szCs w:val="28"/>
        </w:rPr>
        <w:t>Introduction</w:t>
      </w:r>
      <w:r w:rsidR="00213421">
        <w:rPr>
          <w:rFonts w:ascii="Times New Roman" w:hAnsi="Times New Roman" w:cs="Times New Roman"/>
          <w:b/>
          <w:sz w:val="28"/>
          <w:szCs w:val="28"/>
        </w:rPr>
        <w:t xml:space="preserve"> and abstract</w:t>
      </w:r>
    </w:p>
    <w:p w:rsidR="003B4912" w:rsidRPr="00B14828" w:rsidRDefault="003B4912" w:rsidP="00F35AFC">
      <w:pPr>
        <w:spacing w:after="0"/>
        <w:jc w:val="both"/>
        <w:rPr>
          <w:rFonts w:ascii="Times New Roman" w:hAnsi="Times New Roman" w:cs="Times New Roman"/>
          <w:sz w:val="16"/>
          <w:szCs w:val="16"/>
        </w:rPr>
      </w:pPr>
    </w:p>
    <w:p w:rsidR="0059238F" w:rsidRPr="00753BFB" w:rsidRDefault="002502E0" w:rsidP="0059238F">
      <w:pPr>
        <w:spacing w:after="0"/>
        <w:jc w:val="both"/>
        <w:rPr>
          <w:rFonts w:ascii="Times New Roman" w:hAnsi="Times New Roman" w:cs="Times New Roman"/>
          <w:sz w:val="24"/>
          <w:szCs w:val="24"/>
        </w:rPr>
      </w:pPr>
      <w:r>
        <w:rPr>
          <w:rFonts w:ascii="Times New Roman" w:hAnsi="Times New Roman" w:cs="Times New Roman"/>
          <w:sz w:val="24"/>
          <w:szCs w:val="24"/>
        </w:rPr>
        <w:t xml:space="preserve">A fairly recent decision of the </w:t>
      </w:r>
      <w:r w:rsidR="00990403">
        <w:rPr>
          <w:rFonts w:ascii="Times New Roman" w:hAnsi="Times New Roman" w:cs="Times New Roman"/>
          <w:sz w:val="24"/>
          <w:szCs w:val="24"/>
        </w:rPr>
        <w:t xml:space="preserve">Jersey </w:t>
      </w:r>
      <w:r>
        <w:rPr>
          <w:rFonts w:ascii="Times New Roman" w:hAnsi="Times New Roman" w:cs="Times New Roman"/>
          <w:sz w:val="24"/>
          <w:szCs w:val="24"/>
        </w:rPr>
        <w:t>Royal Court</w:t>
      </w:r>
      <w:r w:rsidR="00F20DC5">
        <w:rPr>
          <w:rStyle w:val="FootnoteReference"/>
          <w:rFonts w:ascii="Times New Roman" w:hAnsi="Times New Roman" w:cs="Times New Roman"/>
          <w:sz w:val="24"/>
          <w:szCs w:val="24"/>
        </w:rPr>
        <w:footnoteReference w:id="2"/>
      </w:r>
      <w:r w:rsidR="0099341D">
        <w:rPr>
          <w:rFonts w:ascii="Times New Roman" w:hAnsi="Times New Roman" w:cs="Times New Roman"/>
          <w:sz w:val="24"/>
          <w:szCs w:val="24"/>
        </w:rPr>
        <w:t xml:space="preserve"> involving the rules for validity of trusts</w:t>
      </w:r>
      <w:r>
        <w:rPr>
          <w:rFonts w:ascii="Times New Roman" w:hAnsi="Times New Roman" w:cs="Times New Roman"/>
          <w:sz w:val="24"/>
          <w:szCs w:val="24"/>
        </w:rPr>
        <w:t xml:space="preserve"> reveals a nee</w:t>
      </w:r>
      <w:r w:rsidR="00F20DC5">
        <w:rPr>
          <w:rFonts w:ascii="Times New Roman" w:hAnsi="Times New Roman" w:cs="Times New Roman"/>
          <w:sz w:val="24"/>
          <w:szCs w:val="24"/>
        </w:rPr>
        <w:t>d to clarify</w:t>
      </w:r>
      <w:r w:rsidR="00213421">
        <w:rPr>
          <w:rFonts w:ascii="Times New Roman" w:hAnsi="Times New Roman" w:cs="Times New Roman"/>
          <w:sz w:val="24"/>
          <w:szCs w:val="24"/>
        </w:rPr>
        <w:t xml:space="preserve"> the scope and application of</w:t>
      </w:r>
      <w:r w:rsidR="00F20DC5">
        <w:rPr>
          <w:rFonts w:ascii="Times New Roman" w:hAnsi="Times New Roman" w:cs="Times New Roman"/>
          <w:sz w:val="24"/>
          <w:szCs w:val="24"/>
        </w:rPr>
        <w:t xml:space="preserve"> </w:t>
      </w:r>
      <w:r>
        <w:rPr>
          <w:rFonts w:ascii="Times New Roman" w:hAnsi="Times New Roman" w:cs="Times New Roman"/>
          <w:sz w:val="24"/>
          <w:szCs w:val="24"/>
        </w:rPr>
        <w:t>the provisions for identification of ben</w:t>
      </w:r>
      <w:r w:rsidR="0099341D">
        <w:rPr>
          <w:rFonts w:ascii="Times New Roman" w:hAnsi="Times New Roman" w:cs="Times New Roman"/>
          <w:sz w:val="24"/>
          <w:szCs w:val="24"/>
        </w:rPr>
        <w:t>eficiaries</w:t>
      </w:r>
      <w:r w:rsidR="009B7A55">
        <w:rPr>
          <w:rFonts w:ascii="Times New Roman" w:hAnsi="Times New Roman" w:cs="Times New Roman"/>
          <w:sz w:val="24"/>
          <w:szCs w:val="24"/>
        </w:rPr>
        <w:t>. This</w:t>
      </w:r>
      <w:r>
        <w:rPr>
          <w:rFonts w:ascii="Times New Roman" w:hAnsi="Times New Roman" w:cs="Times New Roman"/>
          <w:sz w:val="24"/>
          <w:szCs w:val="24"/>
        </w:rPr>
        <w:t xml:space="preserve"> is an area where there is little </w:t>
      </w:r>
      <w:r w:rsidR="0059238F">
        <w:rPr>
          <w:rFonts w:ascii="Times New Roman" w:hAnsi="Times New Roman" w:cs="Times New Roman"/>
          <w:sz w:val="24"/>
          <w:szCs w:val="24"/>
        </w:rPr>
        <w:t xml:space="preserve">case law </w:t>
      </w:r>
      <w:r w:rsidR="000F0B0D">
        <w:rPr>
          <w:rFonts w:ascii="Times New Roman" w:hAnsi="Times New Roman" w:cs="Times New Roman"/>
          <w:sz w:val="24"/>
          <w:szCs w:val="24"/>
        </w:rPr>
        <w:t>to go on</w:t>
      </w:r>
      <w:r w:rsidR="00F20DC5">
        <w:rPr>
          <w:rFonts w:ascii="Times New Roman" w:hAnsi="Times New Roman" w:cs="Times New Roman"/>
          <w:sz w:val="24"/>
          <w:szCs w:val="24"/>
        </w:rPr>
        <w:t>.</w:t>
      </w:r>
      <w:r w:rsidR="000F0B0D">
        <w:rPr>
          <w:rStyle w:val="FootnoteReference"/>
          <w:rFonts w:ascii="Times New Roman" w:hAnsi="Times New Roman" w:cs="Times New Roman"/>
          <w:sz w:val="24"/>
          <w:szCs w:val="24"/>
        </w:rPr>
        <w:footnoteReference w:id="3"/>
      </w:r>
      <w:r w:rsidR="00F20DC5">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2D0F91">
        <w:rPr>
          <w:rFonts w:ascii="Times New Roman" w:hAnsi="Times New Roman" w:cs="Times New Roman"/>
          <w:sz w:val="24"/>
          <w:szCs w:val="24"/>
        </w:rPr>
        <w:t>way in which the Royal Court unders</w:t>
      </w:r>
      <w:r w:rsidR="003D3017">
        <w:rPr>
          <w:rFonts w:ascii="Times New Roman" w:hAnsi="Times New Roman" w:cs="Times New Roman"/>
          <w:sz w:val="24"/>
          <w:szCs w:val="24"/>
        </w:rPr>
        <w:t xml:space="preserve">tands and applies Articles 10 and 11 </w:t>
      </w:r>
      <w:r w:rsidR="009B7A55">
        <w:rPr>
          <w:rFonts w:ascii="Times New Roman" w:hAnsi="Times New Roman" w:cs="Times New Roman"/>
          <w:sz w:val="24"/>
          <w:szCs w:val="24"/>
        </w:rPr>
        <w:t>of the Trusts (Jersey) Law 1984</w:t>
      </w:r>
      <w:r w:rsidR="0059238F">
        <w:rPr>
          <w:rFonts w:ascii="Times New Roman" w:hAnsi="Times New Roman" w:cs="Times New Roman"/>
          <w:sz w:val="24"/>
          <w:szCs w:val="24"/>
        </w:rPr>
        <w:t xml:space="preserve"> will define whether Jersey is seen internationally as overly restrictive in the recognition of trusts. In</w:t>
      </w:r>
      <w:r w:rsidR="00E863A0">
        <w:rPr>
          <w:rFonts w:ascii="Times New Roman" w:hAnsi="Times New Roman" w:cs="Times New Roman"/>
          <w:sz w:val="24"/>
          <w:szCs w:val="24"/>
        </w:rPr>
        <w:t xml:space="preserve">deed, following </w:t>
      </w:r>
      <w:r w:rsidR="0059238F">
        <w:rPr>
          <w:rFonts w:ascii="Times New Roman" w:hAnsi="Times New Roman" w:cs="Times New Roman"/>
          <w:i/>
          <w:sz w:val="24"/>
          <w:szCs w:val="24"/>
        </w:rPr>
        <w:t>Re Representation AIB Jersey Trust Ltd, the Exeter Settlement</w:t>
      </w:r>
      <w:r w:rsidR="009B7A55">
        <w:rPr>
          <w:rFonts w:ascii="Times New Roman" w:hAnsi="Times New Roman" w:cs="Times New Roman"/>
          <w:sz w:val="24"/>
          <w:szCs w:val="24"/>
        </w:rPr>
        <w:t>,</w:t>
      </w:r>
      <w:r w:rsidR="0059238F">
        <w:rPr>
          <w:rStyle w:val="FootnoteReference"/>
          <w:rFonts w:ascii="Times New Roman" w:hAnsi="Times New Roman" w:cs="Times New Roman"/>
          <w:sz w:val="24"/>
          <w:szCs w:val="24"/>
        </w:rPr>
        <w:footnoteReference w:id="4"/>
      </w:r>
      <w:r w:rsidR="0059238F">
        <w:rPr>
          <w:rFonts w:ascii="Times New Roman" w:hAnsi="Times New Roman" w:cs="Times New Roman"/>
          <w:sz w:val="24"/>
          <w:szCs w:val="24"/>
        </w:rPr>
        <w:t xml:space="preserve"> </w:t>
      </w:r>
      <w:r w:rsidR="009B7A55">
        <w:rPr>
          <w:rFonts w:ascii="Times New Roman" w:hAnsi="Times New Roman" w:cs="Times New Roman"/>
          <w:sz w:val="24"/>
          <w:szCs w:val="24"/>
        </w:rPr>
        <w:t>a</w:t>
      </w:r>
      <w:r w:rsidR="0059238F">
        <w:rPr>
          <w:rFonts w:ascii="Times New Roman" w:hAnsi="Times New Roman" w:cs="Times New Roman"/>
          <w:sz w:val="24"/>
          <w:szCs w:val="24"/>
        </w:rPr>
        <w:t>cademic commentary suggests that Jersey may be adopting a more restrictive approach to validity than that seen, for example</w:t>
      </w:r>
      <w:r w:rsidR="009B7A55">
        <w:rPr>
          <w:rFonts w:ascii="Times New Roman" w:hAnsi="Times New Roman" w:cs="Times New Roman"/>
          <w:sz w:val="24"/>
          <w:szCs w:val="24"/>
        </w:rPr>
        <w:t>,</w:t>
      </w:r>
      <w:r w:rsidR="0059238F">
        <w:rPr>
          <w:rFonts w:ascii="Times New Roman" w:hAnsi="Times New Roman" w:cs="Times New Roman"/>
          <w:sz w:val="24"/>
          <w:szCs w:val="24"/>
        </w:rPr>
        <w:t xml:space="preserve"> in English law.</w:t>
      </w:r>
      <w:r w:rsidR="004E1000">
        <w:rPr>
          <w:rStyle w:val="FootnoteReference"/>
          <w:rFonts w:ascii="Times New Roman" w:hAnsi="Times New Roman" w:cs="Times New Roman"/>
          <w:sz w:val="24"/>
          <w:szCs w:val="24"/>
        </w:rPr>
        <w:footnoteReference w:id="5"/>
      </w:r>
      <w:r w:rsidR="0059238F">
        <w:rPr>
          <w:rFonts w:ascii="Times New Roman" w:hAnsi="Times New Roman" w:cs="Times New Roman"/>
          <w:sz w:val="24"/>
          <w:szCs w:val="24"/>
        </w:rPr>
        <w:t xml:space="preserve"> This may have a negative impact on the number of settlors who set up trusts in Jersey.</w:t>
      </w:r>
      <w:r w:rsidR="00C10657" w:rsidRPr="002D0D42">
        <w:rPr>
          <w:rStyle w:val="FootnoteReference"/>
          <w:rFonts w:ascii="Times New Roman" w:hAnsi="Times New Roman" w:cs="Times New Roman"/>
        </w:rPr>
        <w:footnoteReference w:id="6"/>
      </w:r>
      <w:r w:rsidR="0059238F">
        <w:rPr>
          <w:rFonts w:ascii="Times New Roman" w:hAnsi="Times New Roman" w:cs="Times New Roman"/>
          <w:sz w:val="24"/>
          <w:szCs w:val="24"/>
        </w:rPr>
        <w:t xml:space="preserve"> </w:t>
      </w:r>
      <w:r w:rsidR="00C10657">
        <w:rPr>
          <w:rFonts w:ascii="Times New Roman" w:hAnsi="Times New Roman" w:cs="Times New Roman"/>
          <w:sz w:val="24"/>
          <w:szCs w:val="24"/>
        </w:rPr>
        <w:t xml:space="preserve">Indeed, </w:t>
      </w:r>
      <w:r w:rsidR="00990403">
        <w:rPr>
          <w:rFonts w:ascii="Times New Roman" w:hAnsi="Times New Roman" w:cs="Times New Roman"/>
          <w:sz w:val="24"/>
          <w:szCs w:val="24"/>
        </w:rPr>
        <w:t>the Jersey Law Commission are conscious that “</w:t>
      </w:r>
      <w:r w:rsidR="00C10657">
        <w:rPr>
          <w:rFonts w:ascii="Times New Roman" w:hAnsi="Times New Roman" w:cs="Times New Roman"/>
          <w:sz w:val="24"/>
          <w:szCs w:val="24"/>
        </w:rPr>
        <w:t>Jersey trust law [offers] the advantages to settlors a</w:t>
      </w:r>
      <w:r w:rsidR="00543861">
        <w:rPr>
          <w:rFonts w:ascii="Times New Roman" w:hAnsi="Times New Roman" w:cs="Times New Roman"/>
          <w:sz w:val="24"/>
          <w:szCs w:val="24"/>
        </w:rPr>
        <w:t>fforded by other jurisdictions”.</w:t>
      </w:r>
      <w:r w:rsidR="00C10657">
        <w:rPr>
          <w:rStyle w:val="FootnoteReference"/>
          <w:rFonts w:ascii="Times New Roman" w:hAnsi="Times New Roman" w:cs="Times New Roman"/>
          <w:sz w:val="24"/>
          <w:szCs w:val="24"/>
        </w:rPr>
        <w:footnoteReference w:id="7"/>
      </w:r>
      <w:r w:rsidR="00543861">
        <w:rPr>
          <w:rFonts w:ascii="Times New Roman" w:hAnsi="Times New Roman" w:cs="Times New Roman"/>
          <w:sz w:val="24"/>
          <w:szCs w:val="24"/>
        </w:rPr>
        <w:t xml:space="preserve"> Therefore,</w:t>
      </w:r>
      <w:r w:rsidR="00C10657">
        <w:rPr>
          <w:rFonts w:ascii="Times New Roman" w:hAnsi="Times New Roman" w:cs="Times New Roman"/>
          <w:sz w:val="24"/>
          <w:szCs w:val="24"/>
        </w:rPr>
        <w:t xml:space="preserve"> </w:t>
      </w:r>
      <w:r w:rsidR="00990403">
        <w:rPr>
          <w:rFonts w:ascii="Times New Roman" w:hAnsi="Times New Roman" w:cs="Times New Roman"/>
          <w:sz w:val="24"/>
          <w:szCs w:val="24"/>
        </w:rPr>
        <w:t>t</w:t>
      </w:r>
      <w:r w:rsidR="00753BFB">
        <w:rPr>
          <w:rFonts w:ascii="Times New Roman" w:hAnsi="Times New Roman" w:cs="Times New Roman"/>
          <w:sz w:val="24"/>
          <w:szCs w:val="24"/>
        </w:rPr>
        <w:t>his article will examine the reasoning of the Royal Court</w:t>
      </w:r>
      <w:r w:rsidR="0099341D">
        <w:rPr>
          <w:rFonts w:ascii="Times New Roman" w:hAnsi="Times New Roman" w:cs="Times New Roman"/>
          <w:sz w:val="24"/>
          <w:szCs w:val="24"/>
        </w:rPr>
        <w:t xml:space="preserve"> in </w:t>
      </w:r>
      <w:r w:rsidR="0099341D">
        <w:rPr>
          <w:rFonts w:ascii="Times New Roman" w:hAnsi="Times New Roman" w:cs="Times New Roman"/>
          <w:i/>
          <w:sz w:val="24"/>
          <w:szCs w:val="24"/>
        </w:rPr>
        <w:t>Exeter</w:t>
      </w:r>
      <w:r w:rsidR="00543861">
        <w:rPr>
          <w:rFonts w:ascii="Times New Roman" w:hAnsi="Times New Roman" w:cs="Times New Roman"/>
          <w:sz w:val="24"/>
          <w:szCs w:val="24"/>
        </w:rPr>
        <w:t>,</w:t>
      </w:r>
      <w:r w:rsidR="00990403">
        <w:rPr>
          <w:rFonts w:ascii="Times New Roman" w:hAnsi="Times New Roman" w:cs="Times New Roman"/>
          <w:sz w:val="24"/>
          <w:szCs w:val="24"/>
        </w:rPr>
        <w:t xml:space="preserve"> and</w:t>
      </w:r>
      <w:r w:rsidR="0099341D">
        <w:rPr>
          <w:rFonts w:ascii="Times New Roman" w:hAnsi="Times New Roman" w:cs="Times New Roman"/>
          <w:sz w:val="24"/>
          <w:szCs w:val="24"/>
        </w:rPr>
        <w:t xml:space="preserve"> the</w:t>
      </w:r>
      <w:r w:rsidR="00990403">
        <w:rPr>
          <w:rFonts w:ascii="Times New Roman" w:hAnsi="Times New Roman" w:cs="Times New Roman"/>
          <w:sz w:val="24"/>
          <w:szCs w:val="24"/>
        </w:rPr>
        <w:t xml:space="preserve"> first</w:t>
      </w:r>
      <w:r w:rsidR="0099341D">
        <w:rPr>
          <w:rFonts w:ascii="Times New Roman" w:hAnsi="Times New Roman" w:cs="Times New Roman"/>
          <w:sz w:val="24"/>
          <w:szCs w:val="24"/>
        </w:rPr>
        <w:t xml:space="preserve"> principles that underpin</w:t>
      </w:r>
      <w:r w:rsidR="00990403">
        <w:rPr>
          <w:rFonts w:ascii="Times New Roman" w:hAnsi="Times New Roman" w:cs="Times New Roman"/>
          <w:sz w:val="24"/>
          <w:szCs w:val="24"/>
        </w:rPr>
        <w:t xml:space="preserve"> </w:t>
      </w:r>
      <w:r w:rsidR="00543861">
        <w:rPr>
          <w:rFonts w:ascii="Times New Roman" w:hAnsi="Times New Roman" w:cs="Times New Roman"/>
          <w:sz w:val="24"/>
          <w:szCs w:val="24"/>
        </w:rPr>
        <w:t>Articles 10 and 11, in order to determine</w:t>
      </w:r>
      <w:r w:rsidR="00753BFB">
        <w:rPr>
          <w:rFonts w:ascii="Times New Roman" w:hAnsi="Times New Roman" w:cs="Times New Roman"/>
          <w:sz w:val="24"/>
          <w:szCs w:val="24"/>
        </w:rPr>
        <w:t xml:space="preserve"> whether</w:t>
      </w:r>
      <w:r w:rsidR="00543861">
        <w:rPr>
          <w:rFonts w:ascii="Times New Roman" w:hAnsi="Times New Roman" w:cs="Times New Roman"/>
          <w:sz w:val="24"/>
          <w:szCs w:val="24"/>
        </w:rPr>
        <w:t xml:space="preserve"> Jersey </w:t>
      </w:r>
      <w:r w:rsidR="00753BFB">
        <w:rPr>
          <w:rFonts w:ascii="Times New Roman" w:hAnsi="Times New Roman" w:cs="Times New Roman"/>
          <w:sz w:val="24"/>
          <w:szCs w:val="24"/>
        </w:rPr>
        <w:t>law</w:t>
      </w:r>
      <w:r w:rsidR="00213421">
        <w:rPr>
          <w:rFonts w:ascii="Times New Roman" w:hAnsi="Times New Roman" w:cs="Times New Roman"/>
          <w:sz w:val="24"/>
          <w:szCs w:val="24"/>
        </w:rPr>
        <w:t xml:space="preserve"> in fact</w:t>
      </w:r>
      <w:r w:rsidR="00753BFB">
        <w:rPr>
          <w:rFonts w:ascii="Times New Roman" w:hAnsi="Times New Roman" w:cs="Times New Roman"/>
          <w:sz w:val="24"/>
          <w:szCs w:val="24"/>
        </w:rPr>
        <w:t xml:space="preserve"> takes a more restrictive approach to </w:t>
      </w:r>
      <w:r w:rsidR="00543861">
        <w:rPr>
          <w:rFonts w:ascii="Times New Roman" w:hAnsi="Times New Roman" w:cs="Times New Roman"/>
          <w:sz w:val="24"/>
          <w:szCs w:val="24"/>
        </w:rPr>
        <w:t xml:space="preserve">the </w:t>
      </w:r>
      <w:r w:rsidR="00753BFB">
        <w:rPr>
          <w:rFonts w:ascii="Times New Roman" w:hAnsi="Times New Roman" w:cs="Times New Roman"/>
          <w:sz w:val="24"/>
          <w:szCs w:val="24"/>
        </w:rPr>
        <w:t>validity</w:t>
      </w:r>
      <w:r w:rsidR="00543861">
        <w:rPr>
          <w:rFonts w:ascii="Times New Roman" w:hAnsi="Times New Roman" w:cs="Times New Roman"/>
          <w:sz w:val="24"/>
          <w:szCs w:val="24"/>
        </w:rPr>
        <w:t xml:space="preserve"> of trusts</w:t>
      </w:r>
      <w:r w:rsidR="00753BFB">
        <w:rPr>
          <w:rFonts w:ascii="Times New Roman" w:hAnsi="Times New Roman" w:cs="Times New Roman"/>
          <w:sz w:val="24"/>
          <w:szCs w:val="24"/>
        </w:rPr>
        <w:t xml:space="preserve"> than</w:t>
      </w:r>
      <w:r w:rsidR="00543861">
        <w:rPr>
          <w:rFonts w:ascii="Times New Roman" w:hAnsi="Times New Roman" w:cs="Times New Roman"/>
          <w:sz w:val="24"/>
          <w:szCs w:val="24"/>
        </w:rPr>
        <w:t xml:space="preserve"> that taken by</w:t>
      </w:r>
      <w:r w:rsidR="00753BFB">
        <w:rPr>
          <w:rFonts w:ascii="Times New Roman" w:hAnsi="Times New Roman" w:cs="Times New Roman"/>
          <w:sz w:val="24"/>
          <w:szCs w:val="24"/>
        </w:rPr>
        <w:t xml:space="preserve"> English law.</w:t>
      </w:r>
      <w:r w:rsidR="00543861">
        <w:rPr>
          <w:rStyle w:val="FootnoteReference"/>
          <w:rFonts w:ascii="Times New Roman" w:hAnsi="Times New Roman" w:cs="Times New Roman"/>
          <w:sz w:val="24"/>
          <w:szCs w:val="24"/>
        </w:rPr>
        <w:footnoteReference w:id="8"/>
      </w:r>
      <w:r w:rsidR="00543861">
        <w:rPr>
          <w:rFonts w:ascii="Times New Roman" w:hAnsi="Times New Roman" w:cs="Times New Roman"/>
          <w:sz w:val="24"/>
          <w:szCs w:val="24"/>
        </w:rPr>
        <w:t xml:space="preserve"> </w:t>
      </w:r>
    </w:p>
    <w:p w:rsidR="00197D47" w:rsidRPr="00F96C79" w:rsidRDefault="00660EC4" w:rsidP="00197D47">
      <w:pPr>
        <w:spacing w:after="0"/>
        <w:jc w:val="both"/>
        <w:rPr>
          <w:rFonts w:ascii="Times New Roman" w:hAnsi="Times New Roman" w:cs="Times New Roman"/>
          <w:sz w:val="24"/>
          <w:szCs w:val="24"/>
        </w:rPr>
      </w:pPr>
      <w:r>
        <w:rPr>
          <w:rFonts w:ascii="Times New Roman" w:hAnsi="Times New Roman" w:cs="Times New Roman"/>
          <w:sz w:val="24"/>
          <w:szCs w:val="24"/>
        </w:rPr>
        <w:t xml:space="preserve">     In the second part of this article</w:t>
      </w:r>
      <w:r w:rsidR="00A51341">
        <w:rPr>
          <w:rFonts w:ascii="Times New Roman" w:hAnsi="Times New Roman" w:cs="Times New Roman"/>
          <w:sz w:val="24"/>
          <w:szCs w:val="24"/>
        </w:rPr>
        <w:t xml:space="preserve">, I will </w:t>
      </w:r>
      <w:r w:rsidR="00197D47">
        <w:rPr>
          <w:rFonts w:ascii="Times New Roman" w:hAnsi="Times New Roman" w:cs="Times New Roman"/>
          <w:sz w:val="24"/>
          <w:szCs w:val="24"/>
        </w:rPr>
        <w:t>consider</w:t>
      </w:r>
      <w:r w:rsidR="00A51341">
        <w:rPr>
          <w:rFonts w:ascii="Times New Roman" w:hAnsi="Times New Roman" w:cs="Times New Roman"/>
          <w:sz w:val="24"/>
          <w:szCs w:val="24"/>
        </w:rPr>
        <w:t xml:space="preserve"> bl</w:t>
      </w:r>
      <w:r>
        <w:rPr>
          <w:rFonts w:ascii="Times New Roman" w:hAnsi="Times New Roman" w:cs="Times New Roman"/>
          <w:sz w:val="24"/>
          <w:szCs w:val="24"/>
        </w:rPr>
        <w:t>ack hole trusts</w:t>
      </w:r>
      <w:r w:rsidR="009740E2">
        <w:rPr>
          <w:rFonts w:ascii="Times New Roman" w:hAnsi="Times New Roman" w:cs="Times New Roman"/>
          <w:sz w:val="24"/>
          <w:szCs w:val="24"/>
        </w:rPr>
        <w:t xml:space="preserve"> generally</w:t>
      </w:r>
      <w:r>
        <w:rPr>
          <w:rFonts w:ascii="Times New Roman" w:hAnsi="Times New Roman" w:cs="Times New Roman"/>
          <w:sz w:val="24"/>
          <w:szCs w:val="24"/>
        </w:rPr>
        <w:t xml:space="preserve">, the style of trust used in the </w:t>
      </w:r>
      <w:r>
        <w:rPr>
          <w:rFonts w:ascii="Times New Roman" w:hAnsi="Times New Roman" w:cs="Times New Roman"/>
          <w:i/>
          <w:sz w:val="24"/>
          <w:szCs w:val="24"/>
        </w:rPr>
        <w:t>Exeter c</w:t>
      </w:r>
      <w:r>
        <w:rPr>
          <w:rFonts w:ascii="Times New Roman" w:hAnsi="Times New Roman" w:cs="Times New Roman"/>
          <w:sz w:val="24"/>
          <w:szCs w:val="24"/>
        </w:rPr>
        <w:t>ase,</w:t>
      </w:r>
      <w:r w:rsidR="009740E2">
        <w:rPr>
          <w:rFonts w:ascii="Times New Roman" w:hAnsi="Times New Roman" w:cs="Times New Roman"/>
          <w:sz w:val="24"/>
          <w:szCs w:val="24"/>
        </w:rPr>
        <w:t xml:space="preserve"> focussing on the extent to which such trusts possess the necessary</w:t>
      </w:r>
      <w:r w:rsidR="00197D47">
        <w:rPr>
          <w:rFonts w:ascii="Times New Roman" w:hAnsi="Times New Roman" w:cs="Times New Roman"/>
          <w:sz w:val="24"/>
          <w:szCs w:val="24"/>
        </w:rPr>
        <w:t xml:space="preserve"> legal characteristic</w:t>
      </w:r>
      <w:r w:rsidR="00A313E1">
        <w:rPr>
          <w:rFonts w:ascii="Times New Roman" w:hAnsi="Times New Roman" w:cs="Times New Roman"/>
          <w:sz w:val="24"/>
          <w:szCs w:val="24"/>
        </w:rPr>
        <w:t xml:space="preserve"> of</w:t>
      </w:r>
      <w:r w:rsidR="00CC1794">
        <w:rPr>
          <w:rFonts w:ascii="Times New Roman" w:hAnsi="Times New Roman" w:cs="Times New Roman"/>
          <w:sz w:val="24"/>
          <w:szCs w:val="24"/>
        </w:rPr>
        <w:t xml:space="preserve"> </w:t>
      </w:r>
      <w:r w:rsidR="009740E2" w:rsidRPr="009740E2">
        <w:rPr>
          <w:rFonts w:ascii="Times New Roman" w:hAnsi="Times New Roman" w:cs="Times New Roman"/>
          <w:i/>
          <w:sz w:val="24"/>
          <w:szCs w:val="24"/>
        </w:rPr>
        <w:t>enforceability</w:t>
      </w:r>
      <w:r w:rsidR="009740E2">
        <w:rPr>
          <w:rFonts w:ascii="Times New Roman" w:hAnsi="Times New Roman" w:cs="Times New Roman"/>
          <w:sz w:val="24"/>
          <w:szCs w:val="24"/>
        </w:rPr>
        <w:t xml:space="preserve"> by</w:t>
      </w:r>
      <w:r w:rsidR="00197D47">
        <w:rPr>
          <w:rFonts w:ascii="Times New Roman" w:hAnsi="Times New Roman" w:cs="Times New Roman"/>
          <w:sz w:val="24"/>
          <w:szCs w:val="24"/>
        </w:rPr>
        <w:t xml:space="preserve"> the beneficiaries.</w:t>
      </w:r>
      <w:r w:rsidR="00213421">
        <w:rPr>
          <w:rStyle w:val="FootnoteReference"/>
          <w:rFonts w:ascii="Times New Roman" w:hAnsi="Times New Roman" w:cs="Times New Roman"/>
          <w:sz w:val="24"/>
          <w:szCs w:val="24"/>
        </w:rPr>
        <w:footnoteReference w:id="9"/>
      </w:r>
      <w:r w:rsidR="00197D47">
        <w:rPr>
          <w:rFonts w:ascii="Times New Roman" w:hAnsi="Times New Roman" w:cs="Times New Roman"/>
          <w:sz w:val="24"/>
          <w:szCs w:val="24"/>
        </w:rPr>
        <w:t xml:space="preserve"> </w:t>
      </w:r>
      <w:r w:rsidR="009740E2">
        <w:rPr>
          <w:rFonts w:ascii="Times New Roman" w:hAnsi="Times New Roman" w:cs="Times New Roman"/>
          <w:sz w:val="24"/>
          <w:szCs w:val="24"/>
        </w:rPr>
        <w:t>Without this element, they are mere technical devices and not trusts at all. Black hole</w:t>
      </w:r>
      <w:r>
        <w:rPr>
          <w:rFonts w:ascii="Times New Roman" w:hAnsi="Times New Roman" w:cs="Times New Roman"/>
          <w:sz w:val="24"/>
          <w:szCs w:val="24"/>
        </w:rPr>
        <w:t xml:space="preserve"> trusts are used throughout the</w:t>
      </w:r>
      <w:r w:rsidRPr="00112BFD">
        <w:rPr>
          <w:rFonts w:ascii="Times New Roman" w:hAnsi="Times New Roman" w:cs="Times New Roman"/>
          <w:sz w:val="24"/>
          <w:szCs w:val="24"/>
        </w:rPr>
        <w:t xml:space="preserve"> offshore financial industry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Although they can attract rogue</w:t>
      </w:r>
      <w:r w:rsidR="009740E2">
        <w:rPr>
          <w:rFonts w:ascii="Times New Roman" w:hAnsi="Times New Roman" w:cs="Times New Roman"/>
          <w:sz w:val="24"/>
          <w:szCs w:val="24"/>
        </w:rPr>
        <w:t>s</w:t>
      </w:r>
      <w:r>
        <w:rPr>
          <w:rFonts w:ascii="Times New Roman" w:hAnsi="Times New Roman" w:cs="Times New Roman"/>
          <w:sz w:val="24"/>
          <w:szCs w:val="24"/>
        </w:rPr>
        <w:t>, there are situations in which they provide a legitimate benefit</w:t>
      </w:r>
      <w:r w:rsidR="009740E2">
        <w:rPr>
          <w:rFonts w:ascii="Times New Roman" w:hAnsi="Times New Roman" w:cs="Times New Roman"/>
          <w:sz w:val="24"/>
          <w:szCs w:val="24"/>
        </w:rPr>
        <w:t xml:space="preserve"> to settlors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5B662A">
        <w:rPr>
          <w:rFonts w:ascii="Times New Roman" w:hAnsi="Times New Roman" w:cs="Times New Roman"/>
          <w:sz w:val="24"/>
          <w:szCs w:val="24"/>
        </w:rPr>
        <w:t>As the Jersey Law Commission observes, t</w:t>
      </w:r>
      <w:r w:rsidR="00A51341">
        <w:rPr>
          <w:rFonts w:ascii="Times New Roman" w:hAnsi="Times New Roman" w:cs="Times New Roman"/>
          <w:sz w:val="24"/>
          <w:szCs w:val="24"/>
        </w:rPr>
        <w:t>he law should not facilitate</w:t>
      </w:r>
      <w:r w:rsidR="00A51341" w:rsidRPr="00112BFD">
        <w:rPr>
          <w:rFonts w:ascii="Times New Roman" w:hAnsi="Times New Roman" w:cs="Times New Roman"/>
          <w:sz w:val="24"/>
          <w:szCs w:val="24"/>
        </w:rPr>
        <w:t xml:space="preserve"> “the instigation of trusts which are merely devices, or which cannot be </w:t>
      </w:r>
      <w:r w:rsidR="00A51341" w:rsidRPr="00112BFD">
        <w:rPr>
          <w:rFonts w:ascii="Times New Roman" w:hAnsi="Times New Roman" w:cs="Times New Roman"/>
          <w:sz w:val="24"/>
          <w:szCs w:val="24"/>
        </w:rPr>
        <w:lastRenderedPageBreak/>
        <w:t>effectively enforced”</w:t>
      </w:r>
      <w:r w:rsidR="00A51341">
        <w:rPr>
          <w:rFonts w:ascii="Times New Roman" w:hAnsi="Times New Roman" w:cs="Times New Roman"/>
          <w:sz w:val="24"/>
          <w:szCs w:val="24"/>
        </w:rPr>
        <w:t>.</w:t>
      </w:r>
      <w:r w:rsidR="00A51341" w:rsidRPr="00112BFD">
        <w:rPr>
          <w:rStyle w:val="FootnoteReference"/>
          <w:rFonts w:ascii="Times New Roman" w:hAnsi="Times New Roman" w:cs="Times New Roman"/>
          <w:sz w:val="24"/>
          <w:szCs w:val="24"/>
        </w:rPr>
        <w:footnoteReference w:id="12"/>
      </w:r>
      <w:r w:rsidR="00A51341">
        <w:rPr>
          <w:rFonts w:ascii="Times New Roman" w:hAnsi="Times New Roman" w:cs="Times New Roman"/>
          <w:sz w:val="24"/>
          <w:szCs w:val="24"/>
        </w:rPr>
        <w:t xml:space="preserve"> </w:t>
      </w:r>
      <w:r w:rsidR="005B662A">
        <w:rPr>
          <w:rFonts w:ascii="Times New Roman" w:hAnsi="Times New Roman" w:cs="Times New Roman"/>
          <w:sz w:val="24"/>
          <w:szCs w:val="24"/>
        </w:rPr>
        <w:t>The Island</w:t>
      </w:r>
      <w:r w:rsidR="00253C95" w:rsidRPr="00F96C79">
        <w:rPr>
          <w:rFonts w:ascii="Times New Roman" w:hAnsi="Times New Roman" w:cs="Times New Roman"/>
          <w:sz w:val="24"/>
          <w:szCs w:val="24"/>
        </w:rPr>
        <w:t xml:space="preserve"> has a commitment to integrity in</w:t>
      </w:r>
      <w:r w:rsidR="003B614B">
        <w:rPr>
          <w:rFonts w:ascii="Times New Roman" w:hAnsi="Times New Roman" w:cs="Times New Roman"/>
          <w:sz w:val="24"/>
          <w:szCs w:val="24"/>
        </w:rPr>
        <w:t xml:space="preserve"> its trust law and seeks to ensure that Jersey trusts are</w:t>
      </w:r>
      <w:r w:rsidR="00253C95" w:rsidRPr="00F96C79">
        <w:rPr>
          <w:rFonts w:ascii="Times New Roman" w:hAnsi="Times New Roman" w:cs="Times New Roman"/>
          <w:sz w:val="24"/>
          <w:szCs w:val="24"/>
        </w:rPr>
        <w:t xml:space="preserve"> practical</w:t>
      </w:r>
      <w:r w:rsidR="003B614B">
        <w:rPr>
          <w:rFonts w:ascii="Times New Roman" w:hAnsi="Times New Roman" w:cs="Times New Roman"/>
          <w:sz w:val="24"/>
          <w:szCs w:val="24"/>
        </w:rPr>
        <w:t>ly</w:t>
      </w:r>
      <w:r w:rsidR="00253C95" w:rsidRPr="00F96C79">
        <w:rPr>
          <w:rFonts w:ascii="Times New Roman" w:hAnsi="Times New Roman" w:cs="Times New Roman"/>
          <w:sz w:val="24"/>
          <w:szCs w:val="24"/>
        </w:rPr>
        <w:t xml:space="preserve"> </w:t>
      </w:r>
      <w:r w:rsidR="003B614B">
        <w:rPr>
          <w:rFonts w:ascii="Times New Roman" w:hAnsi="Times New Roman" w:cs="Times New Roman"/>
          <w:sz w:val="24"/>
          <w:szCs w:val="24"/>
        </w:rPr>
        <w:t xml:space="preserve">enforceable by the beneficiaries. </w:t>
      </w:r>
      <w:r w:rsidR="00F61E6B">
        <w:rPr>
          <w:rFonts w:ascii="Times New Roman" w:hAnsi="Times New Roman" w:cs="Times New Roman"/>
          <w:sz w:val="24"/>
          <w:szCs w:val="24"/>
        </w:rPr>
        <w:t>Therefore, o</w:t>
      </w:r>
      <w:r w:rsidR="003B614B">
        <w:rPr>
          <w:rFonts w:ascii="Times New Roman" w:hAnsi="Times New Roman" w:cs="Times New Roman"/>
          <w:sz w:val="24"/>
          <w:szCs w:val="24"/>
        </w:rPr>
        <w:t>ne should locate the minimum level at which t</w:t>
      </w:r>
      <w:r w:rsidR="00197D47">
        <w:rPr>
          <w:rFonts w:ascii="Times New Roman" w:hAnsi="Times New Roman" w:cs="Times New Roman"/>
          <w:sz w:val="24"/>
          <w:szCs w:val="24"/>
        </w:rPr>
        <w:t>rustees should</w:t>
      </w:r>
      <w:r w:rsidR="00A313E1">
        <w:rPr>
          <w:rFonts w:ascii="Times New Roman" w:hAnsi="Times New Roman" w:cs="Times New Roman"/>
          <w:sz w:val="24"/>
          <w:szCs w:val="24"/>
        </w:rPr>
        <w:t xml:space="preserve"> </w:t>
      </w:r>
      <w:r w:rsidR="00197D47">
        <w:rPr>
          <w:rFonts w:ascii="Times New Roman" w:hAnsi="Times New Roman" w:cs="Times New Roman"/>
          <w:sz w:val="24"/>
          <w:szCs w:val="24"/>
        </w:rPr>
        <w:t xml:space="preserve">be </w:t>
      </w:r>
      <w:r w:rsidR="00253C95" w:rsidRPr="00F96C79">
        <w:rPr>
          <w:rFonts w:ascii="Times New Roman" w:hAnsi="Times New Roman" w:cs="Times New Roman"/>
          <w:sz w:val="24"/>
          <w:szCs w:val="24"/>
        </w:rPr>
        <w:t>required to account to th</w:t>
      </w:r>
      <w:r w:rsidR="00A313E1">
        <w:rPr>
          <w:rFonts w:ascii="Times New Roman" w:hAnsi="Times New Roman" w:cs="Times New Roman"/>
          <w:sz w:val="24"/>
          <w:szCs w:val="24"/>
        </w:rPr>
        <w:t>e beneficiaries under the trust, and this accountability should be a practical reality and fully re</w:t>
      </w:r>
      <w:r w:rsidR="009740E2">
        <w:rPr>
          <w:rFonts w:ascii="Times New Roman" w:hAnsi="Times New Roman" w:cs="Times New Roman"/>
          <w:sz w:val="24"/>
          <w:szCs w:val="24"/>
        </w:rPr>
        <w:t>alisable</w:t>
      </w:r>
      <w:r w:rsidR="00A313E1">
        <w:rPr>
          <w:rFonts w:ascii="Times New Roman" w:hAnsi="Times New Roman" w:cs="Times New Roman"/>
          <w:sz w:val="24"/>
          <w:szCs w:val="24"/>
        </w:rPr>
        <w:t>.</w:t>
      </w:r>
      <w:r w:rsidR="00A51341">
        <w:rPr>
          <w:rStyle w:val="FootnoteReference"/>
          <w:rFonts w:ascii="Times New Roman" w:hAnsi="Times New Roman" w:cs="Times New Roman"/>
          <w:sz w:val="24"/>
          <w:szCs w:val="24"/>
        </w:rPr>
        <w:footnoteReference w:id="13"/>
      </w:r>
      <w:r w:rsidR="00197D47">
        <w:rPr>
          <w:rFonts w:ascii="Times New Roman" w:hAnsi="Times New Roman" w:cs="Times New Roman"/>
          <w:sz w:val="24"/>
          <w:szCs w:val="24"/>
        </w:rPr>
        <w:t xml:space="preserve"> </w:t>
      </w:r>
      <w:r w:rsidR="003B614B">
        <w:rPr>
          <w:rFonts w:ascii="Times New Roman" w:hAnsi="Times New Roman" w:cs="Times New Roman"/>
          <w:sz w:val="24"/>
          <w:szCs w:val="24"/>
        </w:rPr>
        <w:t>T</w:t>
      </w:r>
      <w:r w:rsidR="005B662A">
        <w:rPr>
          <w:rFonts w:ascii="Times New Roman" w:hAnsi="Times New Roman" w:cs="Times New Roman"/>
          <w:sz w:val="24"/>
          <w:szCs w:val="24"/>
        </w:rPr>
        <w:t xml:space="preserve">his article </w:t>
      </w:r>
      <w:r w:rsidR="00197D47">
        <w:rPr>
          <w:rFonts w:ascii="Times New Roman" w:hAnsi="Times New Roman" w:cs="Times New Roman"/>
          <w:sz w:val="24"/>
          <w:szCs w:val="24"/>
        </w:rPr>
        <w:t>consider</w:t>
      </w:r>
      <w:r w:rsidR="005B662A">
        <w:rPr>
          <w:rFonts w:ascii="Times New Roman" w:hAnsi="Times New Roman" w:cs="Times New Roman"/>
          <w:sz w:val="24"/>
          <w:szCs w:val="24"/>
        </w:rPr>
        <w:t>s</w:t>
      </w:r>
      <w:r w:rsidR="00197D47">
        <w:rPr>
          <w:rFonts w:ascii="Times New Roman" w:hAnsi="Times New Roman" w:cs="Times New Roman"/>
          <w:sz w:val="24"/>
          <w:szCs w:val="24"/>
        </w:rPr>
        <w:t xml:space="preserve"> </w:t>
      </w:r>
      <w:r w:rsidR="00A313E1">
        <w:rPr>
          <w:rFonts w:ascii="Times New Roman" w:hAnsi="Times New Roman" w:cs="Times New Roman"/>
          <w:sz w:val="24"/>
          <w:szCs w:val="24"/>
        </w:rPr>
        <w:t>whether</w:t>
      </w:r>
      <w:r w:rsidR="00197D47">
        <w:rPr>
          <w:rFonts w:ascii="Times New Roman" w:hAnsi="Times New Roman" w:cs="Times New Roman"/>
          <w:sz w:val="24"/>
          <w:szCs w:val="24"/>
        </w:rPr>
        <w:t xml:space="preserve"> black hole</w:t>
      </w:r>
      <w:r w:rsidR="00197D47" w:rsidRPr="00F96C79">
        <w:rPr>
          <w:rFonts w:ascii="Times New Roman" w:hAnsi="Times New Roman" w:cs="Times New Roman"/>
          <w:sz w:val="24"/>
          <w:szCs w:val="24"/>
        </w:rPr>
        <w:t xml:space="preserve"> trusts</w:t>
      </w:r>
      <w:r w:rsidR="00F61E6B">
        <w:rPr>
          <w:rFonts w:ascii="Times New Roman" w:hAnsi="Times New Roman" w:cs="Times New Roman"/>
          <w:sz w:val="24"/>
          <w:szCs w:val="24"/>
        </w:rPr>
        <w:t xml:space="preserve"> bear this</w:t>
      </w:r>
      <w:r w:rsidR="009740E2">
        <w:rPr>
          <w:rFonts w:ascii="Times New Roman" w:hAnsi="Times New Roman" w:cs="Times New Roman"/>
          <w:sz w:val="24"/>
          <w:szCs w:val="24"/>
        </w:rPr>
        <w:t xml:space="preserve"> core legal characteristic of enforceability and accountability.</w:t>
      </w:r>
      <w:r w:rsidR="00197D47" w:rsidRPr="00F96C79">
        <w:rPr>
          <w:rStyle w:val="FootnoteReference"/>
          <w:rFonts w:ascii="Times New Roman" w:hAnsi="Times New Roman" w:cs="Times New Roman"/>
          <w:sz w:val="24"/>
          <w:szCs w:val="24"/>
        </w:rPr>
        <w:footnoteReference w:id="14"/>
      </w:r>
      <w:r w:rsidR="00197D47" w:rsidRPr="00F96C79">
        <w:rPr>
          <w:rFonts w:ascii="Times New Roman" w:hAnsi="Times New Roman" w:cs="Times New Roman"/>
          <w:sz w:val="24"/>
          <w:szCs w:val="24"/>
        </w:rPr>
        <w:t xml:space="preserve"> </w:t>
      </w:r>
    </w:p>
    <w:p w:rsidR="00D15CDB" w:rsidRDefault="00D15CDB" w:rsidP="004E1000">
      <w:pPr>
        <w:spacing w:after="0"/>
        <w:ind w:left="720"/>
        <w:jc w:val="both"/>
        <w:rPr>
          <w:rFonts w:ascii="Times New Roman" w:hAnsi="Times New Roman" w:cs="Times New Roman"/>
          <w:sz w:val="24"/>
          <w:szCs w:val="24"/>
        </w:rPr>
      </w:pPr>
    </w:p>
    <w:p w:rsidR="00213421" w:rsidRDefault="00213421" w:rsidP="004E1000">
      <w:pPr>
        <w:spacing w:after="0"/>
        <w:ind w:left="720"/>
        <w:jc w:val="both"/>
        <w:rPr>
          <w:rFonts w:ascii="Times New Roman" w:hAnsi="Times New Roman" w:cs="Times New Roman"/>
          <w:sz w:val="24"/>
          <w:szCs w:val="24"/>
        </w:rPr>
      </w:pPr>
    </w:p>
    <w:p w:rsidR="000B3C59" w:rsidRDefault="000B3C59" w:rsidP="000B3C59">
      <w:pPr>
        <w:spacing w:after="0"/>
        <w:jc w:val="both"/>
        <w:rPr>
          <w:rFonts w:ascii="Times New Roman" w:hAnsi="Times New Roman" w:cs="Times New Roman"/>
          <w:sz w:val="24"/>
          <w:szCs w:val="24"/>
        </w:rPr>
      </w:pPr>
      <w:r>
        <w:rPr>
          <w:rFonts w:ascii="Times New Roman" w:hAnsi="Times New Roman" w:cs="Times New Roman"/>
          <w:b/>
          <w:sz w:val="28"/>
          <w:szCs w:val="28"/>
        </w:rPr>
        <w:t xml:space="preserve">A. </w:t>
      </w:r>
      <w:r w:rsidRPr="002F0DEB">
        <w:rPr>
          <w:rFonts w:ascii="Times New Roman" w:hAnsi="Times New Roman" w:cs="Times New Roman"/>
          <w:b/>
          <w:i/>
          <w:sz w:val="28"/>
          <w:szCs w:val="28"/>
        </w:rPr>
        <w:t>The Exeter Settlement</w:t>
      </w:r>
    </w:p>
    <w:p w:rsidR="000B3C59" w:rsidRPr="000B3C59" w:rsidRDefault="000B3C59" w:rsidP="002D0D42">
      <w:pPr>
        <w:spacing w:after="0"/>
        <w:jc w:val="both"/>
        <w:rPr>
          <w:rFonts w:ascii="Times New Roman" w:hAnsi="Times New Roman" w:cs="Times New Roman"/>
          <w:sz w:val="16"/>
          <w:szCs w:val="16"/>
        </w:rPr>
      </w:pPr>
    </w:p>
    <w:p w:rsidR="000B3C59" w:rsidRPr="000B3C59" w:rsidRDefault="000B3C59" w:rsidP="000B3C59">
      <w:pPr>
        <w:spacing w:after="0"/>
        <w:ind w:left="720"/>
        <w:jc w:val="both"/>
        <w:rPr>
          <w:rFonts w:ascii="Times New Roman" w:hAnsi="Times New Roman" w:cs="Times New Roman"/>
          <w:sz w:val="24"/>
          <w:szCs w:val="24"/>
          <w:u w:val="single"/>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Black hole trusts</w:t>
      </w:r>
    </w:p>
    <w:p w:rsidR="000B3C59" w:rsidRPr="000B3C59" w:rsidRDefault="000B3C59" w:rsidP="002D0D42">
      <w:pPr>
        <w:spacing w:after="0"/>
        <w:jc w:val="both"/>
        <w:rPr>
          <w:rFonts w:ascii="Times New Roman" w:hAnsi="Times New Roman" w:cs="Times New Roman"/>
          <w:sz w:val="16"/>
          <w:szCs w:val="16"/>
        </w:rPr>
      </w:pPr>
    </w:p>
    <w:p w:rsidR="0099341D" w:rsidRDefault="009E1AC8" w:rsidP="002D0D42">
      <w:pPr>
        <w:spacing w:after="0"/>
        <w:jc w:val="both"/>
        <w:rPr>
          <w:rFonts w:ascii="Times New Roman" w:hAnsi="Times New Roman" w:cs="Times New Roman"/>
          <w:sz w:val="24"/>
          <w:szCs w:val="24"/>
        </w:rPr>
      </w:pPr>
      <w:r>
        <w:rPr>
          <w:rFonts w:ascii="Times New Roman" w:hAnsi="Times New Roman" w:cs="Times New Roman"/>
          <w:sz w:val="24"/>
          <w:szCs w:val="24"/>
        </w:rPr>
        <w:t>To analyse</w:t>
      </w:r>
      <w:r w:rsidR="008B0F85">
        <w:rPr>
          <w:rFonts w:ascii="Times New Roman" w:hAnsi="Times New Roman" w:cs="Times New Roman"/>
          <w:sz w:val="24"/>
          <w:szCs w:val="24"/>
        </w:rPr>
        <w:t xml:space="preserve"> the basis of the decision in </w:t>
      </w:r>
      <w:r w:rsidR="008B0F85">
        <w:rPr>
          <w:rFonts w:ascii="Times New Roman" w:hAnsi="Times New Roman" w:cs="Times New Roman"/>
          <w:i/>
          <w:sz w:val="24"/>
          <w:szCs w:val="24"/>
        </w:rPr>
        <w:t>The Exeter Settlement</w:t>
      </w:r>
      <w:r w:rsidR="008B0F85">
        <w:rPr>
          <w:rFonts w:ascii="Times New Roman" w:hAnsi="Times New Roman" w:cs="Times New Roman"/>
          <w:sz w:val="24"/>
          <w:szCs w:val="24"/>
        </w:rPr>
        <w:t>, it is firstly necessary to consider some background on the</w:t>
      </w:r>
      <w:r w:rsidR="00FD5258">
        <w:rPr>
          <w:rFonts w:ascii="Times New Roman" w:hAnsi="Times New Roman" w:cs="Times New Roman"/>
          <w:sz w:val="24"/>
          <w:szCs w:val="24"/>
        </w:rPr>
        <w:t xml:space="preserve"> structure of black hole trusts</w:t>
      </w:r>
      <w:r w:rsidR="00F96C79">
        <w:rPr>
          <w:rFonts w:ascii="Times New Roman" w:hAnsi="Times New Roman" w:cs="Times New Roman"/>
          <w:sz w:val="24"/>
          <w:szCs w:val="24"/>
        </w:rPr>
        <w:t>.</w:t>
      </w:r>
      <w:r w:rsidR="008B0F85">
        <w:rPr>
          <w:rFonts w:ascii="Times New Roman" w:hAnsi="Times New Roman" w:cs="Times New Roman"/>
          <w:sz w:val="24"/>
          <w:szCs w:val="24"/>
        </w:rPr>
        <w:t xml:space="preserve"> </w:t>
      </w:r>
      <w:r w:rsidR="00220A5C">
        <w:rPr>
          <w:rFonts w:ascii="Times New Roman" w:hAnsi="Times New Roman" w:cs="Times New Roman"/>
          <w:sz w:val="24"/>
          <w:szCs w:val="24"/>
        </w:rPr>
        <w:t>Black hole</w:t>
      </w:r>
      <w:r w:rsidR="009A1C2D">
        <w:rPr>
          <w:rFonts w:ascii="Times New Roman" w:hAnsi="Times New Roman" w:cs="Times New Roman"/>
          <w:sz w:val="24"/>
          <w:szCs w:val="24"/>
        </w:rPr>
        <w:t xml:space="preserve"> trusts</w:t>
      </w:r>
      <w:r w:rsidR="00647F21">
        <w:rPr>
          <w:rFonts w:ascii="Times New Roman" w:hAnsi="Times New Roman" w:cs="Times New Roman"/>
          <w:sz w:val="24"/>
          <w:szCs w:val="24"/>
        </w:rPr>
        <w:t xml:space="preserve"> have</w:t>
      </w:r>
      <w:r w:rsidR="00D15DED">
        <w:rPr>
          <w:rFonts w:ascii="Times New Roman" w:hAnsi="Times New Roman" w:cs="Times New Roman"/>
          <w:sz w:val="24"/>
          <w:szCs w:val="24"/>
        </w:rPr>
        <w:t xml:space="preserve"> certain</w:t>
      </w:r>
      <w:r w:rsidR="00647F21">
        <w:rPr>
          <w:rFonts w:ascii="Times New Roman" w:hAnsi="Times New Roman" w:cs="Times New Roman"/>
          <w:sz w:val="24"/>
          <w:szCs w:val="24"/>
        </w:rPr>
        <w:t xml:space="preserve"> </w:t>
      </w:r>
      <w:r w:rsidR="00786F9D">
        <w:rPr>
          <w:rFonts w:ascii="Times New Roman" w:hAnsi="Times New Roman" w:cs="Times New Roman"/>
          <w:sz w:val="24"/>
          <w:szCs w:val="24"/>
        </w:rPr>
        <w:t xml:space="preserve">characteristic elements: </w:t>
      </w:r>
      <w:r w:rsidR="00112BFD">
        <w:rPr>
          <w:rFonts w:ascii="Times New Roman" w:hAnsi="Times New Roman" w:cs="Times New Roman"/>
          <w:sz w:val="24"/>
          <w:szCs w:val="24"/>
        </w:rPr>
        <w:t>T</w:t>
      </w:r>
      <w:r w:rsidR="00786F9D">
        <w:rPr>
          <w:rFonts w:ascii="Times New Roman" w:hAnsi="Times New Roman" w:cs="Times New Roman"/>
          <w:sz w:val="24"/>
          <w:szCs w:val="24"/>
        </w:rPr>
        <w:t>here are</w:t>
      </w:r>
      <w:r w:rsidR="00AB1EF4">
        <w:rPr>
          <w:rFonts w:ascii="Times New Roman" w:hAnsi="Times New Roman" w:cs="Times New Roman"/>
          <w:sz w:val="24"/>
          <w:szCs w:val="24"/>
        </w:rPr>
        <w:t xml:space="preserve"> initially</w:t>
      </w:r>
      <w:r w:rsidR="00786F9D">
        <w:rPr>
          <w:rFonts w:ascii="Times New Roman" w:hAnsi="Times New Roman" w:cs="Times New Roman"/>
          <w:sz w:val="24"/>
          <w:szCs w:val="24"/>
        </w:rPr>
        <w:t xml:space="preserve"> no named</w:t>
      </w:r>
      <w:r>
        <w:rPr>
          <w:rFonts w:ascii="Times New Roman" w:hAnsi="Times New Roman" w:cs="Times New Roman"/>
          <w:sz w:val="24"/>
          <w:szCs w:val="24"/>
        </w:rPr>
        <w:t xml:space="preserve"> primary</w:t>
      </w:r>
      <w:r w:rsidR="00786F9D">
        <w:rPr>
          <w:rFonts w:ascii="Times New Roman" w:hAnsi="Times New Roman" w:cs="Times New Roman"/>
          <w:sz w:val="24"/>
          <w:szCs w:val="24"/>
        </w:rPr>
        <w:t xml:space="preserve"> beneficiaries</w:t>
      </w:r>
      <w:r w:rsidR="009A1C2D">
        <w:rPr>
          <w:rFonts w:ascii="Times New Roman" w:hAnsi="Times New Roman" w:cs="Times New Roman"/>
          <w:sz w:val="24"/>
          <w:szCs w:val="24"/>
        </w:rPr>
        <w:t xml:space="preserve">, </w:t>
      </w:r>
      <w:r w:rsidR="007C4B05">
        <w:rPr>
          <w:rFonts w:ascii="Times New Roman" w:hAnsi="Times New Roman" w:cs="Times New Roman"/>
          <w:sz w:val="24"/>
          <w:szCs w:val="24"/>
        </w:rPr>
        <w:t>or fewer than</w:t>
      </w:r>
      <w:r w:rsidR="003C1636">
        <w:rPr>
          <w:rFonts w:ascii="Times New Roman" w:hAnsi="Times New Roman" w:cs="Times New Roman"/>
          <w:sz w:val="24"/>
          <w:szCs w:val="24"/>
        </w:rPr>
        <w:t xml:space="preserve"> </w:t>
      </w:r>
      <w:r w:rsidR="007014A3">
        <w:rPr>
          <w:rFonts w:ascii="Times New Roman" w:hAnsi="Times New Roman" w:cs="Times New Roman"/>
          <w:sz w:val="24"/>
          <w:szCs w:val="24"/>
        </w:rPr>
        <w:t xml:space="preserve">intended by the settlor. </w:t>
      </w:r>
      <w:r w:rsidR="00112BFD">
        <w:rPr>
          <w:rFonts w:ascii="Times New Roman" w:hAnsi="Times New Roman" w:cs="Times New Roman"/>
          <w:sz w:val="24"/>
          <w:szCs w:val="24"/>
        </w:rPr>
        <w:t>Trustees are given a wide power of addition</w:t>
      </w:r>
      <w:r w:rsidR="00112BFD" w:rsidRPr="007D7539">
        <w:rPr>
          <w:rFonts w:ascii="Times New Roman" w:hAnsi="Times New Roman" w:cs="Times New Roman"/>
          <w:sz w:val="24"/>
          <w:szCs w:val="24"/>
        </w:rPr>
        <w:t>.</w:t>
      </w:r>
      <w:r w:rsidR="00112BFD">
        <w:rPr>
          <w:rStyle w:val="FootnoteReference"/>
          <w:rFonts w:ascii="Times New Roman" w:hAnsi="Times New Roman" w:cs="Times New Roman"/>
          <w:sz w:val="24"/>
          <w:szCs w:val="24"/>
        </w:rPr>
        <w:footnoteReference w:id="15"/>
      </w:r>
      <w:r w:rsidR="00112BFD" w:rsidRPr="007D7539">
        <w:rPr>
          <w:rFonts w:ascii="Times New Roman" w:hAnsi="Times New Roman" w:cs="Times New Roman"/>
          <w:sz w:val="24"/>
          <w:szCs w:val="24"/>
        </w:rPr>
        <w:t xml:space="preserve"> </w:t>
      </w:r>
      <w:r w:rsidR="00112BFD">
        <w:rPr>
          <w:rFonts w:ascii="Times New Roman" w:hAnsi="Times New Roman" w:cs="Times New Roman"/>
          <w:sz w:val="24"/>
          <w:szCs w:val="24"/>
        </w:rPr>
        <w:t>The power to add and delete beneficiaries from the class of potential objects of a discretionary trust originated from the need to obtain “maximum flexibility” in, for example, tax planning strategies.</w:t>
      </w:r>
      <w:r w:rsidR="00112BFD">
        <w:rPr>
          <w:rStyle w:val="FootnoteReference"/>
          <w:rFonts w:ascii="Times New Roman" w:hAnsi="Times New Roman" w:cs="Times New Roman"/>
          <w:sz w:val="24"/>
          <w:szCs w:val="24"/>
        </w:rPr>
        <w:footnoteReference w:id="16"/>
      </w:r>
      <w:r w:rsidR="00112BFD">
        <w:rPr>
          <w:rFonts w:ascii="Times New Roman" w:hAnsi="Times New Roman" w:cs="Times New Roman"/>
          <w:sz w:val="24"/>
          <w:szCs w:val="24"/>
        </w:rPr>
        <w:t xml:space="preserve"> At the time of the set-up of the trust, the</w:t>
      </w:r>
      <w:r w:rsidR="007014A3">
        <w:rPr>
          <w:rFonts w:ascii="Times New Roman" w:hAnsi="Times New Roman" w:cs="Times New Roman"/>
          <w:sz w:val="24"/>
          <w:szCs w:val="24"/>
        </w:rPr>
        <w:t xml:space="preserve"> settlor names an ultimate default beneficiary, usually </w:t>
      </w:r>
      <w:r w:rsidR="00112BFD">
        <w:rPr>
          <w:rFonts w:ascii="Times New Roman" w:hAnsi="Times New Roman" w:cs="Times New Roman"/>
          <w:sz w:val="24"/>
          <w:szCs w:val="24"/>
        </w:rPr>
        <w:t xml:space="preserve">a charity such as the Red Cross, </w:t>
      </w:r>
      <w:r w:rsidR="00647F21">
        <w:rPr>
          <w:rFonts w:ascii="Times New Roman" w:hAnsi="Times New Roman" w:cs="Times New Roman"/>
          <w:sz w:val="24"/>
          <w:szCs w:val="24"/>
        </w:rPr>
        <w:t>hence the</w:t>
      </w:r>
      <w:r w:rsidR="00220A5C">
        <w:rPr>
          <w:rFonts w:ascii="Times New Roman" w:hAnsi="Times New Roman" w:cs="Times New Roman"/>
          <w:sz w:val="24"/>
          <w:szCs w:val="24"/>
        </w:rPr>
        <w:t xml:space="preserve"> alternative</w:t>
      </w:r>
      <w:r w:rsidR="00647F21">
        <w:rPr>
          <w:rFonts w:ascii="Times New Roman" w:hAnsi="Times New Roman" w:cs="Times New Roman"/>
          <w:sz w:val="24"/>
          <w:szCs w:val="24"/>
        </w:rPr>
        <w:t xml:space="preserve"> name</w:t>
      </w:r>
      <w:r w:rsidR="00112BFD">
        <w:rPr>
          <w:rFonts w:ascii="Times New Roman" w:hAnsi="Times New Roman" w:cs="Times New Roman"/>
          <w:sz w:val="24"/>
          <w:szCs w:val="24"/>
        </w:rPr>
        <w:t xml:space="preserve"> of such trusts Red Cross Trusts</w:t>
      </w:r>
      <w:r w:rsidR="00647F21">
        <w:rPr>
          <w:rFonts w:ascii="Times New Roman" w:hAnsi="Times New Roman" w:cs="Times New Roman"/>
          <w:sz w:val="24"/>
          <w:szCs w:val="24"/>
        </w:rPr>
        <w:t>.</w:t>
      </w:r>
      <w:r w:rsidR="00786F9D">
        <w:rPr>
          <w:rStyle w:val="FootnoteReference"/>
          <w:rFonts w:ascii="Times New Roman" w:hAnsi="Times New Roman" w:cs="Times New Roman"/>
          <w:sz w:val="24"/>
          <w:szCs w:val="24"/>
        </w:rPr>
        <w:footnoteReference w:id="17"/>
      </w:r>
      <w:r w:rsidR="00786F9D">
        <w:rPr>
          <w:rFonts w:ascii="Times New Roman" w:hAnsi="Times New Roman" w:cs="Times New Roman"/>
          <w:sz w:val="24"/>
          <w:szCs w:val="24"/>
        </w:rPr>
        <w:t xml:space="preserve"> </w:t>
      </w:r>
      <w:r w:rsidR="006B75FC">
        <w:rPr>
          <w:rFonts w:ascii="Times New Roman" w:hAnsi="Times New Roman" w:cs="Times New Roman"/>
          <w:sz w:val="24"/>
          <w:szCs w:val="24"/>
        </w:rPr>
        <w:t>The</w:t>
      </w:r>
      <w:r w:rsidR="00B80D56">
        <w:rPr>
          <w:rFonts w:ascii="Times New Roman" w:hAnsi="Times New Roman" w:cs="Times New Roman"/>
          <w:sz w:val="24"/>
          <w:szCs w:val="24"/>
        </w:rPr>
        <w:t xml:space="preserve"> default beneficiaries, the</w:t>
      </w:r>
      <w:r w:rsidR="006B75FC">
        <w:rPr>
          <w:rFonts w:ascii="Times New Roman" w:hAnsi="Times New Roman" w:cs="Times New Roman"/>
          <w:sz w:val="24"/>
          <w:szCs w:val="24"/>
        </w:rPr>
        <w:t xml:space="preserve"> charities</w:t>
      </w:r>
      <w:r w:rsidR="00B80D56">
        <w:rPr>
          <w:rFonts w:ascii="Times New Roman" w:hAnsi="Times New Roman" w:cs="Times New Roman"/>
          <w:sz w:val="24"/>
          <w:szCs w:val="24"/>
        </w:rPr>
        <w:t>,</w:t>
      </w:r>
      <w:r w:rsidR="006B75FC">
        <w:rPr>
          <w:rFonts w:ascii="Times New Roman" w:hAnsi="Times New Roman" w:cs="Times New Roman"/>
          <w:sz w:val="24"/>
          <w:szCs w:val="24"/>
        </w:rPr>
        <w:t xml:space="preserve"> are</w:t>
      </w:r>
      <w:r w:rsidR="003C1636">
        <w:rPr>
          <w:rFonts w:ascii="Times New Roman" w:hAnsi="Times New Roman" w:cs="Times New Roman"/>
          <w:sz w:val="24"/>
          <w:szCs w:val="24"/>
        </w:rPr>
        <w:t xml:space="preserve"> not </w:t>
      </w:r>
      <w:r w:rsidR="003C1636" w:rsidRPr="002D0D42">
        <w:rPr>
          <w:rFonts w:ascii="Times New Roman" w:hAnsi="Times New Roman" w:cs="Times New Roman"/>
          <w:sz w:val="24"/>
          <w:szCs w:val="24"/>
        </w:rPr>
        <w:t xml:space="preserve">usually intended to benefit, or, </w:t>
      </w:r>
      <w:r w:rsidR="006B75FC" w:rsidRPr="002D0D42">
        <w:rPr>
          <w:rFonts w:ascii="Times New Roman" w:hAnsi="Times New Roman" w:cs="Times New Roman"/>
          <w:sz w:val="24"/>
          <w:szCs w:val="24"/>
        </w:rPr>
        <w:t>if they are, it is only as a last resort.</w:t>
      </w:r>
      <w:r w:rsidR="006B75FC" w:rsidRPr="002D0D42">
        <w:rPr>
          <w:rStyle w:val="FootnoteReference"/>
          <w:rFonts w:ascii="Times New Roman" w:hAnsi="Times New Roman" w:cs="Times New Roman"/>
          <w:sz w:val="24"/>
          <w:szCs w:val="24"/>
        </w:rPr>
        <w:footnoteReference w:id="18"/>
      </w:r>
      <w:r w:rsidR="008B0F85">
        <w:rPr>
          <w:rFonts w:ascii="Times New Roman" w:hAnsi="Times New Roman" w:cs="Times New Roman"/>
          <w:sz w:val="24"/>
          <w:szCs w:val="24"/>
        </w:rPr>
        <w:t xml:space="preserve"> </w:t>
      </w:r>
      <w:r w:rsidR="00CF2941" w:rsidRPr="002D0D42">
        <w:rPr>
          <w:rFonts w:ascii="Times New Roman" w:hAnsi="Times New Roman" w:cs="Times New Roman"/>
          <w:sz w:val="24"/>
          <w:szCs w:val="24"/>
        </w:rPr>
        <w:t xml:space="preserve">In </w:t>
      </w:r>
      <w:r w:rsidR="00CF2941" w:rsidRPr="002D0D42">
        <w:rPr>
          <w:rFonts w:ascii="Times New Roman" w:hAnsi="Times New Roman" w:cs="Times New Roman"/>
          <w:i/>
          <w:sz w:val="24"/>
          <w:szCs w:val="24"/>
        </w:rPr>
        <w:t>Re TR Technology Investment Trust plc.</w:t>
      </w:r>
      <w:r w:rsidR="00CF2941" w:rsidRPr="002D0D42">
        <w:rPr>
          <w:rStyle w:val="FootnoteReference"/>
          <w:rFonts w:ascii="Times New Roman" w:hAnsi="Times New Roman" w:cs="Times New Roman"/>
          <w:sz w:val="24"/>
          <w:szCs w:val="24"/>
        </w:rPr>
        <w:footnoteReference w:id="19"/>
      </w:r>
      <w:r w:rsidR="00CF2941" w:rsidRPr="002D0D42">
        <w:rPr>
          <w:rFonts w:ascii="Times New Roman" w:hAnsi="Times New Roman" w:cs="Times New Roman"/>
          <w:i/>
          <w:sz w:val="24"/>
          <w:szCs w:val="24"/>
        </w:rPr>
        <w:t xml:space="preserve"> </w:t>
      </w:r>
      <w:r w:rsidR="00EC1E25">
        <w:rPr>
          <w:rFonts w:ascii="Times New Roman" w:hAnsi="Times New Roman" w:cs="Times New Roman"/>
          <w:sz w:val="24"/>
          <w:szCs w:val="24"/>
        </w:rPr>
        <w:t>Hoffman J. commented on the nature of black hole trusts</w:t>
      </w:r>
      <w:r w:rsidR="00CF2941" w:rsidRPr="002D0D42">
        <w:rPr>
          <w:rFonts w:ascii="Times New Roman" w:hAnsi="Times New Roman" w:cs="Times New Roman"/>
          <w:sz w:val="24"/>
          <w:szCs w:val="24"/>
        </w:rPr>
        <w:t>:</w:t>
      </w:r>
      <w:r w:rsidR="002D0D42" w:rsidRPr="002D0D42">
        <w:rPr>
          <w:rFonts w:ascii="Times New Roman" w:hAnsi="Times New Roman" w:cs="Times New Roman"/>
          <w:sz w:val="24"/>
          <w:szCs w:val="24"/>
        </w:rPr>
        <w:t xml:space="preserve"> </w:t>
      </w:r>
    </w:p>
    <w:p w:rsidR="0099341D" w:rsidRPr="0099341D" w:rsidRDefault="0099341D" w:rsidP="002D0D42">
      <w:pPr>
        <w:spacing w:after="0"/>
        <w:jc w:val="both"/>
        <w:rPr>
          <w:rFonts w:ascii="Times New Roman" w:hAnsi="Times New Roman" w:cs="Times New Roman"/>
        </w:rPr>
      </w:pPr>
    </w:p>
    <w:p w:rsidR="00CF2941" w:rsidRPr="0099341D" w:rsidRDefault="00CF2941" w:rsidP="0099341D">
      <w:pPr>
        <w:spacing w:after="0"/>
        <w:ind w:left="720"/>
        <w:jc w:val="both"/>
        <w:rPr>
          <w:rFonts w:ascii="Times New Roman" w:hAnsi="Times New Roman" w:cs="Times New Roman"/>
        </w:rPr>
      </w:pPr>
      <w:r w:rsidRPr="0099341D">
        <w:rPr>
          <w:rFonts w:ascii="Times New Roman" w:hAnsi="Times New Roman" w:cs="Times New Roman"/>
        </w:rPr>
        <w:t xml:space="preserve">“Sometimes the trustee will be given a ‘letter of wishes’ by the real settlor saying whom he wishes to benefit. Sometimes the real beneficiary, who may be the real settlor himself, will remain a matter of oral understanding between him and the trustee.” </w:t>
      </w:r>
    </w:p>
    <w:p w:rsidR="0099341D" w:rsidRPr="0099341D" w:rsidRDefault="0085060A" w:rsidP="00F35AFC">
      <w:pPr>
        <w:spacing w:after="0"/>
        <w:jc w:val="both"/>
        <w:rPr>
          <w:rFonts w:ascii="Times New Roman" w:hAnsi="Times New Roman" w:cs="Times New Roman"/>
        </w:rPr>
      </w:pPr>
      <w:r w:rsidRPr="0099341D">
        <w:rPr>
          <w:rFonts w:ascii="Times New Roman" w:hAnsi="Times New Roman" w:cs="Times New Roman"/>
        </w:rPr>
        <w:t xml:space="preserve">     </w:t>
      </w:r>
    </w:p>
    <w:p w:rsidR="000B3C59" w:rsidRDefault="007F2A13" w:rsidP="00F35AF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This</w:t>
      </w:r>
      <w:r w:rsidR="0085060A">
        <w:rPr>
          <w:rFonts w:ascii="Times New Roman" w:hAnsi="Times New Roman" w:cs="Times New Roman"/>
          <w:sz w:val="24"/>
          <w:szCs w:val="24"/>
        </w:rPr>
        <w:t xml:space="preserve"> structure</w:t>
      </w:r>
      <w:r w:rsidR="00CF2941">
        <w:rPr>
          <w:rFonts w:ascii="Times New Roman" w:hAnsi="Times New Roman" w:cs="Times New Roman"/>
          <w:sz w:val="24"/>
          <w:szCs w:val="24"/>
        </w:rPr>
        <w:t xml:space="preserve"> gives the</w:t>
      </w:r>
      <w:r>
        <w:rPr>
          <w:rFonts w:ascii="Times New Roman" w:hAnsi="Times New Roman" w:cs="Times New Roman"/>
          <w:sz w:val="24"/>
          <w:szCs w:val="24"/>
        </w:rPr>
        <w:t xml:space="preserve"> trust an extra layer of secrecy.</w:t>
      </w:r>
      <w:r w:rsidR="00463F19">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CF2941">
        <w:rPr>
          <w:rFonts w:ascii="Times New Roman" w:hAnsi="Times New Roman" w:cs="Times New Roman"/>
          <w:sz w:val="24"/>
          <w:szCs w:val="24"/>
        </w:rPr>
        <w:t xml:space="preserve">It </w:t>
      </w:r>
      <w:r>
        <w:rPr>
          <w:rFonts w:ascii="Times New Roman" w:hAnsi="Times New Roman" w:cs="Times New Roman"/>
          <w:sz w:val="24"/>
          <w:szCs w:val="24"/>
        </w:rPr>
        <w:t>limits</w:t>
      </w:r>
      <w:r w:rsidR="00962753" w:rsidRPr="007D7539">
        <w:rPr>
          <w:rFonts w:ascii="Times New Roman" w:hAnsi="Times New Roman" w:cs="Times New Roman"/>
          <w:sz w:val="24"/>
          <w:szCs w:val="24"/>
        </w:rPr>
        <w:t xml:space="preserve"> t</w:t>
      </w:r>
      <w:r w:rsidR="00CF2941">
        <w:rPr>
          <w:rFonts w:ascii="Times New Roman" w:hAnsi="Times New Roman" w:cs="Times New Roman"/>
          <w:sz w:val="24"/>
          <w:szCs w:val="24"/>
        </w:rPr>
        <w:t>he information given both</w:t>
      </w:r>
      <w:r w:rsidR="00962753" w:rsidRPr="007D7539">
        <w:rPr>
          <w:rFonts w:ascii="Times New Roman" w:hAnsi="Times New Roman" w:cs="Times New Roman"/>
          <w:sz w:val="24"/>
          <w:szCs w:val="24"/>
        </w:rPr>
        <w:t xml:space="preserve"> about,</w:t>
      </w:r>
      <w:r w:rsidR="0099341D">
        <w:rPr>
          <w:rFonts w:ascii="Times New Roman" w:hAnsi="Times New Roman" w:cs="Times New Roman"/>
          <w:sz w:val="24"/>
          <w:szCs w:val="24"/>
        </w:rPr>
        <w:t xml:space="preserve"> and to, </w:t>
      </w:r>
      <w:r w:rsidR="00F61E6B">
        <w:rPr>
          <w:rFonts w:ascii="Times New Roman" w:hAnsi="Times New Roman" w:cs="Times New Roman"/>
          <w:sz w:val="24"/>
          <w:szCs w:val="24"/>
        </w:rPr>
        <w:t xml:space="preserve">trust </w:t>
      </w:r>
      <w:r w:rsidR="0099341D">
        <w:rPr>
          <w:rFonts w:ascii="Times New Roman" w:hAnsi="Times New Roman" w:cs="Times New Roman"/>
          <w:sz w:val="24"/>
          <w:szCs w:val="24"/>
        </w:rPr>
        <w:t>beneficiaries.</w:t>
      </w:r>
      <w:r w:rsidR="00962753" w:rsidRPr="007D7539">
        <w:rPr>
          <w:rFonts w:ascii="Times New Roman" w:hAnsi="Times New Roman" w:cs="Times New Roman"/>
          <w:sz w:val="24"/>
          <w:szCs w:val="24"/>
        </w:rPr>
        <w:t xml:space="preserve"> </w:t>
      </w:r>
      <w:r w:rsidR="007D7539" w:rsidRPr="007D7539">
        <w:rPr>
          <w:rFonts w:ascii="Times New Roman" w:hAnsi="Times New Roman" w:cs="Times New Roman"/>
          <w:sz w:val="24"/>
          <w:szCs w:val="24"/>
        </w:rPr>
        <w:t>U</w:t>
      </w:r>
      <w:r>
        <w:rPr>
          <w:rFonts w:ascii="Times New Roman" w:hAnsi="Times New Roman" w:cs="Times New Roman"/>
          <w:sz w:val="24"/>
          <w:szCs w:val="24"/>
        </w:rPr>
        <w:t>ntil someone i</w:t>
      </w:r>
      <w:r w:rsidR="00962753" w:rsidRPr="007D7539">
        <w:rPr>
          <w:rFonts w:ascii="Times New Roman" w:hAnsi="Times New Roman" w:cs="Times New Roman"/>
          <w:sz w:val="24"/>
          <w:szCs w:val="24"/>
        </w:rPr>
        <w:t>s actually appointed into the</w:t>
      </w:r>
      <w:r w:rsidR="008C1453">
        <w:rPr>
          <w:rFonts w:ascii="Times New Roman" w:hAnsi="Times New Roman" w:cs="Times New Roman"/>
          <w:sz w:val="24"/>
          <w:szCs w:val="24"/>
        </w:rPr>
        <w:t xml:space="preserve"> class there is</w:t>
      </w:r>
      <w:r w:rsidR="00962753" w:rsidRPr="007D7539">
        <w:rPr>
          <w:rFonts w:ascii="Times New Roman" w:hAnsi="Times New Roman" w:cs="Times New Roman"/>
          <w:sz w:val="24"/>
          <w:szCs w:val="24"/>
        </w:rPr>
        <w:t xml:space="preserve"> no legal record as to their existence as a beneficiary.</w:t>
      </w:r>
      <w:r w:rsidR="00962753" w:rsidRPr="007D7539">
        <w:rPr>
          <w:rStyle w:val="FootnoteReference"/>
          <w:rFonts w:ascii="Times New Roman" w:hAnsi="Times New Roman" w:cs="Times New Roman"/>
          <w:sz w:val="24"/>
          <w:szCs w:val="24"/>
        </w:rPr>
        <w:footnoteReference w:id="21"/>
      </w:r>
      <w:r w:rsidR="00463F19">
        <w:rPr>
          <w:rFonts w:ascii="Times New Roman" w:hAnsi="Times New Roman" w:cs="Times New Roman"/>
          <w:sz w:val="24"/>
          <w:szCs w:val="24"/>
        </w:rPr>
        <w:t xml:space="preserve"> Further, </w:t>
      </w:r>
      <w:r w:rsidR="00CF2941" w:rsidRPr="004C128F">
        <w:rPr>
          <w:rFonts w:ascii="Times New Roman" w:hAnsi="Times New Roman" w:cs="Times New Roman"/>
          <w:sz w:val="24"/>
          <w:szCs w:val="24"/>
        </w:rPr>
        <w:t>only</w:t>
      </w:r>
      <w:r w:rsidR="00CF2941">
        <w:rPr>
          <w:rFonts w:ascii="Times New Roman" w:hAnsi="Times New Roman" w:cs="Times New Roman"/>
          <w:sz w:val="24"/>
          <w:szCs w:val="24"/>
        </w:rPr>
        <w:t xml:space="preserve"> </w:t>
      </w:r>
      <w:r w:rsidR="00CF2941" w:rsidRPr="00F61E6B">
        <w:rPr>
          <w:rFonts w:ascii="Times New Roman" w:hAnsi="Times New Roman" w:cs="Times New Roman"/>
          <w:i/>
          <w:sz w:val="24"/>
          <w:szCs w:val="24"/>
        </w:rPr>
        <w:t>beneficiaries</w:t>
      </w:r>
      <w:r w:rsidR="00CF2941">
        <w:rPr>
          <w:rFonts w:ascii="Times New Roman" w:hAnsi="Times New Roman" w:cs="Times New Roman"/>
          <w:sz w:val="24"/>
          <w:szCs w:val="24"/>
        </w:rPr>
        <w:t xml:space="preserve"> are</w:t>
      </w:r>
      <w:r w:rsidR="00DF1DC0">
        <w:rPr>
          <w:rFonts w:ascii="Times New Roman" w:hAnsi="Times New Roman" w:cs="Times New Roman"/>
          <w:sz w:val="24"/>
          <w:szCs w:val="24"/>
        </w:rPr>
        <w:t xml:space="preserve"> prima facie</w:t>
      </w:r>
      <w:r w:rsidR="00CF2941">
        <w:rPr>
          <w:rFonts w:ascii="Times New Roman" w:hAnsi="Times New Roman" w:cs="Times New Roman"/>
          <w:sz w:val="24"/>
          <w:szCs w:val="24"/>
        </w:rPr>
        <w:t xml:space="preserve"> entitled to information about trust accounts under </w:t>
      </w:r>
      <w:r w:rsidR="007D7539" w:rsidRPr="007D7539">
        <w:rPr>
          <w:rFonts w:ascii="Times New Roman" w:hAnsi="Times New Roman" w:cs="Times New Roman"/>
          <w:sz w:val="24"/>
          <w:szCs w:val="24"/>
        </w:rPr>
        <w:t>Article 29 of the Trusts (Jerse</w:t>
      </w:r>
      <w:r w:rsidR="00CF2941">
        <w:rPr>
          <w:rFonts w:ascii="Times New Roman" w:hAnsi="Times New Roman" w:cs="Times New Roman"/>
          <w:sz w:val="24"/>
          <w:szCs w:val="24"/>
        </w:rPr>
        <w:t>y) Law 1984</w:t>
      </w:r>
      <w:r w:rsidR="007D7539" w:rsidRPr="007D7539">
        <w:rPr>
          <w:rFonts w:ascii="Times New Roman" w:hAnsi="Times New Roman" w:cs="Times New Roman"/>
          <w:sz w:val="24"/>
          <w:szCs w:val="24"/>
        </w:rPr>
        <w:t>. A person does not fulfil</w:t>
      </w:r>
      <w:r w:rsidR="00CF2941">
        <w:rPr>
          <w:rFonts w:ascii="Times New Roman" w:hAnsi="Times New Roman" w:cs="Times New Roman"/>
          <w:sz w:val="24"/>
          <w:szCs w:val="24"/>
        </w:rPr>
        <w:t xml:space="preserve"> the Article 1 definition of “beneficiary”</w:t>
      </w:r>
      <w:r w:rsidR="007D7539" w:rsidRPr="007D7539">
        <w:rPr>
          <w:rFonts w:ascii="Times New Roman" w:hAnsi="Times New Roman" w:cs="Times New Roman"/>
          <w:sz w:val="24"/>
          <w:szCs w:val="24"/>
        </w:rPr>
        <w:t xml:space="preserve"> by being mentioned in the settlor’s letter of wishes.</w:t>
      </w:r>
      <w:r>
        <w:rPr>
          <w:rStyle w:val="FootnoteReference"/>
          <w:rFonts w:ascii="Times New Roman" w:hAnsi="Times New Roman" w:cs="Times New Roman"/>
          <w:sz w:val="24"/>
          <w:szCs w:val="24"/>
        </w:rPr>
        <w:footnoteReference w:id="22"/>
      </w:r>
      <w:r w:rsidR="008C1453">
        <w:rPr>
          <w:rFonts w:ascii="Times New Roman" w:hAnsi="Times New Roman" w:cs="Times New Roman"/>
          <w:sz w:val="24"/>
          <w:szCs w:val="24"/>
        </w:rPr>
        <w:t xml:space="preserve"> </w:t>
      </w:r>
      <w:r w:rsidR="00CF2941">
        <w:rPr>
          <w:rFonts w:ascii="Times New Roman" w:hAnsi="Times New Roman" w:cs="Times New Roman"/>
          <w:sz w:val="24"/>
          <w:szCs w:val="24"/>
        </w:rPr>
        <w:t>B</w:t>
      </w:r>
      <w:r w:rsidR="009E187A">
        <w:rPr>
          <w:rFonts w:ascii="Times New Roman" w:hAnsi="Times New Roman" w:cs="Times New Roman"/>
          <w:sz w:val="24"/>
          <w:szCs w:val="24"/>
        </w:rPr>
        <w:t>lack hole</w:t>
      </w:r>
      <w:r w:rsidR="00E9657F">
        <w:rPr>
          <w:rFonts w:ascii="Times New Roman" w:hAnsi="Times New Roman" w:cs="Times New Roman"/>
          <w:sz w:val="24"/>
          <w:szCs w:val="24"/>
        </w:rPr>
        <w:t xml:space="preserve"> trusts are vulnerable to misuse for tax evasion and money launderin</w:t>
      </w:r>
      <w:r w:rsidR="009E187A">
        <w:rPr>
          <w:rFonts w:ascii="Times New Roman" w:hAnsi="Times New Roman" w:cs="Times New Roman"/>
          <w:sz w:val="24"/>
          <w:szCs w:val="24"/>
        </w:rPr>
        <w:t>g</w:t>
      </w:r>
      <w:r w:rsidR="009A6D01">
        <w:rPr>
          <w:rFonts w:ascii="Times New Roman" w:hAnsi="Times New Roman" w:cs="Times New Roman"/>
          <w:sz w:val="24"/>
          <w:szCs w:val="24"/>
        </w:rPr>
        <w:t xml:space="preserve">. </w:t>
      </w:r>
      <w:r w:rsidR="00DD0EDA">
        <w:rPr>
          <w:rFonts w:ascii="Times New Roman" w:hAnsi="Times New Roman" w:cs="Times New Roman"/>
          <w:sz w:val="24"/>
          <w:szCs w:val="24"/>
        </w:rPr>
        <w:t xml:space="preserve">They may be shams disguising pure </w:t>
      </w:r>
      <w:proofErr w:type="spellStart"/>
      <w:r w:rsidR="00DD0EDA">
        <w:rPr>
          <w:rFonts w:ascii="Times New Roman" w:hAnsi="Times New Roman" w:cs="Times New Roman"/>
          <w:sz w:val="24"/>
          <w:szCs w:val="24"/>
        </w:rPr>
        <w:t>nomineeships</w:t>
      </w:r>
      <w:proofErr w:type="spellEnd"/>
      <w:r w:rsidR="00DD0EDA">
        <w:rPr>
          <w:rFonts w:ascii="Times New Roman" w:hAnsi="Times New Roman" w:cs="Times New Roman"/>
          <w:sz w:val="24"/>
          <w:szCs w:val="24"/>
        </w:rPr>
        <w:t>.</w:t>
      </w:r>
      <w:r w:rsidR="00220A5C">
        <w:rPr>
          <w:rStyle w:val="FootnoteReference"/>
          <w:rFonts w:ascii="Times New Roman" w:hAnsi="Times New Roman" w:cs="Times New Roman"/>
          <w:sz w:val="24"/>
          <w:szCs w:val="24"/>
        </w:rPr>
        <w:footnoteReference w:id="23"/>
      </w:r>
      <w:r w:rsidR="00377A61">
        <w:rPr>
          <w:rFonts w:ascii="Times New Roman" w:hAnsi="Times New Roman" w:cs="Times New Roman"/>
          <w:sz w:val="24"/>
          <w:szCs w:val="24"/>
        </w:rPr>
        <w:t xml:space="preserve"> </w:t>
      </w:r>
      <w:r w:rsidR="00463F19">
        <w:rPr>
          <w:rFonts w:ascii="Times New Roman" w:hAnsi="Times New Roman" w:cs="Times New Roman"/>
          <w:sz w:val="24"/>
          <w:szCs w:val="24"/>
        </w:rPr>
        <w:t xml:space="preserve">However, </w:t>
      </w:r>
      <w:r w:rsidR="003E04AC">
        <w:rPr>
          <w:rFonts w:ascii="Times New Roman" w:hAnsi="Times New Roman" w:cs="Times New Roman"/>
          <w:sz w:val="24"/>
          <w:szCs w:val="24"/>
        </w:rPr>
        <w:t xml:space="preserve">a </w:t>
      </w:r>
      <w:r w:rsidR="00463F19">
        <w:rPr>
          <w:rFonts w:ascii="Times New Roman" w:hAnsi="Times New Roman" w:cs="Times New Roman"/>
          <w:sz w:val="24"/>
          <w:szCs w:val="24"/>
        </w:rPr>
        <w:t>s</w:t>
      </w:r>
      <w:r w:rsidR="003E04AC">
        <w:rPr>
          <w:rFonts w:ascii="Times New Roman" w:hAnsi="Times New Roman" w:cs="Times New Roman"/>
          <w:sz w:val="24"/>
          <w:szCs w:val="24"/>
        </w:rPr>
        <w:t>ettlor may</w:t>
      </w:r>
      <w:r w:rsidR="00E9657F">
        <w:rPr>
          <w:rFonts w:ascii="Times New Roman" w:hAnsi="Times New Roman" w:cs="Times New Roman"/>
          <w:sz w:val="24"/>
          <w:szCs w:val="24"/>
        </w:rPr>
        <w:t xml:space="preserve"> have g</w:t>
      </w:r>
      <w:r w:rsidR="0025079E">
        <w:rPr>
          <w:rFonts w:ascii="Times New Roman" w:hAnsi="Times New Roman" w:cs="Times New Roman"/>
          <w:sz w:val="24"/>
          <w:szCs w:val="24"/>
        </w:rPr>
        <w:t>enuine reasons for desiring an</w:t>
      </w:r>
      <w:r w:rsidR="001759D7">
        <w:rPr>
          <w:rFonts w:ascii="Times New Roman" w:hAnsi="Times New Roman" w:cs="Times New Roman"/>
          <w:sz w:val="24"/>
          <w:szCs w:val="24"/>
        </w:rPr>
        <w:t xml:space="preserve"> extra layer </w:t>
      </w:r>
      <w:r w:rsidR="0025079E">
        <w:rPr>
          <w:rFonts w:ascii="Times New Roman" w:hAnsi="Times New Roman" w:cs="Times New Roman"/>
          <w:sz w:val="24"/>
          <w:szCs w:val="24"/>
        </w:rPr>
        <w:t>of secrecy,</w:t>
      </w:r>
      <w:r w:rsidR="00E9657F">
        <w:rPr>
          <w:rStyle w:val="FootnoteReference"/>
          <w:rFonts w:ascii="Times New Roman" w:hAnsi="Times New Roman" w:cs="Times New Roman"/>
          <w:sz w:val="24"/>
          <w:szCs w:val="24"/>
        </w:rPr>
        <w:footnoteReference w:id="24"/>
      </w:r>
      <w:r w:rsidR="0025079E">
        <w:rPr>
          <w:rFonts w:ascii="Times New Roman" w:hAnsi="Times New Roman" w:cs="Times New Roman"/>
          <w:sz w:val="24"/>
          <w:szCs w:val="24"/>
        </w:rPr>
        <w:t xml:space="preserve"> for example, in </w:t>
      </w:r>
      <w:r w:rsidR="001C2018">
        <w:rPr>
          <w:rFonts w:ascii="Times New Roman" w:hAnsi="Times New Roman" w:cs="Times New Roman"/>
          <w:sz w:val="24"/>
          <w:szCs w:val="24"/>
        </w:rPr>
        <w:t>the context of</w:t>
      </w:r>
      <w:r w:rsidR="0025079E">
        <w:rPr>
          <w:rFonts w:ascii="Times New Roman" w:hAnsi="Times New Roman" w:cs="Times New Roman"/>
          <w:sz w:val="24"/>
          <w:szCs w:val="24"/>
        </w:rPr>
        <w:t xml:space="preserve"> legitimate</w:t>
      </w:r>
      <w:r w:rsidR="003E04AC">
        <w:rPr>
          <w:rFonts w:ascii="Times New Roman" w:hAnsi="Times New Roman" w:cs="Times New Roman"/>
          <w:sz w:val="24"/>
          <w:szCs w:val="24"/>
        </w:rPr>
        <w:t xml:space="preserve"> asset protection,</w:t>
      </w:r>
      <w:r w:rsidR="001C2018">
        <w:rPr>
          <w:rStyle w:val="FootnoteReference"/>
          <w:rFonts w:ascii="Times New Roman" w:hAnsi="Times New Roman" w:cs="Times New Roman"/>
          <w:sz w:val="24"/>
          <w:szCs w:val="24"/>
        </w:rPr>
        <w:footnoteReference w:id="25"/>
      </w:r>
      <w:r w:rsidR="003E04AC">
        <w:rPr>
          <w:rFonts w:ascii="Times New Roman" w:hAnsi="Times New Roman" w:cs="Times New Roman"/>
          <w:sz w:val="24"/>
          <w:szCs w:val="24"/>
        </w:rPr>
        <w:t xml:space="preserve"> or</w:t>
      </w:r>
      <w:r w:rsidR="002D0D42">
        <w:rPr>
          <w:rFonts w:ascii="Times New Roman" w:hAnsi="Times New Roman" w:cs="Times New Roman"/>
          <w:sz w:val="24"/>
          <w:szCs w:val="24"/>
        </w:rPr>
        <w:t xml:space="preserve"> “to provide for persons who he did not judge capable of handling the knowledge of their position – or who might, in his view, abuse it</w:t>
      </w:r>
      <w:r w:rsidR="00FD5258">
        <w:rPr>
          <w:rFonts w:ascii="Times New Roman" w:hAnsi="Times New Roman" w:cs="Times New Roman"/>
          <w:sz w:val="24"/>
          <w:szCs w:val="24"/>
        </w:rPr>
        <w:t>”</w:t>
      </w:r>
      <w:r w:rsidR="002D0D42">
        <w:rPr>
          <w:rFonts w:ascii="Times New Roman" w:hAnsi="Times New Roman" w:cs="Times New Roman"/>
          <w:sz w:val="24"/>
          <w:szCs w:val="24"/>
        </w:rPr>
        <w:t>.</w:t>
      </w:r>
      <w:r w:rsidR="002D0D42">
        <w:rPr>
          <w:rStyle w:val="FootnoteReference"/>
          <w:rFonts w:ascii="Times New Roman" w:hAnsi="Times New Roman" w:cs="Times New Roman"/>
          <w:sz w:val="24"/>
          <w:szCs w:val="24"/>
        </w:rPr>
        <w:footnoteReference w:id="26"/>
      </w:r>
      <w:r w:rsidR="002D0D42">
        <w:rPr>
          <w:rFonts w:ascii="Times New Roman" w:hAnsi="Times New Roman" w:cs="Times New Roman"/>
          <w:sz w:val="24"/>
          <w:szCs w:val="24"/>
        </w:rPr>
        <w:t xml:space="preserve"> </w:t>
      </w:r>
    </w:p>
    <w:p w:rsidR="002933E1" w:rsidRDefault="002933E1" w:rsidP="00E471AF">
      <w:pPr>
        <w:spacing w:after="0"/>
        <w:jc w:val="both"/>
        <w:rPr>
          <w:rFonts w:ascii="Times New Roman" w:hAnsi="Times New Roman" w:cs="Times New Roman"/>
          <w:sz w:val="24"/>
          <w:szCs w:val="24"/>
        </w:rPr>
      </w:pPr>
    </w:p>
    <w:p w:rsidR="00D71E03" w:rsidRPr="000B3C59" w:rsidRDefault="000B3C59" w:rsidP="000B3C59">
      <w:pPr>
        <w:spacing w:after="0"/>
        <w:ind w:left="720"/>
        <w:jc w:val="both"/>
        <w:rPr>
          <w:rFonts w:ascii="Times New Roman" w:hAnsi="Times New Roman" w:cs="Times New Roman"/>
          <w:sz w:val="24"/>
          <w:szCs w:val="24"/>
          <w:u w:val="single"/>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 xml:space="preserve">) </w:t>
      </w:r>
      <w:r w:rsidRPr="007809B3">
        <w:rPr>
          <w:rFonts w:ascii="Times New Roman" w:hAnsi="Times New Roman" w:cs="Times New Roman"/>
          <w:i/>
          <w:sz w:val="24"/>
          <w:szCs w:val="24"/>
          <w:u w:val="single"/>
        </w:rPr>
        <w:t>The Exeter Settlement</w:t>
      </w:r>
      <w:r w:rsidR="007809B3">
        <w:rPr>
          <w:rFonts w:ascii="Times New Roman" w:hAnsi="Times New Roman" w:cs="Times New Roman"/>
          <w:sz w:val="24"/>
          <w:szCs w:val="24"/>
          <w:u w:val="single"/>
        </w:rPr>
        <w:t>: outline of facts and judgment</w:t>
      </w:r>
    </w:p>
    <w:p w:rsidR="000B3C59" w:rsidRPr="000B3C59" w:rsidRDefault="000B3C59" w:rsidP="00B22119">
      <w:pPr>
        <w:spacing w:after="0"/>
        <w:jc w:val="both"/>
        <w:rPr>
          <w:rFonts w:ascii="Times New Roman" w:hAnsi="Times New Roman" w:cs="Times New Roman"/>
          <w:sz w:val="16"/>
          <w:szCs w:val="16"/>
        </w:rPr>
      </w:pPr>
    </w:p>
    <w:p w:rsidR="000F13F2" w:rsidRDefault="0023427D" w:rsidP="0041137E">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083569">
        <w:rPr>
          <w:rFonts w:ascii="Times New Roman" w:hAnsi="Times New Roman" w:cs="Times New Roman"/>
          <w:sz w:val="24"/>
          <w:szCs w:val="24"/>
        </w:rPr>
        <w:t>settlor executed</w:t>
      </w:r>
      <w:r w:rsidR="00882B3C">
        <w:rPr>
          <w:rFonts w:ascii="Times New Roman" w:hAnsi="Times New Roman" w:cs="Times New Roman"/>
          <w:sz w:val="24"/>
          <w:szCs w:val="24"/>
        </w:rPr>
        <w:t xml:space="preserve"> a </w:t>
      </w:r>
      <w:r w:rsidR="00083569">
        <w:rPr>
          <w:rFonts w:ascii="Times New Roman" w:hAnsi="Times New Roman" w:cs="Times New Roman"/>
          <w:sz w:val="24"/>
          <w:szCs w:val="24"/>
        </w:rPr>
        <w:t xml:space="preserve">discretionary trust </w:t>
      </w:r>
      <w:r w:rsidR="00E471AF">
        <w:rPr>
          <w:rFonts w:ascii="Times New Roman" w:hAnsi="Times New Roman" w:cs="Times New Roman"/>
          <w:sz w:val="24"/>
          <w:szCs w:val="24"/>
        </w:rPr>
        <w:t>in 1983</w:t>
      </w:r>
      <w:r w:rsidR="00083569">
        <w:rPr>
          <w:rFonts w:ascii="Times New Roman" w:hAnsi="Times New Roman" w:cs="Times New Roman"/>
          <w:sz w:val="24"/>
          <w:szCs w:val="24"/>
        </w:rPr>
        <w:t>. The schedule of</w:t>
      </w:r>
      <w:r w:rsidR="00F65782">
        <w:rPr>
          <w:rFonts w:ascii="Times New Roman" w:hAnsi="Times New Roman" w:cs="Times New Roman"/>
          <w:sz w:val="24"/>
          <w:szCs w:val="24"/>
        </w:rPr>
        <w:t xml:space="preserve"> primary</w:t>
      </w:r>
      <w:r w:rsidR="00083569">
        <w:rPr>
          <w:rFonts w:ascii="Times New Roman" w:hAnsi="Times New Roman" w:cs="Times New Roman"/>
          <w:sz w:val="24"/>
          <w:szCs w:val="24"/>
        </w:rPr>
        <w:t xml:space="preserve"> beneficiaries was left blank initially, and the trustee</w:t>
      </w:r>
      <w:r w:rsidR="003D0C67">
        <w:rPr>
          <w:rFonts w:ascii="Times New Roman" w:hAnsi="Times New Roman" w:cs="Times New Roman"/>
          <w:sz w:val="24"/>
          <w:szCs w:val="24"/>
        </w:rPr>
        <w:t>s were given a power to add to this class</w:t>
      </w:r>
      <w:r w:rsidR="00083569">
        <w:rPr>
          <w:rFonts w:ascii="Times New Roman" w:hAnsi="Times New Roman" w:cs="Times New Roman"/>
          <w:sz w:val="24"/>
          <w:szCs w:val="24"/>
        </w:rPr>
        <w:t>.</w:t>
      </w:r>
      <w:r w:rsidR="004015C8">
        <w:rPr>
          <w:rStyle w:val="FootnoteReference"/>
          <w:rFonts w:ascii="Times New Roman" w:hAnsi="Times New Roman" w:cs="Times New Roman"/>
          <w:sz w:val="24"/>
          <w:szCs w:val="24"/>
        </w:rPr>
        <w:footnoteReference w:id="27"/>
      </w:r>
      <w:r w:rsidR="00083569">
        <w:rPr>
          <w:rFonts w:ascii="Times New Roman" w:hAnsi="Times New Roman" w:cs="Times New Roman"/>
          <w:sz w:val="24"/>
          <w:szCs w:val="24"/>
        </w:rPr>
        <w:t xml:space="preserve"> The ultimate default beneficiary was intended to be the RNLI. However, due to an error, the charity w</w:t>
      </w:r>
      <w:r w:rsidR="00E9657F">
        <w:rPr>
          <w:rFonts w:ascii="Times New Roman" w:hAnsi="Times New Roman" w:cs="Times New Roman"/>
          <w:sz w:val="24"/>
          <w:szCs w:val="24"/>
        </w:rPr>
        <w:t>as never added to the trust instrument</w:t>
      </w:r>
      <w:r w:rsidR="00083569">
        <w:rPr>
          <w:rFonts w:ascii="Times New Roman" w:hAnsi="Times New Roman" w:cs="Times New Roman"/>
          <w:sz w:val="24"/>
          <w:szCs w:val="24"/>
        </w:rPr>
        <w:t>. In 1984 the trustees exercised their power to add to the class of beneficiaries. The error went unnoticed for many</w:t>
      </w:r>
      <w:r w:rsidR="00D03449">
        <w:rPr>
          <w:rFonts w:ascii="Times New Roman" w:hAnsi="Times New Roman" w:cs="Times New Roman"/>
          <w:sz w:val="24"/>
          <w:szCs w:val="24"/>
        </w:rPr>
        <w:t xml:space="preserve"> years, at which point the trustees brought</w:t>
      </w:r>
      <w:r w:rsidR="00083569">
        <w:rPr>
          <w:rFonts w:ascii="Times New Roman" w:hAnsi="Times New Roman" w:cs="Times New Roman"/>
          <w:sz w:val="24"/>
          <w:szCs w:val="24"/>
        </w:rPr>
        <w:t xml:space="preserve"> this application</w:t>
      </w:r>
      <w:r w:rsidR="00F65782">
        <w:rPr>
          <w:rFonts w:ascii="Times New Roman" w:hAnsi="Times New Roman" w:cs="Times New Roman"/>
          <w:sz w:val="24"/>
          <w:szCs w:val="24"/>
        </w:rPr>
        <w:t xml:space="preserve"> for rectification</w:t>
      </w:r>
      <w:r w:rsidR="00FD5258">
        <w:rPr>
          <w:rFonts w:ascii="Times New Roman" w:hAnsi="Times New Roman" w:cs="Times New Roman"/>
          <w:sz w:val="24"/>
          <w:szCs w:val="24"/>
        </w:rPr>
        <w:t xml:space="preserve"> of the trust</w:t>
      </w:r>
      <w:r w:rsidR="003E04AC">
        <w:rPr>
          <w:rFonts w:ascii="Times New Roman" w:hAnsi="Times New Roman" w:cs="Times New Roman"/>
          <w:sz w:val="24"/>
          <w:szCs w:val="24"/>
        </w:rPr>
        <w:t>. The Royal Court approved the</w:t>
      </w:r>
      <w:r w:rsidR="00D03449">
        <w:rPr>
          <w:rFonts w:ascii="Times New Roman" w:hAnsi="Times New Roman" w:cs="Times New Roman"/>
          <w:sz w:val="24"/>
          <w:szCs w:val="24"/>
        </w:rPr>
        <w:t xml:space="preserve"> appli</w:t>
      </w:r>
      <w:r w:rsidR="003E04AC">
        <w:rPr>
          <w:rFonts w:ascii="Times New Roman" w:hAnsi="Times New Roman" w:cs="Times New Roman"/>
          <w:sz w:val="24"/>
          <w:szCs w:val="24"/>
        </w:rPr>
        <w:t>cation and</w:t>
      </w:r>
      <w:r w:rsidR="00D03449" w:rsidRPr="00E471AF">
        <w:rPr>
          <w:rFonts w:ascii="Times New Roman" w:hAnsi="Times New Roman" w:cs="Times New Roman"/>
          <w:sz w:val="24"/>
          <w:szCs w:val="24"/>
        </w:rPr>
        <w:t xml:space="preserve"> add</w:t>
      </w:r>
      <w:r w:rsidR="003E04AC">
        <w:rPr>
          <w:rFonts w:ascii="Times New Roman" w:hAnsi="Times New Roman" w:cs="Times New Roman"/>
          <w:sz w:val="24"/>
          <w:szCs w:val="24"/>
        </w:rPr>
        <w:t>ed</w:t>
      </w:r>
      <w:r w:rsidR="00D03449" w:rsidRPr="00E471AF">
        <w:rPr>
          <w:rFonts w:ascii="Times New Roman" w:hAnsi="Times New Roman" w:cs="Times New Roman"/>
          <w:sz w:val="24"/>
          <w:szCs w:val="24"/>
        </w:rPr>
        <w:t xml:space="preserve"> </w:t>
      </w:r>
      <w:r w:rsidR="00EC1E25">
        <w:rPr>
          <w:rFonts w:ascii="Times New Roman" w:hAnsi="Times New Roman" w:cs="Times New Roman"/>
          <w:sz w:val="24"/>
          <w:szCs w:val="24"/>
        </w:rPr>
        <w:t>the RNLI</w:t>
      </w:r>
      <w:r w:rsidR="000F13F2">
        <w:rPr>
          <w:rFonts w:ascii="Times New Roman" w:hAnsi="Times New Roman" w:cs="Times New Roman"/>
          <w:sz w:val="24"/>
          <w:szCs w:val="24"/>
        </w:rPr>
        <w:t xml:space="preserve"> as default beneficiary.</w:t>
      </w:r>
      <w:r w:rsidR="00D03449" w:rsidRPr="00E471AF">
        <w:rPr>
          <w:rStyle w:val="FootnoteReference"/>
          <w:rFonts w:ascii="Times New Roman" w:hAnsi="Times New Roman" w:cs="Times New Roman"/>
          <w:sz w:val="24"/>
          <w:szCs w:val="24"/>
        </w:rPr>
        <w:footnoteReference w:id="28"/>
      </w:r>
      <w:r w:rsidR="00D03449">
        <w:rPr>
          <w:rFonts w:ascii="Times New Roman" w:hAnsi="Times New Roman" w:cs="Times New Roman"/>
          <w:sz w:val="24"/>
          <w:szCs w:val="24"/>
        </w:rPr>
        <w:t xml:space="preserve"> However, before doing so, it considered </w:t>
      </w:r>
      <w:r w:rsidR="00DD30CD">
        <w:rPr>
          <w:rFonts w:ascii="Times New Roman" w:hAnsi="Times New Roman" w:cs="Times New Roman"/>
          <w:sz w:val="24"/>
          <w:szCs w:val="24"/>
        </w:rPr>
        <w:t>whether the trust</w:t>
      </w:r>
      <w:r w:rsidR="006E0406">
        <w:rPr>
          <w:rFonts w:ascii="Times New Roman" w:hAnsi="Times New Roman" w:cs="Times New Roman"/>
          <w:sz w:val="24"/>
          <w:szCs w:val="24"/>
        </w:rPr>
        <w:t>, without the addition of the default charity,</w:t>
      </w:r>
      <w:r w:rsidR="00DD30CD">
        <w:rPr>
          <w:rFonts w:ascii="Times New Roman" w:hAnsi="Times New Roman" w:cs="Times New Roman"/>
          <w:sz w:val="24"/>
          <w:szCs w:val="24"/>
        </w:rPr>
        <w:t xml:space="preserve"> was void</w:t>
      </w:r>
      <w:r w:rsidR="004E1000">
        <w:rPr>
          <w:rFonts w:ascii="Times New Roman" w:hAnsi="Times New Roman" w:cs="Times New Roman"/>
          <w:sz w:val="24"/>
          <w:szCs w:val="24"/>
        </w:rPr>
        <w:t xml:space="preserve"> for uncertainty. </w:t>
      </w:r>
    </w:p>
    <w:p w:rsidR="004E65CA" w:rsidRPr="004E65CA" w:rsidRDefault="000F13F2" w:rsidP="00411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1000">
        <w:rPr>
          <w:rFonts w:ascii="Times New Roman" w:hAnsi="Times New Roman" w:cs="Times New Roman"/>
          <w:sz w:val="24"/>
          <w:szCs w:val="24"/>
        </w:rPr>
        <w:t>It is axiomatic that a trust must</w:t>
      </w:r>
      <w:r w:rsidR="003E04AC">
        <w:rPr>
          <w:rFonts w:ascii="Times New Roman" w:hAnsi="Times New Roman" w:cs="Times New Roman"/>
          <w:sz w:val="24"/>
          <w:szCs w:val="24"/>
        </w:rPr>
        <w:t xml:space="preserve"> possess</w:t>
      </w:r>
      <w:r w:rsidR="004E1000" w:rsidRPr="00D03449">
        <w:rPr>
          <w:rFonts w:ascii="Times New Roman" w:hAnsi="Times New Roman" w:cs="Times New Roman"/>
          <w:sz w:val="24"/>
          <w:szCs w:val="24"/>
        </w:rPr>
        <w:t xml:space="preserve"> cert</w:t>
      </w:r>
      <w:r w:rsidR="003E04AC">
        <w:rPr>
          <w:rFonts w:ascii="Times New Roman" w:hAnsi="Times New Roman" w:cs="Times New Roman"/>
          <w:sz w:val="24"/>
          <w:szCs w:val="24"/>
        </w:rPr>
        <w:t>ainty as to the settlor’s intention to create a trust, the property that is to be subject to the trust</w:t>
      </w:r>
      <w:r w:rsidR="004E1000" w:rsidRPr="00D03449">
        <w:rPr>
          <w:rFonts w:ascii="Times New Roman" w:hAnsi="Times New Roman" w:cs="Times New Roman"/>
          <w:sz w:val="24"/>
          <w:szCs w:val="24"/>
        </w:rPr>
        <w:t>, and</w:t>
      </w:r>
      <w:r w:rsidR="003E04AC">
        <w:rPr>
          <w:rFonts w:ascii="Times New Roman" w:hAnsi="Times New Roman" w:cs="Times New Roman"/>
          <w:sz w:val="24"/>
          <w:szCs w:val="24"/>
        </w:rPr>
        <w:t xml:space="preserve"> the</w:t>
      </w:r>
      <w:r w:rsidR="004E1000" w:rsidRPr="00D03449">
        <w:rPr>
          <w:rFonts w:ascii="Times New Roman" w:hAnsi="Times New Roman" w:cs="Times New Roman"/>
          <w:sz w:val="24"/>
          <w:szCs w:val="24"/>
        </w:rPr>
        <w:t xml:space="preserve"> object</w:t>
      </w:r>
      <w:r w:rsidR="003E04AC">
        <w:rPr>
          <w:rFonts w:ascii="Times New Roman" w:hAnsi="Times New Roman" w:cs="Times New Roman"/>
          <w:sz w:val="24"/>
          <w:szCs w:val="24"/>
        </w:rPr>
        <w:t>s</w:t>
      </w:r>
      <w:r w:rsidR="00DD30CD">
        <w:rPr>
          <w:rFonts w:ascii="Times New Roman" w:hAnsi="Times New Roman" w:cs="Times New Roman"/>
          <w:sz w:val="24"/>
          <w:szCs w:val="24"/>
        </w:rPr>
        <w:t>/</w:t>
      </w:r>
      <w:r w:rsidR="004E1000">
        <w:rPr>
          <w:rFonts w:ascii="Times New Roman" w:hAnsi="Times New Roman" w:cs="Times New Roman"/>
          <w:sz w:val="24"/>
          <w:szCs w:val="24"/>
        </w:rPr>
        <w:t>beneficiaries</w:t>
      </w:r>
      <w:r w:rsidR="003E04AC">
        <w:rPr>
          <w:rFonts w:ascii="Times New Roman" w:hAnsi="Times New Roman" w:cs="Times New Roman"/>
          <w:sz w:val="24"/>
          <w:szCs w:val="24"/>
        </w:rPr>
        <w:t xml:space="preserve"> who are to benefit</w:t>
      </w:r>
      <w:r w:rsidR="004E1000" w:rsidRPr="00D03449">
        <w:rPr>
          <w:rFonts w:ascii="Times New Roman" w:hAnsi="Times New Roman" w:cs="Times New Roman"/>
          <w:sz w:val="24"/>
          <w:szCs w:val="24"/>
        </w:rPr>
        <w:t>.</w:t>
      </w:r>
      <w:r w:rsidR="004E1000" w:rsidRPr="00D03449">
        <w:rPr>
          <w:rStyle w:val="FootnoteReference"/>
          <w:rFonts w:ascii="Times New Roman" w:hAnsi="Times New Roman" w:cs="Times New Roman"/>
          <w:sz w:val="24"/>
          <w:szCs w:val="24"/>
        </w:rPr>
        <w:footnoteReference w:id="29"/>
      </w:r>
      <w:r w:rsidR="004E1000" w:rsidRPr="00D03449">
        <w:rPr>
          <w:rFonts w:ascii="Times New Roman" w:hAnsi="Times New Roman" w:cs="Times New Roman"/>
          <w:sz w:val="24"/>
          <w:szCs w:val="24"/>
        </w:rPr>
        <w:t xml:space="preserve"> </w:t>
      </w:r>
      <w:r w:rsidR="00F44359">
        <w:rPr>
          <w:rFonts w:ascii="Times New Roman" w:hAnsi="Times New Roman" w:cs="Times New Roman"/>
          <w:sz w:val="24"/>
          <w:szCs w:val="24"/>
        </w:rPr>
        <w:t>In Jerse</w:t>
      </w:r>
      <w:r w:rsidR="00A5729A">
        <w:rPr>
          <w:rFonts w:ascii="Times New Roman" w:hAnsi="Times New Roman" w:cs="Times New Roman"/>
          <w:sz w:val="24"/>
          <w:szCs w:val="24"/>
        </w:rPr>
        <w:t>y law, the</w:t>
      </w:r>
      <w:r w:rsidR="003E04AC">
        <w:rPr>
          <w:rFonts w:ascii="Times New Roman" w:hAnsi="Times New Roman" w:cs="Times New Roman"/>
          <w:sz w:val="24"/>
          <w:szCs w:val="24"/>
        </w:rPr>
        <w:t>se</w:t>
      </w:r>
      <w:r w:rsidR="00A5729A">
        <w:rPr>
          <w:rFonts w:ascii="Times New Roman" w:hAnsi="Times New Roman" w:cs="Times New Roman"/>
          <w:sz w:val="24"/>
          <w:szCs w:val="24"/>
        </w:rPr>
        <w:t xml:space="preserve"> three certainties are represented in Articles 10 and 11 of the Trusts (Jersey) Law 1984. </w:t>
      </w:r>
      <w:r w:rsidR="00F44359">
        <w:rPr>
          <w:rFonts w:ascii="Times New Roman" w:hAnsi="Times New Roman" w:cs="Times New Roman"/>
          <w:sz w:val="24"/>
          <w:szCs w:val="24"/>
        </w:rPr>
        <w:t>Article 11(2</w:t>
      </w:r>
      <w:proofErr w:type="gramStart"/>
      <w:r w:rsidR="00F44359">
        <w:rPr>
          <w:rFonts w:ascii="Times New Roman" w:hAnsi="Times New Roman" w:cs="Times New Roman"/>
          <w:sz w:val="24"/>
          <w:szCs w:val="24"/>
        </w:rPr>
        <w:t>)(</w:t>
      </w:r>
      <w:proofErr w:type="gramEnd"/>
      <w:r w:rsidR="00F44359">
        <w:rPr>
          <w:rFonts w:ascii="Times New Roman" w:hAnsi="Times New Roman" w:cs="Times New Roman"/>
          <w:sz w:val="24"/>
          <w:szCs w:val="24"/>
        </w:rPr>
        <w:t>b)(iii)</w:t>
      </w:r>
      <w:r w:rsidR="00A5729A">
        <w:rPr>
          <w:rFonts w:ascii="Times New Roman" w:hAnsi="Times New Roman" w:cs="Times New Roman"/>
          <w:sz w:val="24"/>
          <w:szCs w:val="24"/>
        </w:rPr>
        <w:t xml:space="preserve"> provides that </w:t>
      </w:r>
      <w:r w:rsidR="00F44359">
        <w:rPr>
          <w:rFonts w:ascii="Times New Roman" w:hAnsi="Times New Roman" w:cs="Times New Roman"/>
          <w:sz w:val="24"/>
          <w:szCs w:val="24"/>
        </w:rPr>
        <w:t>the court can declare a trust invalid if its terms are “so uncertain that its performance is rendered impossible”.</w:t>
      </w:r>
      <w:r w:rsidR="00660A60">
        <w:rPr>
          <w:rStyle w:val="FootnoteReference"/>
          <w:rFonts w:ascii="Times New Roman" w:hAnsi="Times New Roman" w:cs="Times New Roman"/>
          <w:sz w:val="24"/>
          <w:szCs w:val="24"/>
        </w:rPr>
        <w:footnoteReference w:id="30"/>
      </w:r>
      <w:r w:rsidR="00660A60">
        <w:rPr>
          <w:rFonts w:ascii="Times New Roman" w:hAnsi="Times New Roman" w:cs="Times New Roman"/>
          <w:sz w:val="24"/>
          <w:szCs w:val="24"/>
        </w:rPr>
        <w:t xml:space="preserve"> </w:t>
      </w:r>
      <w:r w:rsidR="002D4602">
        <w:rPr>
          <w:rFonts w:ascii="Times New Roman" w:hAnsi="Times New Roman" w:cs="Times New Roman"/>
          <w:sz w:val="24"/>
          <w:szCs w:val="24"/>
        </w:rPr>
        <w:t>Article 10</w:t>
      </w:r>
      <w:r w:rsidR="004F4B90">
        <w:rPr>
          <w:rFonts w:ascii="Times New Roman" w:hAnsi="Times New Roman" w:cs="Times New Roman"/>
          <w:sz w:val="24"/>
          <w:szCs w:val="24"/>
        </w:rPr>
        <w:t>(1)</w:t>
      </w:r>
      <w:r w:rsidR="00F44359">
        <w:rPr>
          <w:rFonts w:ascii="Times New Roman" w:hAnsi="Times New Roman" w:cs="Times New Roman"/>
          <w:sz w:val="24"/>
          <w:szCs w:val="24"/>
        </w:rPr>
        <w:t xml:space="preserve"> enacts an additional </w:t>
      </w:r>
      <w:r>
        <w:rPr>
          <w:rFonts w:ascii="Times New Roman" w:hAnsi="Times New Roman" w:cs="Times New Roman"/>
          <w:sz w:val="24"/>
          <w:szCs w:val="24"/>
        </w:rPr>
        <w:t>requirement</w:t>
      </w:r>
      <w:r w:rsidR="00A5729A">
        <w:rPr>
          <w:rFonts w:ascii="Times New Roman" w:hAnsi="Times New Roman" w:cs="Times New Roman"/>
          <w:sz w:val="24"/>
          <w:szCs w:val="24"/>
        </w:rPr>
        <w:t xml:space="preserve"> for certainty of beneficiaries:</w:t>
      </w:r>
      <w:r w:rsidR="004F4B90">
        <w:rPr>
          <w:rFonts w:ascii="Times New Roman" w:hAnsi="Times New Roman" w:cs="Times New Roman"/>
          <w:sz w:val="24"/>
          <w:szCs w:val="24"/>
        </w:rPr>
        <w:t xml:space="preserve"> A beneficiary must be identifiable by name or ascertainable by reference to a class or a relationsh</w:t>
      </w:r>
      <w:r w:rsidR="00660A60">
        <w:rPr>
          <w:rFonts w:ascii="Times New Roman" w:hAnsi="Times New Roman" w:cs="Times New Roman"/>
          <w:sz w:val="24"/>
          <w:szCs w:val="24"/>
        </w:rPr>
        <w:t>ip to some person. Although these</w:t>
      </w:r>
      <w:r w:rsidR="004F4B90">
        <w:rPr>
          <w:rFonts w:ascii="Times New Roman" w:hAnsi="Times New Roman" w:cs="Times New Roman"/>
          <w:sz w:val="24"/>
          <w:szCs w:val="24"/>
        </w:rPr>
        <w:t xml:space="preserve"> provision</w:t>
      </w:r>
      <w:r w:rsidR="00660A60">
        <w:rPr>
          <w:rFonts w:ascii="Times New Roman" w:hAnsi="Times New Roman" w:cs="Times New Roman"/>
          <w:sz w:val="24"/>
          <w:szCs w:val="24"/>
        </w:rPr>
        <w:t>s were</w:t>
      </w:r>
      <w:r w:rsidR="004F4B90">
        <w:rPr>
          <w:rFonts w:ascii="Times New Roman" w:hAnsi="Times New Roman" w:cs="Times New Roman"/>
          <w:sz w:val="24"/>
          <w:szCs w:val="24"/>
        </w:rPr>
        <w:t xml:space="preserve"> enacted after the creation of the trust in </w:t>
      </w:r>
      <w:r w:rsidR="004F4B90">
        <w:rPr>
          <w:rFonts w:ascii="Times New Roman" w:hAnsi="Times New Roman" w:cs="Times New Roman"/>
          <w:i/>
          <w:sz w:val="24"/>
          <w:szCs w:val="24"/>
        </w:rPr>
        <w:t>Exeter</w:t>
      </w:r>
      <w:r w:rsidR="004F4B90">
        <w:rPr>
          <w:rFonts w:ascii="Times New Roman" w:hAnsi="Times New Roman" w:cs="Times New Roman"/>
          <w:sz w:val="24"/>
          <w:szCs w:val="24"/>
        </w:rPr>
        <w:t>, no</w:t>
      </w:r>
      <w:r w:rsidR="00660A60">
        <w:rPr>
          <w:rFonts w:ascii="Times New Roman" w:hAnsi="Times New Roman" w:cs="Times New Roman"/>
          <w:sz w:val="24"/>
          <w:szCs w:val="24"/>
        </w:rPr>
        <w:t xml:space="preserve">t much appeared to turn on this. </w:t>
      </w:r>
      <w:r w:rsidR="00A5729A">
        <w:rPr>
          <w:rFonts w:ascii="Times New Roman" w:hAnsi="Times New Roman" w:cs="Times New Roman"/>
          <w:sz w:val="24"/>
          <w:szCs w:val="24"/>
        </w:rPr>
        <w:t xml:space="preserve">Clearly the main issue in </w:t>
      </w:r>
      <w:r w:rsidR="00A5729A">
        <w:rPr>
          <w:rFonts w:ascii="Times New Roman" w:hAnsi="Times New Roman" w:cs="Times New Roman"/>
          <w:i/>
          <w:sz w:val="24"/>
          <w:szCs w:val="24"/>
        </w:rPr>
        <w:t>Exeter</w:t>
      </w:r>
      <w:r w:rsidR="00A5729A">
        <w:rPr>
          <w:rFonts w:ascii="Times New Roman" w:hAnsi="Times New Roman" w:cs="Times New Roman"/>
          <w:sz w:val="24"/>
          <w:szCs w:val="24"/>
        </w:rPr>
        <w:t xml:space="preserve"> was certainty of beneficiaries. With the omission of the default charity, and with no-one in the class of primary beneficiaries at the time of the set-up of </w:t>
      </w:r>
      <w:r w:rsidR="00A5729A">
        <w:rPr>
          <w:rFonts w:ascii="Times New Roman" w:hAnsi="Times New Roman" w:cs="Times New Roman"/>
          <w:sz w:val="24"/>
          <w:szCs w:val="24"/>
        </w:rPr>
        <w:lastRenderedPageBreak/>
        <w:t>the trust,</w:t>
      </w:r>
      <w:r w:rsidR="002377D2">
        <w:rPr>
          <w:rFonts w:ascii="Times New Roman" w:hAnsi="Times New Roman" w:cs="Times New Roman"/>
          <w:sz w:val="24"/>
          <w:szCs w:val="24"/>
        </w:rPr>
        <w:t xml:space="preserve"> the trust had</w:t>
      </w:r>
      <w:r w:rsidR="00A5729A">
        <w:rPr>
          <w:rFonts w:ascii="Times New Roman" w:hAnsi="Times New Roman" w:cs="Times New Roman"/>
          <w:sz w:val="24"/>
          <w:szCs w:val="24"/>
        </w:rPr>
        <w:t xml:space="preserve"> no named beneficiaries</w:t>
      </w:r>
      <w:r w:rsidR="002377D2">
        <w:rPr>
          <w:rFonts w:ascii="Times New Roman" w:hAnsi="Times New Roman" w:cs="Times New Roman"/>
          <w:sz w:val="24"/>
          <w:szCs w:val="24"/>
        </w:rPr>
        <w:t xml:space="preserve"> at the relevant time</w:t>
      </w:r>
      <w:r w:rsidR="00A5729A">
        <w:rPr>
          <w:rFonts w:ascii="Times New Roman" w:hAnsi="Times New Roman" w:cs="Times New Roman"/>
          <w:sz w:val="24"/>
          <w:szCs w:val="24"/>
        </w:rPr>
        <w:t>.</w:t>
      </w:r>
      <w:r w:rsidR="002377D2">
        <w:rPr>
          <w:rStyle w:val="FootnoteReference"/>
          <w:rFonts w:ascii="Times New Roman" w:hAnsi="Times New Roman" w:cs="Times New Roman"/>
          <w:sz w:val="24"/>
          <w:szCs w:val="24"/>
        </w:rPr>
        <w:footnoteReference w:id="31"/>
      </w:r>
      <w:r w:rsidR="00A5729A">
        <w:rPr>
          <w:rFonts w:ascii="Times New Roman" w:hAnsi="Times New Roman" w:cs="Times New Roman"/>
          <w:sz w:val="24"/>
          <w:szCs w:val="24"/>
        </w:rPr>
        <w:t xml:space="preserve"> </w:t>
      </w:r>
      <w:r w:rsidR="00D03E24">
        <w:rPr>
          <w:rFonts w:ascii="Times New Roman" w:hAnsi="Times New Roman" w:cs="Times New Roman"/>
          <w:sz w:val="24"/>
          <w:szCs w:val="24"/>
        </w:rPr>
        <w:t>T</w:t>
      </w:r>
      <w:r w:rsidR="004F4B90">
        <w:rPr>
          <w:rFonts w:ascii="Times New Roman" w:hAnsi="Times New Roman" w:cs="Times New Roman"/>
          <w:sz w:val="24"/>
          <w:szCs w:val="24"/>
        </w:rPr>
        <w:t xml:space="preserve">he Royal Court </w:t>
      </w:r>
      <w:r w:rsidR="004F4B90" w:rsidRPr="004E65CA">
        <w:rPr>
          <w:rFonts w:ascii="Times New Roman" w:hAnsi="Times New Roman" w:cs="Times New Roman"/>
          <w:sz w:val="24"/>
          <w:szCs w:val="24"/>
        </w:rPr>
        <w:t>accepted</w:t>
      </w:r>
      <w:r w:rsidR="002D4602" w:rsidRPr="004E65CA">
        <w:rPr>
          <w:rFonts w:ascii="Times New Roman" w:hAnsi="Times New Roman" w:cs="Times New Roman"/>
          <w:sz w:val="24"/>
          <w:szCs w:val="24"/>
        </w:rPr>
        <w:t xml:space="preserve"> the </w:t>
      </w:r>
      <w:r w:rsidR="00D03E24">
        <w:rPr>
          <w:rFonts w:ascii="Times New Roman" w:hAnsi="Times New Roman" w:cs="Times New Roman"/>
          <w:sz w:val="24"/>
          <w:szCs w:val="24"/>
        </w:rPr>
        <w:t xml:space="preserve">relevant legal </w:t>
      </w:r>
      <w:r w:rsidR="002D4602" w:rsidRPr="004E65CA">
        <w:rPr>
          <w:rFonts w:ascii="Times New Roman" w:hAnsi="Times New Roman" w:cs="Times New Roman"/>
          <w:sz w:val="24"/>
          <w:szCs w:val="24"/>
        </w:rPr>
        <w:t>test</w:t>
      </w:r>
      <w:r w:rsidR="00D03E24">
        <w:rPr>
          <w:rFonts w:ascii="Times New Roman" w:hAnsi="Times New Roman" w:cs="Times New Roman"/>
          <w:sz w:val="24"/>
          <w:szCs w:val="24"/>
        </w:rPr>
        <w:t xml:space="preserve"> for certainty of object in discretionary trusts was that</w:t>
      </w:r>
      <w:r w:rsidR="005212D1" w:rsidRPr="004E65CA">
        <w:rPr>
          <w:rFonts w:ascii="Times New Roman" w:hAnsi="Times New Roman" w:cs="Times New Roman"/>
          <w:sz w:val="24"/>
          <w:szCs w:val="24"/>
        </w:rPr>
        <w:t xml:space="preserve"> </w:t>
      </w:r>
      <w:r w:rsidR="0041137E" w:rsidRPr="004E65CA">
        <w:rPr>
          <w:rFonts w:ascii="Times New Roman" w:hAnsi="Times New Roman" w:cs="Times New Roman"/>
          <w:sz w:val="24"/>
          <w:szCs w:val="24"/>
        </w:rPr>
        <w:t xml:space="preserve">laid down by the English House of Lords in </w:t>
      </w:r>
      <w:r w:rsidR="0041137E" w:rsidRPr="004E65CA">
        <w:rPr>
          <w:rFonts w:ascii="Times New Roman" w:hAnsi="Times New Roman" w:cs="Times New Roman"/>
          <w:i/>
          <w:sz w:val="24"/>
          <w:szCs w:val="24"/>
        </w:rPr>
        <w:t>McPhail v Doulton</w:t>
      </w:r>
      <w:r w:rsidR="00EE612F">
        <w:rPr>
          <w:rFonts w:ascii="Times New Roman" w:hAnsi="Times New Roman" w:cs="Times New Roman"/>
          <w:sz w:val="24"/>
          <w:szCs w:val="24"/>
        </w:rPr>
        <w:t>. According to this test, it was not necessary to be able to identify every member of the class of objects.</w:t>
      </w:r>
      <w:r w:rsidR="00D03E24">
        <w:rPr>
          <w:rFonts w:ascii="Times New Roman" w:hAnsi="Times New Roman" w:cs="Times New Roman"/>
          <w:sz w:val="24"/>
          <w:szCs w:val="24"/>
        </w:rPr>
        <w:t xml:space="preserve"> The trust is</w:t>
      </w:r>
      <w:r w:rsidR="00BA18AC">
        <w:rPr>
          <w:rFonts w:ascii="Times New Roman" w:hAnsi="Times New Roman" w:cs="Times New Roman"/>
          <w:sz w:val="24"/>
          <w:szCs w:val="24"/>
        </w:rPr>
        <w:t xml:space="preserve"> valid “</w:t>
      </w:r>
      <w:r w:rsidR="0041137E" w:rsidRPr="004E65CA">
        <w:rPr>
          <w:rFonts w:ascii="Times New Roman" w:hAnsi="Times New Roman" w:cs="Times New Roman"/>
          <w:sz w:val="24"/>
          <w:szCs w:val="24"/>
        </w:rPr>
        <w:t>if it can be said with certainty whether any given individual is or is not a member of the class and does not fail simply because it is impossible to ascertain every member of the class”.</w:t>
      </w:r>
      <w:r w:rsidR="00985762" w:rsidRPr="004E65CA">
        <w:rPr>
          <w:rStyle w:val="FootnoteReference"/>
          <w:rFonts w:ascii="Times New Roman" w:hAnsi="Times New Roman" w:cs="Times New Roman"/>
          <w:sz w:val="24"/>
          <w:szCs w:val="24"/>
        </w:rPr>
        <w:footnoteReference w:id="32"/>
      </w:r>
      <w:r w:rsidR="0041137E" w:rsidRPr="004E65CA">
        <w:rPr>
          <w:rFonts w:ascii="Times New Roman" w:hAnsi="Times New Roman" w:cs="Times New Roman"/>
          <w:sz w:val="24"/>
          <w:szCs w:val="24"/>
        </w:rPr>
        <w:t xml:space="preserve"> </w:t>
      </w:r>
      <w:r w:rsidR="00D03E24">
        <w:rPr>
          <w:rFonts w:ascii="Times New Roman" w:hAnsi="Times New Roman" w:cs="Times New Roman"/>
          <w:sz w:val="24"/>
          <w:szCs w:val="24"/>
        </w:rPr>
        <w:t>What is required</w:t>
      </w:r>
      <w:r w:rsidR="006A6449">
        <w:rPr>
          <w:rFonts w:ascii="Times New Roman" w:hAnsi="Times New Roman" w:cs="Times New Roman"/>
          <w:sz w:val="24"/>
          <w:szCs w:val="24"/>
        </w:rPr>
        <w:t xml:space="preserve"> here therefore,</w:t>
      </w:r>
      <w:r w:rsidR="00D03E24">
        <w:rPr>
          <w:rFonts w:ascii="Times New Roman" w:hAnsi="Times New Roman" w:cs="Times New Roman"/>
          <w:sz w:val="24"/>
          <w:szCs w:val="24"/>
        </w:rPr>
        <w:t xml:space="preserve"> is</w:t>
      </w:r>
      <w:r w:rsidR="006A6449">
        <w:rPr>
          <w:rFonts w:ascii="Times New Roman" w:hAnsi="Times New Roman" w:cs="Times New Roman"/>
          <w:sz w:val="24"/>
          <w:szCs w:val="24"/>
        </w:rPr>
        <w:t xml:space="preserve"> </w:t>
      </w:r>
      <w:r w:rsidR="006A6449" w:rsidRPr="00E40F9C">
        <w:rPr>
          <w:rFonts w:ascii="Times New Roman" w:hAnsi="Times New Roman" w:cs="Times New Roman"/>
          <w:i/>
          <w:sz w:val="24"/>
          <w:szCs w:val="24"/>
        </w:rPr>
        <w:t xml:space="preserve">conceptual </w:t>
      </w:r>
      <w:r w:rsidR="0041137E" w:rsidRPr="00E40F9C">
        <w:rPr>
          <w:rFonts w:ascii="Times New Roman" w:hAnsi="Times New Roman" w:cs="Times New Roman"/>
          <w:i/>
          <w:sz w:val="24"/>
          <w:szCs w:val="24"/>
        </w:rPr>
        <w:t>certainty</w:t>
      </w:r>
      <w:r w:rsidR="0041137E" w:rsidRPr="004E65CA">
        <w:rPr>
          <w:rFonts w:ascii="Times New Roman" w:hAnsi="Times New Roman" w:cs="Times New Roman"/>
          <w:sz w:val="24"/>
          <w:szCs w:val="24"/>
        </w:rPr>
        <w:t xml:space="preserve"> </w:t>
      </w:r>
      <w:r w:rsidR="00D03E24">
        <w:rPr>
          <w:rFonts w:ascii="Times New Roman" w:hAnsi="Times New Roman" w:cs="Times New Roman"/>
          <w:sz w:val="24"/>
          <w:szCs w:val="24"/>
        </w:rPr>
        <w:t>within the settlor’s description of the beneficiaries, for example,</w:t>
      </w:r>
      <w:r w:rsidR="0041137E" w:rsidRPr="004E65CA">
        <w:rPr>
          <w:rFonts w:ascii="Times New Roman" w:hAnsi="Times New Roman" w:cs="Times New Roman"/>
          <w:sz w:val="24"/>
          <w:szCs w:val="24"/>
        </w:rPr>
        <w:t xml:space="preserve"> “employees</w:t>
      </w:r>
      <w:r w:rsidR="00D03E24">
        <w:rPr>
          <w:rFonts w:ascii="Times New Roman" w:hAnsi="Times New Roman" w:cs="Times New Roman"/>
          <w:sz w:val="24"/>
          <w:szCs w:val="24"/>
        </w:rPr>
        <w:t xml:space="preserve"> of Leicester Law School” or “members of the </w:t>
      </w:r>
      <w:r w:rsidR="006A6449">
        <w:rPr>
          <w:rFonts w:ascii="Times New Roman" w:hAnsi="Times New Roman" w:cs="Times New Roman"/>
          <w:sz w:val="24"/>
          <w:szCs w:val="24"/>
        </w:rPr>
        <w:t>Derby Concert Orchestra”.</w:t>
      </w:r>
      <w:r w:rsidR="0041137E" w:rsidRPr="004E65CA">
        <w:rPr>
          <w:rStyle w:val="FootnoteReference"/>
          <w:rFonts w:ascii="Times New Roman" w:hAnsi="Times New Roman" w:cs="Times New Roman"/>
          <w:sz w:val="24"/>
          <w:szCs w:val="24"/>
        </w:rPr>
        <w:footnoteReference w:id="33"/>
      </w:r>
      <w:r w:rsidR="005212D1" w:rsidRPr="004E65CA">
        <w:rPr>
          <w:rFonts w:ascii="Times New Roman" w:hAnsi="Times New Roman" w:cs="Times New Roman"/>
          <w:sz w:val="24"/>
          <w:szCs w:val="24"/>
        </w:rPr>
        <w:t xml:space="preserve"> </w:t>
      </w:r>
      <w:r w:rsidR="00EE612F">
        <w:rPr>
          <w:rFonts w:ascii="Times New Roman" w:hAnsi="Times New Roman" w:cs="Times New Roman"/>
          <w:sz w:val="24"/>
          <w:szCs w:val="24"/>
        </w:rPr>
        <w:t xml:space="preserve">The advocate for the trustees argued that the </w:t>
      </w:r>
      <w:r w:rsidR="00EE612F">
        <w:rPr>
          <w:rFonts w:ascii="Times New Roman" w:hAnsi="Times New Roman" w:cs="Times New Roman"/>
          <w:i/>
          <w:sz w:val="24"/>
          <w:szCs w:val="24"/>
        </w:rPr>
        <w:t xml:space="preserve">Exeter </w:t>
      </w:r>
      <w:r w:rsidR="00EE612F">
        <w:rPr>
          <w:rFonts w:ascii="Times New Roman" w:hAnsi="Times New Roman" w:cs="Times New Roman"/>
          <w:sz w:val="24"/>
          <w:szCs w:val="24"/>
        </w:rPr>
        <w:t>trust did not fail for uncertainty of object</w:t>
      </w:r>
      <w:r w:rsidR="00EE612F" w:rsidRPr="00D03449">
        <w:rPr>
          <w:rFonts w:ascii="Times New Roman" w:hAnsi="Times New Roman" w:cs="Times New Roman"/>
          <w:sz w:val="24"/>
          <w:szCs w:val="24"/>
        </w:rPr>
        <w:t>.</w:t>
      </w:r>
      <w:r w:rsidR="00EE612F" w:rsidRPr="00D03449">
        <w:rPr>
          <w:rStyle w:val="FootnoteReference"/>
          <w:rFonts w:ascii="Times New Roman" w:hAnsi="Times New Roman" w:cs="Times New Roman"/>
          <w:sz w:val="24"/>
          <w:szCs w:val="24"/>
        </w:rPr>
        <w:footnoteReference w:id="34"/>
      </w:r>
      <w:r w:rsidR="001F0EC2">
        <w:rPr>
          <w:rFonts w:ascii="Times New Roman" w:hAnsi="Times New Roman" w:cs="Times New Roman"/>
          <w:sz w:val="24"/>
          <w:szCs w:val="24"/>
        </w:rPr>
        <w:t xml:space="preserve"> E</w:t>
      </w:r>
      <w:r w:rsidR="00BA18AC">
        <w:rPr>
          <w:rFonts w:ascii="Times New Roman" w:hAnsi="Times New Roman" w:cs="Times New Roman"/>
          <w:sz w:val="24"/>
          <w:szCs w:val="24"/>
        </w:rPr>
        <w:t>ven though there were no named benef</w:t>
      </w:r>
      <w:r w:rsidR="001F0EC2">
        <w:rPr>
          <w:rFonts w:ascii="Times New Roman" w:hAnsi="Times New Roman" w:cs="Times New Roman"/>
          <w:sz w:val="24"/>
          <w:szCs w:val="24"/>
        </w:rPr>
        <w:t>iciaries in the class</w:t>
      </w:r>
      <w:r w:rsidR="00BA18AC">
        <w:rPr>
          <w:rFonts w:ascii="Times New Roman" w:hAnsi="Times New Roman" w:cs="Times New Roman"/>
          <w:sz w:val="24"/>
          <w:szCs w:val="24"/>
        </w:rPr>
        <w:t xml:space="preserve">, </w:t>
      </w:r>
      <w:r w:rsidR="005212D1" w:rsidRPr="004E65CA">
        <w:rPr>
          <w:rFonts w:ascii="Times New Roman" w:hAnsi="Times New Roman" w:cs="Times New Roman"/>
          <w:sz w:val="24"/>
          <w:szCs w:val="24"/>
        </w:rPr>
        <w:t>the</w:t>
      </w:r>
      <w:r w:rsidR="001F0EC2">
        <w:rPr>
          <w:rFonts w:ascii="Times New Roman" w:hAnsi="Times New Roman" w:cs="Times New Roman"/>
          <w:sz w:val="24"/>
          <w:szCs w:val="24"/>
        </w:rPr>
        <w:t xml:space="preserve"> trustee had a</w:t>
      </w:r>
      <w:r w:rsidR="00BA18AC">
        <w:rPr>
          <w:rFonts w:ascii="Times New Roman" w:hAnsi="Times New Roman" w:cs="Times New Roman"/>
          <w:sz w:val="24"/>
          <w:szCs w:val="24"/>
        </w:rPr>
        <w:t xml:space="preserve"> power to add to the class</w:t>
      </w:r>
      <w:r w:rsidR="001F0EC2">
        <w:rPr>
          <w:rFonts w:ascii="Times New Roman" w:hAnsi="Times New Roman" w:cs="Times New Roman"/>
          <w:sz w:val="24"/>
          <w:szCs w:val="24"/>
        </w:rPr>
        <w:t>. This</w:t>
      </w:r>
      <w:r w:rsidR="004E65CA" w:rsidRPr="004E65CA">
        <w:rPr>
          <w:rFonts w:ascii="Times New Roman" w:hAnsi="Times New Roman" w:cs="Times New Roman"/>
          <w:sz w:val="24"/>
          <w:szCs w:val="24"/>
        </w:rPr>
        <w:t xml:space="preserve"> </w:t>
      </w:r>
      <w:r w:rsidR="005212D1" w:rsidRPr="004E65CA">
        <w:rPr>
          <w:rFonts w:ascii="Times New Roman" w:hAnsi="Times New Roman" w:cs="Times New Roman"/>
          <w:sz w:val="24"/>
          <w:szCs w:val="24"/>
        </w:rPr>
        <w:t>provided</w:t>
      </w:r>
      <w:r w:rsidR="004E65CA" w:rsidRPr="004E65CA">
        <w:rPr>
          <w:rFonts w:ascii="Times New Roman" w:hAnsi="Times New Roman" w:cs="Times New Roman"/>
          <w:sz w:val="24"/>
          <w:szCs w:val="24"/>
        </w:rPr>
        <w:t xml:space="preserve"> sufficient conceptual identification of </w:t>
      </w:r>
      <w:r w:rsidR="00BA18AC">
        <w:rPr>
          <w:rFonts w:ascii="Times New Roman" w:hAnsi="Times New Roman" w:cs="Times New Roman"/>
          <w:sz w:val="24"/>
          <w:szCs w:val="24"/>
        </w:rPr>
        <w:t xml:space="preserve">beneficiaries </w:t>
      </w:r>
      <w:r w:rsidR="001F0EC2">
        <w:rPr>
          <w:rFonts w:ascii="Times New Roman" w:hAnsi="Times New Roman" w:cs="Times New Roman"/>
          <w:sz w:val="24"/>
          <w:szCs w:val="24"/>
        </w:rPr>
        <w:t xml:space="preserve">to validate the whole trust, i.e. </w:t>
      </w:r>
      <w:r w:rsidR="00BA18AC">
        <w:rPr>
          <w:rFonts w:ascii="Times New Roman" w:hAnsi="Times New Roman" w:cs="Times New Roman"/>
          <w:sz w:val="24"/>
          <w:szCs w:val="24"/>
        </w:rPr>
        <w:t>it could be said of anyone in the world whether they did or did not fall within the class of beneficiaries: Just look at whether the trustee had exercised the power</w:t>
      </w:r>
      <w:r w:rsidR="001F0EC2">
        <w:rPr>
          <w:rFonts w:ascii="Times New Roman" w:hAnsi="Times New Roman" w:cs="Times New Roman"/>
          <w:sz w:val="24"/>
          <w:szCs w:val="24"/>
        </w:rPr>
        <w:t xml:space="preserve"> or not</w:t>
      </w:r>
      <w:r w:rsidR="00BA18AC">
        <w:rPr>
          <w:rFonts w:ascii="Times New Roman" w:hAnsi="Times New Roman" w:cs="Times New Roman"/>
          <w:sz w:val="24"/>
          <w:szCs w:val="24"/>
        </w:rPr>
        <w:t>.</w:t>
      </w:r>
      <w:r w:rsidR="00FA1D9F" w:rsidRPr="004E65CA">
        <w:rPr>
          <w:rFonts w:ascii="Times New Roman" w:hAnsi="Times New Roman" w:cs="Times New Roman"/>
          <w:sz w:val="24"/>
          <w:szCs w:val="24"/>
        </w:rPr>
        <w:t xml:space="preserve"> </w:t>
      </w:r>
      <w:r w:rsidR="002377D2">
        <w:rPr>
          <w:rFonts w:ascii="Times New Roman" w:hAnsi="Times New Roman" w:cs="Times New Roman"/>
          <w:sz w:val="24"/>
          <w:szCs w:val="24"/>
        </w:rPr>
        <w:t>This argument relied</w:t>
      </w:r>
      <w:r w:rsidR="004E65CA" w:rsidRPr="004E65CA">
        <w:rPr>
          <w:rFonts w:ascii="Times New Roman" w:hAnsi="Times New Roman" w:cs="Times New Roman"/>
          <w:sz w:val="24"/>
          <w:szCs w:val="24"/>
        </w:rPr>
        <w:t xml:space="preserve"> on the Isle of Man case of </w:t>
      </w:r>
      <w:proofErr w:type="spellStart"/>
      <w:r w:rsidR="004E65CA" w:rsidRPr="004E65CA">
        <w:rPr>
          <w:rFonts w:ascii="Times New Roman" w:hAnsi="Times New Roman" w:cs="Times New Roman"/>
          <w:i/>
          <w:sz w:val="24"/>
          <w:szCs w:val="24"/>
        </w:rPr>
        <w:t>Rawcliffe</w:t>
      </w:r>
      <w:proofErr w:type="spellEnd"/>
      <w:r w:rsidR="004E65CA" w:rsidRPr="004E65CA">
        <w:rPr>
          <w:rFonts w:ascii="Times New Roman" w:hAnsi="Times New Roman" w:cs="Times New Roman"/>
          <w:i/>
          <w:sz w:val="24"/>
          <w:szCs w:val="24"/>
        </w:rPr>
        <w:t xml:space="preserve"> v Steele</w:t>
      </w:r>
      <w:r w:rsidR="002377D2">
        <w:rPr>
          <w:rFonts w:ascii="Times New Roman" w:hAnsi="Times New Roman" w:cs="Times New Roman"/>
          <w:sz w:val="24"/>
          <w:szCs w:val="24"/>
        </w:rPr>
        <w:t>.</w:t>
      </w:r>
      <w:r w:rsidR="004E65CA">
        <w:rPr>
          <w:rStyle w:val="FootnoteReference"/>
          <w:rFonts w:ascii="Times New Roman" w:hAnsi="Times New Roman" w:cs="Times New Roman"/>
          <w:sz w:val="24"/>
          <w:szCs w:val="24"/>
        </w:rPr>
        <w:footnoteReference w:id="35"/>
      </w:r>
      <w:r w:rsidR="004E65CA" w:rsidRPr="004E65CA">
        <w:rPr>
          <w:rFonts w:ascii="Times New Roman" w:hAnsi="Times New Roman" w:cs="Times New Roman"/>
          <w:sz w:val="24"/>
          <w:szCs w:val="24"/>
        </w:rPr>
        <w:t xml:space="preserve"> </w:t>
      </w:r>
      <w:r w:rsidR="002377D2">
        <w:rPr>
          <w:rFonts w:ascii="Times New Roman" w:hAnsi="Times New Roman" w:cs="Times New Roman"/>
          <w:sz w:val="24"/>
          <w:szCs w:val="24"/>
        </w:rPr>
        <w:t>This similar fact case held</w:t>
      </w:r>
      <w:r w:rsidR="004E65CA">
        <w:rPr>
          <w:rFonts w:ascii="Times New Roman" w:hAnsi="Times New Roman" w:cs="Times New Roman"/>
          <w:sz w:val="24"/>
          <w:szCs w:val="24"/>
        </w:rPr>
        <w:t xml:space="preserve"> that </w:t>
      </w:r>
      <w:r w:rsidR="00BE5D68">
        <w:rPr>
          <w:rFonts w:ascii="Times New Roman" w:hAnsi="Times New Roman" w:cs="Times New Roman"/>
          <w:sz w:val="24"/>
          <w:szCs w:val="24"/>
        </w:rPr>
        <w:t xml:space="preserve">there was no </w:t>
      </w:r>
      <w:r w:rsidR="002377D2">
        <w:rPr>
          <w:rFonts w:ascii="Times New Roman" w:hAnsi="Times New Roman" w:cs="Times New Roman"/>
          <w:sz w:val="24"/>
          <w:szCs w:val="24"/>
        </w:rPr>
        <w:t xml:space="preserve">conceptual </w:t>
      </w:r>
      <w:r w:rsidR="00BE5D68">
        <w:rPr>
          <w:rFonts w:ascii="Times New Roman" w:hAnsi="Times New Roman" w:cs="Times New Roman"/>
          <w:sz w:val="24"/>
          <w:szCs w:val="24"/>
        </w:rPr>
        <w:t xml:space="preserve">uncertainty in the class </w:t>
      </w:r>
      <w:r w:rsidR="002377D2">
        <w:rPr>
          <w:rFonts w:ascii="Times New Roman" w:hAnsi="Times New Roman" w:cs="Times New Roman"/>
          <w:sz w:val="24"/>
          <w:szCs w:val="24"/>
        </w:rPr>
        <w:t xml:space="preserve">of potential objects of </w:t>
      </w:r>
      <w:r w:rsidR="00BE5D68">
        <w:rPr>
          <w:rFonts w:ascii="Times New Roman" w:hAnsi="Times New Roman" w:cs="Times New Roman"/>
          <w:sz w:val="24"/>
          <w:szCs w:val="24"/>
        </w:rPr>
        <w:t>the power of addition</w:t>
      </w:r>
      <w:r w:rsidR="002377D2">
        <w:rPr>
          <w:rFonts w:ascii="Times New Roman" w:hAnsi="Times New Roman" w:cs="Times New Roman"/>
          <w:sz w:val="24"/>
          <w:szCs w:val="24"/>
        </w:rPr>
        <w:t xml:space="preserve"> (“individuals not resident in the Isle of Man”</w:t>
      </w:r>
      <w:r w:rsidR="00937D19">
        <w:rPr>
          <w:rFonts w:ascii="Times New Roman" w:hAnsi="Times New Roman" w:cs="Times New Roman"/>
          <w:sz w:val="24"/>
          <w:szCs w:val="24"/>
        </w:rPr>
        <w:t>),</w:t>
      </w:r>
      <w:r w:rsidR="00AF5925">
        <w:rPr>
          <w:rFonts w:ascii="Times New Roman" w:hAnsi="Times New Roman" w:cs="Times New Roman"/>
          <w:sz w:val="24"/>
          <w:szCs w:val="24"/>
        </w:rPr>
        <w:t xml:space="preserve"> </w:t>
      </w:r>
      <w:r w:rsidR="00937D19">
        <w:rPr>
          <w:rFonts w:ascii="Times New Roman" w:hAnsi="Times New Roman" w:cs="Times New Roman"/>
          <w:sz w:val="24"/>
          <w:szCs w:val="24"/>
        </w:rPr>
        <w:t>a</w:t>
      </w:r>
      <w:r w:rsidR="00AF52EC">
        <w:rPr>
          <w:rFonts w:ascii="Times New Roman" w:hAnsi="Times New Roman" w:cs="Times New Roman"/>
          <w:sz w:val="24"/>
          <w:szCs w:val="24"/>
        </w:rPr>
        <w:t>nd t</w:t>
      </w:r>
      <w:r w:rsidR="002377D2">
        <w:rPr>
          <w:rFonts w:ascii="Times New Roman" w:hAnsi="Times New Roman" w:cs="Times New Roman"/>
          <w:sz w:val="24"/>
          <w:szCs w:val="24"/>
        </w:rPr>
        <w:t>here was</w:t>
      </w:r>
      <w:r w:rsidR="00BE5D68">
        <w:rPr>
          <w:rFonts w:ascii="Times New Roman" w:hAnsi="Times New Roman" w:cs="Times New Roman"/>
          <w:sz w:val="24"/>
          <w:szCs w:val="24"/>
        </w:rPr>
        <w:t xml:space="preserve"> no uncertainty about the process of appointing from that class into a</w:t>
      </w:r>
      <w:r w:rsidR="003F33D8">
        <w:rPr>
          <w:rFonts w:ascii="Times New Roman" w:hAnsi="Times New Roman" w:cs="Times New Roman"/>
          <w:sz w:val="24"/>
          <w:szCs w:val="24"/>
        </w:rPr>
        <w:t xml:space="preserve"> smaller class </w:t>
      </w:r>
      <w:r w:rsidR="00AF52EC">
        <w:rPr>
          <w:rFonts w:ascii="Times New Roman" w:hAnsi="Times New Roman" w:cs="Times New Roman"/>
          <w:sz w:val="24"/>
          <w:szCs w:val="24"/>
        </w:rPr>
        <w:t>of beneficiaries: a</w:t>
      </w:r>
      <w:r w:rsidR="002377D2">
        <w:rPr>
          <w:rFonts w:ascii="Times New Roman" w:hAnsi="Times New Roman" w:cs="Times New Roman"/>
          <w:sz w:val="24"/>
          <w:szCs w:val="24"/>
        </w:rPr>
        <w:t xml:space="preserve"> “sub-class” of beneficiaries</w:t>
      </w:r>
      <w:r w:rsidR="00937D19">
        <w:rPr>
          <w:rFonts w:ascii="Times New Roman" w:hAnsi="Times New Roman" w:cs="Times New Roman"/>
          <w:sz w:val="24"/>
          <w:szCs w:val="24"/>
        </w:rPr>
        <w:t xml:space="preserve"> from the wider class under the power of addition</w:t>
      </w:r>
      <w:r w:rsidR="00BE5D68">
        <w:rPr>
          <w:rFonts w:ascii="Times New Roman" w:hAnsi="Times New Roman" w:cs="Times New Roman"/>
          <w:sz w:val="24"/>
          <w:szCs w:val="24"/>
        </w:rPr>
        <w:t>.</w:t>
      </w:r>
    </w:p>
    <w:p w:rsidR="009C4084" w:rsidRDefault="009C4084" w:rsidP="005E553D">
      <w:pPr>
        <w:spacing w:after="0"/>
        <w:jc w:val="both"/>
        <w:rPr>
          <w:rFonts w:ascii="Times New Roman" w:hAnsi="Times New Roman" w:cs="Times New Roman"/>
          <w:sz w:val="24"/>
          <w:szCs w:val="24"/>
        </w:rPr>
      </w:pPr>
    </w:p>
    <w:p w:rsidR="00FA1D9F" w:rsidRDefault="00FA1D9F" w:rsidP="00FA1D9F">
      <w:pPr>
        <w:spacing w:after="0"/>
        <w:ind w:left="720"/>
        <w:jc w:val="both"/>
        <w:rPr>
          <w:rFonts w:ascii="Times New Roman" w:hAnsi="Times New Roman" w:cs="Times New Roman"/>
          <w:i/>
          <w:sz w:val="24"/>
          <w:szCs w:val="24"/>
          <w:u w:val="single"/>
        </w:rPr>
      </w:pPr>
      <w:r>
        <w:rPr>
          <w:rFonts w:ascii="Times New Roman" w:hAnsi="Times New Roman" w:cs="Times New Roman"/>
          <w:sz w:val="24"/>
          <w:szCs w:val="24"/>
        </w:rPr>
        <w:t xml:space="preserve">iii) </w:t>
      </w:r>
      <w:r>
        <w:rPr>
          <w:rFonts w:ascii="Times New Roman" w:hAnsi="Times New Roman" w:cs="Times New Roman"/>
          <w:sz w:val="24"/>
          <w:szCs w:val="24"/>
          <w:u w:val="single"/>
        </w:rPr>
        <w:t>The Royal Court’s reasoning</w:t>
      </w:r>
      <w:r w:rsidR="003F33D8">
        <w:rPr>
          <w:rFonts w:ascii="Times New Roman" w:hAnsi="Times New Roman" w:cs="Times New Roman"/>
          <w:sz w:val="24"/>
          <w:szCs w:val="24"/>
          <w:u w:val="single"/>
        </w:rPr>
        <w:t xml:space="preserve"> and academic commentary</w:t>
      </w:r>
    </w:p>
    <w:p w:rsidR="00FA1D9F" w:rsidRPr="00FA1D9F" w:rsidRDefault="00FA1D9F" w:rsidP="005E553D">
      <w:pPr>
        <w:spacing w:after="0"/>
        <w:jc w:val="both"/>
        <w:rPr>
          <w:rFonts w:ascii="Times New Roman" w:hAnsi="Times New Roman" w:cs="Times New Roman"/>
          <w:sz w:val="16"/>
          <w:szCs w:val="16"/>
        </w:rPr>
      </w:pPr>
    </w:p>
    <w:p w:rsidR="00BF2F28" w:rsidRPr="00AF52EC" w:rsidRDefault="005E553D" w:rsidP="00BF2F28">
      <w:pPr>
        <w:spacing w:after="0"/>
        <w:jc w:val="both"/>
        <w:rPr>
          <w:rFonts w:ascii="Times New Roman" w:hAnsi="Times New Roman" w:cs="Times New Roman"/>
          <w:sz w:val="24"/>
          <w:szCs w:val="24"/>
        </w:rPr>
      </w:pPr>
      <w:r w:rsidRPr="0080761C">
        <w:rPr>
          <w:rFonts w:ascii="Times New Roman" w:hAnsi="Times New Roman" w:cs="Times New Roman"/>
          <w:sz w:val="24"/>
          <w:szCs w:val="24"/>
        </w:rPr>
        <w:t>The Royal Court</w:t>
      </w:r>
      <w:r w:rsidR="00E40F9C">
        <w:rPr>
          <w:rFonts w:ascii="Times New Roman" w:hAnsi="Times New Roman" w:cs="Times New Roman"/>
          <w:sz w:val="24"/>
          <w:szCs w:val="24"/>
        </w:rPr>
        <w:t xml:space="preserve"> in </w:t>
      </w:r>
      <w:r w:rsidR="00E40F9C">
        <w:rPr>
          <w:rFonts w:ascii="Times New Roman" w:hAnsi="Times New Roman" w:cs="Times New Roman"/>
          <w:i/>
          <w:sz w:val="24"/>
          <w:szCs w:val="24"/>
        </w:rPr>
        <w:t>The Exeter Settlement</w:t>
      </w:r>
      <w:r w:rsidRPr="0080761C">
        <w:rPr>
          <w:rStyle w:val="FootnoteReference"/>
          <w:rFonts w:ascii="Times New Roman" w:hAnsi="Times New Roman" w:cs="Times New Roman"/>
          <w:sz w:val="24"/>
          <w:szCs w:val="24"/>
        </w:rPr>
        <w:footnoteReference w:id="36"/>
      </w:r>
      <w:r w:rsidRPr="0080761C">
        <w:rPr>
          <w:rFonts w:ascii="Times New Roman" w:hAnsi="Times New Roman" w:cs="Times New Roman"/>
          <w:sz w:val="24"/>
          <w:szCs w:val="24"/>
        </w:rPr>
        <w:t xml:space="preserve"> reject</w:t>
      </w:r>
      <w:r w:rsidR="00FA1D9F" w:rsidRPr="0080761C">
        <w:rPr>
          <w:rFonts w:ascii="Times New Roman" w:hAnsi="Times New Roman" w:cs="Times New Roman"/>
          <w:sz w:val="24"/>
          <w:szCs w:val="24"/>
        </w:rPr>
        <w:t>ed this argument</w:t>
      </w:r>
      <w:r w:rsidR="00025B2A">
        <w:rPr>
          <w:rFonts w:ascii="Times New Roman" w:hAnsi="Times New Roman" w:cs="Times New Roman"/>
          <w:sz w:val="24"/>
          <w:szCs w:val="24"/>
        </w:rPr>
        <w:t xml:space="preserve"> and held that the trust had been void from the outset</w:t>
      </w:r>
      <w:r w:rsidR="00BE5D68" w:rsidRPr="0080761C">
        <w:rPr>
          <w:rFonts w:ascii="Times New Roman" w:hAnsi="Times New Roman" w:cs="Times New Roman"/>
          <w:sz w:val="24"/>
          <w:szCs w:val="24"/>
        </w:rPr>
        <w:t xml:space="preserve">. It declined to follow </w:t>
      </w:r>
      <w:proofErr w:type="spellStart"/>
      <w:r w:rsidR="00BE5D68" w:rsidRPr="0080761C">
        <w:rPr>
          <w:rFonts w:ascii="Times New Roman" w:hAnsi="Times New Roman" w:cs="Times New Roman"/>
          <w:i/>
          <w:sz w:val="24"/>
          <w:szCs w:val="24"/>
        </w:rPr>
        <w:t>Rawcliffe</w:t>
      </w:r>
      <w:proofErr w:type="spellEnd"/>
      <w:r w:rsidR="00BE5D68" w:rsidRPr="0080761C">
        <w:rPr>
          <w:rFonts w:ascii="Times New Roman" w:hAnsi="Times New Roman" w:cs="Times New Roman"/>
          <w:i/>
          <w:sz w:val="24"/>
          <w:szCs w:val="24"/>
        </w:rPr>
        <w:t xml:space="preserve"> v Steele</w:t>
      </w:r>
      <w:r w:rsidR="00663BC4">
        <w:rPr>
          <w:rFonts w:ascii="Times New Roman" w:hAnsi="Times New Roman" w:cs="Times New Roman"/>
          <w:sz w:val="24"/>
          <w:szCs w:val="24"/>
        </w:rPr>
        <w:t xml:space="preserve"> </w:t>
      </w:r>
      <w:r w:rsidR="00025B2A">
        <w:rPr>
          <w:rFonts w:ascii="Times New Roman" w:hAnsi="Times New Roman" w:cs="Times New Roman"/>
          <w:sz w:val="24"/>
          <w:szCs w:val="24"/>
        </w:rPr>
        <w:t xml:space="preserve">on the basis </w:t>
      </w:r>
      <w:r w:rsidR="00DF70A3">
        <w:rPr>
          <w:rFonts w:ascii="Times New Roman" w:hAnsi="Times New Roman" w:cs="Times New Roman"/>
          <w:sz w:val="24"/>
          <w:szCs w:val="24"/>
        </w:rPr>
        <w:t>that the certainty</w:t>
      </w:r>
      <w:r w:rsidR="00BE5D68" w:rsidRPr="0080761C">
        <w:rPr>
          <w:rFonts w:ascii="Times New Roman" w:hAnsi="Times New Roman" w:cs="Times New Roman"/>
          <w:sz w:val="24"/>
          <w:szCs w:val="24"/>
        </w:rPr>
        <w:t xml:space="preserve"> requirement</w:t>
      </w:r>
      <w:r w:rsidR="00025B2A">
        <w:rPr>
          <w:rFonts w:ascii="Times New Roman" w:hAnsi="Times New Roman" w:cs="Times New Roman"/>
          <w:sz w:val="24"/>
          <w:szCs w:val="24"/>
        </w:rPr>
        <w:t>s</w:t>
      </w:r>
      <w:r w:rsidR="00BE5D68" w:rsidRPr="0080761C">
        <w:rPr>
          <w:rFonts w:ascii="Times New Roman" w:hAnsi="Times New Roman" w:cs="Times New Roman"/>
          <w:sz w:val="24"/>
          <w:szCs w:val="24"/>
        </w:rPr>
        <w:t xml:space="preserve"> must apply</w:t>
      </w:r>
      <w:r w:rsidR="0080761C">
        <w:rPr>
          <w:rFonts w:ascii="Times New Roman" w:hAnsi="Times New Roman" w:cs="Times New Roman"/>
          <w:sz w:val="24"/>
          <w:szCs w:val="24"/>
        </w:rPr>
        <w:t xml:space="preserve"> and be effective</w:t>
      </w:r>
      <w:r w:rsidR="00DC1D0C">
        <w:rPr>
          <w:rFonts w:ascii="Times New Roman" w:hAnsi="Times New Roman" w:cs="Times New Roman"/>
          <w:sz w:val="24"/>
          <w:szCs w:val="24"/>
        </w:rPr>
        <w:t xml:space="preserve"> separately</w:t>
      </w:r>
      <w:r w:rsidR="0080761C">
        <w:rPr>
          <w:rFonts w:ascii="Times New Roman" w:hAnsi="Times New Roman" w:cs="Times New Roman"/>
          <w:sz w:val="24"/>
          <w:szCs w:val="24"/>
        </w:rPr>
        <w:t xml:space="preserve"> in relation</w:t>
      </w:r>
      <w:r w:rsidR="00DC1D0C">
        <w:rPr>
          <w:rFonts w:ascii="Times New Roman" w:hAnsi="Times New Roman" w:cs="Times New Roman"/>
          <w:sz w:val="24"/>
          <w:szCs w:val="24"/>
        </w:rPr>
        <w:t xml:space="preserve"> </w:t>
      </w:r>
      <w:r w:rsidR="00BE5D68" w:rsidRPr="0080761C">
        <w:rPr>
          <w:rFonts w:ascii="Times New Roman" w:hAnsi="Times New Roman" w:cs="Times New Roman"/>
          <w:sz w:val="24"/>
          <w:szCs w:val="24"/>
        </w:rPr>
        <w:t>to</w:t>
      </w:r>
      <w:r w:rsidR="00025B2A">
        <w:rPr>
          <w:rFonts w:ascii="Times New Roman" w:hAnsi="Times New Roman" w:cs="Times New Roman"/>
          <w:sz w:val="24"/>
          <w:szCs w:val="24"/>
        </w:rPr>
        <w:t xml:space="preserve"> the</w:t>
      </w:r>
      <w:r w:rsidR="003D0C67">
        <w:rPr>
          <w:rFonts w:ascii="Times New Roman" w:hAnsi="Times New Roman" w:cs="Times New Roman"/>
          <w:sz w:val="24"/>
          <w:szCs w:val="24"/>
        </w:rPr>
        <w:t xml:space="preserve"> class of</w:t>
      </w:r>
      <w:r w:rsidR="00BE5D68" w:rsidRPr="0080761C">
        <w:rPr>
          <w:rFonts w:ascii="Times New Roman" w:hAnsi="Times New Roman" w:cs="Times New Roman"/>
          <w:sz w:val="24"/>
          <w:szCs w:val="24"/>
        </w:rPr>
        <w:t xml:space="preserve"> </w:t>
      </w:r>
      <w:r w:rsidR="00025B2A">
        <w:rPr>
          <w:rFonts w:ascii="Times New Roman" w:hAnsi="Times New Roman" w:cs="Times New Roman"/>
          <w:i/>
          <w:sz w:val="24"/>
          <w:szCs w:val="24"/>
        </w:rPr>
        <w:t>actual beneficiaries under the trust</w:t>
      </w:r>
      <w:r w:rsidR="0080761C">
        <w:rPr>
          <w:rFonts w:ascii="Times New Roman" w:hAnsi="Times New Roman" w:cs="Times New Roman"/>
          <w:sz w:val="24"/>
          <w:szCs w:val="24"/>
        </w:rPr>
        <w:t xml:space="preserve">. </w:t>
      </w:r>
      <w:r w:rsidR="00DF70A3">
        <w:rPr>
          <w:rFonts w:ascii="Times New Roman" w:hAnsi="Times New Roman" w:cs="Times New Roman"/>
          <w:sz w:val="24"/>
          <w:szCs w:val="24"/>
        </w:rPr>
        <w:t>Identifying</w:t>
      </w:r>
      <w:r w:rsidR="00BA18AC">
        <w:rPr>
          <w:rFonts w:ascii="Times New Roman" w:hAnsi="Times New Roman" w:cs="Times New Roman"/>
          <w:sz w:val="24"/>
          <w:szCs w:val="24"/>
        </w:rPr>
        <w:t xml:space="preserve"> </w:t>
      </w:r>
      <w:r w:rsidR="00DF70A3">
        <w:rPr>
          <w:rFonts w:ascii="Times New Roman" w:hAnsi="Times New Roman" w:cs="Times New Roman"/>
          <w:sz w:val="24"/>
          <w:szCs w:val="24"/>
        </w:rPr>
        <w:t xml:space="preserve">certainty of </w:t>
      </w:r>
      <w:r w:rsidR="00BA18AC">
        <w:rPr>
          <w:rFonts w:ascii="Times New Roman" w:hAnsi="Times New Roman" w:cs="Times New Roman"/>
          <w:sz w:val="24"/>
          <w:szCs w:val="24"/>
        </w:rPr>
        <w:t>b</w:t>
      </w:r>
      <w:r w:rsidR="00495A25">
        <w:rPr>
          <w:rFonts w:ascii="Times New Roman" w:hAnsi="Times New Roman" w:cs="Times New Roman"/>
          <w:sz w:val="24"/>
          <w:szCs w:val="24"/>
        </w:rPr>
        <w:t xml:space="preserve">eneficiaries </w:t>
      </w:r>
      <w:r w:rsidR="00495A25" w:rsidRPr="00AF52EC">
        <w:rPr>
          <w:rFonts w:ascii="Times New Roman" w:hAnsi="Times New Roman" w:cs="Times New Roman"/>
          <w:sz w:val="24"/>
          <w:szCs w:val="24"/>
        </w:rPr>
        <w:t>under a trust</w:t>
      </w:r>
      <w:r w:rsidR="00DF70A3">
        <w:rPr>
          <w:rFonts w:ascii="Times New Roman" w:hAnsi="Times New Roman" w:cs="Times New Roman"/>
          <w:sz w:val="24"/>
          <w:szCs w:val="24"/>
        </w:rPr>
        <w:t>,</w:t>
      </w:r>
      <w:r w:rsidR="009F1F65" w:rsidRPr="00AF52EC">
        <w:rPr>
          <w:rFonts w:ascii="Times New Roman" w:hAnsi="Times New Roman" w:cs="Times New Roman"/>
          <w:sz w:val="24"/>
          <w:szCs w:val="24"/>
        </w:rPr>
        <w:t xml:space="preserve"> and </w:t>
      </w:r>
      <w:r w:rsidR="00DF70A3">
        <w:rPr>
          <w:rFonts w:ascii="Times New Roman" w:hAnsi="Times New Roman" w:cs="Times New Roman"/>
          <w:sz w:val="24"/>
          <w:szCs w:val="24"/>
        </w:rPr>
        <w:t xml:space="preserve">identifying </w:t>
      </w:r>
      <w:r w:rsidR="009F1F65" w:rsidRPr="00AF52EC">
        <w:rPr>
          <w:rFonts w:ascii="Times New Roman" w:hAnsi="Times New Roman" w:cs="Times New Roman"/>
          <w:sz w:val="24"/>
          <w:szCs w:val="24"/>
        </w:rPr>
        <w:t>a class of potential objects under a</w:t>
      </w:r>
      <w:r w:rsidR="00DC1D0C" w:rsidRPr="00AF52EC">
        <w:rPr>
          <w:rFonts w:ascii="Times New Roman" w:hAnsi="Times New Roman" w:cs="Times New Roman"/>
          <w:sz w:val="24"/>
          <w:szCs w:val="24"/>
        </w:rPr>
        <w:t xml:space="preserve"> power of addition,</w:t>
      </w:r>
      <w:r w:rsidR="00DF70A3">
        <w:rPr>
          <w:rFonts w:ascii="Times New Roman" w:hAnsi="Times New Roman" w:cs="Times New Roman"/>
          <w:sz w:val="24"/>
          <w:szCs w:val="24"/>
        </w:rPr>
        <w:t xml:space="preserve"> must be dealt with entirely separately.</w:t>
      </w:r>
      <w:r w:rsidR="00DC1D0C" w:rsidRPr="00AF52EC">
        <w:rPr>
          <w:rFonts w:ascii="Times New Roman" w:hAnsi="Times New Roman" w:cs="Times New Roman"/>
          <w:sz w:val="24"/>
          <w:szCs w:val="24"/>
        </w:rPr>
        <w:t xml:space="preserve"> </w:t>
      </w:r>
      <w:r w:rsidR="00DF70A3">
        <w:rPr>
          <w:rFonts w:ascii="Times New Roman" w:hAnsi="Times New Roman" w:cs="Times New Roman"/>
          <w:sz w:val="24"/>
          <w:szCs w:val="24"/>
        </w:rPr>
        <w:t>The reasoning of the Royal Court suggests that each has a l</w:t>
      </w:r>
      <w:r w:rsidR="009F1F65" w:rsidRPr="00AF52EC">
        <w:rPr>
          <w:rFonts w:ascii="Times New Roman" w:hAnsi="Times New Roman" w:cs="Times New Roman"/>
          <w:sz w:val="24"/>
          <w:szCs w:val="24"/>
        </w:rPr>
        <w:t>ogically distinct</w:t>
      </w:r>
      <w:r w:rsidR="00DF70A3">
        <w:rPr>
          <w:rFonts w:ascii="Times New Roman" w:hAnsi="Times New Roman" w:cs="Times New Roman"/>
          <w:sz w:val="24"/>
          <w:szCs w:val="24"/>
        </w:rPr>
        <w:t xml:space="preserve"> function</w:t>
      </w:r>
      <w:r w:rsidR="00DC1D0C" w:rsidRPr="00AF52EC">
        <w:rPr>
          <w:rFonts w:ascii="Times New Roman" w:hAnsi="Times New Roman" w:cs="Times New Roman"/>
          <w:sz w:val="24"/>
          <w:szCs w:val="24"/>
        </w:rPr>
        <w:t xml:space="preserve"> in respect of the validity of a trust</w:t>
      </w:r>
      <w:r w:rsidR="00DF70A3">
        <w:rPr>
          <w:rFonts w:ascii="Times New Roman" w:hAnsi="Times New Roman" w:cs="Times New Roman"/>
          <w:sz w:val="24"/>
          <w:szCs w:val="24"/>
        </w:rPr>
        <w:t>, and furthermore, that there are important reasons for keeping them distinct:</w:t>
      </w:r>
      <w:r w:rsidR="009F1F65" w:rsidRPr="00AF52EC">
        <w:rPr>
          <w:rStyle w:val="FootnoteReference"/>
          <w:rFonts w:ascii="Times New Roman" w:hAnsi="Times New Roman" w:cs="Times New Roman"/>
          <w:sz w:val="24"/>
          <w:szCs w:val="24"/>
        </w:rPr>
        <w:footnoteReference w:id="37"/>
      </w:r>
      <w:r w:rsidR="00FC5C87" w:rsidRPr="00AF52EC">
        <w:rPr>
          <w:rFonts w:ascii="Times New Roman" w:hAnsi="Times New Roman" w:cs="Times New Roman"/>
          <w:sz w:val="24"/>
          <w:szCs w:val="24"/>
        </w:rPr>
        <w:t xml:space="preserve"> </w:t>
      </w:r>
      <w:r w:rsidR="001B199B" w:rsidRPr="00AF52EC">
        <w:rPr>
          <w:rFonts w:ascii="Times New Roman" w:hAnsi="Times New Roman" w:cs="Times New Roman"/>
          <w:sz w:val="24"/>
          <w:szCs w:val="24"/>
        </w:rPr>
        <w:t>“[T]hey are not a sub-class of beneficiary, they are only beneficiaries. There is no wider class of beneficiary which includes persons who are the object of the power of addition”</w:t>
      </w:r>
      <w:r w:rsidR="00AF52EC">
        <w:rPr>
          <w:rFonts w:ascii="Times New Roman" w:hAnsi="Times New Roman" w:cs="Times New Roman"/>
          <w:sz w:val="24"/>
          <w:szCs w:val="24"/>
        </w:rPr>
        <w:t>.</w:t>
      </w:r>
      <w:r w:rsidR="0080761C" w:rsidRPr="00AF52EC">
        <w:rPr>
          <w:rStyle w:val="FootnoteReference"/>
          <w:rFonts w:ascii="Times New Roman" w:hAnsi="Times New Roman" w:cs="Times New Roman"/>
          <w:sz w:val="24"/>
          <w:szCs w:val="24"/>
        </w:rPr>
        <w:footnoteReference w:id="38"/>
      </w:r>
      <w:r w:rsidR="0080761C" w:rsidRPr="00AF52EC">
        <w:rPr>
          <w:rFonts w:ascii="Times New Roman" w:hAnsi="Times New Roman" w:cs="Times New Roman"/>
          <w:sz w:val="24"/>
          <w:szCs w:val="24"/>
        </w:rPr>
        <w:t xml:space="preserve"> </w:t>
      </w:r>
      <w:proofErr w:type="spellStart"/>
      <w:r w:rsidR="0080761C" w:rsidRPr="00AF52EC">
        <w:rPr>
          <w:rFonts w:ascii="Times New Roman" w:hAnsi="Times New Roman" w:cs="Times New Roman"/>
          <w:sz w:val="24"/>
          <w:szCs w:val="24"/>
        </w:rPr>
        <w:t>Birt</w:t>
      </w:r>
      <w:proofErr w:type="spellEnd"/>
      <w:r w:rsidR="0080761C" w:rsidRPr="00AF52EC">
        <w:rPr>
          <w:rFonts w:ascii="Times New Roman" w:hAnsi="Times New Roman" w:cs="Times New Roman"/>
          <w:sz w:val="24"/>
          <w:szCs w:val="24"/>
        </w:rPr>
        <w:t xml:space="preserve">, </w:t>
      </w:r>
      <w:r w:rsidR="00FA1D9F" w:rsidRPr="00AF52EC">
        <w:rPr>
          <w:rFonts w:ascii="Times New Roman" w:hAnsi="Times New Roman" w:cs="Times New Roman"/>
          <w:sz w:val="24"/>
          <w:szCs w:val="24"/>
        </w:rPr>
        <w:t xml:space="preserve">then </w:t>
      </w:r>
      <w:r w:rsidR="0080761C" w:rsidRPr="00AF52EC">
        <w:rPr>
          <w:rFonts w:ascii="Times New Roman" w:hAnsi="Times New Roman" w:cs="Times New Roman"/>
          <w:sz w:val="24"/>
          <w:szCs w:val="24"/>
        </w:rPr>
        <w:t>Bailiff,</w:t>
      </w:r>
      <w:r w:rsidR="00A11DC7" w:rsidRPr="00AF52EC">
        <w:rPr>
          <w:rFonts w:ascii="Times New Roman" w:hAnsi="Times New Roman" w:cs="Times New Roman"/>
          <w:sz w:val="24"/>
          <w:szCs w:val="24"/>
        </w:rPr>
        <w:t xml:space="preserve"> reasoned as follows</w:t>
      </w:r>
      <w:r w:rsidR="00BF2F28" w:rsidRPr="00AF52EC">
        <w:rPr>
          <w:rFonts w:ascii="Times New Roman" w:hAnsi="Times New Roman" w:cs="Times New Roman"/>
          <w:sz w:val="24"/>
          <w:szCs w:val="24"/>
        </w:rPr>
        <w:t>:</w:t>
      </w:r>
      <w:r w:rsidR="00BF2F28" w:rsidRPr="00AF52EC">
        <w:rPr>
          <w:rStyle w:val="FootnoteReference"/>
          <w:rFonts w:ascii="Times New Roman" w:hAnsi="Times New Roman" w:cs="Times New Roman"/>
          <w:sz w:val="24"/>
          <w:szCs w:val="24"/>
        </w:rPr>
        <w:footnoteReference w:id="39"/>
      </w:r>
    </w:p>
    <w:p w:rsidR="00BF2F28" w:rsidRPr="00DF70A3" w:rsidRDefault="00BF2F28" w:rsidP="00BF2F28">
      <w:pPr>
        <w:spacing w:after="0"/>
        <w:jc w:val="both"/>
        <w:rPr>
          <w:rFonts w:ascii="Times New Roman" w:hAnsi="Times New Roman" w:cs="Times New Roman"/>
          <w:sz w:val="16"/>
          <w:szCs w:val="16"/>
        </w:rPr>
      </w:pPr>
    </w:p>
    <w:p w:rsidR="00BF2F28" w:rsidRPr="00C02DB8" w:rsidRDefault="00BF2F28" w:rsidP="00BF2F28">
      <w:pPr>
        <w:spacing w:after="0"/>
        <w:ind w:left="720"/>
        <w:jc w:val="both"/>
        <w:rPr>
          <w:rFonts w:ascii="Times New Roman" w:hAnsi="Times New Roman" w:cs="Times New Roman"/>
        </w:rPr>
      </w:pPr>
      <w:r w:rsidRPr="00C02DB8">
        <w:rPr>
          <w:rFonts w:ascii="Times New Roman" w:hAnsi="Times New Roman" w:cs="Times New Roman"/>
        </w:rPr>
        <w:t>“In our judgment, one must return to first principles. A beneficiary of a discretionary trust is a person in whose favour a discretion to distribute income or capital of a trust may be exercised. Trustees may only exercise their power to distribute income or capital in favour of a person who is a beneficiary. It is the beneficiaries who are the objects of the discretionary trust. They must be sufficiently certain to satisfy the requirement as to certainty of objects… A power to add beneficiaries is something completely different. It means what it says. A person who is a possible object of a power to add beneficiaries is not in fact a beneficiary unless or until the power is exercised in his favour and he is added as a beneficiary. Until that moment, the trustees may not apply income or capital for his benefit and he does not have any of the rights attached to being a beneficiary of the trust. The sole right that he has is as a possible object of the power to add beneficiaries”.</w:t>
      </w:r>
    </w:p>
    <w:p w:rsidR="002933E1" w:rsidRPr="006834A9" w:rsidRDefault="002933E1" w:rsidP="005E553D">
      <w:pPr>
        <w:spacing w:after="0"/>
        <w:jc w:val="both"/>
        <w:rPr>
          <w:rFonts w:ascii="Times New Roman" w:hAnsi="Times New Roman" w:cs="Times New Roman"/>
          <w:sz w:val="16"/>
          <w:szCs w:val="16"/>
        </w:rPr>
      </w:pPr>
    </w:p>
    <w:p w:rsidR="00C85D1C" w:rsidRDefault="00752107" w:rsidP="00AD7326">
      <w:pPr>
        <w:spacing w:after="0"/>
        <w:jc w:val="both"/>
        <w:rPr>
          <w:rFonts w:ascii="Times New Roman" w:hAnsi="Times New Roman" w:cs="Times New Roman"/>
          <w:sz w:val="24"/>
          <w:szCs w:val="24"/>
        </w:rPr>
      </w:pPr>
      <w:r>
        <w:rPr>
          <w:rFonts w:ascii="Times New Roman" w:hAnsi="Times New Roman" w:cs="Times New Roman"/>
          <w:sz w:val="24"/>
          <w:szCs w:val="24"/>
        </w:rPr>
        <w:t xml:space="preserve">Applying </w:t>
      </w:r>
      <w:r w:rsidR="00497D39">
        <w:rPr>
          <w:rFonts w:ascii="Times New Roman" w:hAnsi="Times New Roman" w:cs="Times New Roman"/>
          <w:i/>
          <w:sz w:val="24"/>
          <w:szCs w:val="24"/>
        </w:rPr>
        <w:t>McPhail v Doulton</w:t>
      </w:r>
      <w:r w:rsidR="00497D39">
        <w:rPr>
          <w:rFonts w:ascii="Times New Roman" w:hAnsi="Times New Roman" w:cs="Times New Roman"/>
          <w:sz w:val="24"/>
          <w:szCs w:val="24"/>
        </w:rPr>
        <w:t>,</w:t>
      </w:r>
      <w:r w:rsidR="00495A25" w:rsidRPr="004E65CA">
        <w:rPr>
          <w:rStyle w:val="FootnoteReference"/>
          <w:rFonts w:ascii="Times New Roman" w:hAnsi="Times New Roman" w:cs="Times New Roman"/>
          <w:sz w:val="24"/>
          <w:szCs w:val="24"/>
        </w:rPr>
        <w:footnoteReference w:id="40"/>
      </w:r>
      <w:r w:rsidR="00495A25">
        <w:rPr>
          <w:rFonts w:ascii="Times New Roman" w:hAnsi="Times New Roman" w:cs="Times New Roman"/>
          <w:sz w:val="24"/>
          <w:szCs w:val="24"/>
        </w:rPr>
        <w:t xml:space="preserve"> </w:t>
      </w:r>
      <w:r w:rsidR="00BE5D68">
        <w:rPr>
          <w:rFonts w:ascii="Times New Roman" w:hAnsi="Times New Roman" w:cs="Times New Roman"/>
          <w:sz w:val="24"/>
          <w:szCs w:val="24"/>
        </w:rPr>
        <w:t xml:space="preserve">Bailiff </w:t>
      </w:r>
      <w:proofErr w:type="spellStart"/>
      <w:r w:rsidR="00497D39">
        <w:rPr>
          <w:rFonts w:ascii="Times New Roman" w:hAnsi="Times New Roman" w:cs="Times New Roman"/>
          <w:sz w:val="24"/>
          <w:szCs w:val="24"/>
        </w:rPr>
        <w:t>Birt</w:t>
      </w:r>
      <w:proofErr w:type="spellEnd"/>
      <w:r w:rsidR="00497D39">
        <w:rPr>
          <w:rFonts w:ascii="Times New Roman" w:hAnsi="Times New Roman" w:cs="Times New Roman"/>
          <w:sz w:val="24"/>
          <w:szCs w:val="24"/>
        </w:rPr>
        <w:t xml:space="preserve"> considered it to be</w:t>
      </w:r>
      <w:r w:rsidR="00C85D1C">
        <w:rPr>
          <w:rFonts w:ascii="Times New Roman" w:hAnsi="Times New Roman" w:cs="Times New Roman"/>
          <w:sz w:val="24"/>
          <w:szCs w:val="24"/>
        </w:rPr>
        <w:t xml:space="preserve"> an </w:t>
      </w:r>
      <w:r w:rsidR="00AD7326">
        <w:rPr>
          <w:rFonts w:ascii="Times New Roman" w:hAnsi="Times New Roman" w:cs="Times New Roman"/>
          <w:sz w:val="24"/>
          <w:szCs w:val="24"/>
        </w:rPr>
        <w:t xml:space="preserve">obvious </w:t>
      </w:r>
      <w:r w:rsidR="005E553D">
        <w:rPr>
          <w:rFonts w:ascii="Times New Roman" w:hAnsi="Times New Roman" w:cs="Times New Roman"/>
          <w:sz w:val="24"/>
          <w:szCs w:val="24"/>
        </w:rPr>
        <w:t xml:space="preserve">case of failure of a </w:t>
      </w:r>
      <w:r w:rsidR="00AD7326">
        <w:rPr>
          <w:rFonts w:ascii="Times New Roman" w:hAnsi="Times New Roman" w:cs="Times New Roman"/>
          <w:sz w:val="24"/>
          <w:szCs w:val="24"/>
        </w:rPr>
        <w:t>trust for</w:t>
      </w:r>
      <w:r w:rsidR="00497D39">
        <w:rPr>
          <w:rFonts w:ascii="Times New Roman" w:hAnsi="Times New Roman" w:cs="Times New Roman"/>
          <w:sz w:val="24"/>
          <w:szCs w:val="24"/>
        </w:rPr>
        <w:t xml:space="preserve"> uncertainty of beneficiaries</w:t>
      </w:r>
      <w:r w:rsidR="00D81D00">
        <w:rPr>
          <w:rFonts w:ascii="Times New Roman" w:hAnsi="Times New Roman" w:cs="Times New Roman"/>
          <w:sz w:val="24"/>
          <w:szCs w:val="24"/>
        </w:rPr>
        <w:t>.</w:t>
      </w:r>
      <w:r w:rsidR="00762D3E">
        <w:rPr>
          <w:rFonts w:ascii="Times New Roman" w:hAnsi="Times New Roman" w:cs="Times New Roman"/>
          <w:sz w:val="24"/>
          <w:szCs w:val="24"/>
        </w:rPr>
        <w:t xml:space="preserve"> The schedule </w:t>
      </w:r>
      <w:r w:rsidR="00B80D56">
        <w:rPr>
          <w:rFonts w:ascii="Times New Roman" w:hAnsi="Times New Roman" w:cs="Times New Roman"/>
          <w:sz w:val="24"/>
          <w:szCs w:val="24"/>
        </w:rPr>
        <w:t xml:space="preserve">of beneficiaries </w:t>
      </w:r>
      <w:r w:rsidR="00762D3E">
        <w:rPr>
          <w:rFonts w:ascii="Times New Roman" w:hAnsi="Times New Roman" w:cs="Times New Roman"/>
          <w:sz w:val="24"/>
          <w:szCs w:val="24"/>
        </w:rPr>
        <w:t>and t</w:t>
      </w:r>
      <w:r w:rsidR="006C016B">
        <w:rPr>
          <w:rFonts w:ascii="Times New Roman" w:hAnsi="Times New Roman" w:cs="Times New Roman"/>
          <w:sz w:val="24"/>
          <w:szCs w:val="24"/>
        </w:rPr>
        <w:t xml:space="preserve">he schedule naming the </w:t>
      </w:r>
      <w:r w:rsidR="00762D3E">
        <w:rPr>
          <w:rFonts w:ascii="Times New Roman" w:hAnsi="Times New Roman" w:cs="Times New Roman"/>
          <w:sz w:val="24"/>
          <w:szCs w:val="24"/>
        </w:rPr>
        <w:t>defaul</w:t>
      </w:r>
      <w:r w:rsidR="00B80D56">
        <w:rPr>
          <w:rFonts w:ascii="Times New Roman" w:hAnsi="Times New Roman" w:cs="Times New Roman"/>
          <w:sz w:val="24"/>
          <w:szCs w:val="24"/>
        </w:rPr>
        <w:t>t beneficiary were both</w:t>
      </w:r>
      <w:r w:rsidR="00AC2224">
        <w:rPr>
          <w:rFonts w:ascii="Times New Roman" w:hAnsi="Times New Roman" w:cs="Times New Roman"/>
          <w:sz w:val="24"/>
          <w:szCs w:val="24"/>
        </w:rPr>
        <w:t xml:space="preserve"> left blan</w:t>
      </w:r>
      <w:r w:rsidR="00762D3E">
        <w:rPr>
          <w:rFonts w:ascii="Times New Roman" w:hAnsi="Times New Roman" w:cs="Times New Roman"/>
          <w:sz w:val="24"/>
          <w:szCs w:val="24"/>
        </w:rPr>
        <w:t>k.</w:t>
      </w:r>
      <w:r w:rsidR="00D81D00">
        <w:rPr>
          <w:rFonts w:ascii="Times New Roman" w:hAnsi="Times New Roman" w:cs="Times New Roman"/>
          <w:sz w:val="24"/>
          <w:szCs w:val="24"/>
        </w:rPr>
        <w:t xml:space="preserve"> </w:t>
      </w:r>
    </w:p>
    <w:p w:rsidR="00C85D1C" w:rsidRPr="006834A9" w:rsidRDefault="00C85D1C" w:rsidP="00AD7326">
      <w:pPr>
        <w:spacing w:after="0"/>
        <w:jc w:val="both"/>
        <w:rPr>
          <w:rFonts w:ascii="Times New Roman" w:hAnsi="Times New Roman" w:cs="Times New Roman"/>
          <w:sz w:val="16"/>
          <w:szCs w:val="16"/>
        </w:rPr>
      </w:pPr>
    </w:p>
    <w:p w:rsidR="006834A9" w:rsidRDefault="00C85D1C" w:rsidP="00C85D1C">
      <w:pPr>
        <w:spacing w:after="0"/>
        <w:ind w:left="720"/>
        <w:jc w:val="both"/>
        <w:rPr>
          <w:rFonts w:ascii="Times New Roman" w:hAnsi="Times New Roman" w:cs="Times New Roman"/>
        </w:rPr>
      </w:pPr>
      <w:r w:rsidRPr="00C85D1C">
        <w:rPr>
          <w:rFonts w:ascii="Times New Roman" w:hAnsi="Times New Roman" w:cs="Times New Roman"/>
        </w:rPr>
        <w:t xml:space="preserve">“It would be impossible to say in the case of any given person whether or not he was a beneficiary because there was simply no list or guidance as to what constituted a beneficiary.” </w:t>
      </w:r>
    </w:p>
    <w:p w:rsidR="00C85D1C" w:rsidRPr="00C85D1C" w:rsidRDefault="006834A9" w:rsidP="00C85D1C">
      <w:pPr>
        <w:spacing w:after="0"/>
        <w:ind w:left="720"/>
        <w:jc w:val="both"/>
        <w:rPr>
          <w:rFonts w:ascii="Times New Roman" w:hAnsi="Times New Roman" w:cs="Times New Roman"/>
        </w:rPr>
      </w:pPr>
      <w:r>
        <w:rPr>
          <w:rFonts w:ascii="Times New Roman" w:hAnsi="Times New Roman" w:cs="Times New Roman"/>
        </w:rPr>
        <w:t xml:space="preserve">     </w:t>
      </w:r>
      <w:r w:rsidR="00C85D1C" w:rsidRPr="00C85D1C">
        <w:rPr>
          <w:rFonts w:ascii="Times New Roman" w:hAnsi="Times New Roman" w:cs="Times New Roman"/>
        </w:rPr>
        <w:t>“It was therefore impossible for the trustees or the court to ascertain whether or not any particular person was a beneficiary of the trust, which is the accepted test for establishing the necessary certainty of objects.”</w:t>
      </w:r>
      <w:r w:rsidR="00C85D1C" w:rsidRPr="00C85D1C">
        <w:rPr>
          <w:rStyle w:val="FootnoteReference"/>
          <w:rFonts w:ascii="Times New Roman" w:hAnsi="Times New Roman" w:cs="Times New Roman"/>
        </w:rPr>
        <w:footnoteReference w:id="41"/>
      </w:r>
    </w:p>
    <w:p w:rsidR="00C85D1C" w:rsidRPr="006834A9" w:rsidRDefault="00C85D1C" w:rsidP="00AD7326">
      <w:pPr>
        <w:spacing w:after="0"/>
        <w:jc w:val="both"/>
        <w:rPr>
          <w:rFonts w:ascii="Times New Roman" w:hAnsi="Times New Roman" w:cs="Times New Roman"/>
          <w:sz w:val="16"/>
          <w:szCs w:val="16"/>
        </w:rPr>
      </w:pPr>
    </w:p>
    <w:p w:rsidR="003F33D8" w:rsidRDefault="003F33D8" w:rsidP="00D33D5F">
      <w:pPr>
        <w:spacing w:after="0"/>
        <w:jc w:val="both"/>
        <w:rPr>
          <w:rFonts w:ascii="Times New Roman" w:hAnsi="Times New Roman" w:cs="Times New Roman"/>
          <w:sz w:val="24"/>
          <w:szCs w:val="24"/>
        </w:rPr>
      </w:pPr>
      <w:r>
        <w:rPr>
          <w:rFonts w:ascii="Times New Roman" w:hAnsi="Times New Roman" w:cs="Times New Roman"/>
          <w:sz w:val="24"/>
          <w:szCs w:val="24"/>
        </w:rPr>
        <w:t>It is submitted that there are two aspects to this</w:t>
      </w:r>
      <w:r w:rsidR="00025B2A">
        <w:rPr>
          <w:rFonts w:ascii="Times New Roman" w:hAnsi="Times New Roman" w:cs="Times New Roman"/>
          <w:sz w:val="24"/>
          <w:szCs w:val="24"/>
        </w:rPr>
        <w:t xml:space="preserve"> reasoning</w:t>
      </w:r>
      <w:r w:rsidR="00C660AC">
        <w:rPr>
          <w:rFonts w:ascii="Times New Roman" w:hAnsi="Times New Roman" w:cs="Times New Roman"/>
          <w:sz w:val="24"/>
          <w:szCs w:val="24"/>
        </w:rPr>
        <w:t>, both of which can be analysed on the basis of</w:t>
      </w:r>
      <w:r>
        <w:rPr>
          <w:rFonts w:ascii="Times New Roman" w:hAnsi="Times New Roman" w:cs="Times New Roman"/>
          <w:sz w:val="24"/>
          <w:szCs w:val="24"/>
        </w:rPr>
        <w:t xml:space="preserve"> the first principles of trust la</w:t>
      </w:r>
      <w:r w:rsidR="00CF56C6">
        <w:rPr>
          <w:rFonts w:ascii="Times New Roman" w:hAnsi="Times New Roman" w:cs="Times New Roman"/>
          <w:sz w:val="24"/>
          <w:szCs w:val="24"/>
        </w:rPr>
        <w:t xml:space="preserve">w: Firstly, </w:t>
      </w:r>
      <w:r w:rsidR="00C660AC">
        <w:rPr>
          <w:rFonts w:ascii="Times New Roman" w:hAnsi="Times New Roman" w:cs="Times New Roman"/>
          <w:sz w:val="24"/>
          <w:szCs w:val="24"/>
        </w:rPr>
        <w:t xml:space="preserve">the role of a beneficiary, exercising his or her rights </w:t>
      </w:r>
      <w:r w:rsidR="00C660AC">
        <w:rPr>
          <w:rFonts w:ascii="Times New Roman" w:hAnsi="Times New Roman" w:cs="Times New Roman"/>
          <w:i/>
          <w:sz w:val="24"/>
          <w:szCs w:val="24"/>
        </w:rPr>
        <w:t>qua beneficiary</w:t>
      </w:r>
      <w:r w:rsidR="000E2B3C">
        <w:rPr>
          <w:rFonts w:ascii="Times New Roman" w:hAnsi="Times New Roman" w:cs="Times New Roman"/>
          <w:sz w:val="24"/>
          <w:szCs w:val="24"/>
        </w:rPr>
        <w:t>, has an essential importance within the</w:t>
      </w:r>
      <w:r w:rsidR="00C660AC">
        <w:rPr>
          <w:rFonts w:ascii="Times New Roman" w:hAnsi="Times New Roman" w:cs="Times New Roman"/>
          <w:sz w:val="24"/>
          <w:szCs w:val="24"/>
        </w:rPr>
        <w:t xml:space="preserve"> </w:t>
      </w:r>
      <w:r w:rsidR="00025B2A">
        <w:rPr>
          <w:rFonts w:ascii="Times New Roman" w:hAnsi="Times New Roman" w:cs="Times New Roman"/>
          <w:sz w:val="24"/>
          <w:szCs w:val="24"/>
        </w:rPr>
        <w:t>validity of a</w:t>
      </w:r>
      <w:r w:rsidR="00C660AC">
        <w:rPr>
          <w:rFonts w:ascii="Times New Roman" w:hAnsi="Times New Roman" w:cs="Times New Roman"/>
          <w:sz w:val="24"/>
          <w:szCs w:val="24"/>
        </w:rPr>
        <w:t xml:space="preserve"> trust. A potential object of a power of addition cannot perform the same function. Secondly, the application of the certainty of object test in </w:t>
      </w:r>
      <w:r w:rsidR="00C660AC">
        <w:rPr>
          <w:rFonts w:ascii="Times New Roman" w:hAnsi="Times New Roman" w:cs="Times New Roman"/>
          <w:i/>
          <w:sz w:val="24"/>
          <w:szCs w:val="24"/>
        </w:rPr>
        <w:t>McPhail v Doulton</w:t>
      </w:r>
      <w:r w:rsidR="00C660AC">
        <w:rPr>
          <w:rStyle w:val="FootnoteReference"/>
          <w:rFonts w:ascii="Times New Roman" w:hAnsi="Times New Roman" w:cs="Times New Roman"/>
          <w:sz w:val="24"/>
          <w:szCs w:val="24"/>
        </w:rPr>
        <w:footnoteReference w:id="42"/>
      </w:r>
      <w:r w:rsidR="00C660AC">
        <w:rPr>
          <w:rFonts w:ascii="Times New Roman" w:hAnsi="Times New Roman" w:cs="Times New Roman"/>
          <w:sz w:val="24"/>
          <w:szCs w:val="24"/>
        </w:rPr>
        <w:t xml:space="preserve"> and consequent failure of the trust. </w:t>
      </w:r>
      <w:r w:rsidR="006D7B90">
        <w:rPr>
          <w:rFonts w:ascii="Times New Roman" w:hAnsi="Times New Roman" w:cs="Times New Roman"/>
          <w:sz w:val="24"/>
          <w:szCs w:val="24"/>
        </w:rPr>
        <w:t>However, it was somewhat unfortunate that both were elided into the heading “certainty of object”.</w:t>
      </w:r>
    </w:p>
    <w:p w:rsidR="006834A9" w:rsidRDefault="005513B5" w:rsidP="00D33D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5D1C">
        <w:rPr>
          <w:rFonts w:ascii="Times New Roman" w:hAnsi="Times New Roman" w:cs="Times New Roman"/>
          <w:sz w:val="24"/>
          <w:szCs w:val="24"/>
        </w:rPr>
        <w:t>T</w:t>
      </w:r>
      <w:r w:rsidR="00762D3E">
        <w:rPr>
          <w:rFonts w:ascii="Times New Roman" w:hAnsi="Times New Roman" w:cs="Times New Roman"/>
          <w:sz w:val="24"/>
          <w:szCs w:val="24"/>
        </w:rPr>
        <w:t>he decision of the Royal Court</w:t>
      </w:r>
      <w:r w:rsidR="009142BB">
        <w:rPr>
          <w:rFonts w:ascii="Times New Roman" w:hAnsi="Times New Roman" w:cs="Times New Roman"/>
          <w:sz w:val="24"/>
          <w:szCs w:val="24"/>
        </w:rPr>
        <w:t xml:space="preserve"> in </w:t>
      </w:r>
      <w:r w:rsidR="009142BB">
        <w:rPr>
          <w:rFonts w:ascii="Times New Roman" w:hAnsi="Times New Roman" w:cs="Times New Roman"/>
          <w:i/>
          <w:sz w:val="24"/>
          <w:szCs w:val="24"/>
        </w:rPr>
        <w:t>The Exeter Settlement</w:t>
      </w:r>
      <w:r w:rsidR="005E553D">
        <w:rPr>
          <w:rFonts w:ascii="Times New Roman" w:hAnsi="Times New Roman" w:cs="Times New Roman"/>
          <w:sz w:val="24"/>
          <w:szCs w:val="24"/>
        </w:rPr>
        <w:t xml:space="preserve"> has a</w:t>
      </w:r>
      <w:r w:rsidR="00C85D1C">
        <w:rPr>
          <w:rFonts w:ascii="Times New Roman" w:hAnsi="Times New Roman" w:cs="Times New Roman"/>
          <w:sz w:val="24"/>
          <w:szCs w:val="24"/>
        </w:rPr>
        <w:t xml:space="preserve">ttracted </w:t>
      </w:r>
      <w:r w:rsidR="00495A25">
        <w:rPr>
          <w:rFonts w:ascii="Times New Roman" w:hAnsi="Times New Roman" w:cs="Times New Roman"/>
          <w:sz w:val="24"/>
          <w:szCs w:val="24"/>
        </w:rPr>
        <w:t>academic hostility.</w:t>
      </w:r>
      <w:r w:rsidR="00D81D00">
        <w:rPr>
          <w:rStyle w:val="FootnoteReference"/>
          <w:rFonts w:ascii="Times New Roman" w:hAnsi="Times New Roman" w:cs="Times New Roman"/>
          <w:sz w:val="24"/>
          <w:szCs w:val="24"/>
        </w:rPr>
        <w:footnoteReference w:id="43"/>
      </w:r>
      <w:r w:rsidR="00AD7326">
        <w:rPr>
          <w:rFonts w:ascii="Times New Roman" w:hAnsi="Times New Roman" w:cs="Times New Roman"/>
          <w:sz w:val="24"/>
          <w:szCs w:val="24"/>
        </w:rPr>
        <w:t xml:space="preserve"> </w:t>
      </w:r>
      <w:r w:rsidR="00495A25">
        <w:rPr>
          <w:rFonts w:ascii="Times New Roman" w:hAnsi="Times New Roman" w:cs="Times New Roman"/>
          <w:sz w:val="24"/>
          <w:szCs w:val="24"/>
        </w:rPr>
        <w:t>This</w:t>
      </w:r>
      <w:r>
        <w:rPr>
          <w:rFonts w:ascii="Times New Roman" w:hAnsi="Times New Roman" w:cs="Times New Roman"/>
          <w:sz w:val="24"/>
          <w:szCs w:val="24"/>
        </w:rPr>
        <w:t xml:space="preserve"> may be a result of the fact that</w:t>
      </w:r>
      <w:r w:rsidR="008445BB">
        <w:rPr>
          <w:rFonts w:ascii="Times New Roman" w:hAnsi="Times New Roman" w:cs="Times New Roman"/>
          <w:sz w:val="24"/>
          <w:szCs w:val="24"/>
        </w:rPr>
        <w:t xml:space="preserve"> </w:t>
      </w:r>
      <w:r w:rsidR="00DF1DC0">
        <w:rPr>
          <w:rFonts w:ascii="Times New Roman" w:hAnsi="Times New Roman" w:cs="Times New Roman"/>
          <w:sz w:val="24"/>
          <w:szCs w:val="24"/>
        </w:rPr>
        <w:t>black hole</w:t>
      </w:r>
      <w:r w:rsidR="00956B30">
        <w:rPr>
          <w:rFonts w:ascii="Times New Roman" w:hAnsi="Times New Roman" w:cs="Times New Roman"/>
          <w:sz w:val="24"/>
          <w:szCs w:val="24"/>
        </w:rPr>
        <w:t xml:space="preserve"> trusts are, in practice, administratively workable</w:t>
      </w:r>
      <w:r w:rsidR="00714D20">
        <w:rPr>
          <w:rFonts w:ascii="Times New Roman" w:hAnsi="Times New Roman" w:cs="Times New Roman"/>
          <w:sz w:val="24"/>
          <w:szCs w:val="24"/>
        </w:rPr>
        <w:t xml:space="preserve"> without reference to the default charity</w:t>
      </w:r>
      <w:r w:rsidR="006834A9">
        <w:rPr>
          <w:rFonts w:ascii="Times New Roman" w:hAnsi="Times New Roman" w:cs="Times New Roman"/>
          <w:sz w:val="24"/>
          <w:szCs w:val="24"/>
        </w:rPr>
        <w:t>.</w:t>
      </w:r>
      <w:r w:rsidR="00EC6FAA">
        <w:rPr>
          <w:rStyle w:val="FootnoteReference"/>
          <w:rFonts w:ascii="Times New Roman" w:hAnsi="Times New Roman" w:cs="Times New Roman"/>
          <w:sz w:val="24"/>
          <w:szCs w:val="24"/>
        </w:rPr>
        <w:footnoteReference w:id="44"/>
      </w:r>
      <w:r w:rsidR="006834A9">
        <w:rPr>
          <w:rFonts w:ascii="Times New Roman" w:hAnsi="Times New Roman" w:cs="Times New Roman"/>
          <w:sz w:val="24"/>
          <w:szCs w:val="24"/>
        </w:rPr>
        <w:t xml:space="preserve"> </w:t>
      </w:r>
      <w:r w:rsidR="009A051F">
        <w:rPr>
          <w:rFonts w:ascii="Times New Roman" w:hAnsi="Times New Roman" w:cs="Times New Roman"/>
          <w:sz w:val="24"/>
          <w:szCs w:val="24"/>
        </w:rPr>
        <w:t>Indeed, i</w:t>
      </w:r>
      <w:r w:rsidR="00310FD4">
        <w:rPr>
          <w:rFonts w:ascii="Times New Roman" w:hAnsi="Times New Roman" w:cs="Times New Roman"/>
          <w:sz w:val="24"/>
          <w:szCs w:val="24"/>
        </w:rPr>
        <w:t>t is intuitively unsatisfactory that</w:t>
      </w:r>
      <w:r w:rsidR="00DF1DC0">
        <w:rPr>
          <w:rFonts w:ascii="Times New Roman" w:hAnsi="Times New Roman" w:cs="Times New Roman"/>
          <w:sz w:val="24"/>
          <w:szCs w:val="24"/>
        </w:rPr>
        <w:t xml:space="preserve"> a peripheral</w:t>
      </w:r>
      <w:r w:rsidR="00310FD4">
        <w:rPr>
          <w:rFonts w:ascii="Times New Roman" w:hAnsi="Times New Roman" w:cs="Times New Roman"/>
          <w:sz w:val="24"/>
          <w:szCs w:val="24"/>
        </w:rPr>
        <w:t xml:space="preserve"> aspect of the trust should </w:t>
      </w:r>
      <w:r w:rsidR="0095238B">
        <w:rPr>
          <w:rFonts w:ascii="Times New Roman" w:hAnsi="Times New Roman" w:cs="Times New Roman"/>
          <w:sz w:val="24"/>
          <w:szCs w:val="24"/>
        </w:rPr>
        <w:t>be capable of having such a devastating impact on its validity.</w:t>
      </w:r>
      <w:r w:rsidR="00310FD4">
        <w:rPr>
          <w:rFonts w:ascii="Times New Roman" w:hAnsi="Times New Roman" w:cs="Times New Roman"/>
          <w:sz w:val="24"/>
          <w:szCs w:val="24"/>
        </w:rPr>
        <w:t xml:space="preserve"> </w:t>
      </w:r>
      <w:r w:rsidR="0095238B">
        <w:rPr>
          <w:rFonts w:ascii="Times New Roman" w:hAnsi="Times New Roman" w:cs="Times New Roman"/>
          <w:sz w:val="24"/>
          <w:szCs w:val="24"/>
        </w:rPr>
        <w:t>One would expect the formal requirements for the creation of trusts to align with the reality of their administration. After all, the principal polic</w:t>
      </w:r>
      <w:r w:rsidR="00EB0BC3">
        <w:rPr>
          <w:rFonts w:ascii="Times New Roman" w:hAnsi="Times New Roman" w:cs="Times New Roman"/>
          <w:sz w:val="24"/>
          <w:szCs w:val="24"/>
        </w:rPr>
        <w:t>y behind the three certainties</w:t>
      </w:r>
      <w:r w:rsidR="0095238B">
        <w:rPr>
          <w:rFonts w:ascii="Times New Roman" w:hAnsi="Times New Roman" w:cs="Times New Roman"/>
          <w:sz w:val="24"/>
          <w:szCs w:val="24"/>
        </w:rPr>
        <w:t xml:space="preserve"> is to assist the trustees in the performance of their duties.</w:t>
      </w:r>
      <w:r w:rsidR="00163F9F">
        <w:rPr>
          <w:rStyle w:val="FootnoteReference"/>
          <w:rFonts w:ascii="Times New Roman" w:hAnsi="Times New Roman" w:cs="Times New Roman"/>
          <w:sz w:val="24"/>
          <w:szCs w:val="24"/>
        </w:rPr>
        <w:footnoteReference w:id="45"/>
      </w:r>
      <w:r w:rsidR="00163F9F">
        <w:rPr>
          <w:rFonts w:ascii="Times New Roman" w:hAnsi="Times New Roman" w:cs="Times New Roman"/>
          <w:sz w:val="24"/>
          <w:szCs w:val="24"/>
        </w:rPr>
        <w:t xml:space="preserve"> </w:t>
      </w:r>
      <w:r w:rsidR="009A051F">
        <w:rPr>
          <w:rFonts w:ascii="Times New Roman" w:hAnsi="Times New Roman" w:cs="Times New Roman"/>
          <w:sz w:val="24"/>
          <w:szCs w:val="24"/>
        </w:rPr>
        <w:t>A</w:t>
      </w:r>
      <w:r w:rsidR="006834A9">
        <w:rPr>
          <w:rFonts w:ascii="Times New Roman" w:hAnsi="Times New Roman" w:cs="Times New Roman"/>
          <w:sz w:val="24"/>
          <w:szCs w:val="24"/>
        </w:rPr>
        <w:t>cademic commentary</w:t>
      </w:r>
      <w:r w:rsidR="009A051F">
        <w:rPr>
          <w:rFonts w:ascii="Times New Roman" w:hAnsi="Times New Roman" w:cs="Times New Roman"/>
          <w:sz w:val="24"/>
          <w:szCs w:val="24"/>
        </w:rPr>
        <w:t xml:space="preserve"> on </w:t>
      </w:r>
      <w:r w:rsidR="009A051F">
        <w:rPr>
          <w:rFonts w:ascii="Times New Roman" w:hAnsi="Times New Roman" w:cs="Times New Roman"/>
          <w:i/>
          <w:sz w:val="24"/>
          <w:szCs w:val="24"/>
        </w:rPr>
        <w:t>Exeter</w:t>
      </w:r>
      <w:r w:rsidR="006834A9">
        <w:rPr>
          <w:rFonts w:ascii="Times New Roman" w:hAnsi="Times New Roman" w:cs="Times New Roman"/>
          <w:sz w:val="24"/>
          <w:szCs w:val="24"/>
        </w:rPr>
        <w:t xml:space="preserve"> </w:t>
      </w:r>
      <w:r w:rsidR="00FB6AD0">
        <w:rPr>
          <w:rFonts w:ascii="Times New Roman" w:hAnsi="Times New Roman" w:cs="Times New Roman"/>
          <w:sz w:val="24"/>
          <w:szCs w:val="24"/>
        </w:rPr>
        <w:t>focussed on</w:t>
      </w:r>
      <w:r w:rsidR="006834A9">
        <w:rPr>
          <w:rFonts w:ascii="Times New Roman" w:hAnsi="Times New Roman" w:cs="Times New Roman"/>
          <w:sz w:val="24"/>
          <w:szCs w:val="24"/>
        </w:rPr>
        <w:t xml:space="preserve"> the</w:t>
      </w:r>
      <w:r w:rsidR="00BF2F28">
        <w:rPr>
          <w:rFonts w:ascii="Times New Roman" w:hAnsi="Times New Roman" w:cs="Times New Roman"/>
          <w:sz w:val="24"/>
          <w:szCs w:val="24"/>
        </w:rPr>
        <w:t xml:space="preserve"> </w:t>
      </w:r>
      <w:r w:rsidR="00FB6AD0">
        <w:rPr>
          <w:rFonts w:ascii="Times New Roman" w:hAnsi="Times New Roman" w:cs="Times New Roman"/>
          <w:sz w:val="24"/>
          <w:szCs w:val="24"/>
        </w:rPr>
        <w:t>application of the</w:t>
      </w:r>
      <w:r w:rsidR="006F3D83">
        <w:rPr>
          <w:rFonts w:ascii="Times New Roman" w:hAnsi="Times New Roman" w:cs="Times New Roman"/>
          <w:sz w:val="24"/>
          <w:szCs w:val="24"/>
        </w:rPr>
        <w:t xml:space="preserve"> </w:t>
      </w:r>
      <w:r w:rsidR="006F3D83">
        <w:rPr>
          <w:rFonts w:ascii="Times New Roman" w:hAnsi="Times New Roman" w:cs="Times New Roman"/>
          <w:i/>
          <w:sz w:val="24"/>
          <w:szCs w:val="24"/>
        </w:rPr>
        <w:t>McPhail</w:t>
      </w:r>
      <w:r w:rsidR="006834A9">
        <w:rPr>
          <w:rFonts w:ascii="Times New Roman" w:hAnsi="Times New Roman" w:cs="Times New Roman"/>
          <w:i/>
          <w:sz w:val="24"/>
          <w:szCs w:val="24"/>
        </w:rPr>
        <w:t xml:space="preserve"> v Doulton</w:t>
      </w:r>
      <w:r w:rsidR="008A6FFF">
        <w:rPr>
          <w:rFonts w:ascii="Times New Roman" w:hAnsi="Times New Roman" w:cs="Times New Roman"/>
          <w:sz w:val="24"/>
          <w:szCs w:val="24"/>
        </w:rPr>
        <w:t xml:space="preserve"> </w:t>
      </w:r>
      <w:r w:rsidR="00EB0BC3">
        <w:rPr>
          <w:rFonts w:ascii="Times New Roman" w:hAnsi="Times New Roman" w:cs="Times New Roman"/>
          <w:sz w:val="24"/>
          <w:szCs w:val="24"/>
        </w:rPr>
        <w:t xml:space="preserve">test, arguing that the Royal Court had applied the test too restrictively. </w:t>
      </w:r>
      <w:r w:rsidR="00864366">
        <w:rPr>
          <w:rFonts w:ascii="Times New Roman" w:hAnsi="Times New Roman" w:cs="Times New Roman"/>
          <w:sz w:val="24"/>
          <w:szCs w:val="24"/>
        </w:rPr>
        <w:t>I</w:t>
      </w:r>
      <w:r w:rsidR="006F3D83">
        <w:rPr>
          <w:rFonts w:ascii="Times New Roman" w:hAnsi="Times New Roman" w:cs="Times New Roman"/>
          <w:sz w:val="24"/>
          <w:szCs w:val="24"/>
        </w:rPr>
        <w:t>t</w:t>
      </w:r>
      <w:r w:rsidR="00FB6AD0">
        <w:rPr>
          <w:rFonts w:ascii="Times New Roman" w:hAnsi="Times New Roman" w:cs="Times New Roman"/>
          <w:sz w:val="24"/>
          <w:szCs w:val="24"/>
        </w:rPr>
        <w:t xml:space="preserve"> </w:t>
      </w:r>
      <w:r w:rsidR="00FB6AD0" w:rsidRPr="008A6FFF">
        <w:rPr>
          <w:rFonts w:ascii="Times New Roman" w:hAnsi="Times New Roman" w:cs="Times New Roman"/>
          <w:i/>
          <w:sz w:val="24"/>
          <w:szCs w:val="24"/>
        </w:rPr>
        <w:t>could</w:t>
      </w:r>
      <w:r w:rsidR="008D0429">
        <w:rPr>
          <w:rFonts w:ascii="Times New Roman" w:hAnsi="Times New Roman" w:cs="Times New Roman"/>
          <w:sz w:val="24"/>
          <w:szCs w:val="24"/>
        </w:rPr>
        <w:t xml:space="preserve"> be said</w:t>
      </w:r>
      <w:r w:rsidR="009A051F">
        <w:rPr>
          <w:rFonts w:ascii="Times New Roman" w:hAnsi="Times New Roman" w:cs="Times New Roman"/>
          <w:sz w:val="24"/>
          <w:szCs w:val="24"/>
        </w:rPr>
        <w:t xml:space="preserve"> with certainty</w:t>
      </w:r>
      <w:r w:rsidR="008D0429">
        <w:rPr>
          <w:rFonts w:ascii="Times New Roman" w:hAnsi="Times New Roman" w:cs="Times New Roman"/>
          <w:sz w:val="24"/>
          <w:szCs w:val="24"/>
        </w:rPr>
        <w:t xml:space="preserve"> that no one in the world was in the class until the trustees exercised their power to </w:t>
      </w:r>
      <w:r w:rsidR="006F3D83">
        <w:rPr>
          <w:rFonts w:ascii="Times New Roman" w:hAnsi="Times New Roman" w:cs="Times New Roman"/>
          <w:sz w:val="24"/>
          <w:szCs w:val="24"/>
        </w:rPr>
        <w:t xml:space="preserve">add beneficiaries, and once </w:t>
      </w:r>
      <w:r w:rsidR="00EB0BC3">
        <w:rPr>
          <w:rFonts w:ascii="Times New Roman" w:hAnsi="Times New Roman" w:cs="Times New Roman"/>
          <w:sz w:val="24"/>
          <w:szCs w:val="24"/>
        </w:rPr>
        <w:t xml:space="preserve">the trustees added </w:t>
      </w:r>
      <w:r w:rsidR="006F3D83">
        <w:rPr>
          <w:rFonts w:ascii="Times New Roman" w:hAnsi="Times New Roman" w:cs="Times New Roman"/>
          <w:sz w:val="24"/>
          <w:szCs w:val="24"/>
        </w:rPr>
        <w:t>beneficiaries</w:t>
      </w:r>
      <w:r w:rsidR="00EB0BC3">
        <w:rPr>
          <w:rFonts w:ascii="Times New Roman" w:hAnsi="Times New Roman" w:cs="Times New Roman"/>
          <w:sz w:val="24"/>
          <w:szCs w:val="24"/>
        </w:rPr>
        <w:t xml:space="preserve"> to the class</w:t>
      </w:r>
      <w:r w:rsidR="009A051F">
        <w:rPr>
          <w:rFonts w:ascii="Times New Roman" w:hAnsi="Times New Roman" w:cs="Times New Roman"/>
          <w:sz w:val="24"/>
          <w:szCs w:val="24"/>
        </w:rPr>
        <w:t>, it could</w:t>
      </w:r>
      <w:r w:rsidR="008D0429">
        <w:rPr>
          <w:rFonts w:ascii="Times New Roman" w:hAnsi="Times New Roman" w:cs="Times New Roman"/>
          <w:sz w:val="24"/>
          <w:szCs w:val="24"/>
        </w:rPr>
        <w:t xml:space="preserve"> be said</w:t>
      </w:r>
      <w:r w:rsidR="009A051F">
        <w:rPr>
          <w:rFonts w:ascii="Times New Roman" w:hAnsi="Times New Roman" w:cs="Times New Roman"/>
          <w:sz w:val="24"/>
          <w:szCs w:val="24"/>
        </w:rPr>
        <w:t xml:space="preserve"> with certainty</w:t>
      </w:r>
      <w:r w:rsidR="008D0429">
        <w:rPr>
          <w:rFonts w:ascii="Times New Roman" w:hAnsi="Times New Roman" w:cs="Times New Roman"/>
          <w:sz w:val="24"/>
          <w:szCs w:val="24"/>
        </w:rPr>
        <w:t xml:space="preserve"> who </w:t>
      </w:r>
      <w:r w:rsidR="008D0429" w:rsidRPr="003E2BC1">
        <w:rPr>
          <w:rFonts w:ascii="Times New Roman" w:hAnsi="Times New Roman" w:cs="Times New Roman"/>
          <w:i/>
          <w:sz w:val="24"/>
          <w:szCs w:val="24"/>
        </w:rPr>
        <w:t>did</w:t>
      </w:r>
      <w:r w:rsidR="008D0429">
        <w:rPr>
          <w:rFonts w:ascii="Times New Roman" w:hAnsi="Times New Roman" w:cs="Times New Roman"/>
          <w:sz w:val="24"/>
          <w:szCs w:val="24"/>
        </w:rPr>
        <w:t xml:space="preserve"> fall within the class.</w:t>
      </w:r>
      <w:r w:rsidR="008D0429">
        <w:rPr>
          <w:rStyle w:val="FootnoteReference"/>
          <w:rFonts w:ascii="Times New Roman" w:hAnsi="Times New Roman" w:cs="Times New Roman"/>
          <w:sz w:val="24"/>
          <w:szCs w:val="24"/>
        </w:rPr>
        <w:footnoteReference w:id="46"/>
      </w:r>
      <w:r w:rsidR="006F3D83">
        <w:rPr>
          <w:rFonts w:ascii="Times New Roman" w:hAnsi="Times New Roman" w:cs="Times New Roman"/>
          <w:sz w:val="24"/>
          <w:szCs w:val="24"/>
        </w:rPr>
        <w:t xml:space="preserve"> </w:t>
      </w:r>
      <w:r w:rsidR="00381A33">
        <w:rPr>
          <w:rFonts w:ascii="Times New Roman" w:hAnsi="Times New Roman" w:cs="Times New Roman"/>
          <w:sz w:val="24"/>
          <w:szCs w:val="24"/>
        </w:rPr>
        <w:lastRenderedPageBreak/>
        <w:t>Beneficiaries have either been appoint</w:t>
      </w:r>
      <w:r w:rsidR="008A6FFF">
        <w:rPr>
          <w:rFonts w:ascii="Times New Roman" w:hAnsi="Times New Roman" w:cs="Times New Roman"/>
          <w:sz w:val="24"/>
          <w:szCs w:val="24"/>
        </w:rPr>
        <w:t>ed or they have not and therefore t</w:t>
      </w:r>
      <w:r w:rsidR="008D0429">
        <w:rPr>
          <w:rFonts w:ascii="Times New Roman" w:hAnsi="Times New Roman" w:cs="Times New Roman"/>
          <w:sz w:val="24"/>
          <w:szCs w:val="24"/>
        </w:rPr>
        <w:t>he</w:t>
      </w:r>
      <w:r w:rsidR="006834A9">
        <w:rPr>
          <w:rFonts w:ascii="Times New Roman" w:hAnsi="Times New Roman" w:cs="Times New Roman"/>
          <w:sz w:val="24"/>
          <w:szCs w:val="24"/>
        </w:rPr>
        <w:t xml:space="preserve"> existence of the</w:t>
      </w:r>
      <w:r w:rsidR="008D0429">
        <w:rPr>
          <w:rFonts w:ascii="Times New Roman" w:hAnsi="Times New Roman" w:cs="Times New Roman"/>
          <w:sz w:val="24"/>
          <w:szCs w:val="24"/>
        </w:rPr>
        <w:t xml:space="preserve"> power of addition provided sufficient conceptual certainty</w:t>
      </w:r>
      <w:r w:rsidR="008A6FFF">
        <w:rPr>
          <w:rFonts w:ascii="Times New Roman" w:hAnsi="Times New Roman" w:cs="Times New Roman"/>
          <w:sz w:val="24"/>
          <w:szCs w:val="24"/>
        </w:rPr>
        <w:t>.</w:t>
      </w:r>
      <w:r w:rsidR="008D0429">
        <w:rPr>
          <w:rStyle w:val="FootnoteReference"/>
          <w:rFonts w:ascii="Times New Roman" w:hAnsi="Times New Roman" w:cs="Times New Roman"/>
          <w:sz w:val="24"/>
          <w:szCs w:val="24"/>
        </w:rPr>
        <w:footnoteReference w:id="47"/>
      </w:r>
      <w:r w:rsidR="00D33D5F">
        <w:rPr>
          <w:rFonts w:ascii="Times New Roman" w:hAnsi="Times New Roman" w:cs="Times New Roman"/>
          <w:sz w:val="24"/>
          <w:szCs w:val="24"/>
        </w:rPr>
        <w:t xml:space="preserve"> </w:t>
      </w:r>
      <w:r w:rsidR="00C5186C">
        <w:rPr>
          <w:rFonts w:ascii="Times New Roman" w:hAnsi="Times New Roman" w:cs="Times New Roman"/>
          <w:sz w:val="24"/>
          <w:szCs w:val="24"/>
        </w:rPr>
        <w:t>When considered alongside the first principles of the validity rules, these academic criticisms are very plausible. However, it will also be shown that they are incomplete and, ultimately, inaccurate.</w:t>
      </w:r>
    </w:p>
    <w:p w:rsidR="009A051F" w:rsidRDefault="009A051F" w:rsidP="00D33D5F">
      <w:pPr>
        <w:spacing w:after="0"/>
        <w:jc w:val="both"/>
        <w:rPr>
          <w:rFonts w:ascii="Times New Roman" w:hAnsi="Times New Roman" w:cs="Times New Roman"/>
          <w:sz w:val="24"/>
          <w:szCs w:val="24"/>
        </w:rPr>
      </w:pPr>
    </w:p>
    <w:p w:rsidR="006D7B90" w:rsidRDefault="006D7B90" w:rsidP="00D33D5F">
      <w:pPr>
        <w:spacing w:after="0"/>
        <w:jc w:val="both"/>
        <w:rPr>
          <w:rFonts w:ascii="Times New Roman" w:hAnsi="Times New Roman" w:cs="Times New Roman"/>
          <w:sz w:val="24"/>
          <w:szCs w:val="24"/>
        </w:rPr>
      </w:pPr>
    </w:p>
    <w:p w:rsidR="00683111" w:rsidRPr="0058598B" w:rsidRDefault="0058598B" w:rsidP="0058598B">
      <w:pPr>
        <w:spacing w:after="0"/>
        <w:jc w:val="both"/>
        <w:rPr>
          <w:rFonts w:ascii="Times New Roman" w:hAnsi="Times New Roman" w:cs="Times New Roman"/>
          <w:b/>
          <w:sz w:val="28"/>
          <w:szCs w:val="28"/>
        </w:rPr>
      </w:pPr>
      <w:r w:rsidRPr="0058598B">
        <w:rPr>
          <w:rFonts w:ascii="Times New Roman" w:hAnsi="Times New Roman" w:cs="Times New Roman"/>
          <w:b/>
          <w:sz w:val="28"/>
          <w:szCs w:val="28"/>
        </w:rPr>
        <w:t>B.</w:t>
      </w:r>
      <w:r w:rsidR="002F0DEB" w:rsidRPr="0058598B">
        <w:rPr>
          <w:rFonts w:ascii="Times New Roman" w:hAnsi="Times New Roman" w:cs="Times New Roman"/>
          <w:b/>
          <w:sz w:val="28"/>
          <w:szCs w:val="28"/>
        </w:rPr>
        <w:t xml:space="preserve"> </w:t>
      </w:r>
      <w:r w:rsidR="00612046" w:rsidRPr="0058598B">
        <w:rPr>
          <w:rFonts w:ascii="Times New Roman" w:hAnsi="Times New Roman" w:cs="Times New Roman"/>
          <w:b/>
          <w:sz w:val="28"/>
          <w:szCs w:val="28"/>
        </w:rPr>
        <w:t>Returning to first principles</w:t>
      </w:r>
      <w:r w:rsidR="008D5FF5" w:rsidRPr="0058598B">
        <w:rPr>
          <w:rStyle w:val="FootnoteReference"/>
          <w:rFonts w:ascii="Times New Roman" w:hAnsi="Times New Roman" w:cs="Times New Roman"/>
          <w:b/>
          <w:sz w:val="28"/>
          <w:szCs w:val="28"/>
        </w:rPr>
        <w:footnoteReference w:id="48"/>
      </w:r>
    </w:p>
    <w:p w:rsidR="00683111" w:rsidRPr="00612046" w:rsidRDefault="00683111" w:rsidP="0031465A">
      <w:pPr>
        <w:spacing w:after="0"/>
        <w:jc w:val="both"/>
        <w:rPr>
          <w:rFonts w:ascii="Times New Roman" w:hAnsi="Times New Roman" w:cs="Times New Roman"/>
          <w:sz w:val="16"/>
          <w:szCs w:val="16"/>
        </w:rPr>
      </w:pPr>
    </w:p>
    <w:p w:rsidR="001F6EA5" w:rsidRPr="001F6EA5" w:rsidRDefault="001F6EA5" w:rsidP="001F6EA5">
      <w:pPr>
        <w:spacing w:after="0"/>
        <w:ind w:left="720"/>
        <w:jc w:val="both"/>
        <w:rPr>
          <w:rFonts w:ascii="Times New Roman" w:hAnsi="Times New Roman" w:cs="Times New Roman"/>
          <w:sz w:val="24"/>
          <w:szCs w:val="24"/>
          <w:u w:val="single"/>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Certainty of object</w:t>
      </w:r>
    </w:p>
    <w:p w:rsidR="001F6EA5" w:rsidRPr="001F6EA5" w:rsidRDefault="001F6EA5" w:rsidP="003C7441">
      <w:pPr>
        <w:spacing w:after="0"/>
        <w:jc w:val="both"/>
        <w:rPr>
          <w:rFonts w:ascii="Times New Roman" w:hAnsi="Times New Roman" w:cs="Times New Roman"/>
          <w:sz w:val="16"/>
          <w:szCs w:val="16"/>
        </w:rPr>
      </w:pPr>
    </w:p>
    <w:p w:rsidR="00CD2835" w:rsidRPr="002C74A6" w:rsidRDefault="00CD2835" w:rsidP="00CD2835">
      <w:pPr>
        <w:spacing w:after="0"/>
        <w:jc w:val="both"/>
        <w:rPr>
          <w:rFonts w:ascii="Times New Roman" w:hAnsi="Times New Roman" w:cs="Times New Roman"/>
          <w:sz w:val="24"/>
          <w:szCs w:val="24"/>
        </w:rPr>
      </w:pPr>
      <w:r>
        <w:rPr>
          <w:rFonts w:ascii="Times New Roman" w:hAnsi="Times New Roman" w:cs="Times New Roman"/>
          <w:sz w:val="24"/>
          <w:szCs w:val="24"/>
        </w:rPr>
        <w:t xml:space="preserve">If black hole trusts, such as that in </w:t>
      </w:r>
      <w:r>
        <w:rPr>
          <w:rFonts w:ascii="Times New Roman" w:hAnsi="Times New Roman" w:cs="Times New Roman"/>
          <w:i/>
          <w:sz w:val="24"/>
          <w:szCs w:val="24"/>
        </w:rPr>
        <w:t>The Exeter Settlement</w:t>
      </w:r>
      <w:r w:rsidR="008A6FFF">
        <w:rPr>
          <w:rFonts w:ascii="Times New Roman" w:hAnsi="Times New Roman" w:cs="Times New Roman"/>
          <w:sz w:val="24"/>
          <w:szCs w:val="24"/>
        </w:rPr>
        <w:t xml:space="preserve">, are recognised as part of </w:t>
      </w:r>
      <w:r w:rsidR="000B4B6C">
        <w:rPr>
          <w:rFonts w:ascii="Times New Roman" w:hAnsi="Times New Roman" w:cs="Times New Roman"/>
          <w:sz w:val="24"/>
          <w:szCs w:val="24"/>
        </w:rPr>
        <w:t xml:space="preserve">the </w:t>
      </w:r>
      <w:r w:rsidR="008A6FFF">
        <w:rPr>
          <w:rFonts w:ascii="Times New Roman" w:hAnsi="Times New Roman" w:cs="Times New Roman"/>
          <w:sz w:val="24"/>
          <w:szCs w:val="24"/>
        </w:rPr>
        <w:t>offshore financial</w:t>
      </w:r>
      <w:r>
        <w:rPr>
          <w:rFonts w:ascii="Times New Roman" w:hAnsi="Times New Roman" w:cs="Times New Roman"/>
          <w:sz w:val="24"/>
          <w:szCs w:val="24"/>
        </w:rPr>
        <w:t xml:space="preserve"> services provided to settlors, then their validity should be analysed squarely in accordance wit</w:t>
      </w:r>
      <w:r w:rsidR="006F347E">
        <w:rPr>
          <w:rFonts w:ascii="Times New Roman" w:hAnsi="Times New Roman" w:cs="Times New Roman"/>
          <w:sz w:val="24"/>
          <w:szCs w:val="24"/>
        </w:rPr>
        <w:t>h the first principles of trust law</w:t>
      </w:r>
      <w:r>
        <w:rPr>
          <w:rFonts w:ascii="Times New Roman" w:hAnsi="Times New Roman" w:cs="Times New Roman"/>
          <w:sz w:val="24"/>
          <w:szCs w:val="24"/>
        </w:rPr>
        <w:t xml:space="preserve">, just as the Royal Court sought to do in </w:t>
      </w:r>
      <w:r>
        <w:rPr>
          <w:rFonts w:ascii="Times New Roman" w:hAnsi="Times New Roman" w:cs="Times New Roman"/>
          <w:i/>
          <w:sz w:val="24"/>
          <w:szCs w:val="24"/>
        </w:rPr>
        <w:t>The Exeter Settlement</w:t>
      </w:r>
      <w:r>
        <w:rPr>
          <w:rFonts w:ascii="Times New Roman" w:hAnsi="Times New Roman" w:cs="Times New Roman"/>
          <w:sz w:val="24"/>
          <w:szCs w:val="24"/>
        </w:rPr>
        <w:t>. To rest the validity of the trust on the identification of the default charity, whose role in the trust is peripheral at best and whose only chance of benefiting is extremely remote, could make the trust look like a device. This is not a desirable reproach for any system of trust law.</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rsidR="003C7441" w:rsidRDefault="00B10ED4" w:rsidP="003C74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339DB">
        <w:rPr>
          <w:rFonts w:ascii="Times New Roman" w:hAnsi="Times New Roman" w:cs="Times New Roman"/>
          <w:sz w:val="24"/>
          <w:szCs w:val="24"/>
        </w:rPr>
        <w:t>T</w:t>
      </w:r>
      <w:r w:rsidR="001128DD">
        <w:rPr>
          <w:rFonts w:ascii="Times New Roman" w:hAnsi="Times New Roman" w:cs="Times New Roman"/>
          <w:sz w:val="24"/>
          <w:szCs w:val="24"/>
        </w:rPr>
        <w:t>he first principle of</w:t>
      </w:r>
      <w:r w:rsidR="00DE332D">
        <w:rPr>
          <w:rFonts w:ascii="Times New Roman" w:hAnsi="Times New Roman" w:cs="Times New Roman"/>
          <w:sz w:val="24"/>
          <w:szCs w:val="24"/>
        </w:rPr>
        <w:t xml:space="preserve"> the certainty of object test</w:t>
      </w:r>
      <w:r w:rsidR="0058598B">
        <w:rPr>
          <w:rFonts w:ascii="Times New Roman" w:hAnsi="Times New Roman" w:cs="Times New Roman"/>
          <w:sz w:val="24"/>
          <w:szCs w:val="24"/>
        </w:rPr>
        <w:t xml:space="preserve"> is to</w:t>
      </w:r>
      <w:r w:rsidR="00DE332D">
        <w:rPr>
          <w:rFonts w:ascii="Times New Roman" w:hAnsi="Times New Roman" w:cs="Times New Roman"/>
          <w:sz w:val="24"/>
          <w:szCs w:val="24"/>
        </w:rPr>
        <w:t xml:space="preserve"> provide sufficient definition to</w:t>
      </w:r>
      <w:r w:rsidR="0058598B">
        <w:rPr>
          <w:rFonts w:ascii="Times New Roman" w:hAnsi="Times New Roman" w:cs="Times New Roman"/>
          <w:sz w:val="24"/>
          <w:szCs w:val="24"/>
        </w:rPr>
        <w:t xml:space="preserve"> enable the trustees to perform their obligations,</w:t>
      </w:r>
      <w:r w:rsidR="0058598B">
        <w:rPr>
          <w:rStyle w:val="FootnoteReference"/>
          <w:rFonts w:ascii="Times New Roman" w:hAnsi="Times New Roman" w:cs="Times New Roman"/>
          <w:sz w:val="24"/>
          <w:szCs w:val="24"/>
        </w:rPr>
        <w:footnoteReference w:id="50"/>
      </w:r>
      <w:r w:rsidR="0058598B">
        <w:rPr>
          <w:rFonts w:ascii="Times New Roman" w:hAnsi="Times New Roman" w:cs="Times New Roman"/>
          <w:sz w:val="24"/>
          <w:szCs w:val="24"/>
        </w:rPr>
        <w:t xml:space="preserve"> and to ensure that the court has enough </w:t>
      </w:r>
      <w:r w:rsidR="0058598B" w:rsidRPr="001A1F37">
        <w:rPr>
          <w:rFonts w:ascii="Times New Roman" w:hAnsi="Times New Roman" w:cs="Times New Roman"/>
          <w:sz w:val="24"/>
          <w:szCs w:val="24"/>
        </w:rPr>
        <w:t>information about the objects of the settlor’s bounty to execute the trust in default by the trustees.</w:t>
      </w:r>
      <w:r w:rsidR="00DE332D" w:rsidRPr="001A1F37">
        <w:rPr>
          <w:rStyle w:val="FootnoteReference"/>
          <w:rFonts w:ascii="Times New Roman" w:hAnsi="Times New Roman" w:cs="Times New Roman"/>
          <w:sz w:val="24"/>
          <w:szCs w:val="24"/>
        </w:rPr>
        <w:footnoteReference w:id="51"/>
      </w:r>
      <w:r w:rsidR="00100C4A">
        <w:rPr>
          <w:rFonts w:ascii="Times New Roman" w:hAnsi="Times New Roman" w:cs="Times New Roman"/>
          <w:sz w:val="24"/>
          <w:szCs w:val="24"/>
        </w:rPr>
        <w:t xml:space="preserve"> The latter principle is now more flexible in relation to discretionary trusts, following </w:t>
      </w:r>
      <w:r w:rsidR="00100C4A">
        <w:rPr>
          <w:rFonts w:ascii="Times New Roman" w:hAnsi="Times New Roman" w:cs="Times New Roman"/>
          <w:i/>
          <w:sz w:val="24"/>
          <w:szCs w:val="24"/>
        </w:rPr>
        <w:t>McPhail v Doulton</w:t>
      </w:r>
      <w:r w:rsidR="00100C4A">
        <w:rPr>
          <w:rFonts w:ascii="Times New Roman" w:hAnsi="Times New Roman" w:cs="Times New Roman"/>
          <w:sz w:val="24"/>
          <w:szCs w:val="24"/>
        </w:rPr>
        <w:t>.</w:t>
      </w:r>
      <w:r w:rsidR="001A1F37">
        <w:rPr>
          <w:rFonts w:ascii="Times New Roman" w:hAnsi="Times New Roman" w:cs="Times New Roman"/>
          <w:sz w:val="24"/>
          <w:szCs w:val="24"/>
        </w:rPr>
        <w:t xml:space="preserve"> </w:t>
      </w:r>
      <w:r w:rsidR="00DE332D" w:rsidRPr="001A1F37">
        <w:rPr>
          <w:rFonts w:ascii="Times New Roman" w:hAnsi="Times New Roman" w:cs="Times New Roman"/>
          <w:sz w:val="24"/>
          <w:szCs w:val="24"/>
        </w:rPr>
        <w:t>Unless the beneficiaries are sufficiently defined “</w:t>
      </w:r>
      <w:r w:rsidR="0058598B" w:rsidRPr="001A1F37">
        <w:rPr>
          <w:rFonts w:ascii="Times New Roman" w:hAnsi="Times New Roman" w:cs="Times New Roman"/>
          <w:sz w:val="24"/>
          <w:szCs w:val="24"/>
        </w:rPr>
        <w:t>the court can neither reform maladministration, no</w:t>
      </w:r>
      <w:r w:rsidR="001A1F37">
        <w:rPr>
          <w:rFonts w:ascii="Times New Roman" w:hAnsi="Times New Roman" w:cs="Times New Roman"/>
          <w:sz w:val="24"/>
          <w:szCs w:val="24"/>
        </w:rPr>
        <w:t>r</w:t>
      </w:r>
      <w:r w:rsidR="0058598B" w:rsidRPr="001A1F37">
        <w:rPr>
          <w:rFonts w:ascii="Times New Roman" w:hAnsi="Times New Roman" w:cs="Times New Roman"/>
          <w:sz w:val="24"/>
          <w:szCs w:val="24"/>
        </w:rPr>
        <w:t xml:space="preserve"> direct a due administration.”</w:t>
      </w:r>
      <w:r w:rsidR="00DE332D" w:rsidRPr="001A1F37">
        <w:rPr>
          <w:rStyle w:val="FootnoteReference"/>
          <w:rFonts w:ascii="Times New Roman" w:hAnsi="Times New Roman" w:cs="Times New Roman"/>
          <w:sz w:val="24"/>
          <w:szCs w:val="24"/>
        </w:rPr>
        <w:footnoteReference w:id="52"/>
      </w:r>
      <w:r w:rsidR="004F4274">
        <w:rPr>
          <w:rFonts w:ascii="Times New Roman" w:hAnsi="Times New Roman" w:cs="Times New Roman"/>
          <w:sz w:val="24"/>
          <w:szCs w:val="24"/>
        </w:rPr>
        <w:t xml:space="preserve"> </w:t>
      </w:r>
      <w:r w:rsidR="00AA1674">
        <w:rPr>
          <w:rFonts w:ascii="Times New Roman" w:hAnsi="Times New Roman" w:cs="Times New Roman"/>
          <w:sz w:val="24"/>
          <w:szCs w:val="24"/>
        </w:rPr>
        <w:t xml:space="preserve">In short, as Lord Wilberforce observed in </w:t>
      </w:r>
      <w:r w:rsidR="00AA1674" w:rsidRPr="00AA1674">
        <w:rPr>
          <w:rFonts w:ascii="Times New Roman" w:hAnsi="Times New Roman" w:cs="Times New Roman"/>
          <w:i/>
          <w:sz w:val="24"/>
          <w:szCs w:val="24"/>
        </w:rPr>
        <w:t>McPhail v Doulton</w:t>
      </w:r>
      <w:r w:rsidR="001128DD">
        <w:rPr>
          <w:rFonts w:ascii="Times New Roman" w:hAnsi="Times New Roman" w:cs="Times New Roman"/>
          <w:sz w:val="24"/>
          <w:szCs w:val="24"/>
        </w:rPr>
        <w:t>,</w:t>
      </w:r>
      <w:r w:rsidR="00AA1674">
        <w:rPr>
          <w:rStyle w:val="FootnoteReference"/>
          <w:rFonts w:ascii="Times New Roman" w:hAnsi="Times New Roman" w:cs="Times New Roman"/>
          <w:sz w:val="24"/>
          <w:szCs w:val="24"/>
        </w:rPr>
        <w:footnoteReference w:id="53"/>
      </w:r>
      <w:r w:rsidR="00AA1674">
        <w:rPr>
          <w:rFonts w:ascii="Times New Roman" w:hAnsi="Times New Roman" w:cs="Times New Roman"/>
          <w:sz w:val="24"/>
          <w:szCs w:val="24"/>
        </w:rPr>
        <w:t xml:space="preserve"> </w:t>
      </w:r>
      <w:r w:rsidR="00AA1674" w:rsidRPr="00AA1674">
        <w:rPr>
          <w:rFonts w:ascii="Times New Roman" w:hAnsi="Times New Roman" w:cs="Times New Roman"/>
          <w:sz w:val="24"/>
          <w:szCs w:val="24"/>
        </w:rPr>
        <w:t>“the test of validity is whether the trust can be executed by the court”.</w:t>
      </w:r>
      <w:r w:rsidR="001128DD">
        <w:rPr>
          <w:rFonts w:ascii="Times New Roman" w:hAnsi="Times New Roman" w:cs="Times New Roman"/>
          <w:sz w:val="24"/>
          <w:szCs w:val="24"/>
        </w:rPr>
        <w:t xml:space="preserve"> </w:t>
      </w:r>
      <w:r w:rsidR="002A0CC7">
        <w:rPr>
          <w:rFonts w:ascii="Times New Roman" w:hAnsi="Times New Roman" w:cs="Times New Roman"/>
          <w:sz w:val="24"/>
          <w:szCs w:val="24"/>
        </w:rPr>
        <w:t>Accordin</w:t>
      </w:r>
      <w:r w:rsidR="0052297E">
        <w:rPr>
          <w:rFonts w:ascii="Times New Roman" w:hAnsi="Times New Roman" w:cs="Times New Roman"/>
          <w:sz w:val="24"/>
          <w:szCs w:val="24"/>
        </w:rPr>
        <w:t>g to Lord Wilberforce, the court could</w:t>
      </w:r>
      <w:r w:rsidR="002A0CC7">
        <w:rPr>
          <w:rFonts w:ascii="Times New Roman" w:hAnsi="Times New Roman" w:cs="Times New Roman"/>
          <w:sz w:val="24"/>
          <w:szCs w:val="24"/>
        </w:rPr>
        <w:t xml:space="preserve"> execute a discretionary trust by removing a </w:t>
      </w:r>
      <w:r w:rsidR="002A0CC7">
        <w:rPr>
          <w:rFonts w:ascii="Times New Roman" w:hAnsi="Times New Roman" w:cs="Times New Roman"/>
          <w:sz w:val="24"/>
          <w:szCs w:val="24"/>
        </w:rPr>
        <w:lastRenderedPageBreak/>
        <w:t>t</w:t>
      </w:r>
      <w:r w:rsidR="00BF76DC">
        <w:rPr>
          <w:rFonts w:ascii="Times New Roman" w:hAnsi="Times New Roman" w:cs="Times New Roman"/>
          <w:sz w:val="24"/>
          <w:szCs w:val="24"/>
        </w:rPr>
        <w:t>rustee and appointing a new one</w:t>
      </w:r>
      <w:r w:rsidR="00C51E88">
        <w:rPr>
          <w:rFonts w:ascii="Times New Roman" w:hAnsi="Times New Roman" w:cs="Times New Roman"/>
          <w:sz w:val="24"/>
          <w:szCs w:val="24"/>
        </w:rPr>
        <w:t>, or</w:t>
      </w:r>
      <w:r w:rsidR="002A0CC7">
        <w:rPr>
          <w:rFonts w:ascii="Times New Roman" w:hAnsi="Times New Roman" w:cs="Times New Roman"/>
          <w:sz w:val="24"/>
          <w:szCs w:val="24"/>
        </w:rPr>
        <w:t xml:space="preserve"> by</w:t>
      </w:r>
      <w:r w:rsidR="00BF76DC">
        <w:rPr>
          <w:rFonts w:ascii="Times New Roman" w:hAnsi="Times New Roman" w:cs="Times New Roman"/>
          <w:sz w:val="24"/>
          <w:szCs w:val="24"/>
        </w:rPr>
        <w:t xml:space="preserve"> approving or</w:t>
      </w:r>
      <w:r w:rsidR="002A0CC7">
        <w:rPr>
          <w:rFonts w:ascii="Times New Roman" w:hAnsi="Times New Roman" w:cs="Times New Roman"/>
          <w:sz w:val="24"/>
          <w:szCs w:val="24"/>
        </w:rPr>
        <w:t xml:space="preserve"> dir</w:t>
      </w:r>
      <w:r w:rsidR="003C7441">
        <w:rPr>
          <w:rFonts w:ascii="Times New Roman" w:hAnsi="Times New Roman" w:cs="Times New Roman"/>
          <w:sz w:val="24"/>
          <w:szCs w:val="24"/>
        </w:rPr>
        <w:t>ecting a sc</w:t>
      </w:r>
      <w:r w:rsidR="00C51E88">
        <w:rPr>
          <w:rFonts w:ascii="Times New Roman" w:hAnsi="Times New Roman" w:cs="Times New Roman"/>
          <w:sz w:val="24"/>
          <w:szCs w:val="24"/>
        </w:rPr>
        <w:t>heme of distribution.</w:t>
      </w:r>
      <w:r w:rsidR="007F4912">
        <w:rPr>
          <w:rStyle w:val="FootnoteReference"/>
          <w:rFonts w:ascii="Times New Roman" w:hAnsi="Times New Roman" w:cs="Times New Roman"/>
          <w:sz w:val="24"/>
          <w:szCs w:val="24"/>
        </w:rPr>
        <w:footnoteReference w:id="54"/>
      </w:r>
      <w:r w:rsidR="00C51E88">
        <w:rPr>
          <w:rFonts w:ascii="Times New Roman" w:hAnsi="Times New Roman" w:cs="Times New Roman"/>
          <w:sz w:val="24"/>
          <w:szCs w:val="24"/>
        </w:rPr>
        <w:t xml:space="preserve"> </w:t>
      </w:r>
      <w:r w:rsidR="00B52498">
        <w:rPr>
          <w:rFonts w:ascii="Times New Roman" w:hAnsi="Times New Roman" w:cs="Times New Roman"/>
          <w:sz w:val="24"/>
          <w:szCs w:val="24"/>
        </w:rPr>
        <w:t>I</w:t>
      </w:r>
      <w:r w:rsidR="00A76DFB">
        <w:rPr>
          <w:rFonts w:ascii="Times New Roman" w:hAnsi="Times New Roman" w:cs="Times New Roman"/>
          <w:sz w:val="24"/>
          <w:szCs w:val="24"/>
        </w:rPr>
        <w:t xml:space="preserve">n order to exercise its supervisory jurisdiction over </w:t>
      </w:r>
      <w:r w:rsidR="005A29A7">
        <w:rPr>
          <w:rFonts w:ascii="Times New Roman" w:hAnsi="Times New Roman" w:cs="Times New Roman"/>
          <w:sz w:val="24"/>
          <w:szCs w:val="24"/>
        </w:rPr>
        <w:t>trusts,</w:t>
      </w:r>
      <w:r w:rsidR="00A76DFB">
        <w:rPr>
          <w:rFonts w:ascii="Times New Roman" w:hAnsi="Times New Roman" w:cs="Times New Roman"/>
          <w:sz w:val="24"/>
          <w:szCs w:val="24"/>
        </w:rPr>
        <w:t xml:space="preserve"> t</w:t>
      </w:r>
      <w:r w:rsidR="00BF76DC">
        <w:rPr>
          <w:rFonts w:ascii="Times New Roman" w:hAnsi="Times New Roman" w:cs="Times New Roman"/>
          <w:sz w:val="24"/>
          <w:szCs w:val="24"/>
        </w:rPr>
        <w:t>he</w:t>
      </w:r>
      <w:r w:rsidR="00B52498">
        <w:rPr>
          <w:rFonts w:ascii="Times New Roman" w:hAnsi="Times New Roman" w:cs="Times New Roman"/>
          <w:sz w:val="24"/>
          <w:szCs w:val="24"/>
        </w:rPr>
        <w:t xml:space="preserve"> description of beneficiaries under the trust must </w:t>
      </w:r>
      <w:r w:rsidR="00FE38EE">
        <w:rPr>
          <w:rFonts w:ascii="Times New Roman" w:hAnsi="Times New Roman" w:cs="Times New Roman"/>
          <w:sz w:val="24"/>
          <w:szCs w:val="24"/>
        </w:rPr>
        <w:t xml:space="preserve">therefore </w:t>
      </w:r>
      <w:r w:rsidR="00B52498">
        <w:rPr>
          <w:rFonts w:ascii="Times New Roman" w:hAnsi="Times New Roman" w:cs="Times New Roman"/>
          <w:sz w:val="24"/>
          <w:szCs w:val="24"/>
        </w:rPr>
        <w:t>provide sufficient yardstick for the</w:t>
      </w:r>
      <w:r w:rsidR="00BF76DC">
        <w:rPr>
          <w:rFonts w:ascii="Times New Roman" w:hAnsi="Times New Roman" w:cs="Times New Roman"/>
          <w:sz w:val="24"/>
          <w:szCs w:val="24"/>
        </w:rPr>
        <w:t xml:space="preserve"> court</w:t>
      </w:r>
      <w:r w:rsidR="00B52498">
        <w:rPr>
          <w:rFonts w:ascii="Times New Roman" w:hAnsi="Times New Roman" w:cs="Times New Roman"/>
          <w:sz w:val="24"/>
          <w:szCs w:val="24"/>
        </w:rPr>
        <w:t xml:space="preserve"> to ascertain whether </w:t>
      </w:r>
      <w:r w:rsidR="00BF76DC">
        <w:rPr>
          <w:rFonts w:ascii="Times New Roman" w:hAnsi="Times New Roman" w:cs="Times New Roman"/>
          <w:sz w:val="24"/>
          <w:szCs w:val="24"/>
        </w:rPr>
        <w:t>the trustee’s action, or proposed action, is reasonable.</w:t>
      </w:r>
      <w:r w:rsidR="009C382A">
        <w:rPr>
          <w:rStyle w:val="FootnoteReference"/>
          <w:rFonts w:ascii="Times New Roman" w:hAnsi="Times New Roman" w:cs="Times New Roman"/>
          <w:sz w:val="24"/>
          <w:szCs w:val="24"/>
        </w:rPr>
        <w:footnoteReference w:id="55"/>
      </w:r>
      <w:r w:rsidR="003C7441">
        <w:rPr>
          <w:rFonts w:ascii="Times New Roman" w:hAnsi="Times New Roman" w:cs="Times New Roman"/>
          <w:sz w:val="24"/>
          <w:szCs w:val="24"/>
        </w:rPr>
        <w:t xml:space="preserve"> In terms of the trustees’ ability to undertake their duties as d</w:t>
      </w:r>
      <w:r w:rsidR="00B52498">
        <w:rPr>
          <w:rFonts w:ascii="Times New Roman" w:hAnsi="Times New Roman" w:cs="Times New Roman"/>
          <w:sz w:val="24"/>
          <w:szCs w:val="24"/>
        </w:rPr>
        <w:t>iscretionary trustee</w:t>
      </w:r>
      <w:r w:rsidR="000B4B6C">
        <w:rPr>
          <w:rFonts w:ascii="Times New Roman" w:hAnsi="Times New Roman" w:cs="Times New Roman"/>
          <w:sz w:val="24"/>
          <w:szCs w:val="24"/>
        </w:rPr>
        <w:t>s, the reason for requiring conceptual certainty</w:t>
      </w:r>
      <w:r w:rsidR="00B52498">
        <w:rPr>
          <w:rFonts w:ascii="Times New Roman" w:hAnsi="Times New Roman" w:cs="Times New Roman"/>
          <w:sz w:val="24"/>
          <w:szCs w:val="24"/>
        </w:rPr>
        <w:t xml:space="preserve"> </w:t>
      </w:r>
      <w:r w:rsidR="00FE38EE">
        <w:rPr>
          <w:rFonts w:ascii="Times New Roman" w:hAnsi="Times New Roman" w:cs="Times New Roman"/>
          <w:sz w:val="24"/>
          <w:szCs w:val="24"/>
        </w:rPr>
        <w:t xml:space="preserve">is to provide </w:t>
      </w:r>
      <w:r w:rsidR="000B4B6C">
        <w:rPr>
          <w:rFonts w:ascii="Times New Roman" w:hAnsi="Times New Roman" w:cs="Times New Roman"/>
          <w:sz w:val="24"/>
          <w:szCs w:val="24"/>
        </w:rPr>
        <w:t xml:space="preserve">discretionary </w:t>
      </w:r>
      <w:r w:rsidR="00FE38EE">
        <w:rPr>
          <w:rFonts w:ascii="Times New Roman" w:hAnsi="Times New Roman" w:cs="Times New Roman"/>
          <w:sz w:val="24"/>
          <w:szCs w:val="24"/>
        </w:rPr>
        <w:t>trustees with</w:t>
      </w:r>
      <w:r w:rsidR="003C7441">
        <w:rPr>
          <w:rFonts w:ascii="Times New Roman" w:hAnsi="Times New Roman" w:cs="Times New Roman"/>
          <w:sz w:val="24"/>
          <w:szCs w:val="24"/>
        </w:rPr>
        <w:t xml:space="preserve"> s</w:t>
      </w:r>
      <w:r w:rsidR="00447CE3">
        <w:rPr>
          <w:rFonts w:ascii="Times New Roman" w:hAnsi="Times New Roman" w:cs="Times New Roman"/>
          <w:sz w:val="24"/>
          <w:szCs w:val="24"/>
        </w:rPr>
        <w:t>ufficient information about</w:t>
      </w:r>
      <w:r w:rsidR="003C7441">
        <w:rPr>
          <w:rFonts w:ascii="Times New Roman" w:hAnsi="Times New Roman" w:cs="Times New Roman"/>
          <w:sz w:val="24"/>
          <w:szCs w:val="24"/>
        </w:rPr>
        <w:t xml:space="preserve"> the field of</w:t>
      </w:r>
      <w:r w:rsidR="00447CE3">
        <w:rPr>
          <w:rFonts w:ascii="Times New Roman" w:hAnsi="Times New Roman" w:cs="Times New Roman"/>
          <w:sz w:val="24"/>
          <w:szCs w:val="24"/>
        </w:rPr>
        <w:t xml:space="preserve"> potential</w:t>
      </w:r>
      <w:r w:rsidR="003C7441">
        <w:rPr>
          <w:rFonts w:ascii="Times New Roman" w:hAnsi="Times New Roman" w:cs="Times New Roman"/>
          <w:sz w:val="24"/>
          <w:szCs w:val="24"/>
        </w:rPr>
        <w:t xml:space="preserve"> objects</w:t>
      </w:r>
      <w:r w:rsidR="00FE38EE">
        <w:rPr>
          <w:rFonts w:ascii="Times New Roman" w:hAnsi="Times New Roman" w:cs="Times New Roman"/>
          <w:sz w:val="24"/>
          <w:szCs w:val="24"/>
        </w:rPr>
        <w:t xml:space="preserve">, so that the trustee can </w:t>
      </w:r>
      <w:r w:rsidR="00447CE3">
        <w:rPr>
          <w:rFonts w:ascii="Times New Roman" w:hAnsi="Times New Roman" w:cs="Times New Roman"/>
          <w:sz w:val="24"/>
          <w:szCs w:val="24"/>
        </w:rPr>
        <w:t>examine t</w:t>
      </w:r>
      <w:r w:rsidR="00FE38EE">
        <w:rPr>
          <w:rFonts w:ascii="Times New Roman" w:hAnsi="Times New Roman" w:cs="Times New Roman"/>
          <w:sz w:val="24"/>
          <w:szCs w:val="24"/>
        </w:rPr>
        <w:t>hat field and reach a considered and reasonable</w:t>
      </w:r>
      <w:r w:rsidR="00447CE3">
        <w:rPr>
          <w:rFonts w:ascii="Times New Roman" w:hAnsi="Times New Roman" w:cs="Times New Roman"/>
          <w:sz w:val="24"/>
          <w:szCs w:val="24"/>
        </w:rPr>
        <w:t xml:space="preserve"> decision as to</w:t>
      </w:r>
      <w:r w:rsidR="00FE38EE">
        <w:rPr>
          <w:rFonts w:ascii="Times New Roman" w:hAnsi="Times New Roman" w:cs="Times New Roman"/>
          <w:sz w:val="24"/>
          <w:szCs w:val="24"/>
        </w:rPr>
        <w:t xml:space="preserve"> the distribution of the trust assets.</w:t>
      </w:r>
      <w:r w:rsidR="003C7441">
        <w:rPr>
          <w:rStyle w:val="FootnoteReference"/>
          <w:rFonts w:ascii="Times New Roman" w:hAnsi="Times New Roman" w:cs="Times New Roman"/>
          <w:sz w:val="24"/>
          <w:szCs w:val="24"/>
        </w:rPr>
        <w:footnoteReference w:id="56"/>
      </w:r>
      <w:r w:rsidR="00FE38EE">
        <w:rPr>
          <w:rFonts w:ascii="Times New Roman" w:hAnsi="Times New Roman" w:cs="Times New Roman"/>
          <w:sz w:val="24"/>
          <w:szCs w:val="24"/>
        </w:rPr>
        <w:t xml:space="preserve"> The terms must bring such clarity to the object of the trust, as</w:t>
      </w:r>
      <w:r w:rsidR="003C7441">
        <w:rPr>
          <w:rFonts w:ascii="Times New Roman" w:hAnsi="Times New Roman" w:cs="Times New Roman"/>
          <w:sz w:val="24"/>
          <w:szCs w:val="24"/>
        </w:rPr>
        <w:t xml:space="preserve"> to </w:t>
      </w:r>
      <w:r w:rsidR="00447CE3">
        <w:rPr>
          <w:rFonts w:ascii="Times New Roman" w:hAnsi="Times New Roman" w:cs="Times New Roman"/>
          <w:sz w:val="24"/>
          <w:szCs w:val="24"/>
        </w:rPr>
        <w:t xml:space="preserve">enable the trustee to </w:t>
      </w:r>
      <w:r w:rsidR="003C7441">
        <w:rPr>
          <w:rFonts w:ascii="Times New Roman" w:hAnsi="Times New Roman" w:cs="Times New Roman"/>
          <w:sz w:val="24"/>
          <w:szCs w:val="24"/>
        </w:rPr>
        <w:t>make</w:t>
      </w:r>
      <w:r w:rsidR="00FE38EE">
        <w:rPr>
          <w:rFonts w:ascii="Times New Roman" w:hAnsi="Times New Roman" w:cs="Times New Roman"/>
          <w:sz w:val="24"/>
          <w:szCs w:val="24"/>
        </w:rPr>
        <w:t xml:space="preserve"> diligent inquiries and </w:t>
      </w:r>
      <w:r w:rsidR="003C7441">
        <w:rPr>
          <w:rFonts w:ascii="Times New Roman" w:hAnsi="Times New Roman" w:cs="Times New Roman"/>
          <w:sz w:val="24"/>
          <w:szCs w:val="24"/>
        </w:rPr>
        <w:t>select “according to [the] needs or qualifications” of the beneficiaries.</w:t>
      </w:r>
      <w:r w:rsidR="003C7441">
        <w:rPr>
          <w:rStyle w:val="FootnoteReference"/>
          <w:rFonts w:ascii="Times New Roman" w:hAnsi="Times New Roman" w:cs="Times New Roman"/>
          <w:sz w:val="24"/>
          <w:szCs w:val="24"/>
        </w:rPr>
        <w:footnoteReference w:id="57"/>
      </w:r>
      <w:r w:rsidR="003C7441">
        <w:rPr>
          <w:rFonts w:ascii="Times New Roman" w:hAnsi="Times New Roman" w:cs="Times New Roman"/>
          <w:sz w:val="24"/>
          <w:szCs w:val="24"/>
        </w:rPr>
        <w:t xml:space="preserve"> </w:t>
      </w:r>
    </w:p>
    <w:p w:rsidR="000B4B6C" w:rsidRDefault="00100C4A" w:rsidP="000B4B6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B4B6C">
        <w:rPr>
          <w:rFonts w:ascii="Times New Roman" w:hAnsi="Times New Roman" w:cs="Times New Roman"/>
          <w:sz w:val="24"/>
          <w:szCs w:val="24"/>
        </w:rPr>
        <w:t xml:space="preserve">As to whether the Royal Court could have accepted the less restrictive application of the </w:t>
      </w:r>
      <w:r w:rsidR="000B4B6C">
        <w:rPr>
          <w:rFonts w:ascii="Times New Roman" w:hAnsi="Times New Roman" w:cs="Times New Roman"/>
          <w:i/>
          <w:sz w:val="24"/>
          <w:szCs w:val="24"/>
        </w:rPr>
        <w:t xml:space="preserve">McPhail v Doulton </w:t>
      </w:r>
      <w:r w:rsidR="000B4B6C">
        <w:rPr>
          <w:rFonts w:ascii="Times New Roman" w:hAnsi="Times New Roman" w:cs="Times New Roman"/>
          <w:sz w:val="24"/>
          <w:szCs w:val="24"/>
        </w:rPr>
        <w:t>test</w:t>
      </w:r>
      <w:r w:rsidR="00E83FA8">
        <w:rPr>
          <w:rFonts w:ascii="Times New Roman" w:hAnsi="Times New Roman" w:cs="Times New Roman"/>
          <w:sz w:val="24"/>
          <w:szCs w:val="24"/>
        </w:rPr>
        <w:t>,</w:t>
      </w:r>
      <w:r w:rsidR="00B40647">
        <w:rPr>
          <w:rStyle w:val="FootnoteReference"/>
          <w:rFonts w:ascii="Times New Roman" w:hAnsi="Times New Roman" w:cs="Times New Roman"/>
          <w:sz w:val="24"/>
          <w:szCs w:val="24"/>
        </w:rPr>
        <w:footnoteReference w:id="58"/>
      </w:r>
      <w:r w:rsidR="00E83FA8">
        <w:rPr>
          <w:rFonts w:ascii="Times New Roman" w:hAnsi="Times New Roman" w:cs="Times New Roman"/>
          <w:sz w:val="24"/>
          <w:szCs w:val="24"/>
        </w:rPr>
        <w:t xml:space="preserve"> </w:t>
      </w:r>
      <w:r w:rsidR="000B4B6C">
        <w:rPr>
          <w:rFonts w:ascii="Times New Roman" w:hAnsi="Times New Roman" w:cs="Times New Roman"/>
          <w:sz w:val="24"/>
          <w:szCs w:val="24"/>
        </w:rPr>
        <w:t>a</w:t>
      </w:r>
      <w:r w:rsidR="00265962">
        <w:rPr>
          <w:rFonts w:ascii="Times New Roman" w:hAnsi="Times New Roman" w:cs="Times New Roman"/>
          <w:sz w:val="24"/>
          <w:szCs w:val="24"/>
        </w:rPr>
        <w:t xml:space="preserve"> blan</w:t>
      </w:r>
      <w:r w:rsidR="00E83FA8">
        <w:rPr>
          <w:rFonts w:ascii="Times New Roman" w:hAnsi="Times New Roman" w:cs="Times New Roman"/>
          <w:sz w:val="24"/>
          <w:szCs w:val="24"/>
        </w:rPr>
        <w:t>k schedule</w:t>
      </w:r>
      <w:r w:rsidR="000B4B6C">
        <w:rPr>
          <w:rFonts w:ascii="Times New Roman" w:hAnsi="Times New Roman" w:cs="Times New Roman"/>
          <w:sz w:val="24"/>
          <w:szCs w:val="24"/>
        </w:rPr>
        <w:t xml:space="preserve"> on its own</w:t>
      </w:r>
      <w:r w:rsidR="00D40BD0">
        <w:rPr>
          <w:rFonts w:ascii="Times New Roman" w:hAnsi="Times New Roman" w:cs="Times New Roman"/>
          <w:sz w:val="24"/>
          <w:szCs w:val="24"/>
        </w:rPr>
        <w:t xml:space="preserve"> and with little other evidence on the face of the docu</w:t>
      </w:r>
      <w:r w:rsidR="000B4B6C">
        <w:rPr>
          <w:rFonts w:ascii="Times New Roman" w:hAnsi="Times New Roman" w:cs="Times New Roman"/>
          <w:sz w:val="24"/>
          <w:szCs w:val="24"/>
        </w:rPr>
        <w:t xml:space="preserve">ment, clearly does not enable the trustees to make selections of beneficiaries diligently and reasonably. </w:t>
      </w:r>
      <w:r w:rsidR="000A36B6">
        <w:rPr>
          <w:rFonts w:ascii="Times New Roman" w:hAnsi="Times New Roman" w:cs="Times New Roman"/>
          <w:sz w:val="24"/>
          <w:szCs w:val="24"/>
        </w:rPr>
        <w:t>However, such trusts appear to be administered along similar lines to those suggested</w:t>
      </w:r>
      <w:r w:rsidR="00B40647">
        <w:rPr>
          <w:rFonts w:ascii="Times New Roman" w:hAnsi="Times New Roman" w:cs="Times New Roman"/>
          <w:sz w:val="24"/>
          <w:szCs w:val="24"/>
        </w:rPr>
        <w:t xml:space="preserve"> in the English High Court</w:t>
      </w:r>
      <w:r w:rsidR="000B4B6C">
        <w:rPr>
          <w:rFonts w:ascii="Times New Roman" w:hAnsi="Times New Roman" w:cs="Times New Roman"/>
          <w:sz w:val="24"/>
          <w:szCs w:val="24"/>
        </w:rPr>
        <w:t xml:space="preserve"> by</w:t>
      </w:r>
      <w:r w:rsidR="003337F5">
        <w:rPr>
          <w:rFonts w:ascii="Times New Roman" w:hAnsi="Times New Roman" w:cs="Times New Roman"/>
          <w:sz w:val="24"/>
          <w:szCs w:val="24"/>
        </w:rPr>
        <w:t xml:space="preserve"> </w:t>
      </w:r>
      <w:proofErr w:type="spellStart"/>
      <w:r w:rsidR="003337F5">
        <w:rPr>
          <w:rFonts w:ascii="Times New Roman" w:hAnsi="Times New Roman" w:cs="Times New Roman"/>
          <w:sz w:val="24"/>
          <w:szCs w:val="24"/>
        </w:rPr>
        <w:t>Templeman</w:t>
      </w:r>
      <w:proofErr w:type="spellEnd"/>
      <w:r w:rsidR="003337F5">
        <w:rPr>
          <w:rFonts w:ascii="Times New Roman" w:hAnsi="Times New Roman" w:cs="Times New Roman"/>
          <w:sz w:val="24"/>
          <w:szCs w:val="24"/>
        </w:rPr>
        <w:t xml:space="preserve"> J. i</w:t>
      </w:r>
      <w:r w:rsidR="003337F5" w:rsidRPr="000879D9">
        <w:rPr>
          <w:rFonts w:ascii="Times New Roman" w:hAnsi="Times New Roman" w:cs="Times New Roman"/>
          <w:sz w:val="24"/>
          <w:szCs w:val="24"/>
        </w:rPr>
        <w:t xml:space="preserve">n </w:t>
      </w:r>
      <w:r w:rsidR="003337F5" w:rsidRPr="000879D9">
        <w:rPr>
          <w:rFonts w:ascii="Times New Roman" w:hAnsi="Times New Roman" w:cs="Times New Roman"/>
          <w:i/>
          <w:sz w:val="24"/>
          <w:szCs w:val="24"/>
        </w:rPr>
        <w:t xml:space="preserve">Re </w:t>
      </w:r>
      <w:proofErr w:type="spellStart"/>
      <w:r w:rsidR="003337F5" w:rsidRPr="000879D9">
        <w:rPr>
          <w:rFonts w:ascii="Times New Roman" w:hAnsi="Times New Roman" w:cs="Times New Roman"/>
          <w:i/>
          <w:sz w:val="24"/>
          <w:szCs w:val="24"/>
        </w:rPr>
        <w:t>Manisty’s</w:t>
      </w:r>
      <w:proofErr w:type="spellEnd"/>
      <w:r w:rsidR="003337F5" w:rsidRPr="000879D9">
        <w:rPr>
          <w:rFonts w:ascii="Times New Roman" w:hAnsi="Times New Roman" w:cs="Times New Roman"/>
          <w:i/>
          <w:sz w:val="24"/>
          <w:szCs w:val="24"/>
        </w:rPr>
        <w:t xml:space="preserve"> Settlement</w:t>
      </w:r>
      <w:r w:rsidR="00E92AD3">
        <w:rPr>
          <w:rFonts w:ascii="Times New Roman" w:hAnsi="Times New Roman" w:cs="Times New Roman"/>
          <w:sz w:val="24"/>
          <w:szCs w:val="24"/>
        </w:rPr>
        <w:t>,</w:t>
      </w:r>
      <w:r w:rsidR="003337F5" w:rsidRPr="000879D9">
        <w:rPr>
          <w:rStyle w:val="FootnoteReference"/>
          <w:rFonts w:ascii="Times New Roman" w:hAnsi="Times New Roman" w:cs="Times New Roman"/>
          <w:sz w:val="24"/>
          <w:szCs w:val="24"/>
        </w:rPr>
        <w:footnoteReference w:id="59"/>
      </w:r>
      <w:r w:rsidR="00E92AD3">
        <w:rPr>
          <w:rFonts w:ascii="Times New Roman" w:hAnsi="Times New Roman" w:cs="Times New Roman"/>
          <w:sz w:val="24"/>
          <w:szCs w:val="24"/>
        </w:rPr>
        <w:t xml:space="preserve"> where a level of practical clarity </w:t>
      </w:r>
      <w:r w:rsidR="00E92AD3">
        <w:rPr>
          <w:rFonts w:ascii="Times New Roman" w:hAnsi="Times New Roman" w:cs="Times New Roman"/>
          <w:i/>
          <w:sz w:val="24"/>
          <w:szCs w:val="24"/>
        </w:rPr>
        <w:t xml:space="preserve">is </w:t>
      </w:r>
      <w:r w:rsidR="00E92AD3">
        <w:rPr>
          <w:rFonts w:ascii="Times New Roman" w:hAnsi="Times New Roman" w:cs="Times New Roman"/>
          <w:sz w:val="24"/>
          <w:szCs w:val="24"/>
        </w:rPr>
        <w:t>obtained despite the lack of information to be derived from the document conferring the power.</w:t>
      </w:r>
      <w:r w:rsidR="003337F5" w:rsidRPr="000879D9">
        <w:rPr>
          <w:rFonts w:ascii="Times New Roman" w:hAnsi="Times New Roman" w:cs="Times New Roman"/>
          <w:sz w:val="24"/>
          <w:szCs w:val="24"/>
        </w:rPr>
        <w:t xml:space="preserve"> </w:t>
      </w:r>
      <w:r w:rsidR="00E92AD3">
        <w:rPr>
          <w:rFonts w:ascii="Times New Roman" w:hAnsi="Times New Roman" w:cs="Times New Roman"/>
          <w:sz w:val="24"/>
          <w:szCs w:val="24"/>
        </w:rPr>
        <w:t>The case concerned</w:t>
      </w:r>
      <w:r w:rsidR="000B4B6C">
        <w:rPr>
          <w:rFonts w:ascii="Times New Roman" w:hAnsi="Times New Roman" w:cs="Times New Roman"/>
          <w:sz w:val="24"/>
          <w:szCs w:val="24"/>
        </w:rPr>
        <w:t xml:space="preserve"> an intermediate power of appointment,</w:t>
      </w:r>
      <w:r w:rsidR="003337F5">
        <w:rPr>
          <w:rStyle w:val="FootnoteReference"/>
          <w:rFonts w:ascii="Times New Roman" w:hAnsi="Times New Roman" w:cs="Times New Roman"/>
          <w:sz w:val="24"/>
          <w:szCs w:val="24"/>
        </w:rPr>
        <w:footnoteReference w:id="60"/>
      </w:r>
      <w:r w:rsidR="000B4B6C">
        <w:rPr>
          <w:rFonts w:ascii="Times New Roman" w:hAnsi="Times New Roman" w:cs="Times New Roman"/>
          <w:sz w:val="24"/>
          <w:szCs w:val="24"/>
        </w:rPr>
        <w:t xml:space="preserve"> where the duty to consider appropriately is owed to the ultimate default beneficiary.</w:t>
      </w:r>
      <w:r w:rsidR="00EE5E57">
        <w:rPr>
          <w:rStyle w:val="FootnoteReference"/>
          <w:rFonts w:ascii="Times New Roman" w:hAnsi="Times New Roman" w:cs="Times New Roman"/>
          <w:sz w:val="24"/>
          <w:szCs w:val="24"/>
        </w:rPr>
        <w:footnoteReference w:id="61"/>
      </w:r>
      <w:r w:rsidR="003337F5">
        <w:rPr>
          <w:rFonts w:ascii="Times New Roman" w:hAnsi="Times New Roman" w:cs="Times New Roman"/>
          <w:sz w:val="24"/>
          <w:szCs w:val="24"/>
        </w:rPr>
        <w:t xml:space="preserve"> Such powers</w:t>
      </w:r>
      <w:r w:rsidR="00265962">
        <w:rPr>
          <w:rFonts w:ascii="Times New Roman" w:hAnsi="Times New Roman" w:cs="Times New Roman"/>
          <w:sz w:val="24"/>
          <w:szCs w:val="24"/>
        </w:rPr>
        <w:t xml:space="preserve"> are</w:t>
      </w:r>
      <w:r w:rsidR="003337F5">
        <w:rPr>
          <w:rFonts w:ascii="Times New Roman" w:hAnsi="Times New Roman" w:cs="Times New Roman"/>
          <w:sz w:val="24"/>
          <w:szCs w:val="24"/>
        </w:rPr>
        <w:t xml:space="preserve"> very wide and </w:t>
      </w:r>
      <w:r w:rsidR="00265962">
        <w:rPr>
          <w:rFonts w:ascii="Times New Roman" w:hAnsi="Times New Roman" w:cs="Times New Roman"/>
          <w:sz w:val="24"/>
          <w:szCs w:val="24"/>
        </w:rPr>
        <w:t>often do</w:t>
      </w:r>
      <w:r w:rsidR="000B4B6C" w:rsidRPr="000879D9">
        <w:rPr>
          <w:rFonts w:ascii="Times New Roman" w:hAnsi="Times New Roman" w:cs="Times New Roman"/>
          <w:sz w:val="24"/>
          <w:szCs w:val="24"/>
        </w:rPr>
        <w:t xml:space="preserve"> not indicate on the face of the </w:t>
      </w:r>
      <w:r w:rsidR="000B4B6C" w:rsidRPr="000879D9">
        <w:rPr>
          <w:rFonts w:ascii="Times New Roman" w:hAnsi="Times New Roman" w:cs="Times New Roman"/>
          <w:sz w:val="24"/>
          <w:szCs w:val="24"/>
        </w:rPr>
        <w:lastRenderedPageBreak/>
        <w:t xml:space="preserve">instrument what the intentions of the settlor were or, indeed, how the trustee should exercise </w:t>
      </w:r>
      <w:r w:rsidR="000B4B6C">
        <w:rPr>
          <w:rFonts w:ascii="Times New Roman" w:hAnsi="Times New Roman" w:cs="Times New Roman"/>
          <w:sz w:val="24"/>
          <w:szCs w:val="24"/>
        </w:rPr>
        <w:t>the power</w:t>
      </w:r>
      <w:r w:rsidR="00265962">
        <w:rPr>
          <w:rFonts w:ascii="Times New Roman" w:hAnsi="Times New Roman" w:cs="Times New Roman"/>
          <w:sz w:val="24"/>
          <w:szCs w:val="24"/>
        </w:rPr>
        <w:t>.</w:t>
      </w:r>
      <w:r w:rsidR="000B4B6C" w:rsidRPr="000879D9">
        <w:rPr>
          <w:rStyle w:val="FootnoteReference"/>
          <w:rFonts w:ascii="Times New Roman" w:hAnsi="Times New Roman" w:cs="Times New Roman"/>
          <w:sz w:val="24"/>
          <w:szCs w:val="24"/>
        </w:rPr>
        <w:footnoteReference w:id="62"/>
      </w:r>
      <w:r w:rsidR="00265962">
        <w:rPr>
          <w:rFonts w:ascii="Times New Roman" w:hAnsi="Times New Roman" w:cs="Times New Roman"/>
          <w:sz w:val="24"/>
          <w:szCs w:val="24"/>
        </w:rPr>
        <w:t xml:space="preserve"> Yet the power is not void for uncertainty:</w:t>
      </w:r>
      <w:r w:rsidR="000B4B6C" w:rsidRPr="000879D9">
        <w:rPr>
          <w:rFonts w:ascii="Times New Roman" w:hAnsi="Times New Roman" w:cs="Times New Roman"/>
          <w:sz w:val="24"/>
          <w:szCs w:val="24"/>
        </w:rPr>
        <w:t xml:space="preserve"> </w:t>
      </w:r>
    </w:p>
    <w:p w:rsidR="003337F5" w:rsidRPr="0012236E" w:rsidRDefault="003337F5" w:rsidP="0012236E">
      <w:pPr>
        <w:spacing w:after="0"/>
        <w:ind w:left="720"/>
        <w:jc w:val="both"/>
        <w:rPr>
          <w:rFonts w:ascii="Times New Roman" w:hAnsi="Times New Roman" w:cs="Times New Roman"/>
        </w:rPr>
      </w:pPr>
    </w:p>
    <w:p w:rsidR="0012236E" w:rsidRPr="0012236E" w:rsidRDefault="000B4B6C" w:rsidP="0012236E">
      <w:pPr>
        <w:spacing w:after="0"/>
        <w:ind w:left="720"/>
        <w:jc w:val="both"/>
        <w:rPr>
          <w:rFonts w:ascii="Times New Roman" w:hAnsi="Times New Roman" w:cs="Times New Roman"/>
        </w:rPr>
      </w:pPr>
      <w:r w:rsidRPr="0012236E">
        <w:rPr>
          <w:rFonts w:ascii="Times New Roman" w:hAnsi="Times New Roman" w:cs="Times New Roman"/>
        </w:rPr>
        <w:t xml:space="preserve"> “[R]</w:t>
      </w:r>
      <w:proofErr w:type="spellStart"/>
      <w:r w:rsidRPr="0012236E">
        <w:rPr>
          <w:rFonts w:ascii="Times New Roman" w:hAnsi="Times New Roman" w:cs="Times New Roman"/>
        </w:rPr>
        <w:t>easonable</w:t>
      </w:r>
      <w:proofErr w:type="spellEnd"/>
      <w:r w:rsidRPr="0012236E">
        <w:rPr>
          <w:rFonts w:ascii="Times New Roman" w:hAnsi="Times New Roman" w:cs="Times New Roman"/>
        </w:rPr>
        <w:t xml:space="preserve"> trustees  will endeavour, no doubt, to give effect to the intention of the settlor in making the settlement and will derive that intention not from the terms of the power necessarily or exclusively, but from all the terms of the settlement, the surrounding circumstances and their individual knowledge acquired or inherited.”</w:t>
      </w:r>
      <w:r w:rsidR="0012236E" w:rsidRPr="0012236E">
        <w:rPr>
          <w:rStyle w:val="FootnoteReference"/>
          <w:rFonts w:ascii="Times New Roman" w:hAnsi="Times New Roman" w:cs="Times New Roman"/>
        </w:rPr>
        <w:t xml:space="preserve"> </w:t>
      </w:r>
      <w:r w:rsidR="0012236E" w:rsidRPr="0012236E">
        <w:rPr>
          <w:rStyle w:val="FootnoteReference"/>
          <w:rFonts w:ascii="Times New Roman" w:hAnsi="Times New Roman" w:cs="Times New Roman"/>
        </w:rPr>
        <w:footnoteReference w:id="63"/>
      </w:r>
      <w:r w:rsidR="0012236E" w:rsidRPr="0012236E">
        <w:rPr>
          <w:rFonts w:ascii="Times New Roman" w:hAnsi="Times New Roman" w:cs="Times New Roman"/>
        </w:rPr>
        <w:t xml:space="preserve"> </w:t>
      </w:r>
    </w:p>
    <w:p w:rsidR="000B4B6C" w:rsidRPr="0012236E" w:rsidRDefault="000B4B6C" w:rsidP="0012236E">
      <w:pPr>
        <w:spacing w:after="0"/>
        <w:ind w:left="720"/>
        <w:jc w:val="both"/>
        <w:rPr>
          <w:rFonts w:ascii="Times New Roman" w:hAnsi="Times New Roman" w:cs="Times New Roman"/>
        </w:rPr>
      </w:pPr>
    </w:p>
    <w:p w:rsidR="000B4B6C" w:rsidRDefault="000B4B6C" w:rsidP="000B4B6C">
      <w:pPr>
        <w:spacing w:after="0"/>
        <w:jc w:val="both"/>
        <w:rPr>
          <w:rFonts w:ascii="Times New Roman" w:hAnsi="Times New Roman" w:cs="Times New Roman"/>
          <w:sz w:val="24"/>
          <w:szCs w:val="24"/>
        </w:rPr>
      </w:pPr>
      <w:r>
        <w:rPr>
          <w:rFonts w:ascii="Times New Roman" w:hAnsi="Times New Roman" w:cs="Times New Roman"/>
          <w:sz w:val="24"/>
          <w:szCs w:val="24"/>
        </w:rPr>
        <w:t>The power could be controlled by the court, by removing the trustees, or by an order requiring the trustees to consider exercising the power.</w:t>
      </w:r>
      <w:r>
        <w:rPr>
          <w:rStyle w:val="FootnoteReference"/>
          <w:rFonts w:ascii="Times New Roman" w:hAnsi="Times New Roman" w:cs="Times New Roman"/>
          <w:sz w:val="24"/>
          <w:szCs w:val="24"/>
        </w:rPr>
        <w:footnoteReference w:id="64"/>
      </w:r>
    </w:p>
    <w:p w:rsidR="00AB7DE9" w:rsidRDefault="00A963DD" w:rsidP="00AB7DE9">
      <w:pPr>
        <w:spacing w:after="0"/>
        <w:jc w:val="both"/>
        <w:rPr>
          <w:rFonts w:ascii="Times New Roman" w:hAnsi="Times New Roman" w:cs="Times New Roman"/>
          <w:sz w:val="24"/>
          <w:szCs w:val="24"/>
        </w:rPr>
      </w:pPr>
      <w:r>
        <w:rPr>
          <w:rFonts w:ascii="Times New Roman" w:hAnsi="Times New Roman" w:cs="Times New Roman"/>
          <w:sz w:val="24"/>
          <w:szCs w:val="24"/>
        </w:rPr>
        <w:t xml:space="preserve">     It is at least arguable that, in reference to </w:t>
      </w:r>
      <w:proofErr w:type="spellStart"/>
      <w:r>
        <w:rPr>
          <w:rFonts w:ascii="Times New Roman" w:hAnsi="Times New Roman" w:cs="Times New Roman"/>
          <w:sz w:val="24"/>
          <w:szCs w:val="24"/>
        </w:rPr>
        <w:t>Templeman</w:t>
      </w:r>
      <w:proofErr w:type="spellEnd"/>
      <w:r>
        <w:rPr>
          <w:rFonts w:ascii="Times New Roman" w:hAnsi="Times New Roman" w:cs="Times New Roman"/>
          <w:sz w:val="24"/>
          <w:szCs w:val="24"/>
        </w:rPr>
        <w:t xml:space="preserve"> J.’s approach, the Royal Court in the </w:t>
      </w:r>
      <w:r>
        <w:rPr>
          <w:rFonts w:ascii="Times New Roman" w:hAnsi="Times New Roman" w:cs="Times New Roman"/>
          <w:i/>
          <w:sz w:val="24"/>
          <w:szCs w:val="24"/>
        </w:rPr>
        <w:t>Exeter c</w:t>
      </w:r>
      <w:r>
        <w:rPr>
          <w:rFonts w:ascii="Times New Roman" w:hAnsi="Times New Roman" w:cs="Times New Roman"/>
          <w:sz w:val="24"/>
          <w:szCs w:val="24"/>
        </w:rPr>
        <w:t xml:space="preserve">ase could have accepted the broad application of the </w:t>
      </w:r>
      <w:r>
        <w:rPr>
          <w:rFonts w:ascii="Times New Roman" w:hAnsi="Times New Roman" w:cs="Times New Roman"/>
          <w:i/>
          <w:sz w:val="24"/>
          <w:szCs w:val="24"/>
        </w:rPr>
        <w:t xml:space="preserve">McPhail v Doulton </w:t>
      </w:r>
      <w:r>
        <w:rPr>
          <w:rFonts w:ascii="Times New Roman" w:hAnsi="Times New Roman" w:cs="Times New Roman"/>
          <w:sz w:val="24"/>
          <w:szCs w:val="24"/>
        </w:rPr>
        <w:t>test, articulated by the academic commentary and implicitly by the advocate for the trustee.</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Provided that</w:t>
      </w:r>
      <w:r w:rsidR="0012236E">
        <w:rPr>
          <w:rFonts w:ascii="Times New Roman" w:hAnsi="Times New Roman" w:cs="Times New Roman"/>
          <w:sz w:val="24"/>
          <w:szCs w:val="24"/>
        </w:rPr>
        <w:t xml:space="preserve"> the administration of the trust</w:t>
      </w:r>
      <w:r>
        <w:rPr>
          <w:rFonts w:ascii="Times New Roman" w:hAnsi="Times New Roman" w:cs="Times New Roman"/>
          <w:sz w:val="24"/>
          <w:szCs w:val="24"/>
        </w:rPr>
        <w:t xml:space="preserve"> could</w:t>
      </w:r>
      <w:r w:rsidR="0012236E">
        <w:rPr>
          <w:rFonts w:ascii="Times New Roman" w:hAnsi="Times New Roman" w:cs="Times New Roman"/>
          <w:sz w:val="24"/>
          <w:szCs w:val="24"/>
        </w:rPr>
        <w:t xml:space="preserve"> be controlled by the court, there is nothing else in </w:t>
      </w:r>
      <w:r w:rsidR="0012236E">
        <w:rPr>
          <w:rFonts w:ascii="Times New Roman" w:hAnsi="Times New Roman" w:cs="Times New Roman"/>
          <w:i/>
          <w:sz w:val="24"/>
          <w:szCs w:val="24"/>
        </w:rPr>
        <w:t>McPhail v Doulton</w:t>
      </w:r>
      <w:r w:rsidR="0012236E">
        <w:rPr>
          <w:rFonts w:ascii="Times New Roman" w:hAnsi="Times New Roman" w:cs="Times New Roman"/>
          <w:sz w:val="24"/>
          <w:szCs w:val="24"/>
        </w:rPr>
        <w:t xml:space="preserve"> to suggest that there had to be any primary beneficiaries </w:t>
      </w:r>
      <w:r w:rsidR="0012236E">
        <w:rPr>
          <w:rFonts w:ascii="Times New Roman" w:hAnsi="Times New Roman" w:cs="Times New Roman"/>
          <w:i/>
          <w:sz w:val="24"/>
          <w:szCs w:val="24"/>
        </w:rPr>
        <w:t xml:space="preserve">in </w:t>
      </w:r>
      <w:r w:rsidR="0012236E">
        <w:rPr>
          <w:rFonts w:ascii="Times New Roman" w:hAnsi="Times New Roman" w:cs="Times New Roman"/>
          <w:sz w:val="24"/>
          <w:szCs w:val="24"/>
        </w:rPr>
        <w:t>the class initially. The “is or is not” test was aimed solely at ensuring the proper</w:t>
      </w:r>
      <w:r>
        <w:rPr>
          <w:rFonts w:ascii="Times New Roman" w:hAnsi="Times New Roman" w:cs="Times New Roman"/>
          <w:sz w:val="24"/>
          <w:szCs w:val="24"/>
        </w:rPr>
        <w:t xml:space="preserve"> administration</w:t>
      </w:r>
      <w:r w:rsidR="00DB74F0">
        <w:rPr>
          <w:rFonts w:ascii="Times New Roman" w:hAnsi="Times New Roman" w:cs="Times New Roman"/>
          <w:sz w:val="24"/>
          <w:szCs w:val="24"/>
        </w:rPr>
        <w:t xml:space="preserve"> and court execution</w:t>
      </w:r>
      <w:r>
        <w:rPr>
          <w:rFonts w:ascii="Times New Roman" w:hAnsi="Times New Roman" w:cs="Times New Roman"/>
          <w:sz w:val="24"/>
          <w:szCs w:val="24"/>
        </w:rPr>
        <w:t xml:space="preserve"> of the trust, although against the background of cases where settlors might use hopelessly unclear descriptions which defied rational construction on ordinary principles for the construing of documents.</w:t>
      </w:r>
      <w:r>
        <w:rPr>
          <w:rStyle w:val="FootnoteReference"/>
          <w:rFonts w:ascii="Times New Roman" w:hAnsi="Times New Roman" w:cs="Times New Roman"/>
          <w:sz w:val="24"/>
          <w:szCs w:val="24"/>
        </w:rPr>
        <w:footnoteReference w:id="66"/>
      </w:r>
      <w:r w:rsidR="0012236E">
        <w:rPr>
          <w:rFonts w:ascii="Times New Roman" w:hAnsi="Times New Roman" w:cs="Times New Roman"/>
          <w:sz w:val="24"/>
          <w:szCs w:val="24"/>
        </w:rPr>
        <w:t xml:space="preserve"> By analogy, </w:t>
      </w:r>
      <w:r w:rsidR="00E92AD3">
        <w:rPr>
          <w:rFonts w:ascii="Times New Roman" w:hAnsi="Times New Roman" w:cs="Times New Roman"/>
          <w:sz w:val="24"/>
          <w:szCs w:val="24"/>
        </w:rPr>
        <w:t>Lord Wilberforce did not put any limits on the breadth of classes for discretionary trusts</w:t>
      </w:r>
      <w:r w:rsidR="0012236E">
        <w:rPr>
          <w:rFonts w:ascii="Times New Roman" w:hAnsi="Times New Roman" w:cs="Times New Roman"/>
          <w:sz w:val="24"/>
          <w:szCs w:val="24"/>
        </w:rPr>
        <w:t>, save for one:</w:t>
      </w:r>
      <w:r w:rsidR="00E92AD3">
        <w:rPr>
          <w:rFonts w:ascii="Times New Roman" w:hAnsi="Times New Roman" w:cs="Times New Roman"/>
          <w:sz w:val="24"/>
          <w:szCs w:val="24"/>
        </w:rPr>
        <w:t xml:space="preserve"> The identified objects under a discretionary trust must also amount to “something like a class”. The reason was so that the trust can still be practically administered by the trustees, in accordan</w:t>
      </w:r>
      <w:r w:rsidR="00DB74F0">
        <w:rPr>
          <w:rFonts w:ascii="Times New Roman" w:hAnsi="Times New Roman" w:cs="Times New Roman"/>
          <w:sz w:val="24"/>
          <w:szCs w:val="24"/>
        </w:rPr>
        <w:t>ce with their higher duties</w:t>
      </w:r>
      <w:r w:rsidR="00E92AD3">
        <w:rPr>
          <w:rFonts w:ascii="Times New Roman" w:hAnsi="Times New Roman" w:cs="Times New Roman"/>
          <w:sz w:val="24"/>
          <w:szCs w:val="24"/>
        </w:rPr>
        <w:t>, and</w:t>
      </w:r>
      <w:r w:rsidR="00DB74F0">
        <w:rPr>
          <w:rFonts w:ascii="Times New Roman" w:hAnsi="Times New Roman" w:cs="Times New Roman"/>
          <w:sz w:val="24"/>
          <w:szCs w:val="24"/>
        </w:rPr>
        <w:t xml:space="preserve"> </w:t>
      </w:r>
      <w:r w:rsidR="00E92AD3">
        <w:rPr>
          <w:rFonts w:ascii="Times New Roman" w:hAnsi="Times New Roman" w:cs="Times New Roman"/>
          <w:sz w:val="24"/>
          <w:szCs w:val="24"/>
        </w:rPr>
        <w:t>can still be executed by the court in default by the trustee.</w:t>
      </w:r>
      <w:r w:rsidR="00E92AD3">
        <w:rPr>
          <w:rStyle w:val="FootnoteReference"/>
          <w:rFonts w:ascii="Times New Roman" w:hAnsi="Times New Roman" w:cs="Times New Roman"/>
          <w:sz w:val="24"/>
          <w:szCs w:val="24"/>
        </w:rPr>
        <w:footnoteReference w:id="67"/>
      </w:r>
      <w:r w:rsidR="00E92AD3">
        <w:rPr>
          <w:rFonts w:ascii="Times New Roman" w:hAnsi="Times New Roman" w:cs="Times New Roman"/>
          <w:sz w:val="24"/>
          <w:szCs w:val="24"/>
        </w:rPr>
        <w:t xml:space="preserve"> A trust is void is it is “one that cannot be executed”.</w:t>
      </w:r>
      <w:r w:rsidR="00E92AD3">
        <w:rPr>
          <w:rStyle w:val="FootnoteReference"/>
          <w:rFonts w:ascii="Times New Roman" w:hAnsi="Times New Roman" w:cs="Times New Roman"/>
          <w:sz w:val="24"/>
          <w:szCs w:val="24"/>
        </w:rPr>
        <w:footnoteReference w:id="68"/>
      </w:r>
      <w:r w:rsidR="00E92AD3">
        <w:rPr>
          <w:rFonts w:ascii="Times New Roman" w:hAnsi="Times New Roman" w:cs="Times New Roman"/>
          <w:sz w:val="24"/>
          <w:szCs w:val="24"/>
        </w:rPr>
        <w:t xml:space="preserve"> </w:t>
      </w:r>
      <w:r>
        <w:rPr>
          <w:rFonts w:ascii="Times New Roman" w:hAnsi="Times New Roman" w:cs="Times New Roman"/>
          <w:sz w:val="24"/>
          <w:szCs w:val="24"/>
        </w:rPr>
        <w:t xml:space="preserve">Applying this to the </w:t>
      </w:r>
      <w:r>
        <w:rPr>
          <w:rFonts w:ascii="Times New Roman" w:hAnsi="Times New Roman" w:cs="Times New Roman"/>
          <w:i/>
          <w:sz w:val="24"/>
          <w:szCs w:val="24"/>
        </w:rPr>
        <w:t xml:space="preserve">Exeter </w:t>
      </w:r>
      <w:r>
        <w:rPr>
          <w:rFonts w:ascii="Times New Roman" w:hAnsi="Times New Roman" w:cs="Times New Roman"/>
          <w:sz w:val="24"/>
          <w:szCs w:val="24"/>
        </w:rPr>
        <w:t>trust, a</w:t>
      </w:r>
      <w:r w:rsidR="00BC77FA">
        <w:rPr>
          <w:rFonts w:ascii="Times New Roman" w:hAnsi="Times New Roman" w:cs="Times New Roman"/>
          <w:sz w:val="24"/>
          <w:szCs w:val="24"/>
        </w:rPr>
        <w:t>lthough a trustee of a discretionary trust is under stricter duties than those applicable to the donee</w:t>
      </w:r>
      <w:r w:rsidR="00750312">
        <w:rPr>
          <w:rFonts w:ascii="Times New Roman" w:hAnsi="Times New Roman" w:cs="Times New Roman"/>
          <w:sz w:val="24"/>
          <w:szCs w:val="24"/>
        </w:rPr>
        <w:t xml:space="preserve"> of a power of appointment,</w:t>
      </w:r>
      <w:r w:rsidR="00BC77FA">
        <w:rPr>
          <w:rFonts w:ascii="Times New Roman" w:hAnsi="Times New Roman" w:cs="Times New Roman"/>
          <w:sz w:val="24"/>
          <w:szCs w:val="24"/>
        </w:rPr>
        <w:t xml:space="preserve"> </w:t>
      </w:r>
      <w:r w:rsidR="00750312">
        <w:rPr>
          <w:rFonts w:ascii="Times New Roman" w:hAnsi="Times New Roman" w:cs="Times New Roman"/>
          <w:sz w:val="24"/>
          <w:szCs w:val="24"/>
        </w:rPr>
        <w:t>i.e. t</w:t>
      </w:r>
      <w:r w:rsidR="00BC77FA">
        <w:rPr>
          <w:rFonts w:ascii="Times New Roman" w:hAnsi="Times New Roman" w:cs="Times New Roman"/>
          <w:sz w:val="24"/>
          <w:szCs w:val="24"/>
        </w:rPr>
        <w:t xml:space="preserve">hey must undertake more diligent inquiries before selecting </w:t>
      </w:r>
      <w:r w:rsidR="00750312">
        <w:rPr>
          <w:rFonts w:ascii="Times New Roman" w:hAnsi="Times New Roman" w:cs="Times New Roman"/>
          <w:sz w:val="24"/>
          <w:szCs w:val="24"/>
        </w:rPr>
        <w:t>objects of the settlor’s bounty,</w:t>
      </w:r>
      <w:r w:rsidR="00BC77FA">
        <w:rPr>
          <w:rStyle w:val="FootnoteReference"/>
          <w:rFonts w:ascii="Times New Roman" w:hAnsi="Times New Roman" w:cs="Times New Roman"/>
          <w:sz w:val="24"/>
          <w:szCs w:val="24"/>
        </w:rPr>
        <w:footnoteReference w:id="69"/>
      </w:r>
      <w:r w:rsidR="00750312">
        <w:rPr>
          <w:rFonts w:ascii="Times New Roman" w:hAnsi="Times New Roman" w:cs="Times New Roman"/>
          <w:sz w:val="24"/>
          <w:szCs w:val="24"/>
        </w:rPr>
        <w:t xml:space="preserve"> </w:t>
      </w:r>
      <w:r>
        <w:rPr>
          <w:rFonts w:ascii="Times New Roman" w:hAnsi="Times New Roman" w:cs="Times New Roman"/>
          <w:sz w:val="24"/>
          <w:szCs w:val="24"/>
        </w:rPr>
        <w:t>f</w:t>
      </w:r>
      <w:r w:rsidR="00750312">
        <w:rPr>
          <w:rFonts w:ascii="Times New Roman" w:hAnsi="Times New Roman" w:cs="Times New Roman"/>
          <w:sz w:val="24"/>
          <w:szCs w:val="24"/>
        </w:rPr>
        <w:t xml:space="preserve">rom the clear evidence of the settlor’s intentions in </w:t>
      </w:r>
      <w:r w:rsidR="00750312">
        <w:rPr>
          <w:rFonts w:ascii="Times New Roman" w:hAnsi="Times New Roman" w:cs="Times New Roman"/>
          <w:i/>
          <w:sz w:val="24"/>
          <w:szCs w:val="24"/>
        </w:rPr>
        <w:t>Exeter</w:t>
      </w:r>
      <w:r w:rsidR="00750312">
        <w:rPr>
          <w:rFonts w:ascii="Times New Roman" w:hAnsi="Times New Roman" w:cs="Times New Roman"/>
          <w:sz w:val="24"/>
          <w:szCs w:val="24"/>
        </w:rPr>
        <w:t>,</w:t>
      </w:r>
      <w:r w:rsidR="00750312">
        <w:rPr>
          <w:rStyle w:val="FootnoteReference"/>
          <w:rFonts w:ascii="Times New Roman" w:hAnsi="Times New Roman" w:cs="Times New Roman"/>
          <w:sz w:val="24"/>
          <w:szCs w:val="24"/>
        </w:rPr>
        <w:footnoteReference w:id="70"/>
      </w:r>
      <w:r w:rsidR="00750312">
        <w:rPr>
          <w:rFonts w:ascii="Times New Roman" w:hAnsi="Times New Roman" w:cs="Times New Roman"/>
          <w:sz w:val="24"/>
          <w:szCs w:val="24"/>
        </w:rPr>
        <w:t xml:space="preserve"> the trust was practically administrable in accordance with the trustee’s fiduciary duty of good faith. </w:t>
      </w:r>
      <w:r w:rsidR="00D67ACA">
        <w:rPr>
          <w:rFonts w:ascii="Times New Roman" w:hAnsi="Times New Roman" w:cs="Times New Roman"/>
          <w:sz w:val="24"/>
          <w:szCs w:val="24"/>
        </w:rPr>
        <w:t>The trustee was</w:t>
      </w:r>
      <w:r w:rsidR="00750312">
        <w:rPr>
          <w:rFonts w:ascii="Times New Roman" w:hAnsi="Times New Roman" w:cs="Times New Roman"/>
          <w:sz w:val="24"/>
          <w:szCs w:val="24"/>
        </w:rPr>
        <w:t xml:space="preserve"> able to examine the field of potential beneficiaries, against the known intentions of the settlor, </w:t>
      </w:r>
      <w:r w:rsidR="00750312">
        <w:rPr>
          <w:rFonts w:ascii="Times New Roman" w:hAnsi="Times New Roman" w:cs="Times New Roman"/>
          <w:sz w:val="24"/>
          <w:szCs w:val="24"/>
        </w:rPr>
        <w:lastRenderedPageBreak/>
        <w:t>and appoint according to the needs of the beneficiaries.</w:t>
      </w:r>
      <w:r w:rsidR="00D67ACA">
        <w:rPr>
          <w:rStyle w:val="FootnoteReference"/>
          <w:rFonts w:ascii="Times New Roman" w:hAnsi="Times New Roman" w:cs="Times New Roman"/>
          <w:sz w:val="24"/>
          <w:szCs w:val="24"/>
        </w:rPr>
        <w:footnoteReference w:id="71"/>
      </w:r>
      <w:r w:rsidR="00D67ACA">
        <w:rPr>
          <w:rFonts w:ascii="Times New Roman" w:hAnsi="Times New Roman" w:cs="Times New Roman"/>
          <w:sz w:val="24"/>
          <w:szCs w:val="24"/>
        </w:rPr>
        <w:t xml:space="preserve"> Furthermore, t</w:t>
      </w:r>
      <w:r w:rsidR="00DB74F0">
        <w:rPr>
          <w:rFonts w:ascii="Times New Roman" w:hAnsi="Times New Roman" w:cs="Times New Roman"/>
          <w:sz w:val="24"/>
          <w:szCs w:val="24"/>
        </w:rPr>
        <w:t>here is no reason why t</w:t>
      </w:r>
      <w:r>
        <w:rPr>
          <w:rFonts w:ascii="Times New Roman" w:hAnsi="Times New Roman" w:cs="Times New Roman"/>
          <w:sz w:val="24"/>
          <w:szCs w:val="24"/>
        </w:rPr>
        <w:t xml:space="preserve">he court could </w:t>
      </w:r>
      <w:r w:rsidR="00DB74F0">
        <w:rPr>
          <w:rFonts w:ascii="Times New Roman" w:hAnsi="Times New Roman" w:cs="Times New Roman"/>
          <w:sz w:val="24"/>
          <w:szCs w:val="24"/>
        </w:rPr>
        <w:t xml:space="preserve">not faithfully </w:t>
      </w:r>
      <w:r>
        <w:rPr>
          <w:rFonts w:ascii="Times New Roman" w:hAnsi="Times New Roman" w:cs="Times New Roman"/>
          <w:sz w:val="24"/>
          <w:szCs w:val="24"/>
        </w:rPr>
        <w:t xml:space="preserve">execute the trust in default by the trustee. </w:t>
      </w:r>
      <w:r w:rsidR="00750312">
        <w:rPr>
          <w:rFonts w:ascii="Times New Roman" w:hAnsi="Times New Roman" w:cs="Times New Roman"/>
          <w:sz w:val="24"/>
          <w:szCs w:val="24"/>
        </w:rPr>
        <w:t>I</w:t>
      </w:r>
      <w:r w:rsidR="00BF1157">
        <w:rPr>
          <w:rFonts w:ascii="Times New Roman" w:hAnsi="Times New Roman" w:cs="Times New Roman"/>
          <w:sz w:val="24"/>
          <w:szCs w:val="24"/>
        </w:rPr>
        <w:t xml:space="preserve">t </w:t>
      </w:r>
      <w:r w:rsidR="00AB7DE9">
        <w:rPr>
          <w:rFonts w:ascii="Times New Roman" w:hAnsi="Times New Roman" w:cs="Times New Roman"/>
          <w:sz w:val="24"/>
          <w:szCs w:val="24"/>
        </w:rPr>
        <w:t>is just as absurd to suggest</w:t>
      </w:r>
      <w:r w:rsidR="005E143F">
        <w:rPr>
          <w:rFonts w:ascii="Times New Roman" w:hAnsi="Times New Roman" w:cs="Times New Roman"/>
          <w:sz w:val="24"/>
          <w:szCs w:val="24"/>
        </w:rPr>
        <w:t xml:space="preserve"> that the </w:t>
      </w:r>
      <w:r w:rsidR="00BF1157">
        <w:rPr>
          <w:rFonts w:ascii="Times New Roman" w:hAnsi="Times New Roman" w:cs="Times New Roman"/>
          <w:sz w:val="24"/>
          <w:szCs w:val="24"/>
        </w:rPr>
        <w:t xml:space="preserve">only way in which the </w:t>
      </w:r>
      <w:r w:rsidR="005E143F">
        <w:rPr>
          <w:rFonts w:ascii="Times New Roman" w:hAnsi="Times New Roman" w:cs="Times New Roman"/>
          <w:sz w:val="24"/>
          <w:szCs w:val="24"/>
        </w:rPr>
        <w:t>co</w:t>
      </w:r>
      <w:r w:rsidR="00D67ACA">
        <w:rPr>
          <w:rFonts w:ascii="Times New Roman" w:hAnsi="Times New Roman" w:cs="Times New Roman"/>
          <w:sz w:val="24"/>
          <w:szCs w:val="24"/>
        </w:rPr>
        <w:t>urt will execute an</w:t>
      </w:r>
      <w:r w:rsidR="00AB7DE9">
        <w:rPr>
          <w:rFonts w:ascii="Times New Roman" w:hAnsi="Times New Roman" w:cs="Times New Roman"/>
          <w:sz w:val="24"/>
          <w:szCs w:val="24"/>
        </w:rPr>
        <w:t xml:space="preserve"> </w:t>
      </w:r>
      <w:r w:rsidR="00AB7DE9">
        <w:rPr>
          <w:rFonts w:ascii="Times New Roman" w:hAnsi="Times New Roman" w:cs="Times New Roman"/>
          <w:i/>
          <w:sz w:val="24"/>
          <w:szCs w:val="24"/>
        </w:rPr>
        <w:t>Exeter</w:t>
      </w:r>
      <w:r w:rsidR="00D67ACA">
        <w:rPr>
          <w:rFonts w:ascii="Times New Roman" w:hAnsi="Times New Roman" w:cs="Times New Roman"/>
          <w:i/>
          <w:sz w:val="24"/>
          <w:szCs w:val="24"/>
        </w:rPr>
        <w:t>-</w:t>
      </w:r>
      <w:r w:rsidR="00D67ACA">
        <w:rPr>
          <w:rFonts w:ascii="Times New Roman" w:hAnsi="Times New Roman" w:cs="Times New Roman"/>
          <w:sz w:val="24"/>
          <w:szCs w:val="24"/>
        </w:rPr>
        <w:t>style trust</w:t>
      </w:r>
      <w:r w:rsidR="005E143F">
        <w:rPr>
          <w:rFonts w:ascii="Times New Roman" w:hAnsi="Times New Roman" w:cs="Times New Roman"/>
          <w:sz w:val="24"/>
          <w:szCs w:val="24"/>
        </w:rPr>
        <w:t xml:space="preserve"> </w:t>
      </w:r>
      <w:r w:rsidR="00AB7DE9">
        <w:rPr>
          <w:rFonts w:ascii="Times New Roman" w:hAnsi="Times New Roman" w:cs="Times New Roman"/>
          <w:sz w:val="24"/>
          <w:szCs w:val="24"/>
        </w:rPr>
        <w:t>would be to order</w:t>
      </w:r>
      <w:r w:rsidR="005E143F">
        <w:rPr>
          <w:rFonts w:ascii="Times New Roman" w:hAnsi="Times New Roman" w:cs="Times New Roman"/>
          <w:sz w:val="24"/>
          <w:szCs w:val="24"/>
        </w:rPr>
        <w:t xml:space="preserve"> an immediate distribution to th</w:t>
      </w:r>
      <w:r w:rsidR="00D67ACA">
        <w:rPr>
          <w:rFonts w:ascii="Times New Roman" w:hAnsi="Times New Roman" w:cs="Times New Roman"/>
          <w:sz w:val="24"/>
          <w:szCs w:val="24"/>
        </w:rPr>
        <w:t>e default beneficiary, as it is</w:t>
      </w:r>
      <w:r w:rsidR="005E143F">
        <w:rPr>
          <w:rFonts w:ascii="Times New Roman" w:hAnsi="Times New Roman" w:cs="Times New Roman"/>
          <w:sz w:val="24"/>
          <w:szCs w:val="24"/>
        </w:rPr>
        <w:t xml:space="preserve"> to suppose that, in a large class discretionary trust, the court would order equal </w:t>
      </w:r>
      <w:r w:rsidR="005E143F" w:rsidRPr="000879D9">
        <w:rPr>
          <w:rFonts w:ascii="Times New Roman" w:hAnsi="Times New Roman" w:cs="Times New Roman"/>
          <w:sz w:val="24"/>
          <w:szCs w:val="24"/>
        </w:rPr>
        <w:t>distribution in default.</w:t>
      </w:r>
      <w:r w:rsidR="005E143F" w:rsidRPr="000879D9">
        <w:rPr>
          <w:rStyle w:val="FootnoteReference"/>
          <w:rFonts w:ascii="Times New Roman" w:hAnsi="Times New Roman" w:cs="Times New Roman"/>
          <w:sz w:val="24"/>
          <w:szCs w:val="24"/>
        </w:rPr>
        <w:footnoteReference w:id="72"/>
      </w:r>
      <w:r w:rsidR="005E143F" w:rsidRPr="000879D9">
        <w:rPr>
          <w:rFonts w:ascii="Times New Roman" w:hAnsi="Times New Roman" w:cs="Times New Roman"/>
          <w:sz w:val="24"/>
          <w:szCs w:val="24"/>
        </w:rPr>
        <w:t xml:space="preserve"> </w:t>
      </w:r>
      <w:r w:rsidR="00AB7DE9">
        <w:rPr>
          <w:rFonts w:ascii="Times New Roman" w:hAnsi="Times New Roman" w:cs="Times New Roman"/>
          <w:sz w:val="24"/>
          <w:szCs w:val="24"/>
        </w:rPr>
        <w:t xml:space="preserve">According to Lord Wilberforce in </w:t>
      </w:r>
      <w:r w:rsidR="00AB7DE9">
        <w:rPr>
          <w:rFonts w:ascii="Times New Roman" w:hAnsi="Times New Roman" w:cs="Times New Roman"/>
          <w:i/>
          <w:sz w:val="24"/>
          <w:szCs w:val="24"/>
        </w:rPr>
        <w:t>McPhail v Doulton</w:t>
      </w:r>
      <w:r w:rsidR="00AB7DE9">
        <w:rPr>
          <w:rFonts w:ascii="Times New Roman" w:hAnsi="Times New Roman" w:cs="Times New Roman"/>
          <w:sz w:val="24"/>
          <w:szCs w:val="24"/>
        </w:rPr>
        <w:t>, the court will execute the trust in accordance with the settlor’s intentions, and if immediate distribution is not appropriate, there are other ways of doing so:</w:t>
      </w:r>
      <w:r w:rsidR="00AB7DE9">
        <w:rPr>
          <w:rStyle w:val="FootnoteReference"/>
          <w:rFonts w:ascii="Times New Roman" w:hAnsi="Times New Roman" w:cs="Times New Roman"/>
          <w:sz w:val="24"/>
          <w:szCs w:val="24"/>
        </w:rPr>
        <w:footnoteReference w:id="73"/>
      </w:r>
    </w:p>
    <w:p w:rsidR="00AB7DE9" w:rsidRPr="00AB7DE9" w:rsidRDefault="00AB7DE9" w:rsidP="00AB7DE9">
      <w:pPr>
        <w:spacing w:after="0"/>
        <w:ind w:left="720"/>
        <w:jc w:val="both"/>
        <w:rPr>
          <w:rFonts w:ascii="Times New Roman" w:hAnsi="Times New Roman" w:cs="Times New Roman"/>
          <w:sz w:val="16"/>
          <w:szCs w:val="16"/>
        </w:rPr>
      </w:pPr>
    </w:p>
    <w:p w:rsidR="00AB7DE9" w:rsidRDefault="00AB7DE9" w:rsidP="00AB7DE9">
      <w:pPr>
        <w:spacing w:after="0"/>
        <w:ind w:left="72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w:t>
      </w:r>
      <w:proofErr w:type="gramEnd"/>
      <w:r>
        <w:rPr>
          <w:rFonts w:ascii="Times New Roman" w:hAnsi="Times New Roman" w:cs="Times New Roman"/>
        </w:rPr>
        <w:t xml:space="preserve"> court, if called upon to execute the trust power, will do so in the manner best calculated to give effect to the settlor’s or testator’s intentions. It may do so by appointing new trustees, or by authorising or directing representative persons of the classes of beneficiaries to prepare a scheme of distribution, or even, should the proper basis for distribution appear by itself directing the trustees so to distribute.”</w:t>
      </w:r>
      <w:r>
        <w:rPr>
          <w:rStyle w:val="FootnoteReference"/>
          <w:rFonts w:ascii="Times New Roman" w:hAnsi="Times New Roman" w:cs="Times New Roman"/>
        </w:rPr>
        <w:footnoteReference w:id="74"/>
      </w:r>
    </w:p>
    <w:p w:rsidR="00BC77FA" w:rsidRPr="00AB7DE9" w:rsidRDefault="00BC77FA" w:rsidP="00AD046E">
      <w:pPr>
        <w:spacing w:after="0"/>
        <w:jc w:val="both"/>
        <w:rPr>
          <w:rFonts w:ascii="Times New Roman" w:hAnsi="Times New Roman" w:cs="Times New Roman"/>
          <w:sz w:val="16"/>
          <w:szCs w:val="16"/>
        </w:rPr>
      </w:pPr>
    </w:p>
    <w:p w:rsidR="006D7B90" w:rsidRDefault="00AB7DE9" w:rsidP="00D233AF">
      <w:pPr>
        <w:spacing w:after="0"/>
        <w:jc w:val="both"/>
        <w:rPr>
          <w:rFonts w:ascii="Times New Roman" w:hAnsi="Times New Roman" w:cs="Times New Roman"/>
          <w:sz w:val="24"/>
          <w:szCs w:val="24"/>
        </w:rPr>
      </w:pPr>
      <w:r>
        <w:rPr>
          <w:rFonts w:ascii="Times New Roman" w:hAnsi="Times New Roman" w:cs="Times New Roman"/>
          <w:sz w:val="24"/>
          <w:szCs w:val="24"/>
        </w:rPr>
        <w:t xml:space="preserve">The court could not have executed the </w:t>
      </w:r>
      <w:r>
        <w:rPr>
          <w:rFonts w:ascii="Times New Roman" w:hAnsi="Times New Roman" w:cs="Times New Roman"/>
          <w:i/>
          <w:sz w:val="24"/>
          <w:szCs w:val="24"/>
        </w:rPr>
        <w:t xml:space="preserve">Exeter </w:t>
      </w:r>
      <w:r>
        <w:rPr>
          <w:rFonts w:ascii="Times New Roman" w:hAnsi="Times New Roman" w:cs="Times New Roman"/>
          <w:sz w:val="24"/>
          <w:szCs w:val="24"/>
        </w:rPr>
        <w:t xml:space="preserve">trust </w:t>
      </w:r>
      <w:r w:rsidR="006B0967" w:rsidRPr="006B0967">
        <w:rPr>
          <w:rFonts w:ascii="Times New Roman" w:hAnsi="Times New Roman" w:cs="Times New Roman"/>
          <w:sz w:val="24"/>
          <w:szCs w:val="24"/>
        </w:rPr>
        <w:t>by directing a distribution</w:t>
      </w:r>
      <w:r w:rsidR="00A963DD">
        <w:rPr>
          <w:rFonts w:ascii="Times New Roman" w:hAnsi="Times New Roman" w:cs="Times New Roman"/>
          <w:sz w:val="24"/>
          <w:szCs w:val="24"/>
        </w:rPr>
        <w:t>. There were no beneficiaries in the class to distribute to initially and the trustee could not be compelled to execute the fiduciary power of addition.</w:t>
      </w:r>
      <w:r w:rsidR="00100C4A" w:rsidRPr="00100C4A">
        <w:rPr>
          <w:rStyle w:val="FootnoteReference"/>
          <w:rFonts w:ascii="Times New Roman" w:hAnsi="Times New Roman" w:cs="Times New Roman"/>
          <w:sz w:val="24"/>
          <w:szCs w:val="24"/>
        </w:rPr>
        <w:footnoteReference w:id="75"/>
      </w:r>
      <w:r w:rsidR="00100C4A" w:rsidRPr="00100C4A">
        <w:rPr>
          <w:rFonts w:ascii="Times New Roman" w:hAnsi="Times New Roman" w:cs="Times New Roman"/>
          <w:sz w:val="24"/>
          <w:szCs w:val="24"/>
        </w:rPr>
        <w:t xml:space="preserve"> </w:t>
      </w:r>
      <w:r w:rsidR="007105DF">
        <w:rPr>
          <w:rFonts w:ascii="Times New Roman" w:hAnsi="Times New Roman" w:cs="Times New Roman"/>
          <w:sz w:val="24"/>
          <w:szCs w:val="24"/>
        </w:rPr>
        <w:t>Nevertheless, the court could execute the trust by appointing new trustees to administer the trust in accordance with the iden</w:t>
      </w:r>
      <w:r w:rsidR="00A963DD">
        <w:rPr>
          <w:rFonts w:ascii="Times New Roman" w:hAnsi="Times New Roman" w:cs="Times New Roman"/>
          <w:sz w:val="24"/>
          <w:szCs w:val="24"/>
        </w:rPr>
        <w:t xml:space="preserve">tified intentions of the settlor. </w:t>
      </w:r>
      <w:r w:rsidR="007105DF">
        <w:rPr>
          <w:rFonts w:ascii="Times New Roman" w:hAnsi="Times New Roman" w:cs="Times New Roman"/>
          <w:sz w:val="24"/>
          <w:szCs w:val="24"/>
        </w:rPr>
        <w:t>Almost by definition, i</w:t>
      </w:r>
      <w:r w:rsidR="002F3FCA">
        <w:rPr>
          <w:rFonts w:ascii="Times New Roman" w:hAnsi="Times New Roman" w:cs="Times New Roman"/>
          <w:sz w:val="24"/>
          <w:szCs w:val="24"/>
        </w:rPr>
        <w:t xml:space="preserve">mmediate distribution was clearly not intended in the </w:t>
      </w:r>
      <w:r w:rsidR="002F3FCA">
        <w:rPr>
          <w:rFonts w:ascii="Times New Roman" w:hAnsi="Times New Roman" w:cs="Times New Roman"/>
          <w:i/>
          <w:sz w:val="24"/>
          <w:szCs w:val="24"/>
        </w:rPr>
        <w:t xml:space="preserve">Exeter </w:t>
      </w:r>
      <w:r w:rsidR="00D47166">
        <w:rPr>
          <w:rFonts w:ascii="Times New Roman" w:hAnsi="Times New Roman" w:cs="Times New Roman"/>
          <w:sz w:val="24"/>
          <w:szCs w:val="24"/>
        </w:rPr>
        <w:t>trust</w:t>
      </w:r>
      <w:r w:rsidR="00F5103C">
        <w:rPr>
          <w:rFonts w:ascii="Times New Roman" w:hAnsi="Times New Roman" w:cs="Times New Roman"/>
          <w:sz w:val="24"/>
          <w:szCs w:val="24"/>
        </w:rPr>
        <w:t>.</w:t>
      </w:r>
      <w:r w:rsidR="00EA50DB">
        <w:rPr>
          <w:rFonts w:ascii="Times New Roman" w:hAnsi="Times New Roman" w:cs="Times New Roman"/>
          <w:sz w:val="24"/>
          <w:szCs w:val="24"/>
        </w:rPr>
        <w:t xml:space="preserve"> </w:t>
      </w:r>
    </w:p>
    <w:p w:rsidR="005629DF" w:rsidRDefault="006D7B90" w:rsidP="005629DF">
      <w:pPr>
        <w:spacing w:after="0"/>
        <w:jc w:val="both"/>
        <w:rPr>
          <w:rFonts w:ascii="Times New Roman" w:hAnsi="Times New Roman" w:cs="Times New Roman"/>
          <w:sz w:val="24"/>
          <w:szCs w:val="24"/>
        </w:rPr>
      </w:pPr>
      <w:r>
        <w:rPr>
          <w:rFonts w:ascii="Times New Roman" w:hAnsi="Times New Roman" w:cs="Times New Roman"/>
          <w:sz w:val="24"/>
          <w:szCs w:val="24"/>
        </w:rPr>
        <w:t xml:space="preserve">       So it may well be the case that it was incorrect to hold that the </w:t>
      </w:r>
      <w:r>
        <w:rPr>
          <w:rFonts w:ascii="Times New Roman" w:hAnsi="Times New Roman" w:cs="Times New Roman"/>
          <w:i/>
          <w:sz w:val="24"/>
          <w:szCs w:val="24"/>
        </w:rPr>
        <w:t xml:space="preserve">Exeter </w:t>
      </w:r>
      <w:r>
        <w:rPr>
          <w:rFonts w:ascii="Times New Roman" w:hAnsi="Times New Roman" w:cs="Times New Roman"/>
          <w:sz w:val="24"/>
          <w:szCs w:val="24"/>
        </w:rPr>
        <w:t>trust was void for uncertainty of object,</w:t>
      </w:r>
      <w:r w:rsidR="005629DF">
        <w:rPr>
          <w:rFonts w:ascii="Times New Roman" w:hAnsi="Times New Roman" w:cs="Times New Roman"/>
          <w:sz w:val="24"/>
          <w:szCs w:val="24"/>
        </w:rPr>
        <w:t xml:space="preserve"> and that it would initially appear that the Royal Court took a more restrictive approach than would be taken</w:t>
      </w:r>
      <w:r w:rsidR="00E40F9C">
        <w:rPr>
          <w:rFonts w:ascii="Times New Roman" w:hAnsi="Times New Roman" w:cs="Times New Roman"/>
          <w:sz w:val="24"/>
          <w:szCs w:val="24"/>
        </w:rPr>
        <w:t>, for example,</w:t>
      </w:r>
      <w:r w:rsidR="005629DF">
        <w:rPr>
          <w:rFonts w:ascii="Times New Roman" w:hAnsi="Times New Roman" w:cs="Times New Roman"/>
          <w:sz w:val="24"/>
          <w:szCs w:val="24"/>
        </w:rPr>
        <w:t xml:space="preserve"> by the Chancery Division of the High Court. Ultimately however, it did not.</w:t>
      </w:r>
      <w:r>
        <w:rPr>
          <w:rFonts w:ascii="Times New Roman" w:hAnsi="Times New Roman" w:cs="Times New Roman"/>
          <w:sz w:val="24"/>
          <w:szCs w:val="24"/>
        </w:rPr>
        <w:t xml:space="preserve"> </w:t>
      </w:r>
      <w:r w:rsidR="005629DF">
        <w:rPr>
          <w:rFonts w:ascii="Times New Roman" w:hAnsi="Times New Roman" w:cs="Times New Roman"/>
          <w:sz w:val="24"/>
          <w:szCs w:val="24"/>
        </w:rPr>
        <w:t>T</w:t>
      </w:r>
      <w:r w:rsidR="009C382A">
        <w:rPr>
          <w:rFonts w:ascii="Times New Roman" w:hAnsi="Times New Roman" w:cs="Times New Roman"/>
          <w:sz w:val="24"/>
          <w:szCs w:val="24"/>
        </w:rPr>
        <w:t xml:space="preserve">he glaring omission in any of these ideas, which recurs time and again when reflecting on the court’s execution of a trust, is the absence of an </w:t>
      </w:r>
      <w:r w:rsidR="009C382A">
        <w:rPr>
          <w:rFonts w:ascii="Times New Roman" w:hAnsi="Times New Roman" w:cs="Times New Roman"/>
          <w:i/>
          <w:sz w:val="24"/>
          <w:szCs w:val="24"/>
        </w:rPr>
        <w:t>enforcer</w:t>
      </w:r>
      <w:r w:rsidR="009C382A">
        <w:rPr>
          <w:rFonts w:ascii="Times New Roman" w:hAnsi="Times New Roman" w:cs="Times New Roman"/>
          <w:sz w:val="24"/>
          <w:szCs w:val="24"/>
        </w:rPr>
        <w:t xml:space="preserve">. </w:t>
      </w:r>
      <w:r>
        <w:rPr>
          <w:rFonts w:ascii="Times New Roman" w:hAnsi="Times New Roman" w:cs="Times New Roman"/>
          <w:sz w:val="24"/>
          <w:szCs w:val="24"/>
        </w:rPr>
        <w:t xml:space="preserve">And this is why there needed to be beneficiaries in the class in </w:t>
      </w:r>
      <w:r>
        <w:rPr>
          <w:rFonts w:ascii="Times New Roman" w:hAnsi="Times New Roman" w:cs="Times New Roman"/>
          <w:i/>
          <w:sz w:val="24"/>
          <w:szCs w:val="24"/>
        </w:rPr>
        <w:t>The Exeter Settlement</w:t>
      </w:r>
      <w:r>
        <w:rPr>
          <w:rFonts w:ascii="Times New Roman" w:hAnsi="Times New Roman" w:cs="Times New Roman"/>
          <w:sz w:val="24"/>
          <w:szCs w:val="24"/>
        </w:rPr>
        <w:t xml:space="preserve">. </w:t>
      </w:r>
      <w:r w:rsidR="009C382A">
        <w:rPr>
          <w:rFonts w:ascii="Times New Roman" w:hAnsi="Times New Roman" w:cs="Times New Roman"/>
          <w:sz w:val="24"/>
          <w:szCs w:val="24"/>
        </w:rPr>
        <w:t>This</w:t>
      </w:r>
      <w:r w:rsidR="004A021F">
        <w:rPr>
          <w:rFonts w:ascii="Times New Roman" w:hAnsi="Times New Roman" w:cs="Times New Roman"/>
          <w:sz w:val="24"/>
          <w:szCs w:val="24"/>
        </w:rPr>
        <w:t xml:space="preserve"> time, what is required</w:t>
      </w:r>
      <w:r w:rsidR="009C382A">
        <w:rPr>
          <w:rFonts w:ascii="Times New Roman" w:hAnsi="Times New Roman" w:cs="Times New Roman"/>
          <w:sz w:val="24"/>
          <w:szCs w:val="24"/>
        </w:rPr>
        <w:t xml:space="preserve"> is</w:t>
      </w:r>
      <w:r w:rsidR="004A021F">
        <w:rPr>
          <w:rFonts w:ascii="Times New Roman" w:hAnsi="Times New Roman" w:cs="Times New Roman"/>
          <w:sz w:val="24"/>
          <w:szCs w:val="24"/>
        </w:rPr>
        <w:t xml:space="preserve"> </w:t>
      </w:r>
      <w:r w:rsidR="00F63690">
        <w:rPr>
          <w:rFonts w:ascii="Times New Roman" w:hAnsi="Times New Roman" w:cs="Times New Roman"/>
          <w:sz w:val="24"/>
          <w:szCs w:val="24"/>
        </w:rPr>
        <w:t xml:space="preserve">a </w:t>
      </w:r>
      <w:r w:rsidR="004A021F">
        <w:rPr>
          <w:rFonts w:ascii="Times New Roman" w:hAnsi="Times New Roman" w:cs="Times New Roman"/>
          <w:sz w:val="24"/>
          <w:szCs w:val="24"/>
        </w:rPr>
        <w:t>person with</w:t>
      </w:r>
      <w:r w:rsidR="009C382A">
        <w:rPr>
          <w:rFonts w:ascii="Times New Roman" w:hAnsi="Times New Roman" w:cs="Times New Roman"/>
          <w:sz w:val="24"/>
          <w:szCs w:val="24"/>
        </w:rPr>
        <w:t xml:space="preserve"> a legal </w:t>
      </w:r>
      <w:r w:rsidR="009C382A" w:rsidRPr="004A021F">
        <w:rPr>
          <w:rFonts w:ascii="Times New Roman" w:hAnsi="Times New Roman" w:cs="Times New Roman"/>
          <w:i/>
          <w:sz w:val="24"/>
          <w:szCs w:val="24"/>
        </w:rPr>
        <w:t>status</w:t>
      </w:r>
      <w:r w:rsidR="009C382A">
        <w:rPr>
          <w:rFonts w:ascii="Times New Roman" w:hAnsi="Times New Roman" w:cs="Times New Roman"/>
          <w:sz w:val="24"/>
          <w:szCs w:val="24"/>
        </w:rPr>
        <w:t>,</w:t>
      </w:r>
      <w:r w:rsidR="00534515">
        <w:rPr>
          <w:rFonts w:ascii="Times New Roman" w:hAnsi="Times New Roman" w:cs="Times New Roman"/>
          <w:sz w:val="24"/>
          <w:szCs w:val="24"/>
        </w:rPr>
        <w:t xml:space="preserve"> i.e. </w:t>
      </w:r>
      <w:r w:rsidR="00D47166">
        <w:rPr>
          <w:rFonts w:ascii="Times New Roman" w:hAnsi="Times New Roman" w:cs="Times New Roman"/>
          <w:sz w:val="24"/>
          <w:szCs w:val="24"/>
        </w:rPr>
        <w:t xml:space="preserve">a named beneficiary </w:t>
      </w:r>
      <w:r w:rsidR="00534515">
        <w:rPr>
          <w:rFonts w:ascii="Times New Roman" w:hAnsi="Times New Roman" w:cs="Times New Roman"/>
          <w:sz w:val="24"/>
          <w:szCs w:val="24"/>
        </w:rPr>
        <w:t xml:space="preserve">with rights against the trustee. </w:t>
      </w:r>
      <w:r w:rsidR="004A021F">
        <w:rPr>
          <w:rFonts w:ascii="Times New Roman" w:hAnsi="Times New Roman" w:cs="Times New Roman"/>
          <w:sz w:val="24"/>
          <w:szCs w:val="24"/>
        </w:rPr>
        <w:t>This is the first aspect of the reasoning in the Royal Court’s judgment.</w:t>
      </w:r>
      <w:r w:rsidR="00D47166">
        <w:rPr>
          <w:rFonts w:ascii="Times New Roman" w:hAnsi="Times New Roman" w:cs="Times New Roman"/>
          <w:sz w:val="24"/>
          <w:szCs w:val="24"/>
        </w:rPr>
        <w:t xml:space="preserve"> </w:t>
      </w:r>
      <w:r w:rsidR="005629DF">
        <w:rPr>
          <w:rFonts w:ascii="Times New Roman" w:hAnsi="Times New Roman" w:cs="Times New Roman"/>
          <w:sz w:val="24"/>
          <w:szCs w:val="24"/>
        </w:rPr>
        <w:t>The Royal Court commented on the absolute importance of the identification of beneficiaries under a trust:</w:t>
      </w:r>
      <w:r w:rsidR="005629DF" w:rsidRPr="00AF52EC">
        <w:rPr>
          <w:rStyle w:val="FootnoteReference"/>
          <w:rFonts w:ascii="Times New Roman" w:hAnsi="Times New Roman" w:cs="Times New Roman"/>
          <w:sz w:val="24"/>
          <w:szCs w:val="24"/>
        </w:rPr>
        <w:footnoteReference w:id="76"/>
      </w:r>
    </w:p>
    <w:p w:rsidR="005629DF" w:rsidRDefault="005629DF" w:rsidP="005629DF">
      <w:pPr>
        <w:spacing w:after="0"/>
        <w:jc w:val="both"/>
        <w:rPr>
          <w:rFonts w:ascii="Times New Roman" w:hAnsi="Times New Roman" w:cs="Times New Roman"/>
          <w:sz w:val="16"/>
          <w:szCs w:val="16"/>
        </w:rPr>
      </w:pPr>
    </w:p>
    <w:p w:rsidR="005629DF" w:rsidRPr="00C02DB8" w:rsidRDefault="005629DF" w:rsidP="005629DF">
      <w:pPr>
        <w:spacing w:after="0"/>
        <w:ind w:left="720"/>
        <w:jc w:val="both"/>
        <w:rPr>
          <w:rFonts w:ascii="Times New Roman" w:hAnsi="Times New Roman" w:cs="Times New Roman"/>
        </w:rPr>
      </w:pPr>
      <w:r w:rsidRPr="00C02DB8">
        <w:rPr>
          <w:rFonts w:ascii="Times New Roman" w:hAnsi="Times New Roman" w:cs="Times New Roman"/>
        </w:rPr>
        <w:t>“A power to add beneficiaries is something completely different. It means what it says. A person who is a possible object of a power to add beneficiaries is not in fact a beneficiary unless or until the power is exercised in his favour and he is added as a beneficiary. Until that moment, the trustees may not apply income or capital for his benefit and he does not have any of the rights attached to being a beneficiary of the trust. The sole right that he has is as a possible object of the power to add beneficiaries”.</w:t>
      </w:r>
    </w:p>
    <w:p w:rsidR="005629DF" w:rsidRPr="006D7B90" w:rsidRDefault="005629DF" w:rsidP="005629DF">
      <w:pPr>
        <w:spacing w:after="0"/>
        <w:jc w:val="both"/>
        <w:rPr>
          <w:rFonts w:ascii="Times New Roman" w:hAnsi="Times New Roman" w:cs="Times New Roman"/>
          <w:sz w:val="16"/>
          <w:szCs w:val="16"/>
        </w:rPr>
      </w:pPr>
    </w:p>
    <w:p w:rsidR="00D233AF" w:rsidRDefault="00D70E91" w:rsidP="00D233A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Therefore, it is submitted that t</w:t>
      </w:r>
      <w:r w:rsidR="002A0CC7">
        <w:rPr>
          <w:rFonts w:ascii="Times New Roman" w:hAnsi="Times New Roman" w:cs="Times New Roman"/>
          <w:sz w:val="24"/>
          <w:szCs w:val="24"/>
        </w:rPr>
        <w:t xml:space="preserve">he </w:t>
      </w:r>
      <w:r w:rsidR="00F63690">
        <w:rPr>
          <w:rFonts w:ascii="Times New Roman" w:hAnsi="Times New Roman" w:cs="Times New Roman"/>
          <w:sz w:val="24"/>
          <w:szCs w:val="24"/>
        </w:rPr>
        <w:t xml:space="preserve">true </w:t>
      </w:r>
      <w:r w:rsidR="002A0CC7">
        <w:rPr>
          <w:rFonts w:ascii="Times New Roman" w:hAnsi="Times New Roman" w:cs="Times New Roman"/>
          <w:sz w:val="24"/>
          <w:szCs w:val="24"/>
        </w:rPr>
        <w:t>ground for invalidity</w:t>
      </w:r>
      <w:r w:rsidR="009C382A">
        <w:rPr>
          <w:rFonts w:ascii="Times New Roman" w:hAnsi="Times New Roman" w:cs="Times New Roman"/>
          <w:sz w:val="24"/>
          <w:szCs w:val="24"/>
        </w:rPr>
        <w:t xml:space="preserve"> of the </w:t>
      </w:r>
      <w:r w:rsidR="009C382A">
        <w:rPr>
          <w:rFonts w:ascii="Times New Roman" w:hAnsi="Times New Roman" w:cs="Times New Roman"/>
          <w:i/>
          <w:sz w:val="24"/>
          <w:szCs w:val="24"/>
        </w:rPr>
        <w:t xml:space="preserve">Exeter </w:t>
      </w:r>
      <w:r w:rsidR="009C382A">
        <w:rPr>
          <w:rFonts w:ascii="Times New Roman" w:hAnsi="Times New Roman" w:cs="Times New Roman"/>
          <w:sz w:val="24"/>
          <w:szCs w:val="24"/>
        </w:rPr>
        <w:t>trust</w:t>
      </w:r>
      <w:r w:rsidR="005629DF">
        <w:rPr>
          <w:rFonts w:ascii="Times New Roman" w:hAnsi="Times New Roman" w:cs="Times New Roman"/>
          <w:sz w:val="24"/>
          <w:szCs w:val="24"/>
        </w:rPr>
        <w:t>, although only implied here,</w:t>
      </w:r>
      <w:r w:rsidR="002A0CC7">
        <w:rPr>
          <w:rFonts w:ascii="Times New Roman" w:hAnsi="Times New Roman" w:cs="Times New Roman"/>
          <w:sz w:val="24"/>
          <w:szCs w:val="24"/>
        </w:rPr>
        <w:t xml:space="preserve"> was that</w:t>
      </w:r>
      <w:r w:rsidR="00D233AF">
        <w:rPr>
          <w:rFonts w:ascii="Times New Roman" w:hAnsi="Times New Roman" w:cs="Times New Roman"/>
          <w:sz w:val="24"/>
          <w:szCs w:val="24"/>
        </w:rPr>
        <w:t xml:space="preserve"> there was </w:t>
      </w:r>
      <w:r w:rsidR="00D233AF">
        <w:rPr>
          <w:rFonts w:ascii="Times New Roman" w:hAnsi="Times New Roman" w:cs="Times New Roman"/>
          <w:i/>
          <w:sz w:val="24"/>
          <w:szCs w:val="24"/>
        </w:rPr>
        <w:t xml:space="preserve">no </w:t>
      </w:r>
      <w:r w:rsidR="009C382A">
        <w:rPr>
          <w:rFonts w:ascii="Times New Roman" w:hAnsi="Times New Roman" w:cs="Times New Roman"/>
          <w:i/>
          <w:sz w:val="24"/>
          <w:szCs w:val="24"/>
        </w:rPr>
        <w:t xml:space="preserve">named </w:t>
      </w:r>
      <w:r w:rsidR="00D233AF">
        <w:rPr>
          <w:rFonts w:ascii="Times New Roman" w:hAnsi="Times New Roman" w:cs="Times New Roman"/>
          <w:i/>
          <w:sz w:val="24"/>
          <w:szCs w:val="24"/>
        </w:rPr>
        <w:t>beneficiary</w:t>
      </w:r>
      <w:r w:rsidR="002A0CC7">
        <w:rPr>
          <w:rFonts w:ascii="Times New Roman" w:hAnsi="Times New Roman" w:cs="Times New Roman"/>
          <w:sz w:val="24"/>
          <w:szCs w:val="24"/>
        </w:rPr>
        <w:t>.</w:t>
      </w:r>
      <w:r w:rsidR="00D233AF">
        <w:rPr>
          <w:rStyle w:val="FootnoteReference"/>
          <w:rFonts w:ascii="Times New Roman" w:hAnsi="Times New Roman" w:cs="Times New Roman"/>
          <w:sz w:val="24"/>
          <w:szCs w:val="24"/>
        </w:rPr>
        <w:footnoteReference w:id="77"/>
      </w:r>
      <w:r w:rsidR="00D233AF">
        <w:rPr>
          <w:rFonts w:ascii="Times New Roman" w:hAnsi="Times New Roman" w:cs="Times New Roman"/>
          <w:sz w:val="24"/>
          <w:szCs w:val="24"/>
        </w:rPr>
        <w:t xml:space="preserve"> </w:t>
      </w:r>
      <w:r w:rsidR="002A0CC7">
        <w:rPr>
          <w:rFonts w:ascii="Times New Roman" w:hAnsi="Times New Roman" w:cs="Times New Roman"/>
          <w:sz w:val="24"/>
          <w:szCs w:val="24"/>
        </w:rPr>
        <w:t xml:space="preserve">It was not that </w:t>
      </w:r>
      <w:r w:rsidR="00D233AF">
        <w:rPr>
          <w:rFonts w:ascii="Times New Roman" w:hAnsi="Times New Roman" w:cs="Times New Roman"/>
          <w:sz w:val="24"/>
          <w:szCs w:val="24"/>
        </w:rPr>
        <w:t>there was uncertainty of object.</w:t>
      </w:r>
      <w:r w:rsidR="00B53F1D">
        <w:rPr>
          <w:rStyle w:val="FootnoteReference"/>
          <w:rFonts w:ascii="Times New Roman" w:hAnsi="Times New Roman" w:cs="Times New Roman"/>
          <w:sz w:val="24"/>
          <w:szCs w:val="24"/>
        </w:rPr>
        <w:footnoteReference w:id="78"/>
      </w:r>
    </w:p>
    <w:p w:rsidR="005629DF" w:rsidRDefault="005629DF" w:rsidP="009B3E7D">
      <w:pPr>
        <w:spacing w:after="0"/>
        <w:jc w:val="both"/>
        <w:rPr>
          <w:rFonts w:ascii="Times New Roman" w:hAnsi="Times New Roman" w:cs="Times New Roman"/>
          <w:sz w:val="24"/>
          <w:szCs w:val="24"/>
        </w:rPr>
      </w:pPr>
    </w:p>
    <w:p w:rsidR="000F2815" w:rsidRPr="00480FC7" w:rsidRDefault="000F2815" w:rsidP="000F2815">
      <w:pPr>
        <w:spacing w:after="0"/>
        <w:ind w:left="720"/>
        <w:jc w:val="both"/>
        <w:rPr>
          <w:rFonts w:ascii="Times New Roman" w:hAnsi="Times New Roman" w:cs="Times New Roman"/>
          <w:sz w:val="24"/>
          <w:szCs w:val="24"/>
        </w:rPr>
      </w:pPr>
      <w:r>
        <w:rPr>
          <w:rFonts w:ascii="Times New Roman" w:hAnsi="Times New Roman" w:cs="Times New Roman"/>
          <w:sz w:val="24"/>
          <w:szCs w:val="24"/>
        </w:rPr>
        <w:t>i</w:t>
      </w:r>
      <w:r w:rsidR="001F6EA5">
        <w:rPr>
          <w:rFonts w:ascii="Times New Roman" w:hAnsi="Times New Roman" w:cs="Times New Roman"/>
          <w:sz w:val="24"/>
          <w:szCs w:val="24"/>
        </w:rPr>
        <w:t>i</w:t>
      </w:r>
      <w:r>
        <w:rPr>
          <w:rFonts w:ascii="Times New Roman" w:hAnsi="Times New Roman" w:cs="Times New Roman"/>
          <w:sz w:val="24"/>
          <w:szCs w:val="24"/>
        </w:rPr>
        <w:t xml:space="preserve">) </w:t>
      </w:r>
      <w:r w:rsidR="004355C3">
        <w:rPr>
          <w:rFonts w:ascii="Times New Roman" w:hAnsi="Times New Roman" w:cs="Times New Roman"/>
          <w:sz w:val="24"/>
          <w:szCs w:val="24"/>
          <w:u w:val="single"/>
        </w:rPr>
        <w:t>The beneficiary principle</w:t>
      </w:r>
      <w:r w:rsidR="00480FC7" w:rsidRPr="00480FC7">
        <w:rPr>
          <w:rStyle w:val="FootnoteReference"/>
          <w:rFonts w:ascii="Times New Roman" w:hAnsi="Times New Roman" w:cs="Times New Roman"/>
          <w:sz w:val="24"/>
          <w:szCs w:val="24"/>
        </w:rPr>
        <w:footnoteReference w:id="79"/>
      </w:r>
    </w:p>
    <w:p w:rsidR="00C731CC" w:rsidRPr="00C731CC" w:rsidRDefault="00C731CC" w:rsidP="00F35AFC">
      <w:pPr>
        <w:spacing w:after="0"/>
        <w:jc w:val="both"/>
        <w:rPr>
          <w:rFonts w:ascii="Times New Roman" w:hAnsi="Times New Roman" w:cs="Times New Roman"/>
          <w:sz w:val="16"/>
          <w:szCs w:val="16"/>
        </w:rPr>
      </w:pPr>
    </w:p>
    <w:p w:rsidR="0099025B" w:rsidRPr="00894960" w:rsidRDefault="005339DB" w:rsidP="0099025B">
      <w:pPr>
        <w:spacing w:after="0"/>
        <w:jc w:val="both"/>
        <w:rPr>
          <w:rFonts w:ascii="Times New Roman" w:hAnsi="Times New Roman" w:cs="Times New Roman"/>
          <w:sz w:val="24"/>
          <w:szCs w:val="24"/>
        </w:rPr>
      </w:pPr>
      <w:r>
        <w:rPr>
          <w:rFonts w:ascii="Times New Roman" w:hAnsi="Times New Roman" w:cs="Times New Roman"/>
          <w:sz w:val="24"/>
          <w:szCs w:val="24"/>
        </w:rPr>
        <w:t>The</w:t>
      </w:r>
      <w:r w:rsidR="0058598B" w:rsidRPr="00B53F1D">
        <w:rPr>
          <w:rFonts w:ascii="Times New Roman" w:hAnsi="Times New Roman" w:cs="Times New Roman"/>
          <w:sz w:val="24"/>
          <w:szCs w:val="24"/>
        </w:rPr>
        <w:t xml:space="preserve"> rule</w:t>
      </w:r>
      <w:r w:rsidR="00377EE8" w:rsidRPr="00B53F1D">
        <w:rPr>
          <w:rFonts w:ascii="Times New Roman" w:hAnsi="Times New Roman" w:cs="Times New Roman"/>
          <w:sz w:val="24"/>
          <w:szCs w:val="24"/>
        </w:rPr>
        <w:t xml:space="preserve"> requiring the existence of a beneficiary</w:t>
      </w:r>
      <w:r w:rsidR="0058598B" w:rsidRPr="00B53F1D">
        <w:rPr>
          <w:rFonts w:ascii="Times New Roman" w:hAnsi="Times New Roman" w:cs="Times New Roman"/>
          <w:sz w:val="24"/>
          <w:szCs w:val="24"/>
        </w:rPr>
        <w:t xml:space="preserve"> is found in Article 11(2</w:t>
      </w:r>
      <w:proofErr w:type="gramStart"/>
      <w:r w:rsidR="0058598B" w:rsidRPr="00B53F1D">
        <w:rPr>
          <w:rFonts w:ascii="Times New Roman" w:hAnsi="Times New Roman" w:cs="Times New Roman"/>
          <w:sz w:val="24"/>
          <w:szCs w:val="24"/>
        </w:rPr>
        <w:t>)(</w:t>
      </w:r>
      <w:proofErr w:type="gramEnd"/>
      <w:r w:rsidR="0058598B" w:rsidRPr="00B53F1D">
        <w:rPr>
          <w:rFonts w:ascii="Times New Roman" w:hAnsi="Times New Roman" w:cs="Times New Roman"/>
          <w:sz w:val="24"/>
          <w:szCs w:val="24"/>
        </w:rPr>
        <w:t>a)(iv) of the Trusts (Jersey) Law 1984,</w:t>
      </w:r>
      <w:r>
        <w:rPr>
          <w:rFonts w:ascii="Times New Roman" w:hAnsi="Times New Roman" w:cs="Times New Roman"/>
          <w:sz w:val="24"/>
          <w:szCs w:val="24"/>
        </w:rPr>
        <w:t xml:space="preserve"> and is</w:t>
      </w:r>
      <w:r w:rsidR="0058598B" w:rsidRPr="00B53F1D">
        <w:rPr>
          <w:rFonts w:ascii="Times New Roman" w:hAnsi="Times New Roman" w:cs="Times New Roman"/>
          <w:sz w:val="24"/>
          <w:szCs w:val="24"/>
        </w:rPr>
        <w:t xml:space="preserve"> an enactment of the English </w:t>
      </w:r>
      <w:r w:rsidR="0058598B" w:rsidRPr="00B53F1D">
        <w:rPr>
          <w:rFonts w:ascii="Times New Roman" w:hAnsi="Times New Roman" w:cs="Times New Roman"/>
          <w:i/>
          <w:sz w:val="24"/>
          <w:szCs w:val="24"/>
        </w:rPr>
        <w:t>beneficiary principle</w:t>
      </w:r>
      <w:r w:rsidR="00B53F1D" w:rsidRPr="00B53F1D">
        <w:rPr>
          <w:rFonts w:ascii="Times New Roman" w:hAnsi="Times New Roman" w:cs="Times New Roman"/>
          <w:sz w:val="24"/>
          <w:szCs w:val="24"/>
        </w:rPr>
        <w:t>:</w:t>
      </w:r>
      <w:r w:rsidR="00B53F1D" w:rsidRPr="00B53F1D">
        <w:rPr>
          <w:rStyle w:val="FootnoteReference"/>
          <w:rFonts w:ascii="Times New Roman" w:hAnsi="Times New Roman" w:cs="Times New Roman"/>
          <w:sz w:val="24"/>
          <w:szCs w:val="24"/>
        </w:rPr>
        <w:footnoteReference w:id="80"/>
      </w:r>
      <w:r w:rsidR="00B53F1D" w:rsidRPr="00B53F1D">
        <w:rPr>
          <w:rFonts w:ascii="Times New Roman" w:hAnsi="Times New Roman" w:cs="Times New Roman"/>
          <w:sz w:val="24"/>
          <w:szCs w:val="24"/>
        </w:rPr>
        <w:t xml:space="preserve"> A trust shall be invalid if “it is created for a purpose in relation to which there is no beneficiary, not being a charitable purpose.”</w:t>
      </w:r>
      <w:r w:rsidR="00FA7BFA">
        <w:rPr>
          <w:rStyle w:val="FootnoteReference"/>
          <w:rFonts w:ascii="Times New Roman" w:hAnsi="Times New Roman" w:cs="Times New Roman"/>
          <w:sz w:val="24"/>
          <w:szCs w:val="24"/>
        </w:rPr>
        <w:footnoteReference w:id="81"/>
      </w:r>
      <w:r w:rsidR="00B53F1D" w:rsidRPr="00B53F1D">
        <w:rPr>
          <w:rFonts w:ascii="Times New Roman" w:hAnsi="Times New Roman" w:cs="Times New Roman"/>
          <w:sz w:val="24"/>
          <w:szCs w:val="24"/>
        </w:rPr>
        <w:t xml:space="preserve"> </w:t>
      </w:r>
      <w:r w:rsidR="00D233AF">
        <w:rPr>
          <w:rFonts w:ascii="Times New Roman" w:hAnsi="Times New Roman" w:cs="Times New Roman"/>
          <w:sz w:val="24"/>
          <w:szCs w:val="24"/>
        </w:rPr>
        <w:t>As shown above, t</w:t>
      </w:r>
      <w:r w:rsidR="0058598B">
        <w:rPr>
          <w:rFonts w:ascii="Times New Roman" w:hAnsi="Times New Roman" w:cs="Times New Roman"/>
          <w:sz w:val="24"/>
          <w:szCs w:val="24"/>
        </w:rPr>
        <w:t xml:space="preserve">he reason for </w:t>
      </w:r>
      <w:r w:rsidR="00D233AF">
        <w:rPr>
          <w:rFonts w:ascii="Times New Roman" w:hAnsi="Times New Roman" w:cs="Times New Roman"/>
          <w:sz w:val="24"/>
          <w:szCs w:val="24"/>
        </w:rPr>
        <w:t>the requirement for certainty of object</w:t>
      </w:r>
      <w:r w:rsidR="0058598B">
        <w:rPr>
          <w:rFonts w:ascii="Times New Roman" w:hAnsi="Times New Roman" w:cs="Times New Roman"/>
          <w:sz w:val="24"/>
          <w:szCs w:val="24"/>
        </w:rPr>
        <w:t xml:space="preserve"> is to enable trustees to perform their duties, and to ensure that the court can adequately exercise its super</w:t>
      </w:r>
      <w:r w:rsidR="00FA7BFA">
        <w:rPr>
          <w:rFonts w:ascii="Times New Roman" w:hAnsi="Times New Roman" w:cs="Times New Roman"/>
          <w:sz w:val="24"/>
          <w:szCs w:val="24"/>
        </w:rPr>
        <w:t>visory jurisdiction over trusts. T</w:t>
      </w:r>
      <w:r w:rsidR="0058598B">
        <w:rPr>
          <w:rFonts w:ascii="Times New Roman" w:hAnsi="Times New Roman" w:cs="Times New Roman"/>
          <w:sz w:val="24"/>
          <w:szCs w:val="24"/>
        </w:rPr>
        <w:t>he</w:t>
      </w:r>
      <w:r w:rsidR="007E763D">
        <w:rPr>
          <w:rFonts w:ascii="Times New Roman" w:hAnsi="Times New Roman" w:cs="Times New Roman"/>
          <w:sz w:val="24"/>
          <w:szCs w:val="24"/>
        </w:rPr>
        <w:t xml:space="preserve"> basis of the</w:t>
      </w:r>
      <w:r w:rsidR="0058598B">
        <w:rPr>
          <w:rFonts w:ascii="Times New Roman" w:hAnsi="Times New Roman" w:cs="Times New Roman"/>
          <w:sz w:val="24"/>
          <w:szCs w:val="24"/>
        </w:rPr>
        <w:t xml:space="preserve"> beneficiary principle </w:t>
      </w:r>
      <w:r w:rsidR="007E763D">
        <w:rPr>
          <w:rFonts w:ascii="Times New Roman" w:hAnsi="Times New Roman" w:cs="Times New Roman"/>
          <w:sz w:val="24"/>
          <w:szCs w:val="24"/>
        </w:rPr>
        <w:t xml:space="preserve">is the trustee’s </w:t>
      </w:r>
      <w:r w:rsidR="0058598B">
        <w:rPr>
          <w:rFonts w:ascii="Times New Roman" w:hAnsi="Times New Roman" w:cs="Times New Roman"/>
          <w:sz w:val="24"/>
          <w:szCs w:val="24"/>
        </w:rPr>
        <w:t>obligatio</w:t>
      </w:r>
      <w:r w:rsidR="00275732">
        <w:rPr>
          <w:rFonts w:ascii="Times New Roman" w:hAnsi="Times New Roman" w:cs="Times New Roman"/>
          <w:sz w:val="24"/>
          <w:szCs w:val="24"/>
        </w:rPr>
        <w:t xml:space="preserve">n to account </w:t>
      </w:r>
      <w:r w:rsidR="002F26C6">
        <w:rPr>
          <w:rFonts w:ascii="Times New Roman" w:hAnsi="Times New Roman" w:cs="Times New Roman"/>
          <w:sz w:val="24"/>
          <w:szCs w:val="24"/>
        </w:rPr>
        <w:t>to the beneficiary:</w:t>
      </w:r>
      <w:r w:rsidR="00275732" w:rsidRPr="00275732">
        <w:rPr>
          <w:rFonts w:ascii="Times New Roman" w:hAnsi="Times New Roman" w:cs="Times New Roman"/>
          <w:sz w:val="24"/>
          <w:szCs w:val="24"/>
        </w:rPr>
        <w:t xml:space="preserve"> a highly valued constituent of the Jersey trust.</w:t>
      </w:r>
      <w:r w:rsidR="00275732" w:rsidRPr="00275732">
        <w:rPr>
          <w:rStyle w:val="FootnoteReference"/>
          <w:rFonts w:ascii="Times New Roman" w:hAnsi="Times New Roman" w:cs="Times New Roman"/>
          <w:sz w:val="24"/>
          <w:szCs w:val="24"/>
        </w:rPr>
        <w:footnoteReference w:id="82"/>
      </w:r>
      <w:r w:rsidR="00275732" w:rsidRPr="00275732">
        <w:rPr>
          <w:rFonts w:ascii="Times New Roman" w:hAnsi="Times New Roman" w:cs="Times New Roman"/>
          <w:sz w:val="24"/>
          <w:szCs w:val="24"/>
        </w:rPr>
        <w:t xml:space="preserve"> </w:t>
      </w:r>
      <w:r w:rsidR="001B6622" w:rsidRPr="00275732">
        <w:rPr>
          <w:rFonts w:ascii="Times New Roman" w:hAnsi="Times New Roman" w:cs="Times New Roman"/>
          <w:sz w:val="24"/>
          <w:szCs w:val="24"/>
        </w:rPr>
        <w:t>M</w:t>
      </w:r>
      <w:r w:rsidR="007E763D" w:rsidRPr="00275732">
        <w:rPr>
          <w:rFonts w:ascii="Times New Roman" w:hAnsi="Times New Roman" w:cs="Times New Roman"/>
          <w:sz w:val="24"/>
          <w:szCs w:val="24"/>
        </w:rPr>
        <w:t>aitland</w:t>
      </w:r>
      <w:r w:rsidR="00275732" w:rsidRPr="00275732">
        <w:rPr>
          <w:rFonts w:ascii="Times New Roman" w:hAnsi="Times New Roman" w:cs="Times New Roman"/>
          <w:sz w:val="24"/>
          <w:szCs w:val="24"/>
        </w:rPr>
        <w:t>’s view of the trust was, in essence, an o</w:t>
      </w:r>
      <w:r w:rsidR="001B6622" w:rsidRPr="00275732">
        <w:rPr>
          <w:rFonts w:ascii="Times New Roman" w:hAnsi="Times New Roman" w:cs="Times New Roman"/>
          <w:sz w:val="24"/>
          <w:szCs w:val="24"/>
        </w:rPr>
        <w:t>bligation e</w:t>
      </w:r>
      <w:r w:rsidR="007E763D" w:rsidRPr="00275732">
        <w:rPr>
          <w:rFonts w:ascii="Times New Roman" w:hAnsi="Times New Roman" w:cs="Times New Roman"/>
          <w:sz w:val="24"/>
          <w:szCs w:val="24"/>
        </w:rPr>
        <w:t>nforceable</w:t>
      </w:r>
      <w:r w:rsidR="00FA7BFA">
        <w:rPr>
          <w:rFonts w:ascii="Times New Roman" w:hAnsi="Times New Roman" w:cs="Times New Roman"/>
          <w:sz w:val="24"/>
          <w:szCs w:val="24"/>
        </w:rPr>
        <w:t xml:space="preserve"> by the beneficiaries</w:t>
      </w:r>
      <w:r w:rsidR="007E763D" w:rsidRPr="00275732">
        <w:rPr>
          <w:rFonts w:ascii="Times New Roman" w:hAnsi="Times New Roman" w:cs="Times New Roman"/>
          <w:sz w:val="24"/>
          <w:szCs w:val="24"/>
        </w:rPr>
        <w:t xml:space="preserve"> against the trustee.</w:t>
      </w:r>
      <w:r w:rsidR="001B6622" w:rsidRPr="00275732">
        <w:rPr>
          <w:rStyle w:val="FootnoteReference"/>
          <w:rFonts w:ascii="Times New Roman" w:hAnsi="Times New Roman" w:cs="Times New Roman"/>
          <w:sz w:val="24"/>
          <w:szCs w:val="24"/>
        </w:rPr>
        <w:footnoteReference w:id="83"/>
      </w:r>
      <w:r w:rsidR="001C7CA8" w:rsidRPr="00275732">
        <w:rPr>
          <w:rFonts w:ascii="Times New Roman" w:hAnsi="Times New Roman" w:cs="Times New Roman"/>
          <w:sz w:val="24"/>
          <w:szCs w:val="24"/>
        </w:rPr>
        <w:t xml:space="preserve"> </w:t>
      </w:r>
      <w:r w:rsidR="00497F4C" w:rsidRPr="00275732">
        <w:rPr>
          <w:rFonts w:ascii="Times New Roman" w:hAnsi="Times New Roman" w:cs="Times New Roman"/>
          <w:sz w:val="24"/>
          <w:szCs w:val="24"/>
        </w:rPr>
        <w:t>Hayton</w:t>
      </w:r>
      <w:r w:rsidR="00275732" w:rsidRPr="00275732">
        <w:rPr>
          <w:rFonts w:ascii="Times New Roman" w:hAnsi="Times New Roman" w:cs="Times New Roman"/>
          <w:sz w:val="24"/>
          <w:szCs w:val="24"/>
        </w:rPr>
        <w:t xml:space="preserve"> elaborated on the core nature of the obligation as </w:t>
      </w:r>
      <w:r w:rsidR="00497F4C" w:rsidRPr="00275732">
        <w:rPr>
          <w:rFonts w:ascii="Times New Roman" w:hAnsi="Times New Roman" w:cs="Times New Roman"/>
          <w:sz w:val="24"/>
          <w:szCs w:val="24"/>
        </w:rPr>
        <w:t>the</w:t>
      </w:r>
      <w:r w:rsidR="00E83FDB" w:rsidRPr="00275732">
        <w:rPr>
          <w:rFonts w:ascii="Times New Roman" w:hAnsi="Times New Roman" w:cs="Times New Roman"/>
          <w:sz w:val="24"/>
          <w:szCs w:val="24"/>
        </w:rPr>
        <w:t xml:space="preserve"> trustee</w:t>
      </w:r>
      <w:r w:rsidR="004355C3" w:rsidRPr="00275732">
        <w:rPr>
          <w:rFonts w:ascii="Times New Roman" w:hAnsi="Times New Roman" w:cs="Times New Roman"/>
          <w:sz w:val="24"/>
          <w:szCs w:val="24"/>
        </w:rPr>
        <w:t xml:space="preserve">’s </w:t>
      </w:r>
      <w:r w:rsidR="00E83FDB" w:rsidRPr="00275732">
        <w:rPr>
          <w:rFonts w:ascii="Times New Roman" w:hAnsi="Times New Roman" w:cs="Times New Roman"/>
          <w:sz w:val="24"/>
          <w:szCs w:val="24"/>
        </w:rPr>
        <w:t>duty to accou</w:t>
      </w:r>
      <w:r w:rsidR="00467942" w:rsidRPr="00275732">
        <w:rPr>
          <w:rFonts w:ascii="Times New Roman" w:hAnsi="Times New Roman" w:cs="Times New Roman"/>
          <w:sz w:val="24"/>
          <w:szCs w:val="24"/>
        </w:rPr>
        <w:t xml:space="preserve">nt to the beneficiaries for their </w:t>
      </w:r>
      <w:r w:rsidR="00E83FDB" w:rsidRPr="00275732">
        <w:rPr>
          <w:rFonts w:ascii="Times New Roman" w:hAnsi="Times New Roman" w:cs="Times New Roman"/>
          <w:sz w:val="24"/>
          <w:szCs w:val="24"/>
        </w:rPr>
        <w:t>stewardship of the trust property</w:t>
      </w:r>
      <w:r w:rsidR="00275732" w:rsidRPr="00275732">
        <w:rPr>
          <w:rFonts w:ascii="Times New Roman" w:hAnsi="Times New Roman" w:cs="Times New Roman"/>
          <w:sz w:val="24"/>
          <w:szCs w:val="24"/>
        </w:rPr>
        <w:t>. Without this,</w:t>
      </w:r>
      <w:r w:rsidR="00467942" w:rsidRPr="00275732">
        <w:rPr>
          <w:rFonts w:ascii="Times New Roman" w:hAnsi="Times New Roman" w:cs="Times New Roman"/>
          <w:sz w:val="24"/>
          <w:szCs w:val="24"/>
        </w:rPr>
        <w:t xml:space="preserve"> there can be no trust.</w:t>
      </w:r>
      <w:r w:rsidR="00E83FDB" w:rsidRPr="00275732">
        <w:rPr>
          <w:rStyle w:val="FootnoteReference"/>
          <w:rFonts w:ascii="Times New Roman" w:hAnsi="Times New Roman" w:cs="Times New Roman"/>
          <w:sz w:val="24"/>
          <w:szCs w:val="24"/>
        </w:rPr>
        <w:footnoteReference w:id="84"/>
      </w:r>
      <w:r w:rsidR="00275732" w:rsidRPr="00275732">
        <w:rPr>
          <w:rFonts w:ascii="Times New Roman" w:hAnsi="Times New Roman" w:cs="Times New Roman"/>
          <w:sz w:val="24"/>
          <w:szCs w:val="24"/>
        </w:rPr>
        <w:t xml:space="preserve"> This was recognised by the English Court of Appeal i</w:t>
      </w:r>
      <w:r w:rsidR="00E83FDB" w:rsidRPr="00275732">
        <w:rPr>
          <w:rFonts w:ascii="Times New Roman" w:hAnsi="Times New Roman" w:cs="Times New Roman"/>
          <w:sz w:val="24"/>
          <w:szCs w:val="24"/>
        </w:rPr>
        <w:t xml:space="preserve">n </w:t>
      </w:r>
      <w:r w:rsidR="00E83FDB" w:rsidRPr="00275732">
        <w:rPr>
          <w:rFonts w:ascii="Times New Roman" w:hAnsi="Times New Roman" w:cs="Times New Roman"/>
          <w:i/>
          <w:sz w:val="24"/>
          <w:szCs w:val="24"/>
        </w:rPr>
        <w:t>Armitage v Nurse</w:t>
      </w:r>
      <w:r w:rsidR="00275732" w:rsidRPr="00275732">
        <w:rPr>
          <w:rFonts w:ascii="Times New Roman" w:hAnsi="Times New Roman" w:cs="Times New Roman"/>
          <w:sz w:val="24"/>
          <w:szCs w:val="24"/>
        </w:rPr>
        <w:t>,</w:t>
      </w:r>
      <w:r w:rsidR="00E83FDB" w:rsidRPr="00275732">
        <w:rPr>
          <w:rStyle w:val="FootnoteReference"/>
          <w:rFonts w:ascii="Times New Roman" w:hAnsi="Times New Roman" w:cs="Times New Roman"/>
          <w:sz w:val="24"/>
          <w:szCs w:val="24"/>
        </w:rPr>
        <w:footnoteReference w:id="85"/>
      </w:r>
      <w:r w:rsidR="00275732" w:rsidRPr="00275732">
        <w:rPr>
          <w:rFonts w:ascii="Times New Roman" w:hAnsi="Times New Roman" w:cs="Times New Roman"/>
          <w:sz w:val="24"/>
          <w:szCs w:val="24"/>
        </w:rPr>
        <w:t xml:space="preserve"> in which Millett LJ commented that </w:t>
      </w:r>
      <w:r w:rsidR="00E83FDB" w:rsidRPr="00275732">
        <w:rPr>
          <w:rFonts w:ascii="Times New Roman" w:hAnsi="Times New Roman" w:cs="Times New Roman"/>
          <w:sz w:val="24"/>
          <w:szCs w:val="24"/>
        </w:rPr>
        <w:t>“[t]he duty of the trustees to perform the trusts honestly and in good faith for the benefit of the beneficiaries is the minimum necessary to give substance to the trusts.”</w:t>
      </w:r>
      <w:r w:rsidR="00E83FDB" w:rsidRPr="00275732">
        <w:rPr>
          <w:rStyle w:val="FootnoteReference"/>
          <w:rFonts w:ascii="Times New Roman" w:hAnsi="Times New Roman" w:cs="Times New Roman"/>
          <w:sz w:val="24"/>
          <w:szCs w:val="24"/>
        </w:rPr>
        <w:footnoteReference w:id="86"/>
      </w:r>
      <w:r w:rsidR="007D5A03" w:rsidRPr="00275732">
        <w:rPr>
          <w:rFonts w:ascii="Times New Roman" w:hAnsi="Times New Roman" w:cs="Times New Roman"/>
          <w:sz w:val="24"/>
          <w:szCs w:val="24"/>
        </w:rPr>
        <w:t xml:space="preserve"> </w:t>
      </w:r>
      <w:r w:rsidR="00661295">
        <w:rPr>
          <w:rFonts w:ascii="Times New Roman" w:hAnsi="Times New Roman" w:cs="Times New Roman"/>
          <w:sz w:val="24"/>
          <w:szCs w:val="24"/>
        </w:rPr>
        <w:t>T</w:t>
      </w:r>
      <w:r w:rsidR="00FB077D" w:rsidRPr="00275732">
        <w:rPr>
          <w:rFonts w:ascii="Times New Roman" w:hAnsi="Times New Roman" w:cs="Times New Roman"/>
          <w:sz w:val="24"/>
          <w:szCs w:val="24"/>
        </w:rPr>
        <w:t>he trustee’s obligation to account</w:t>
      </w:r>
      <w:r w:rsidR="00661295">
        <w:rPr>
          <w:rFonts w:ascii="Times New Roman" w:hAnsi="Times New Roman" w:cs="Times New Roman"/>
          <w:sz w:val="24"/>
          <w:szCs w:val="24"/>
        </w:rPr>
        <w:t>, as a legal obligation,</w:t>
      </w:r>
      <w:r w:rsidR="00FB077D" w:rsidRPr="00275732">
        <w:rPr>
          <w:rFonts w:ascii="Times New Roman" w:hAnsi="Times New Roman" w:cs="Times New Roman"/>
          <w:sz w:val="24"/>
          <w:szCs w:val="24"/>
        </w:rPr>
        <w:t xml:space="preserve"> must be supported by</w:t>
      </w:r>
      <w:r w:rsidR="00E504CD" w:rsidRPr="00275732">
        <w:rPr>
          <w:rFonts w:ascii="Times New Roman" w:hAnsi="Times New Roman" w:cs="Times New Roman"/>
          <w:sz w:val="24"/>
          <w:szCs w:val="24"/>
        </w:rPr>
        <w:t xml:space="preserve"> the existence of someone with</w:t>
      </w:r>
      <w:r w:rsidR="00FB077D" w:rsidRPr="00275732">
        <w:rPr>
          <w:rFonts w:ascii="Times New Roman" w:hAnsi="Times New Roman" w:cs="Times New Roman"/>
          <w:sz w:val="24"/>
          <w:szCs w:val="24"/>
        </w:rPr>
        <w:t xml:space="preserve"> a</w:t>
      </w:r>
      <w:r w:rsidR="002F26C6">
        <w:rPr>
          <w:rFonts w:ascii="Times New Roman" w:hAnsi="Times New Roman" w:cs="Times New Roman"/>
          <w:sz w:val="24"/>
          <w:szCs w:val="24"/>
        </w:rPr>
        <w:t xml:space="preserve"> corresponding</w:t>
      </w:r>
      <w:r w:rsidR="00FB077D" w:rsidRPr="00275732">
        <w:rPr>
          <w:rFonts w:ascii="Times New Roman" w:hAnsi="Times New Roman" w:cs="Times New Roman"/>
          <w:sz w:val="24"/>
          <w:szCs w:val="24"/>
        </w:rPr>
        <w:t xml:space="preserve"> right of enforcement</w:t>
      </w:r>
      <w:r w:rsidR="005C3027" w:rsidRPr="00275732">
        <w:rPr>
          <w:rFonts w:ascii="Times New Roman" w:hAnsi="Times New Roman" w:cs="Times New Roman"/>
          <w:sz w:val="24"/>
          <w:szCs w:val="24"/>
        </w:rPr>
        <w:t xml:space="preserve"> through the courts</w:t>
      </w:r>
      <w:r w:rsidR="00FB077D" w:rsidRPr="00275732">
        <w:rPr>
          <w:rFonts w:ascii="Times New Roman" w:hAnsi="Times New Roman" w:cs="Times New Roman"/>
          <w:sz w:val="24"/>
          <w:szCs w:val="24"/>
        </w:rPr>
        <w:t>, usually the</w:t>
      </w:r>
      <w:r w:rsidR="00A47E63">
        <w:rPr>
          <w:rFonts w:ascii="Times New Roman" w:hAnsi="Times New Roman" w:cs="Times New Roman"/>
          <w:sz w:val="24"/>
          <w:szCs w:val="24"/>
        </w:rPr>
        <w:t xml:space="preserve"> beneficiary:</w:t>
      </w:r>
      <w:r w:rsidR="00497F4C">
        <w:rPr>
          <w:rStyle w:val="FootnoteReference"/>
          <w:rFonts w:ascii="Times New Roman" w:hAnsi="Times New Roman" w:cs="Times New Roman"/>
          <w:sz w:val="24"/>
          <w:szCs w:val="24"/>
        </w:rPr>
        <w:footnoteReference w:id="87"/>
      </w:r>
      <w:r w:rsidR="00FA7BFA">
        <w:rPr>
          <w:rFonts w:ascii="Times New Roman" w:hAnsi="Times New Roman" w:cs="Times New Roman"/>
          <w:sz w:val="24"/>
          <w:szCs w:val="24"/>
        </w:rPr>
        <w:t xml:space="preserve"> hence the need for Article 11</w:t>
      </w:r>
      <w:r w:rsidR="009E65AB">
        <w:rPr>
          <w:rFonts w:ascii="Times New Roman" w:hAnsi="Times New Roman" w:cs="Times New Roman"/>
          <w:sz w:val="24"/>
          <w:szCs w:val="24"/>
        </w:rPr>
        <w:t>(2</w:t>
      </w:r>
      <w:proofErr w:type="gramStart"/>
      <w:r w:rsidR="009E65AB">
        <w:rPr>
          <w:rFonts w:ascii="Times New Roman" w:hAnsi="Times New Roman" w:cs="Times New Roman"/>
          <w:sz w:val="24"/>
          <w:szCs w:val="24"/>
        </w:rPr>
        <w:t>)(</w:t>
      </w:r>
      <w:proofErr w:type="gramEnd"/>
      <w:r w:rsidR="009E65AB">
        <w:rPr>
          <w:rFonts w:ascii="Times New Roman" w:hAnsi="Times New Roman" w:cs="Times New Roman"/>
          <w:sz w:val="24"/>
          <w:szCs w:val="24"/>
        </w:rPr>
        <w:t>a)(iv)</w:t>
      </w:r>
      <w:r w:rsidR="00FA7BFA">
        <w:rPr>
          <w:rFonts w:ascii="Times New Roman" w:hAnsi="Times New Roman" w:cs="Times New Roman"/>
          <w:sz w:val="24"/>
          <w:szCs w:val="24"/>
        </w:rPr>
        <w:t xml:space="preserve"> of the Trusts (Jersey) Law 1984. Without </w:t>
      </w:r>
      <w:r w:rsidR="00FA7BFA">
        <w:rPr>
          <w:rFonts w:ascii="Times New Roman" w:hAnsi="Times New Roman" w:cs="Times New Roman"/>
          <w:sz w:val="24"/>
          <w:szCs w:val="24"/>
        </w:rPr>
        <w:lastRenderedPageBreak/>
        <w:t>this</w:t>
      </w:r>
      <w:r w:rsidR="00FB077D">
        <w:rPr>
          <w:rFonts w:ascii="Times New Roman" w:hAnsi="Times New Roman" w:cs="Times New Roman"/>
          <w:sz w:val="24"/>
          <w:szCs w:val="24"/>
        </w:rPr>
        <w:t>,</w:t>
      </w:r>
      <w:r>
        <w:rPr>
          <w:rFonts w:ascii="Times New Roman" w:hAnsi="Times New Roman" w:cs="Times New Roman"/>
          <w:sz w:val="24"/>
          <w:szCs w:val="24"/>
        </w:rPr>
        <w:t xml:space="preserve"> a trust</w:t>
      </w:r>
      <w:r w:rsidR="00FB077D">
        <w:rPr>
          <w:rFonts w:ascii="Times New Roman" w:hAnsi="Times New Roman" w:cs="Times New Roman"/>
          <w:sz w:val="24"/>
          <w:szCs w:val="24"/>
        </w:rPr>
        <w:t xml:space="preserve"> </w:t>
      </w:r>
      <w:r>
        <w:rPr>
          <w:rFonts w:ascii="Times New Roman" w:hAnsi="Times New Roman" w:cs="Times New Roman"/>
          <w:sz w:val="24"/>
          <w:szCs w:val="24"/>
        </w:rPr>
        <w:t xml:space="preserve">would only be </w:t>
      </w:r>
      <w:r w:rsidR="00F15C8F">
        <w:rPr>
          <w:rFonts w:ascii="Times New Roman" w:hAnsi="Times New Roman" w:cs="Times New Roman"/>
          <w:sz w:val="24"/>
          <w:szCs w:val="24"/>
        </w:rPr>
        <w:t xml:space="preserve">what </w:t>
      </w:r>
      <w:proofErr w:type="spellStart"/>
      <w:r w:rsidR="00F15C8F">
        <w:rPr>
          <w:rFonts w:ascii="Times New Roman" w:hAnsi="Times New Roman" w:cs="Times New Roman"/>
          <w:sz w:val="24"/>
          <w:szCs w:val="24"/>
        </w:rPr>
        <w:t>Pothier</w:t>
      </w:r>
      <w:proofErr w:type="spellEnd"/>
      <w:r w:rsidR="00F15C8F">
        <w:rPr>
          <w:rFonts w:ascii="Times New Roman" w:hAnsi="Times New Roman" w:cs="Times New Roman"/>
          <w:sz w:val="24"/>
          <w:szCs w:val="24"/>
        </w:rPr>
        <w:t xml:space="preserve"> would term </w:t>
      </w:r>
      <w:r w:rsidR="002F26C6">
        <w:rPr>
          <w:rFonts w:ascii="Times New Roman" w:hAnsi="Times New Roman" w:cs="Times New Roman"/>
          <w:sz w:val="24"/>
          <w:szCs w:val="24"/>
        </w:rPr>
        <w:t>an “imperfect obligation”</w:t>
      </w:r>
      <w:r w:rsidR="00F15C8F">
        <w:rPr>
          <w:rStyle w:val="FootnoteReference"/>
          <w:rFonts w:ascii="Times New Roman" w:hAnsi="Times New Roman" w:cs="Times New Roman"/>
          <w:sz w:val="24"/>
          <w:szCs w:val="24"/>
        </w:rPr>
        <w:footnoteReference w:id="88"/>
      </w:r>
      <w:r w:rsidR="002F26C6">
        <w:rPr>
          <w:rFonts w:ascii="Times New Roman" w:hAnsi="Times New Roman" w:cs="Times New Roman"/>
          <w:sz w:val="24"/>
          <w:szCs w:val="24"/>
        </w:rPr>
        <w:t xml:space="preserve"> and on </w:t>
      </w:r>
      <w:proofErr w:type="spellStart"/>
      <w:r w:rsidR="00034E0F">
        <w:rPr>
          <w:rFonts w:ascii="Times New Roman" w:hAnsi="Times New Roman" w:cs="Times New Roman"/>
          <w:sz w:val="24"/>
          <w:szCs w:val="24"/>
        </w:rPr>
        <w:t>Hohfeld’s</w:t>
      </w:r>
      <w:proofErr w:type="spellEnd"/>
      <w:r w:rsidR="00034E0F">
        <w:rPr>
          <w:rFonts w:ascii="Times New Roman" w:hAnsi="Times New Roman" w:cs="Times New Roman"/>
          <w:sz w:val="24"/>
          <w:szCs w:val="24"/>
        </w:rPr>
        <w:t xml:space="preserve"> rights analysis,</w:t>
      </w:r>
      <w:r>
        <w:rPr>
          <w:rFonts w:ascii="Times New Roman" w:hAnsi="Times New Roman" w:cs="Times New Roman"/>
          <w:sz w:val="24"/>
          <w:szCs w:val="24"/>
        </w:rPr>
        <w:t xml:space="preserve"> could not be a legal obligation at all.</w:t>
      </w:r>
      <w:r w:rsidR="00034E0F">
        <w:rPr>
          <w:rStyle w:val="FootnoteReference"/>
          <w:rFonts w:ascii="Times New Roman" w:hAnsi="Times New Roman" w:cs="Times New Roman"/>
          <w:sz w:val="24"/>
          <w:szCs w:val="24"/>
        </w:rPr>
        <w:footnoteReference w:id="89"/>
      </w:r>
      <w:r w:rsidR="00D551EB">
        <w:rPr>
          <w:rFonts w:ascii="Times New Roman" w:hAnsi="Times New Roman" w:cs="Times New Roman"/>
          <w:sz w:val="24"/>
          <w:szCs w:val="24"/>
        </w:rPr>
        <w:t xml:space="preserve"> </w:t>
      </w:r>
      <w:r w:rsidR="00490E2E">
        <w:rPr>
          <w:rFonts w:ascii="Times New Roman" w:hAnsi="Times New Roman" w:cs="Times New Roman"/>
          <w:sz w:val="24"/>
          <w:szCs w:val="24"/>
        </w:rPr>
        <w:t>This was articulated in</w:t>
      </w:r>
      <w:r w:rsidR="0099025B">
        <w:rPr>
          <w:rFonts w:ascii="Times New Roman" w:hAnsi="Times New Roman" w:cs="Times New Roman"/>
          <w:sz w:val="24"/>
          <w:szCs w:val="24"/>
        </w:rPr>
        <w:t xml:space="preserve"> </w:t>
      </w:r>
      <w:r w:rsidR="0099025B">
        <w:rPr>
          <w:rFonts w:ascii="Times New Roman" w:hAnsi="Times New Roman" w:cs="Times New Roman"/>
          <w:i/>
          <w:sz w:val="24"/>
          <w:szCs w:val="24"/>
        </w:rPr>
        <w:t>Re Astor’</w:t>
      </w:r>
      <w:r w:rsidR="00894960">
        <w:rPr>
          <w:rFonts w:ascii="Times New Roman" w:hAnsi="Times New Roman" w:cs="Times New Roman"/>
          <w:i/>
          <w:sz w:val="24"/>
          <w:szCs w:val="24"/>
        </w:rPr>
        <w:t>s Settlement Trusts</w:t>
      </w:r>
      <w:r w:rsidR="00894960">
        <w:rPr>
          <w:rFonts w:ascii="Times New Roman" w:hAnsi="Times New Roman" w:cs="Times New Roman"/>
          <w:sz w:val="24"/>
          <w:szCs w:val="24"/>
        </w:rPr>
        <w:t>:</w:t>
      </w:r>
      <w:r w:rsidR="00894960">
        <w:rPr>
          <w:rStyle w:val="FootnoteReference"/>
          <w:rFonts w:ascii="Times New Roman" w:hAnsi="Times New Roman" w:cs="Times New Roman"/>
          <w:sz w:val="24"/>
          <w:szCs w:val="24"/>
        </w:rPr>
        <w:footnoteReference w:id="90"/>
      </w:r>
    </w:p>
    <w:p w:rsidR="00894960" w:rsidRPr="00894960" w:rsidRDefault="00894960" w:rsidP="0099025B">
      <w:pPr>
        <w:spacing w:after="0"/>
        <w:jc w:val="both"/>
        <w:rPr>
          <w:rFonts w:ascii="Times New Roman" w:hAnsi="Times New Roman" w:cs="Times New Roman"/>
        </w:rPr>
      </w:pPr>
    </w:p>
    <w:p w:rsidR="0099025B" w:rsidRPr="00894960" w:rsidRDefault="0099025B" w:rsidP="00894960">
      <w:pPr>
        <w:spacing w:after="0"/>
        <w:ind w:left="720"/>
        <w:jc w:val="both"/>
        <w:rPr>
          <w:rFonts w:ascii="Times New Roman" w:hAnsi="Times New Roman" w:cs="Times New Roman"/>
        </w:rPr>
      </w:pPr>
      <w:r w:rsidRPr="00894960">
        <w:rPr>
          <w:rFonts w:ascii="Times New Roman" w:hAnsi="Times New Roman" w:cs="Times New Roman"/>
        </w:rPr>
        <w:t>“[A] trustee would not be expected to be subject to an equitable obligation unless there was somebody who could enforce a correlative equitable right, and the nature and extent of that obligation would be worked out in proceedings for enforcement.”</w:t>
      </w:r>
      <w:r w:rsidR="00F726AE">
        <w:rPr>
          <w:rStyle w:val="FootnoteReference"/>
          <w:rFonts w:ascii="Times New Roman" w:hAnsi="Times New Roman" w:cs="Times New Roman"/>
        </w:rPr>
        <w:footnoteReference w:id="91"/>
      </w:r>
    </w:p>
    <w:p w:rsidR="0099025B" w:rsidRPr="005C3027" w:rsidRDefault="0099025B" w:rsidP="00034E0F">
      <w:pPr>
        <w:spacing w:after="0"/>
        <w:jc w:val="both"/>
        <w:rPr>
          <w:rFonts w:ascii="Times New Roman" w:hAnsi="Times New Roman" w:cs="Times New Roman"/>
        </w:rPr>
      </w:pPr>
    </w:p>
    <w:p w:rsidR="00916F22" w:rsidRDefault="00916F22" w:rsidP="00034E0F">
      <w:pPr>
        <w:spacing w:after="0"/>
        <w:jc w:val="both"/>
        <w:rPr>
          <w:rFonts w:ascii="Times New Roman" w:hAnsi="Times New Roman" w:cs="Times New Roman"/>
          <w:sz w:val="24"/>
          <w:szCs w:val="24"/>
        </w:rPr>
      </w:pPr>
      <w:r>
        <w:rPr>
          <w:rFonts w:ascii="Times New Roman" w:hAnsi="Times New Roman" w:cs="Times New Roman"/>
          <w:sz w:val="24"/>
          <w:szCs w:val="24"/>
        </w:rPr>
        <w:t>Thus, a trust for a pure purpose, i.e. one without a human beneficiary</w:t>
      </w:r>
      <w:r w:rsidR="00E625C3">
        <w:rPr>
          <w:rFonts w:ascii="Times New Roman" w:hAnsi="Times New Roman" w:cs="Times New Roman"/>
          <w:sz w:val="24"/>
          <w:szCs w:val="24"/>
        </w:rPr>
        <w:t>, is void because there is not an available litigant to enforce it</w:t>
      </w:r>
      <w:r>
        <w:rPr>
          <w:rFonts w:ascii="Times New Roman" w:hAnsi="Times New Roman" w:cs="Times New Roman"/>
          <w:sz w:val="24"/>
          <w:szCs w:val="24"/>
        </w:rPr>
        <w:t>. English law recognises the validity of a number of “anomalous exceptions” to this rule, e.g. trusts for the maintenance of</w:t>
      </w:r>
      <w:r w:rsidR="00FD1027">
        <w:rPr>
          <w:rFonts w:ascii="Times New Roman" w:hAnsi="Times New Roman" w:cs="Times New Roman"/>
          <w:sz w:val="24"/>
          <w:szCs w:val="24"/>
        </w:rPr>
        <w:t xml:space="preserve"> graves, monuments,</w:t>
      </w:r>
      <w:r w:rsidR="00FD1027">
        <w:rPr>
          <w:rStyle w:val="FootnoteReference"/>
          <w:rFonts w:ascii="Times New Roman" w:hAnsi="Times New Roman" w:cs="Times New Roman"/>
          <w:sz w:val="24"/>
          <w:szCs w:val="24"/>
        </w:rPr>
        <w:footnoteReference w:id="92"/>
      </w:r>
      <w:r w:rsidR="00FD1027">
        <w:rPr>
          <w:rFonts w:ascii="Times New Roman" w:hAnsi="Times New Roman" w:cs="Times New Roman"/>
          <w:sz w:val="24"/>
          <w:szCs w:val="24"/>
        </w:rPr>
        <w:t xml:space="preserve"> and upkeep of</w:t>
      </w:r>
      <w:r w:rsidR="00E625C3">
        <w:rPr>
          <w:rFonts w:ascii="Times New Roman" w:hAnsi="Times New Roman" w:cs="Times New Roman"/>
          <w:sz w:val="24"/>
          <w:szCs w:val="24"/>
        </w:rPr>
        <w:t xml:space="preserve"> an animal.</w:t>
      </w:r>
      <w:r w:rsidR="005507EB">
        <w:rPr>
          <w:rStyle w:val="FootnoteReference"/>
          <w:rFonts w:ascii="Times New Roman" w:hAnsi="Times New Roman" w:cs="Times New Roman"/>
          <w:sz w:val="24"/>
          <w:szCs w:val="24"/>
        </w:rPr>
        <w:footnoteReference w:id="93"/>
      </w:r>
      <w:r w:rsidR="00490E2E">
        <w:rPr>
          <w:rFonts w:ascii="Times New Roman" w:hAnsi="Times New Roman" w:cs="Times New Roman"/>
          <w:sz w:val="24"/>
          <w:szCs w:val="24"/>
        </w:rPr>
        <w:t xml:space="preserve"> Article 11 did not enact these exceptions.</w:t>
      </w:r>
      <w:r w:rsidR="006171BC">
        <w:rPr>
          <w:rStyle w:val="FootnoteReference"/>
          <w:rFonts w:ascii="Times New Roman" w:hAnsi="Times New Roman" w:cs="Times New Roman"/>
          <w:sz w:val="24"/>
          <w:szCs w:val="24"/>
        </w:rPr>
        <w:footnoteReference w:id="94"/>
      </w:r>
    </w:p>
    <w:p w:rsidR="00484F7D" w:rsidRDefault="00E51B4F" w:rsidP="00F534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35C3">
        <w:rPr>
          <w:rFonts w:ascii="Times New Roman" w:hAnsi="Times New Roman" w:cs="Times New Roman"/>
          <w:sz w:val="24"/>
          <w:szCs w:val="24"/>
        </w:rPr>
        <w:t xml:space="preserve"> </w:t>
      </w:r>
      <w:r w:rsidR="00490E2E">
        <w:rPr>
          <w:rFonts w:ascii="Times New Roman" w:hAnsi="Times New Roman" w:cs="Times New Roman"/>
          <w:sz w:val="24"/>
          <w:szCs w:val="24"/>
        </w:rPr>
        <w:t xml:space="preserve">There has been more explicit recognition of this core obligation of the trust in recent years. </w:t>
      </w:r>
      <w:r w:rsidR="001632C6">
        <w:rPr>
          <w:rFonts w:ascii="Times New Roman" w:hAnsi="Times New Roman" w:cs="Times New Roman"/>
          <w:sz w:val="24"/>
          <w:szCs w:val="24"/>
        </w:rPr>
        <w:t>I</w:t>
      </w:r>
      <w:r w:rsidR="00342884">
        <w:rPr>
          <w:rFonts w:ascii="Times New Roman" w:hAnsi="Times New Roman" w:cs="Times New Roman"/>
          <w:sz w:val="24"/>
          <w:szCs w:val="24"/>
        </w:rPr>
        <w:t xml:space="preserve">n </w:t>
      </w:r>
      <w:r w:rsidR="00B4250A">
        <w:rPr>
          <w:rFonts w:ascii="Times New Roman" w:hAnsi="Times New Roman" w:cs="Times New Roman"/>
          <w:i/>
          <w:sz w:val="24"/>
          <w:szCs w:val="24"/>
        </w:rPr>
        <w:t>Schmidt v Rosewood</w:t>
      </w:r>
      <w:r w:rsidR="00B4250A">
        <w:rPr>
          <w:rFonts w:ascii="Times New Roman" w:hAnsi="Times New Roman" w:cs="Times New Roman"/>
          <w:sz w:val="24"/>
          <w:szCs w:val="24"/>
        </w:rPr>
        <w:t>,</w:t>
      </w:r>
      <w:r w:rsidR="001632C6">
        <w:rPr>
          <w:rStyle w:val="FootnoteReference"/>
          <w:rFonts w:ascii="Times New Roman" w:hAnsi="Times New Roman" w:cs="Times New Roman"/>
          <w:sz w:val="24"/>
          <w:szCs w:val="24"/>
        </w:rPr>
        <w:footnoteReference w:id="95"/>
      </w:r>
      <w:r w:rsidR="00B4250A">
        <w:rPr>
          <w:rFonts w:ascii="Times New Roman" w:hAnsi="Times New Roman" w:cs="Times New Roman"/>
          <w:sz w:val="24"/>
          <w:szCs w:val="24"/>
        </w:rPr>
        <w:t xml:space="preserve"> </w:t>
      </w:r>
      <w:r w:rsidR="001632C6">
        <w:rPr>
          <w:rFonts w:ascii="Times New Roman" w:hAnsi="Times New Roman" w:cs="Times New Roman"/>
          <w:sz w:val="24"/>
          <w:szCs w:val="24"/>
        </w:rPr>
        <w:t>the basis of the</w:t>
      </w:r>
      <w:r w:rsidR="00FA7BFA">
        <w:rPr>
          <w:rFonts w:ascii="Times New Roman" w:hAnsi="Times New Roman" w:cs="Times New Roman"/>
          <w:sz w:val="24"/>
          <w:szCs w:val="24"/>
        </w:rPr>
        <w:t xml:space="preserve"> beneficiary’s</w:t>
      </w:r>
      <w:r w:rsidR="001632C6">
        <w:rPr>
          <w:rFonts w:ascii="Times New Roman" w:hAnsi="Times New Roman" w:cs="Times New Roman"/>
          <w:sz w:val="24"/>
          <w:szCs w:val="24"/>
        </w:rPr>
        <w:t xml:space="preserve"> right to trust information was recast as the correlative of the trustee’s duty to account, </w:t>
      </w:r>
      <w:r w:rsidR="00B4250A">
        <w:rPr>
          <w:rFonts w:ascii="Times New Roman" w:hAnsi="Times New Roman" w:cs="Times New Roman"/>
          <w:sz w:val="24"/>
          <w:szCs w:val="24"/>
        </w:rPr>
        <w:t>rather than</w:t>
      </w:r>
      <w:r w:rsidR="00342884">
        <w:rPr>
          <w:rFonts w:ascii="Times New Roman" w:hAnsi="Times New Roman" w:cs="Times New Roman"/>
          <w:sz w:val="24"/>
          <w:szCs w:val="24"/>
        </w:rPr>
        <w:t xml:space="preserve"> as a necessary consequence or</w:t>
      </w:r>
      <w:r w:rsidR="00B4250A">
        <w:rPr>
          <w:rFonts w:ascii="Times New Roman" w:hAnsi="Times New Roman" w:cs="Times New Roman"/>
          <w:sz w:val="24"/>
          <w:szCs w:val="24"/>
        </w:rPr>
        <w:t xml:space="preserve"> derivative</w:t>
      </w:r>
      <w:r w:rsidR="00342884">
        <w:rPr>
          <w:rFonts w:ascii="Times New Roman" w:hAnsi="Times New Roman" w:cs="Times New Roman"/>
          <w:sz w:val="24"/>
          <w:szCs w:val="24"/>
        </w:rPr>
        <w:t xml:space="preserve"> of beneficiaries’ property rights,</w:t>
      </w:r>
      <w:r w:rsidR="00B4250A">
        <w:rPr>
          <w:rFonts w:ascii="Times New Roman" w:hAnsi="Times New Roman" w:cs="Times New Roman"/>
          <w:sz w:val="24"/>
          <w:szCs w:val="24"/>
        </w:rPr>
        <w:t xml:space="preserve"> as was thought to be the case in </w:t>
      </w:r>
      <w:r w:rsidR="00B4250A">
        <w:rPr>
          <w:rFonts w:ascii="Times New Roman" w:hAnsi="Times New Roman" w:cs="Times New Roman"/>
          <w:i/>
          <w:sz w:val="24"/>
          <w:szCs w:val="24"/>
        </w:rPr>
        <w:t xml:space="preserve">O’Rourke v </w:t>
      </w:r>
      <w:proofErr w:type="spellStart"/>
      <w:r w:rsidR="00B4250A">
        <w:rPr>
          <w:rFonts w:ascii="Times New Roman" w:hAnsi="Times New Roman" w:cs="Times New Roman"/>
          <w:i/>
          <w:sz w:val="24"/>
          <w:szCs w:val="24"/>
        </w:rPr>
        <w:t>Darbishire</w:t>
      </w:r>
      <w:proofErr w:type="spellEnd"/>
      <w:r w:rsidR="00B4250A">
        <w:rPr>
          <w:rFonts w:ascii="Times New Roman" w:hAnsi="Times New Roman" w:cs="Times New Roman"/>
          <w:sz w:val="24"/>
          <w:szCs w:val="24"/>
        </w:rPr>
        <w:t>.</w:t>
      </w:r>
      <w:r w:rsidR="00957D44">
        <w:rPr>
          <w:rStyle w:val="FootnoteReference"/>
          <w:rFonts w:ascii="Times New Roman" w:hAnsi="Times New Roman" w:cs="Times New Roman"/>
          <w:sz w:val="24"/>
          <w:szCs w:val="24"/>
        </w:rPr>
        <w:footnoteReference w:id="96"/>
      </w:r>
      <w:r w:rsidR="00342884">
        <w:rPr>
          <w:rFonts w:ascii="Times New Roman" w:hAnsi="Times New Roman" w:cs="Times New Roman"/>
          <w:sz w:val="24"/>
          <w:szCs w:val="24"/>
        </w:rPr>
        <w:t xml:space="preserve"> </w:t>
      </w:r>
      <w:r w:rsidR="00890438">
        <w:rPr>
          <w:rFonts w:ascii="Times New Roman" w:hAnsi="Times New Roman" w:cs="Times New Roman"/>
          <w:i/>
          <w:sz w:val="24"/>
          <w:szCs w:val="24"/>
        </w:rPr>
        <w:t xml:space="preserve">Re </w:t>
      </w:r>
      <w:proofErr w:type="spellStart"/>
      <w:r w:rsidR="00890438">
        <w:rPr>
          <w:rFonts w:ascii="Times New Roman" w:hAnsi="Times New Roman" w:cs="Times New Roman"/>
          <w:i/>
          <w:sz w:val="24"/>
          <w:szCs w:val="24"/>
        </w:rPr>
        <w:t>Denley’s</w:t>
      </w:r>
      <w:proofErr w:type="spellEnd"/>
      <w:r w:rsidR="00890438">
        <w:rPr>
          <w:rFonts w:ascii="Times New Roman" w:hAnsi="Times New Roman" w:cs="Times New Roman"/>
          <w:i/>
          <w:sz w:val="24"/>
          <w:szCs w:val="24"/>
        </w:rPr>
        <w:t xml:space="preserve"> Trust Deed</w:t>
      </w:r>
      <w:r w:rsidR="00751F15">
        <w:rPr>
          <w:rStyle w:val="FootnoteReference"/>
          <w:rFonts w:ascii="Times New Roman" w:hAnsi="Times New Roman" w:cs="Times New Roman"/>
          <w:sz w:val="24"/>
          <w:szCs w:val="24"/>
        </w:rPr>
        <w:footnoteReference w:id="97"/>
      </w:r>
      <w:r w:rsidR="00890438">
        <w:rPr>
          <w:rFonts w:ascii="Times New Roman" w:hAnsi="Times New Roman" w:cs="Times New Roman"/>
          <w:sz w:val="24"/>
          <w:szCs w:val="24"/>
        </w:rPr>
        <w:t xml:space="preserve"> </w:t>
      </w:r>
      <w:r w:rsidR="00216982">
        <w:rPr>
          <w:rFonts w:ascii="Times New Roman" w:hAnsi="Times New Roman" w:cs="Times New Roman"/>
          <w:sz w:val="24"/>
          <w:szCs w:val="24"/>
        </w:rPr>
        <w:t>uphe</w:t>
      </w:r>
      <w:r w:rsidR="001632C6">
        <w:rPr>
          <w:rFonts w:ascii="Times New Roman" w:hAnsi="Times New Roman" w:cs="Times New Roman"/>
          <w:sz w:val="24"/>
          <w:szCs w:val="24"/>
        </w:rPr>
        <w:t>ld a trust that c</w:t>
      </w:r>
      <w:r w:rsidR="008E1650">
        <w:rPr>
          <w:rFonts w:ascii="Times New Roman" w:hAnsi="Times New Roman" w:cs="Times New Roman"/>
          <w:sz w:val="24"/>
          <w:szCs w:val="24"/>
        </w:rPr>
        <w:t>onferred no proprietary rights</w:t>
      </w:r>
      <w:r w:rsidR="00DB5E47">
        <w:rPr>
          <w:rFonts w:ascii="Times New Roman" w:hAnsi="Times New Roman" w:cs="Times New Roman"/>
          <w:sz w:val="24"/>
          <w:szCs w:val="24"/>
        </w:rPr>
        <w:t xml:space="preserve"> at all</w:t>
      </w:r>
      <w:r w:rsidR="008E1650">
        <w:rPr>
          <w:rFonts w:ascii="Times New Roman" w:hAnsi="Times New Roman" w:cs="Times New Roman"/>
          <w:sz w:val="24"/>
          <w:szCs w:val="24"/>
        </w:rPr>
        <w:t>. A</w:t>
      </w:r>
      <w:r w:rsidR="00890438">
        <w:rPr>
          <w:rFonts w:ascii="Times New Roman" w:hAnsi="Times New Roman" w:cs="Times New Roman"/>
          <w:sz w:val="24"/>
          <w:szCs w:val="24"/>
        </w:rPr>
        <w:t xml:space="preserve"> trust for the provision of land for the maintenance of a recreation</w:t>
      </w:r>
      <w:r w:rsidR="00216982">
        <w:rPr>
          <w:rFonts w:ascii="Times New Roman" w:hAnsi="Times New Roman" w:cs="Times New Roman"/>
          <w:sz w:val="24"/>
          <w:szCs w:val="24"/>
        </w:rPr>
        <w:t xml:space="preserve"> ground for employees was held valid</w:t>
      </w:r>
      <w:r w:rsidR="008E1650">
        <w:rPr>
          <w:rFonts w:ascii="Times New Roman" w:hAnsi="Times New Roman" w:cs="Times New Roman"/>
          <w:sz w:val="24"/>
          <w:szCs w:val="24"/>
        </w:rPr>
        <w:t xml:space="preserve">. </w:t>
      </w:r>
      <w:r w:rsidR="00490E2E">
        <w:rPr>
          <w:rFonts w:ascii="Times New Roman" w:hAnsi="Times New Roman" w:cs="Times New Roman"/>
          <w:sz w:val="24"/>
          <w:szCs w:val="24"/>
        </w:rPr>
        <w:t>A</w:t>
      </w:r>
      <w:r w:rsidR="008E1650">
        <w:rPr>
          <w:rFonts w:ascii="Times New Roman" w:hAnsi="Times New Roman" w:cs="Times New Roman"/>
          <w:sz w:val="24"/>
          <w:szCs w:val="24"/>
        </w:rPr>
        <w:t>lthough</w:t>
      </w:r>
      <w:r w:rsidR="0074280A">
        <w:rPr>
          <w:rFonts w:ascii="Times New Roman" w:hAnsi="Times New Roman" w:cs="Times New Roman"/>
          <w:sz w:val="24"/>
          <w:szCs w:val="24"/>
        </w:rPr>
        <w:t xml:space="preserve"> the employees were not beneficiaries</w:t>
      </w:r>
      <w:r w:rsidR="00751F15">
        <w:rPr>
          <w:rFonts w:ascii="Times New Roman" w:hAnsi="Times New Roman" w:cs="Times New Roman"/>
          <w:sz w:val="24"/>
          <w:szCs w:val="24"/>
        </w:rPr>
        <w:t xml:space="preserve"> in the traditional sense</w:t>
      </w:r>
      <w:r w:rsidR="008E1650">
        <w:rPr>
          <w:rFonts w:ascii="Times New Roman" w:hAnsi="Times New Roman" w:cs="Times New Roman"/>
          <w:sz w:val="24"/>
          <w:szCs w:val="24"/>
        </w:rPr>
        <w:t>, t</w:t>
      </w:r>
      <w:r w:rsidR="0074280A">
        <w:rPr>
          <w:rFonts w:ascii="Times New Roman" w:hAnsi="Times New Roman" w:cs="Times New Roman"/>
          <w:sz w:val="24"/>
          <w:szCs w:val="24"/>
        </w:rPr>
        <w:t>hey</w:t>
      </w:r>
      <w:r w:rsidR="00CB786A">
        <w:rPr>
          <w:rFonts w:ascii="Times New Roman" w:hAnsi="Times New Roman" w:cs="Times New Roman"/>
          <w:sz w:val="24"/>
          <w:szCs w:val="24"/>
        </w:rPr>
        <w:t xml:space="preserve"> had sufficient interest in the p</w:t>
      </w:r>
      <w:r w:rsidR="006C1177">
        <w:rPr>
          <w:rFonts w:ascii="Times New Roman" w:hAnsi="Times New Roman" w:cs="Times New Roman"/>
          <w:sz w:val="24"/>
          <w:szCs w:val="24"/>
        </w:rPr>
        <w:t>urpose being fulfil</w:t>
      </w:r>
      <w:r w:rsidR="00490E2E">
        <w:rPr>
          <w:rFonts w:ascii="Times New Roman" w:hAnsi="Times New Roman" w:cs="Times New Roman"/>
          <w:sz w:val="24"/>
          <w:szCs w:val="24"/>
        </w:rPr>
        <w:t>led to</w:t>
      </w:r>
      <w:r w:rsidR="006C1177">
        <w:rPr>
          <w:rFonts w:ascii="Times New Roman" w:hAnsi="Times New Roman" w:cs="Times New Roman"/>
          <w:sz w:val="24"/>
          <w:szCs w:val="24"/>
        </w:rPr>
        <w:t xml:space="preserve"> enforce the trust</w:t>
      </w:r>
      <w:r w:rsidR="00E513B7">
        <w:rPr>
          <w:rFonts w:ascii="Times New Roman" w:hAnsi="Times New Roman" w:cs="Times New Roman"/>
          <w:sz w:val="24"/>
          <w:szCs w:val="24"/>
        </w:rPr>
        <w:t xml:space="preserve"> obligation</w:t>
      </w:r>
      <w:r w:rsidR="006C1177">
        <w:rPr>
          <w:rFonts w:ascii="Times New Roman" w:hAnsi="Times New Roman" w:cs="Times New Roman"/>
          <w:sz w:val="24"/>
          <w:szCs w:val="24"/>
        </w:rPr>
        <w:t xml:space="preserve"> in accordance with the terms imposed by the settlor.</w:t>
      </w:r>
      <w:r w:rsidR="006C1177">
        <w:rPr>
          <w:rStyle w:val="FootnoteReference"/>
          <w:rFonts w:ascii="Times New Roman" w:hAnsi="Times New Roman" w:cs="Times New Roman"/>
          <w:sz w:val="24"/>
          <w:szCs w:val="24"/>
        </w:rPr>
        <w:footnoteReference w:id="98"/>
      </w:r>
      <w:r w:rsidR="006C1177">
        <w:rPr>
          <w:rFonts w:ascii="Times New Roman" w:hAnsi="Times New Roman" w:cs="Times New Roman"/>
          <w:sz w:val="24"/>
          <w:szCs w:val="24"/>
        </w:rPr>
        <w:t xml:space="preserve"> </w:t>
      </w:r>
    </w:p>
    <w:p w:rsidR="00347D14" w:rsidRDefault="00022AAB" w:rsidP="00347D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90E2E">
        <w:rPr>
          <w:rFonts w:ascii="Times New Roman" w:hAnsi="Times New Roman" w:cs="Times New Roman"/>
          <w:sz w:val="24"/>
          <w:szCs w:val="24"/>
        </w:rPr>
        <w:t>As t</w:t>
      </w:r>
      <w:r w:rsidR="002B4DA1" w:rsidRPr="00D83C62">
        <w:rPr>
          <w:rFonts w:ascii="Times New Roman" w:hAnsi="Times New Roman" w:cs="Times New Roman"/>
          <w:sz w:val="24"/>
          <w:szCs w:val="24"/>
        </w:rPr>
        <w:t xml:space="preserve">he </w:t>
      </w:r>
      <w:r w:rsidR="002B4DA1" w:rsidRPr="00D83C62">
        <w:rPr>
          <w:rFonts w:ascii="Times New Roman" w:hAnsi="Times New Roman" w:cs="Times New Roman"/>
          <w:i/>
          <w:sz w:val="24"/>
          <w:szCs w:val="24"/>
        </w:rPr>
        <w:t xml:space="preserve">Exeter </w:t>
      </w:r>
      <w:r w:rsidR="002B4DA1" w:rsidRPr="00D83C62">
        <w:rPr>
          <w:rFonts w:ascii="Times New Roman" w:hAnsi="Times New Roman" w:cs="Times New Roman"/>
          <w:sz w:val="24"/>
          <w:szCs w:val="24"/>
        </w:rPr>
        <w:t>trust h</w:t>
      </w:r>
      <w:r w:rsidR="00E625C3">
        <w:rPr>
          <w:rFonts w:ascii="Times New Roman" w:hAnsi="Times New Roman" w:cs="Times New Roman"/>
          <w:sz w:val="24"/>
          <w:szCs w:val="24"/>
        </w:rPr>
        <w:t>ad no beneficiaries, either in the primary class or in default</w:t>
      </w:r>
      <w:r w:rsidR="00490E2E">
        <w:rPr>
          <w:rFonts w:ascii="Times New Roman" w:hAnsi="Times New Roman" w:cs="Times New Roman"/>
          <w:sz w:val="24"/>
          <w:szCs w:val="24"/>
        </w:rPr>
        <w:t>, the trus</w:t>
      </w:r>
      <w:r w:rsidR="00E625C3">
        <w:rPr>
          <w:rFonts w:ascii="Times New Roman" w:hAnsi="Times New Roman" w:cs="Times New Roman"/>
          <w:sz w:val="24"/>
          <w:szCs w:val="24"/>
        </w:rPr>
        <w:t>t plainly failed the</w:t>
      </w:r>
      <w:r w:rsidR="00490E2E">
        <w:rPr>
          <w:rFonts w:ascii="Times New Roman" w:hAnsi="Times New Roman" w:cs="Times New Roman"/>
          <w:sz w:val="24"/>
          <w:szCs w:val="24"/>
        </w:rPr>
        <w:t xml:space="preserve"> Article 11(2</w:t>
      </w:r>
      <w:proofErr w:type="gramStart"/>
      <w:r w:rsidR="00490E2E">
        <w:rPr>
          <w:rFonts w:ascii="Times New Roman" w:hAnsi="Times New Roman" w:cs="Times New Roman"/>
          <w:sz w:val="24"/>
          <w:szCs w:val="24"/>
        </w:rPr>
        <w:t>)(</w:t>
      </w:r>
      <w:proofErr w:type="gramEnd"/>
      <w:r w:rsidR="00490E2E">
        <w:rPr>
          <w:rFonts w:ascii="Times New Roman" w:hAnsi="Times New Roman" w:cs="Times New Roman"/>
          <w:sz w:val="24"/>
          <w:szCs w:val="24"/>
        </w:rPr>
        <w:t>a)(iv)</w:t>
      </w:r>
      <w:r w:rsidR="00E625C3">
        <w:rPr>
          <w:rFonts w:ascii="Times New Roman" w:hAnsi="Times New Roman" w:cs="Times New Roman"/>
          <w:sz w:val="24"/>
          <w:szCs w:val="24"/>
        </w:rPr>
        <w:t xml:space="preserve"> beneficiary principle. T</w:t>
      </w:r>
      <w:r w:rsidR="00865AA9">
        <w:rPr>
          <w:rFonts w:ascii="Times New Roman" w:hAnsi="Times New Roman" w:cs="Times New Roman"/>
          <w:sz w:val="24"/>
          <w:szCs w:val="24"/>
        </w:rPr>
        <w:t>here was no one who</w:t>
      </w:r>
      <w:r w:rsidR="00490E2E">
        <w:rPr>
          <w:rFonts w:ascii="Times New Roman" w:hAnsi="Times New Roman" w:cs="Times New Roman"/>
          <w:sz w:val="24"/>
          <w:szCs w:val="24"/>
        </w:rPr>
        <w:t xml:space="preserve"> could support the trustees’ core duty</w:t>
      </w:r>
      <w:r w:rsidR="00620ECC">
        <w:rPr>
          <w:rFonts w:ascii="Times New Roman" w:hAnsi="Times New Roman" w:cs="Times New Roman"/>
          <w:sz w:val="24"/>
          <w:szCs w:val="24"/>
        </w:rPr>
        <w:t xml:space="preserve"> to account by enforcing the trust</w:t>
      </w:r>
      <w:r w:rsidR="00490E2E">
        <w:rPr>
          <w:rFonts w:ascii="Times New Roman" w:hAnsi="Times New Roman" w:cs="Times New Roman"/>
          <w:sz w:val="24"/>
          <w:szCs w:val="24"/>
        </w:rPr>
        <w:t>.</w:t>
      </w:r>
      <w:r w:rsidR="00620ECC">
        <w:rPr>
          <w:rStyle w:val="FootnoteReference"/>
          <w:rFonts w:ascii="Times New Roman" w:hAnsi="Times New Roman" w:cs="Times New Roman"/>
          <w:sz w:val="24"/>
          <w:szCs w:val="24"/>
        </w:rPr>
        <w:footnoteReference w:id="99"/>
      </w:r>
      <w:r w:rsidR="00490E2E">
        <w:rPr>
          <w:rFonts w:ascii="Times New Roman" w:hAnsi="Times New Roman" w:cs="Times New Roman"/>
          <w:sz w:val="24"/>
          <w:szCs w:val="24"/>
        </w:rPr>
        <w:t xml:space="preserve"> The trust therefore rightly </w:t>
      </w:r>
      <w:r w:rsidR="00490E2E" w:rsidRPr="00347D14">
        <w:rPr>
          <w:rFonts w:ascii="Times New Roman" w:hAnsi="Times New Roman" w:cs="Times New Roman"/>
          <w:sz w:val="24"/>
          <w:szCs w:val="24"/>
        </w:rPr>
        <w:lastRenderedPageBreak/>
        <w:t xml:space="preserve">failed. </w:t>
      </w:r>
      <w:r w:rsidR="00A76804" w:rsidRPr="00347D14">
        <w:rPr>
          <w:rFonts w:ascii="Times New Roman" w:hAnsi="Times New Roman" w:cs="Times New Roman"/>
          <w:sz w:val="24"/>
          <w:szCs w:val="24"/>
        </w:rPr>
        <w:t>T</w:t>
      </w:r>
      <w:r w:rsidR="002B4DA1" w:rsidRPr="00347D14">
        <w:rPr>
          <w:rFonts w:ascii="Times New Roman" w:hAnsi="Times New Roman" w:cs="Times New Roman"/>
          <w:sz w:val="24"/>
          <w:szCs w:val="24"/>
        </w:rPr>
        <w:t>h</w:t>
      </w:r>
      <w:r w:rsidR="00F11A58" w:rsidRPr="00347D14">
        <w:rPr>
          <w:rFonts w:ascii="Times New Roman" w:hAnsi="Times New Roman" w:cs="Times New Roman"/>
          <w:sz w:val="24"/>
          <w:szCs w:val="24"/>
        </w:rPr>
        <w:t>e</w:t>
      </w:r>
      <w:r w:rsidR="002B4DA1" w:rsidRPr="00347D14">
        <w:rPr>
          <w:rFonts w:ascii="Times New Roman" w:hAnsi="Times New Roman" w:cs="Times New Roman"/>
          <w:sz w:val="24"/>
          <w:szCs w:val="24"/>
        </w:rPr>
        <w:t xml:space="preserve"> existence of </w:t>
      </w:r>
      <w:r w:rsidR="0094520B" w:rsidRPr="00347D14">
        <w:rPr>
          <w:rFonts w:ascii="Times New Roman" w:hAnsi="Times New Roman" w:cs="Times New Roman"/>
          <w:sz w:val="24"/>
          <w:szCs w:val="24"/>
        </w:rPr>
        <w:t xml:space="preserve">potential objects of a power of addition </w:t>
      </w:r>
      <w:r w:rsidR="00F11A58" w:rsidRPr="00347D14">
        <w:rPr>
          <w:rFonts w:ascii="Times New Roman" w:hAnsi="Times New Roman" w:cs="Times New Roman"/>
          <w:sz w:val="24"/>
          <w:szCs w:val="24"/>
        </w:rPr>
        <w:t>will not support the accounting obligation</w:t>
      </w:r>
      <w:r w:rsidR="00490E2E" w:rsidRPr="00347D14">
        <w:rPr>
          <w:rFonts w:ascii="Times New Roman" w:hAnsi="Times New Roman" w:cs="Times New Roman"/>
          <w:sz w:val="24"/>
          <w:szCs w:val="24"/>
        </w:rPr>
        <w:t>, nor are they “beneficiaries” within the meaning of Article 11</w:t>
      </w:r>
      <w:r w:rsidR="002B4DA1" w:rsidRPr="00347D14">
        <w:rPr>
          <w:rFonts w:ascii="Times New Roman" w:hAnsi="Times New Roman" w:cs="Times New Roman"/>
          <w:sz w:val="24"/>
          <w:szCs w:val="24"/>
        </w:rPr>
        <w:t>.</w:t>
      </w:r>
      <w:r w:rsidR="00490E2E" w:rsidRPr="00347D14">
        <w:rPr>
          <w:rStyle w:val="FootnoteReference"/>
          <w:rFonts w:ascii="Times New Roman" w:hAnsi="Times New Roman" w:cs="Times New Roman"/>
          <w:sz w:val="24"/>
          <w:szCs w:val="24"/>
        </w:rPr>
        <w:footnoteReference w:id="100"/>
      </w:r>
      <w:r w:rsidR="002B4DA1" w:rsidRPr="00347D14">
        <w:rPr>
          <w:rFonts w:ascii="Times New Roman" w:hAnsi="Times New Roman" w:cs="Times New Roman"/>
          <w:sz w:val="24"/>
          <w:szCs w:val="24"/>
        </w:rPr>
        <w:t xml:space="preserve"> </w:t>
      </w:r>
      <w:r w:rsidR="00E625C3" w:rsidRPr="00347D14">
        <w:rPr>
          <w:rFonts w:ascii="Times New Roman" w:hAnsi="Times New Roman" w:cs="Times New Roman"/>
          <w:sz w:val="24"/>
          <w:szCs w:val="24"/>
        </w:rPr>
        <w:t xml:space="preserve">All they can do is to </w:t>
      </w:r>
      <w:r w:rsidR="002B4DA1" w:rsidRPr="00347D14">
        <w:rPr>
          <w:rFonts w:ascii="Times New Roman" w:hAnsi="Times New Roman" w:cs="Times New Roman"/>
          <w:sz w:val="24"/>
          <w:szCs w:val="24"/>
        </w:rPr>
        <w:t>force</w:t>
      </w:r>
      <w:r w:rsidR="00F11A58" w:rsidRPr="00347D14">
        <w:rPr>
          <w:rFonts w:ascii="Times New Roman" w:hAnsi="Times New Roman" w:cs="Times New Roman"/>
          <w:sz w:val="24"/>
          <w:szCs w:val="24"/>
        </w:rPr>
        <w:t xml:space="preserve"> the donee of the power to consider exercising it.</w:t>
      </w:r>
      <w:r w:rsidR="00F11A58" w:rsidRPr="00347D14">
        <w:rPr>
          <w:rStyle w:val="FootnoteReference"/>
          <w:rFonts w:ascii="Times New Roman" w:hAnsi="Times New Roman" w:cs="Times New Roman"/>
          <w:sz w:val="24"/>
          <w:szCs w:val="24"/>
        </w:rPr>
        <w:footnoteReference w:id="101"/>
      </w:r>
      <w:r w:rsidR="00243576" w:rsidRPr="00347D14">
        <w:rPr>
          <w:rFonts w:ascii="Times New Roman" w:hAnsi="Times New Roman" w:cs="Times New Roman"/>
          <w:sz w:val="24"/>
          <w:szCs w:val="24"/>
        </w:rPr>
        <w:t xml:space="preserve"> </w:t>
      </w:r>
    </w:p>
    <w:p w:rsidR="00D233AF" w:rsidRPr="00160D08" w:rsidRDefault="00347D14" w:rsidP="00D233AF">
      <w:pPr>
        <w:spacing w:after="0"/>
        <w:jc w:val="both"/>
        <w:rPr>
          <w:rFonts w:ascii="Times New Roman" w:hAnsi="Times New Roman" w:cs="Times New Roman"/>
          <w:sz w:val="24"/>
          <w:szCs w:val="24"/>
        </w:rPr>
      </w:pPr>
      <w:r>
        <w:rPr>
          <w:rFonts w:ascii="Times New Roman" w:hAnsi="Times New Roman" w:cs="Times New Roman"/>
          <w:sz w:val="24"/>
          <w:szCs w:val="24"/>
        </w:rPr>
        <w:t xml:space="preserve">     T</w:t>
      </w:r>
      <w:r w:rsidR="0057504B" w:rsidRPr="00347D14">
        <w:rPr>
          <w:rFonts w:ascii="Times New Roman" w:hAnsi="Times New Roman" w:cs="Times New Roman"/>
          <w:sz w:val="24"/>
          <w:szCs w:val="24"/>
        </w:rPr>
        <w:t xml:space="preserve">he Royal Court in </w:t>
      </w:r>
      <w:r w:rsidR="0057504B" w:rsidRPr="00347D14">
        <w:rPr>
          <w:rFonts w:ascii="Times New Roman" w:hAnsi="Times New Roman" w:cs="Times New Roman"/>
          <w:i/>
          <w:sz w:val="24"/>
          <w:szCs w:val="24"/>
        </w:rPr>
        <w:t>The Exeter Settlement</w:t>
      </w:r>
      <w:r w:rsidR="00D233AF" w:rsidRPr="00347D14">
        <w:rPr>
          <w:rFonts w:ascii="Times New Roman" w:hAnsi="Times New Roman" w:cs="Times New Roman"/>
          <w:sz w:val="24"/>
          <w:szCs w:val="24"/>
        </w:rPr>
        <w:t xml:space="preserve"> implicit</w:t>
      </w:r>
      <w:r w:rsidR="0057504B" w:rsidRPr="00347D14">
        <w:rPr>
          <w:rFonts w:ascii="Times New Roman" w:hAnsi="Times New Roman" w:cs="Times New Roman"/>
          <w:sz w:val="24"/>
          <w:szCs w:val="24"/>
        </w:rPr>
        <w:t>ly recognised</w:t>
      </w:r>
      <w:r w:rsidRPr="00347D14">
        <w:rPr>
          <w:rFonts w:ascii="Times New Roman" w:hAnsi="Times New Roman" w:cs="Times New Roman"/>
          <w:sz w:val="24"/>
          <w:szCs w:val="24"/>
        </w:rPr>
        <w:t xml:space="preserve"> this as the basis of the failure of the trust in that case: </w:t>
      </w:r>
      <w:r w:rsidR="00D233AF" w:rsidRPr="00347D14">
        <w:rPr>
          <w:rFonts w:ascii="Times New Roman" w:hAnsi="Times New Roman" w:cs="Times New Roman"/>
          <w:sz w:val="24"/>
          <w:szCs w:val="24"/>
        </w:rPr>
        <w:t>“A person who is a possible object of a power to add beneficiaries is not in fact a beneficiary</w:t>
      </w:r>
      <w:r w:rsidRPr="00347D14">
        <w:rPr>
          <w:rFonts w:ascii="Times New Roman" w:hAnsi="Times New Roman" w:cs="Times New Roman"/>
          <w:sz w:val="24"/>
          <w:szCs w:val="24"/>
        </w:rPr>
        <w:t>…</w:t>
      </w:r>
      <w:r w:rsidR="00D233AF" w:rsidRPr="00347D14">
        <w:rPr>
          <w:rFonts w:ascii="Times New Roman" w:hAnsi="Times New Roman" w:cs="Times New Roman"/>
          <w:sz w:val="24"/>
          <w:szCs w:val="24"/>
        </w:rPr>
        <w:t xml:space="preserve"> he does not have any of the rights attached to being a beneficiary of the trust.</w:t>
      </w:r>
      <w:r w:rsidRPr="00347D14">
        <w:rPr>
          <w:rFonts w:ascii="Times New Roman" w:hAnsi="Times New Roman" w:cs="Times New Roman"/>
          <w:sz w:val="24"/>
          <w:szCs w:val="24"/>
        </w:rPr>
        <w:t>”</w:t>
      </w:r>
      <w:r w:rsidR="00D233AF" w:rsidRPr="00347D14">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I</w:t>
      </w:r>
      <w:r w:rsidR="00D233AF" w:rsidRPr="00160D08">
        <w:rPr>
          <w:rFonts w:ascii="Times New Roman" w:hAnsi="Times New Roman" w:cs="Times New Roman"/>
          <w:sz w:val="24"/>
          <w:szCs w:val="24"/>
        </w:rPr>
        <w:t>t is submitted that had the case been heard in the Chancery Division of the High Court, it would have been decided in the same way.</w:t>
      </w:r>
    </w:p>
    <w:p w:rsidR="00237A94" w:rsidRDefault="00237A94" w:rsidP="003561BC">
      <w:pPr>
        <w:spacing w:after="0"/>
        <w:jc w:val="both"/>
        <w:rPr>
          <w:rFonts w:ascii="Times New Roman" w:hAnsi="Times New Roman" w:cs="Times New Roman"/>
          <w:sz w:val="24"/>
          <w:szCs w:val="24"/>
        </w:rPr>
      </w:pPr>
    </w:p>
    <w:p w:rsidR="001F6EA5" w:rsidRPr="00160D08" w:rsidRDefault="001F6EA5" w:rsidP="003561BC">
      <w:pPr>
        <w:spacing w:after="0"/>
        <w:jc w:val="both"/>
        <w:rPr>
          <w:rFonts w:ascii="Times New Roman" w:hAnsi="Times New Roman" w:cs="Times New Roman"/>
          <w:sz w:val="24"/>
          <w:szCs w:val="24"/>
        </w:rPr>
      </w:pPr>
    </w:p>
    <w:p w:rsidR="00237A94" w:rsidRPr="002F0DEB" w:rsidRDefault="0058598B" w:rsidP="00237A94">
      <w:pPr>
        <w:spacing w:after="0"/>
        <w:jc w:val="both"/>
        <w:rPr>
          <w:rFonts w:ascii="Times New Roman" w:hAnsi="Times New Roman" w:cs="Times New Roman"/>
          <w:b/>
          <w:i/>
          <w:sz w:val="28"/>
          <w:szCs w:val="28"/>
        </w:rPr>
      </w:pPr>
      <w:r>
        <w:rPr>
          <w:rFonts w:ascii="Times New Roman" w:hAnsi="Times New Roman" w:cs="Times New Roman"/>
          <w:b/>
          <w:sz w:val="28"/>
          <w:szCs w:val="28"/>
        </w:rPr>
        <w:t>C</w:t>
      </w:r>
      <w:r w:rsidR="00237A94">
        <w:rPr>
          <w:rFonts w:ascii="Times New Roman" w:hAnsi="Times New Roman" w:cs="Times New Roman"/>
          <w:b/>
          <w:sz w:val="28"/>
          <w:szCs w:val="28"/>
        </w:rPr>
        <w:t xml:space="preserve">. </w:t>
      </w:r>
      <w:r w:rsidR="001F6EA5">
        <w:rPr>
          <w:rFonts w:ascii="Times New Roman" w:hAnsi="Times New Roman" w:cs="Times New Roman"/>
          <w:b/>
          <w:sz w:val="28"/>
          <w:szCs w:val="28"/>
        </w:rPr>
        <w:t>A</w:t>
      </w:r>
      <w:r w:rsidR="000B72D8">
        <w:rPr>
          <w:rFonts w:ascii="Times New Roman" w:hAnsi="Times New Roman" w:cs="Times New Roman"/>
          <w:b/>
          <w:sz w:val="28"/>
          <w:szCs w:val="28"/>
        </w:rPr>
        <w:t>ccount</w:t>
      </w:r>
      <w:r w:rsidR="00996F19">
        <w:rPr>
          <w:rFonts w:ascii="Times New Roman" w:hAnsi="Times New Roman" w:cs="Times New Roman"/>
          <w:b/>
          <w:sz w:val="28"/>
          <w:szCs w:val="28"/>
        </w:rPr>
        <w:t>ability</w:t>
      </w:r>
      <w:r w:rsidR="001F6EA5">
        <w:rPr>
          <w:rFonts w:ascii="Times New Roman" w:hAnsi="Times New Roman" w:cs="Times New Roman"/>
          <w:b/>
          <w:sz w:val="28"/>
          <w:szCs w:val="28"/>
        </w:rPr>
        <w:t xml:space="preserve"> in</w:t>
      </w:r>
      <w:r w:rsidR="00996F19">
        <w:rPr>
          <w:rFonts w:ascii="Times New Roman" w:hAnsi="Times New Roman" w:cs="Times New Roman"/>
          <w:b/>
          <w:sz w:val="28"/>
          <w:szCs w:val="28"/>
        </w:rPr>
        <w:t xml:space="preserve"> black hole</w:t>
      </w:r>
      <w:r w:rsidR="001F6EA5">
        <w:rPr>
          <w:rFonts w:ascii="Times New Roman" w:hAnsi="Times New Roman" w:cs="Times New Roman"/>
          <w:b/>
          <w:sz w:val="28"/>
          <w:szCs w:val="28"/>
        </w:rPr>
        <w:t xml:space="preserve"> trusts</w:t>
      </w:r>
    </w:p>
    <w:p w:rsidR="00807ED6" w:rsidRPr="00807ED6" w:rsidRDefault="00807ED6" w:rsidP="00917856">
      <w:pPr>
        <w:spacing w:after="0"/>
        <w:jc w:val="both"/>
        <w:rPr>
          <w:rFonts w:ascii="Times New Roman" w:hAnsi="Times New Roman" w:cs="Times New Roman"/>
          <w:sz w:val="16"/>
          <w:szCs w:val="16"/>
        </w:rPr>
      </w:pPr>
    </w:p>
    <w:p w:rsidR="00715220" w:rsidRDefault="00ED656C" w:rsidP="00715220">
      <w:pPr>
        <w:spacing w:after="0"/>
        <w:jc w:val="both"/>
        <w:rPr>
          <w:rFonts w:ascii="Times New Roman" w:hAnsi="Times New Roman" w:cs="Times New Roman"/>
          <w:sz w:val="24"/>
          <w:szCs w:val="24"/>
        </w:rPr>
      </w:pPr>
      <w:r w:rsidRPr="00ED656C">
        <w:rPr>
          <w:rFonts w:ascii="Times New Roman" w:hAnsi="Times New Roman" w:cs="Times New Roman"/>
          <w:i/>
          <w:sz w:val="24"/>
          <w:szCs w:val="24"/>
        </w:rPr>
        <w:t>The Exeter Settlement</w:t>
      </w:r>
      <w:r w:rsidRPr="00ED656C">
        <w:rPr>
          <w:rFonts w:ascii="Times New Roman" w:hAnsi="Times New Roman" w:cs="Times New Roman"/>
          <w:sz w:val="24"/>
          <w:szCs w:val="24"/>
        </w:rPr>
        <w:t xml:space="preserve"> clearly accepted that the trust would have been upheld had the default charity not been omitted. Nevertheless, t</w:t>
      </w:r>
      <w:r w:rsidR="00216982">
        <w:rPr>
          <w:rFonts w:ascii="Times New Roman" w:hAnsi="Times New Roman" w:cs="Times New Roman"/>
          <w:sz w:val="24"/>
          <w:szCs w:val="24"/>
        </w:rPr>
        <w:t>he above first</w:t>
      </w:r>
      <w:r w:rsidR="0066587F" w:rsidRPr="00ED656C">
        <w:rPr>
          <w:rFonts w:ascii="Times New Roman" w:hAnsi="Times New Roman" w:cs="Times New Roman"/>
          <w:sz w:val="24"/>
          <w:szCs w:val="24"/>
        </w:rPr>
        <w:t xml:space="preserve"> principles raise a question concerning the validity of black hole trusts, even where all their component eleme</w:t>
      </w:r>
      <w:r w:rsidR="00865AA9">
        <w:rPr>
          <w:rFonts w:ascii="Times New Roman" w:hAnsi="Times New Roman" w:cs="Times New Roman"/>
          <w:sz w:val="24"/>
          <w:szCs w:val="24"/>
        </w:rPr>
        <w:t>nts are present and correct.</w:t>
      </w:r>
      <w:r w:rsidR="00865AA9" w:rsidRPr="00ED656C">
        <w:rPr>
          <w:rFonts w:ascii="Times New Roman" w:hAnsi="Times New Roman" w:cs="Times New Roman"/>
          <w:sz w:val="24"/>
          <w:szCs w:val="24"/>
        </w:rPr>
        <w:t xml:space="preserve"> </w:t>
      </w:r>
      <w:r w:rsidR="00865AA9">
        <w:rPr>
          <w:rFonts w:ascii="Times New Roman" w:hAnsi="Times New Roman" w:cs="Times New Roman"/>
          <w:sz w:val="24"/>
          <w:szCs w:val="24"/>
        </w:rPr>
        <w:t>I</w:t>
      </w:r>
      <w:r w:rsidR="0066587F" w:rsidRPr="00ED656C">
        <w:rPr>
          <w:rFonts w:ascii="Times New Roman" w:hAnsi="Times New Roman" w:cs="Times New Roman"/>
          <w:sz w:val="24"/>
          <w:szCs w:val="24"/>
        </w:rPr>
        <w:t>t is at least argua</w:t>
      </w:r>
      <w:r w:rsidR="00865AA9">
        <w:rPr>
          <w:rFonts w:ascii="Times New Roman" w:hAnsi="Times New Roman" w:cs="Times New Roman"/>
          <w:sz w:val="24"/>
          <w:szCs w:val="24"/>
        </w:rPr>
        <w:t>ble that in many cases there will be</w:t>
      </w:r>
      <w:r w:rsidR="0066587F" w:rsidRPr="00ED656C">
        <w:rPr>
          <w:rFonts w:ascii="Times New Roman" w:hAnsi="Times New Roman" w:cs="Times New Roman"/>
          <w:sz w:val="24"/>
          <w:szCs w:val="24"/>
        </w:rPr>
        <w:t xml:space="preserve"> insufficient means within the trust to hold the trustees to </w:t>
      </w:r>
      <w:r w:rsidR="00865AA9">
        <w:rPr>
          <w:rFonts w:ascii="Times New Roman" w:hAnsi="Times New Roman" w:cs="Times New Roman"/>
          <w:sz w:val="24"/>
          <w:szCs w:val="24"/>
        </w:rPr>
        <w:t xml:space="preserve">their </w:t>
      </w:r>
      <w:r w:rsidR="0066587F" w:rsidRPr="00ED656C">
        <w:rPr>
          <w:rFonts w:ascii="Times New Roman" w:hAnsi="Times New Roman" w:cs="Times New Roman"/>
          <w:sz w:val="24"/>
          <w:szCs w:val="24"/>
        </w:rPr>
        <w:t>account</w:t>
      </w:r>
      <w:r w:rsidR="00865AA9">
        <w:rPr>
          <w:rFonts w:ascii="Times New Roman" w:hAnsi="Times New Roman" w:cs="Times New Roman"/>
          <w:sz w:val="24"/>
          <w:szCs w:val="24"/>
        </w:rPr>
        <w:t>ing obligation</w:t>
      </w:r>
      <w:r w:rsidR="0066587F" w:rsidRPr="00ED656C">
        <w:rPr>
          <w:rFonts w:ascii="Times New Roman" w:hAnsi="Times New Roman" w:cs="Times New Roman"/>
          <w:sz w:val="24"/>
          <w:szCs w:val="24"/>
        </w:rPr>
        <w:t xml:space="preserve">. </w:t>
      </w:r>
      <w:r w:rsidRPr="00ED656C">
        <w:rPr>
          <w:rFonts w:ascii="Times New Roman" w:hAnsi="Times New Roman" w:cs="Times New Roman"/>
          <w:sz w:val="24"/>
          <w:szCs w:val="24"/>
        </w:rPr>
        <w:t>If this is proven correct, it raises a question mark over the validity of these trusts.</w:t>
      </w:r>
      <w:r w:rsidR="00715220">
        <w:rPr>
          <w:rFonts w:ascii="Times New Roman" w:hAnsi="Times New Roman" w:cs="Times New Roman"/>
          <w:sz w:val="24"/>
          <w:szCs w:val="24"/>
        </w:rPr>
        <w:t xml:space="preserve"> As the Jersey Law Commission observes</w:t>
      </w:r>
      <w:r w:rsidR="00213944">
        <w:rPr>
          <w:rFonts w:ascii="Times New Roman" w:hAnsi="Times New Roman" w:cs="Times New Roman"/>
          <w:sz w:val="24"/>
          <w:szCs w:val="24"/>
        </w:rPr>
        <w:t>,</w:t>
      </w:r>
      <w:r w:rsidR="00213944">
        <w:rPr>
          <w:rStyle w:val="FootnoteReference"/>
          <w:rFonts w:ascii="Times New Roman" w:hAnsi="Times New Roman" w:cs="Times New Roman"/>
          <w:sz w:val="24"/>
          <w:szCs w:val="24"/>
        </w:rPr>
        <w:footnoteReference w:id="103"/>
      </w:r>
      <w:r w:rsidR="00213944">
        <w:rPr>
          <w:rFonts w:ascii="Times New Roman" w:hAnsi="Times New Roman" w:cs="Times New Roman"/>
          <w:sz w:val="24"/>
          <w:szCs w:val="24"/>
        </w:rPr>
        <w:t xml:space="preserve"> </w:t>
      </w:r>
      <w:r w:rsidR="00715220">
        <w:rPr>
          <w:rFonts w:ascii="Times New Roman" w:hAnsi="Times New Roman" w:cs="Times New Roman"/>
          <w:sz w:val="24"/>
          <w:szCs w:val="24"/>
        </w:rPr>
        <w:t>“It is essential that the trust remains pragmatically enforceable by the beneficiaries.”</w:t>
      </w:r>
    </w:p>
    <w:p w:rsidR="002B29F0" w:rsidRDefault="002B29F0" w:rsidP="00B37ACC">
      <w:pPr>
        <w:spacing w:after="0"/>
        <w:jc w:val="both"/>
        <w:rPr>
          <w:rFonts w:ascii="Times New Roman" w:hAnsi="Times New Roman" w:cs="Times New Roman"/>
          <w:sz w:val="24"/>
          <w:szCs w:val="24"/>
        </w:rPr>
      </w:pPr>
    </w:p>
    <w:p w:rsidR="002B29F0" w:rsidRPr="002B29F0" w:rsidRDefault="002B29F0" w:rsidP="002B29F0">
      <w:pPr>
        <w:spacing w:after="0"/>
        <w:ind w:left="720"/>
        <w:jc w:val="both"/>
        <w:rPr>
          <w:rFonts w:ascii="Times New Roman" w:hAnsi="Times New Roman" w:cs="Times New Roman"/>
          <w:sz w:val="24"/>
          <w:szCs w:val="24"/>
          <w:u w:val="single"/>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Acc</w:t>
      </w:r>
      <w:r w:rsidR="00934BA1">
        <w:rPr>
          <w:rFonts w:ascii="Times New Roman" w:hAnsi="Times New Roman" w:cs="Times New Roman"/>
          <w:sz w:val="24"/>
          <w:szCs w:val="24"/>
          <w:u w:val="single"/>
        </w:rPr>
        <w:t>ountability</w:t>
      </w:r>
    </w:p>
    <w:p w:rsidR="002B29F0" w:rsidRPr="002B29F0" w:rsidRDefault="002B29F0" w:rsidP="00B37ACC">
      <w:pPr>
        <w:spacing w:after="0"/>
        <w:jc w:val="both"/>
        <w:rPr>
          <w:rFonts w:ascii="Times New Roman" w:hAnsi="Times New Roman" w:cs="Times New Roman"/>
          <w:sz w:val="16"/>
          <w:szCs w:val="16"/>
        </w:rPr>
      </w:pPr>
    </w:p>
    <w:p w:rsidR="00221277" w:rsidRDefault="00ED656C" w:rsidP="00915459">
      <w:pPr>
        <w:spacing w:after="0"/>
        <w:jc w:val="both"/>
        <w:rPr>
          <w:rFonts w:ascii="Times New Roman" w:hAnsi="Times New Roman" w:cs="Times New Roman"/>
          <w:sz w:val="24"/>
          <w:szCs w:val="24"/>
        </w:rPr>
      </w:pPr>
      <w:r>
        <w:rPr>
          <w:rFonts w:ascii="Times New Roman" w:hAnsi="Times New Roman" w:cs="Times New Roman"/>
          <w:sz w:val="24"/>
          <w:szCs w:val="24"/>
        </w:rPr>
        <w:t xml:space="preserve">At the time of the set-up of the trust, or at points throughout its lifetime, there are often fewer named beneficiaries in the primary class than the settlor actually intends to benefit, or there are no beneficiaries at all. </w:t>
      </w:r>
      <w:r w:rsidR="00221277">
        <w:rPr>
          <w:rFonts w:ascii="Times New Roman" w:hAnsi="Times New Roman" w:cs="Times New Roman"/>
          <w:sz w:val="24"/>
          <w:szCs w:val="24"/>
        </w:rPr>
        <w:t>T</w:t>
      </w:r>
      <w:r w:rsidR="0092050E">
        <w:rPr>
          <w:rFonts w:ascii="Times New Roman" w:hAnsi="Times New Roman" w:cs="Times New Roman"/>
          <w:sz w:val="24"/>
          <w:szCs w:val="24"/>
        </w:rPr>
        <w:t>he assumption that the default charity will</w:t>
      </w:r>
      <w:r w:rsidR="00666387">
        <w:rPr>
          <w:rFonts w:ascii="Times New Roman" w:hAnsi="Times New Roman" w:cs="Times New Roman"/>
          <w:sz w:val="24"/>
          <w:szCs w:val="24"/>
        </w:rPr>
        <w:t xml:space="preserve"> inevitably</w:t>
      </w:r>
      <w:r w:rsidR="0092050E">
        <w:rPr>
          <w:rFonts w:ascii="Times New Roman" w:hAnsi="Times New Roman" w:cs="Times New Roman"/>
          <w:sz w:val="24"/>
          <w:szCs w:val="24"/>
        </w:rPr>
        <w:t xml:space="preserve"> support the trustees’ obligation to account, is flawed.</w:t>
      </w:r>
      <w:r w:rsidR="00DA08F1">
        <w:rPr>
          <w:rStyle w:val="FootnoteReference"/>
          <w:rFonts w:ascii="Times New Roman" w:hAnsi="Times New Roman" w:cs="Times New Roman"/>
          <w:sz w:val="24"/>
          <w:szCs w:val="24"/>
        </w:rPr>
        <w:footnoteReference w:id="104"/>
      </w:r>
      <w:r w:rsidR="00FD0089">
        <w:rPr>
          <w:rFonts w:ascii="Times New Roman" w:hAnsi="Times New Roman" w:cs="Times New Roman"/>
          <w:sz w:val="24"/>
          <w:szCs w:val="24"/>
        </w:rPr>
        <w:t xml:space="preserve"> </w:t>
      </w:r>
      <w:r w:rsidR="00666387">
        <w:rPr>
          <w:rFonts w:ascii="Times New Roman" w:hAnsi="Times New Roman" w:cs="Times New Roman"/>
          <w:sz w:val="24"/>
          <w:szCs w:val="24"/>
        </w:rPr>
        <w:t xml:space="preserve">The insubstantial and peripheral connection with the trust, both in terms of the intentions of the settlor and in the administration of the trust, means that the default charity has little of no incentive or will to ensure that the trust is administered properly. </w:t>
      </w:r>
      <w:r w:rsidR="00A46D77">
        <w:rPr>
          <w:rFonts w:ascii="Times New Roman" w:hAnsi="Times New Roman" w:cs="Times New Roman"/>
          <w:sz w:val="24"/>
          <w:szCs w:val="24"/>
        </w:rPr>
        <w:t>T</w:t>
      </w:r>
      <w:r w:rsidR="00FD0089">
        <w:rPr>
          <w:rFonts w:ascii="Times New Roman" w:hAnsi="Times New Roman" w:cs="Times New Roman"/>
          <w:sz w:val="24"/>
          <w:szCs w:val="24"/>
        </w:rPr>
        <w:t>he general expectation is that the def</w:t>
      </w:r>
      <w:r w:rsidR="00D75E30">
        <w:rPr>
          <w:rFonts w:ascii="Times New Roman" w:hAnsi="Times New Roman" w:cs="Times New Roman"/>
          <w:sz w:val="24"/>
          <w:szCs w:val="24"/>
        </w:rPr>
        <w:t xml:space="preserve">ault charity does not </w:t>
      </w:r>
      <w:r w:rsidR="00FD0089">
        <w:rPr>
          <w:rFonts w:ascii="Times New Roman" w:hAnsi="Times New Roman" w:cs="Times New Roman"/>
          <w:sz w:val="24"/>
          <w:szCs w:val="24"/>
        </w:rPr>
        <w:t>benefit from the trust</w:t>
      </w:r>
      <w:r w:rsidR="00D75E30">
        <w:rPr>
          <w:rFonts w:ascii="Times New Roman" w:hAnsi="Times New Roman" w:cs="Times New Roman"/>
          <w:sz w:val="24"/>
          <w:szCs w:val="24"/>
        </w:rPr>
        <w:t>, or at least only as a last resort.</w:t>
      </w:r>
      <w:r w:rsidR="0011079F">
        <w:rPr>
          <w:rStyle w:val="FootnoteReference"/>
          <w:rFonts w:ascii="Times New Roman" w:hAnsi="Times New Roman" w:cs="Times New Roman"/>
          <w:sz w:val="24"/>
          <w:szCs w:val="24"/>
        </w:rPr>
        <w:footnoteReference w:id="105"/>
      </w:r>
      <w:r w:rsidR="00890974">
        <w:rPr>
          <w:rFonts w:ascii="Times New Roman" w:hAnsi="Times New Roman" w:cs="Times New Roman"/>
          <w:sz w:val="24"/>
          <w:szCs w:val="24"/>
        </w:rPr>
        <w:t xml:space="preserve"> </w:t>
      </w:r>
      <w:r w:rsidR="00D75E30">
        <w:rPr>
          <w:rFonts w:ascii="Times New Roman" w:hAnsi="Times New Roman" w:cs="Times New Roman"/>
          <w:sz w:val="24"/>
          <w:szCs w:val="24"/>
        </w:rPr>
        <w:t xml:space="preserve">Consequently it might be argued that </w:t>
      </w:r>
      <w:r w:rsidR="00890974">
        <w:rPr>
          <w:rFonts w:ascii="Times New Roman" w:hAnsi="Times New Roman" w:cs="Times New Roman"/>
          <w:sz w:val="24"/>
          <w:szCs w:val="24"/>
        </w:rPr>
        <w:t xml:space="preserve">whilst the charity will have certain rights to trust information: as the beneficiary that will ensure the </w:t>
      </w:r>
      <w:r w:rsidR="00890974">
        <w:rPr>
          <w:rFonts w:ascii="Times New Roman" w:hAnsi="Times New Roman" w:cs="Times New Roman"/>
          <w:sz w:val="24"/>
          <w:szCs w:val="24"/>
        </w:rPr>
        <w:lastRenderedPageBreak/>
        <w:t>accountability of the trustees, it is p</w:t>
      </w:r>
      <w:r w:rsidR="005F66AE">
        <w:rPr>
          <w:rFonts w:ascii="Times New Roman" w:hAnsi="Times New Roman" w:cs="Times New Roman"/>
          <w:sz w:val="24"/>
          <w:szCs w:val="24"/>
        </w:rPr>
        <w:t>redictable that these rights will</w:t>
      </w:r>
      <w:r w:rsidR="00221277">
        <w:rPr>
          <w:rFonts w:ascii="Times New Roman" w:hAnsi="Times New Roman" w:cs="Times New Roman"/>
          <w:sz w:val="24"/>
          <w:szCs w:val="24"/>
        </w:rPr>
        <w:t xml:space="preserve"> not be exercised</w:t>
      </w:r>
      <w:r w:rsidR="009C6993">
        <w:rPr>
          <w:rFonts w:ascii="Times New Roman" w:hAnsi="Times New Roman" w:cs="Times New Roman"/>
          <w:sz w:val="24"/>
          <w:szCs w:val="24"/>
        </w:rPr>
        <w:t>.</w:t>
      </w:r>
      <w:r w:rsidR="0011079F">
        <w:rPr>
          <w:rStyle w:val="FootnoteReference"/>
          <w:rFonts w:ascii="Times New Roman" w:hAnsi="Times New Roman" w:cs="Times New Roman"/>
          <w:sz w:val="24"/>
          <w:szCs w:val="24"/>
        </w:rPr>
        <w:footnoteReference w:id="106"/>
      </w:r>
      <w:r w:rsidR="0011079F">
        <w:rPr>
          <w:rFonts w:ascii="Times New Roman" w:hAnsi="Times New Roman" w:cs="Times New Roman"/>
          <w:sz w:val="24"/>
          <w:szCs w:val="24"/>
        </w:rPr>
        <w:t xml:space="preserve"> </w:t>
      </w:r>
      <w:r w:rsidR="00221277">
        <w:rPr>
          <w:rFonts w:ascii="Times New Roman" w:hAnsi="Times New Roman" w:cs="Times New Roman"/>
          <w:sz w:val="24"/>
          <w:szCs w:val="24"/>
        </w:rPr>
        <w:t>Therefore, it is submitted that black hole trusts which rely on the default charity to ensure the trustee</w:t>
      </w:r>
      <w:r w:rsidR="00303EDD">
        <w:rPr>
          <w:rFonts w:ascii="Times New Roman" w:hAnsi="Times New Roman" w:cs="Times New Roman"/>
          <w:sz w:val="24"/>
          <w:szCs w:val="24"/>
        </w:rPr>
        <w:t>’s obligation to account, are</w:t>
      </w:r>
      <w:r w:rsidR="00221277">
        <w:rPr>
          <w:rFonts w:ascii="Times New Roman" w:hAnsi="Times New Roman" w:cs="Times New Roman"/>
          <w:sz w:val="24"/>
          <w:szCs w:val="24"/>
        </w:rPr>
        <w:t xml:space="preserve"> invalid</w:t>
      </w:r>
      <w:r w:rsidR="005F66AE">
        <w:rPr>
          <w:rFonts w:ascii="Times New Roman" w:hAnsi="Times New Roman" w:cs="Times New Roman"/>
          <w:sz w:val="24"/>
          <w:szCs w:val="24"/>
        </w:rPr>
        <w:t>.</w:t>
      </w:r>
      <w:r w:rsidR="00E57F26">
        <w:rPr>
          <w:rFonts w:ascii="Times New Roman" w:hAnsi="Times New Roman" w:cs="Times New Roman"/>
          <w:sz w:val="24"/>
          <w:szCs w:val="24"/>
        </w:rPr>
        <w:t xml:space="preserve"> </w:t>
      </w:r>
    </w:p>
    <w:p w:rsidR="005F66AE" w:rsidRDefault="005F66AE" w:rsidP="00915459">
      <w:pPr>
        <w:spacing w:after="0"/>
        <w:jc w:val="both"/>
        <w:rPr>
          <w:rFonts w:ascii="Times New Roman" w:hAnsi="Times New Roman" w:cs="Times New Roman"/>
          <w:sz w:val="24"/>
          <w:szCs w:val="24"/>
        </w:rPr>
      </w:pPr>
    </w:p>
    <w:p w:rsidR="00BE3492" w:rsidRDefault="002B29F0" w:rsidP="002B29F0">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ii) </w:t>
      </w:r>
      <w:r w:rsidR="00C57F10" w:rsidRPr="002B29F0">
        <w:rPr>
          <w:rFonts w:ascii="Times New Roman" w:hAnsi="Times New Roman" w:cs="Times New Roman"/>
          <w:sz w:val="24"/>
          <w:szCs w:val="24"/>
          <w:u w:val="single"/>
        </w:rPr>
        <w:t>Information rights</w:t>
      </w:r>
    </w:p>
    <w:p w:rsidR="00230025" w:rsidRPr="002B29F0" w:rsidRDefault="00230025" w:rsidP="00917985">
      <w:pPr>
        <w:spacing w:after="0"/>
        <w:jc w:val="both"/>
        <w:rPr>
          <w:rFonts w:ascii="Times New Roman" w:hAnsi="Times New Roman" w:cs="Times New Roman"/>
          <w:sz w:val="16"/>
          <w:szCs w:val="16"/>
        </w:rPr>
      </w:pPr>
    </w:p>
    <w:p w:rsidR="009D6345" w:rsidRPr="009D6345" w:rsidRDefault="009D6345" w:rsidP="009E48C8">
      <w:pPr>
        <w:spacing w:after="0"/>
        <w:jc w:val="both"/>
        <w:rPr>
          <w:rFonts w:ascii="Times New Roman" w:hAnsi="Times New Roman" w:cs="Times New Roman"/>
          <w:sz w:val="24"/>
          <w:szCs w:val="24"/>
        </w:rPr>
      </w:pPr>
      <w:r>
        <w:rPr>
          <w:rFonts w:ascii="Times New Roman" w:hAnsi="Times New Roman" w:cs="Times New Roman"/>
          <w:sz w:val="24"/>
          <w:szCs w:val="24"/>
        </w:rPr>
        <w:t xml:space="preserve">If it is accepted that, on some occasions, it is the default charity that provides the element of accountability in the trust, then a further element must be considered: The trustees may come under a duty to inform the charity that they </w:t>
      </w:r>
      <w:r>
        <w:rPr>
          <w:rFonts w:ascii="Times New Roman" w:hAnsi="Times New Roman" w:cs="Times New Roman"/>
          <w:i/>
          <w:sz w:val="24"/>
          <w:szCs w:val="24"/>
        </w:rPr>
        <w:t xml:space="preserve">are </w:t>
      </w:r>
      <w:r>
        <w:rPr>
          <w:rFonts w:ascii="Times New Roman" w:hAnsi="Times New Roman" w:cs="Times New Roman"/>
          <w:sz w:val="24"/>
          <w:szCs w:val="24"/>
        </w:rPr>
        <w:t>a beneficiary.</w:t>
      </w:r>
      <w:r w:rsidR="000644A7">
        <w:rPr>
          <w:rStyle w:val="FootnoteReference"/>
          <w:rFonts w:ascii="Times New Roman" w:hAnsi="Times New Roman" w:cs="Times New Roman"/>
          <w:sz w:val="24"/>
          <w:szCs w:val="24"/>
        </w:rPr>
        <w:footnoteReference w:id="107"/>
      </w:r>
    </w:p>
    <w:p w:rsidR="00402FF9" w:rsidRDefault="009D6345" w:rsidP="006171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03739">
        <w:rPr>
          <w:rFonts w:ascii="Times New Roman" w:hAnsi="Times New Roman" w:cs="Times New Roman"/>
          <w:sz w:val="24"/>
          <w:szCs w:val="24"/>
        </w:rPr>
        <w:t>Under English trust law it appears to be accepted</w:t>
      </w:r>
      <w:r w:rsidR="007254C2">
        <w:rPr>
          <w:rFonts w:ascii="Times New Roman" w:hAnsi="Times New Roman" w:cs="Times New Roman"/>
          <w:sz w:val="24"/>
          <w:szCs w:val="24"/>
        </w:rPr>
        <w:t xml:space="preserve"> that </w:t>
      </w:r>
      <w:r w:rsidR="00BB499F">
        <w:rPr>
          <w:rFonts w:ascii="Times New Roman" w:hAnsi="Times New Roman" w:cs="Times New Roman"/>
          <w:sz w:val="24"/>
          <w:szCs w:val="24"/>
        </w:rPr>
        <w:t>trustees are under a duty to inform benefici</w:t>
      </w:r>
      <w:r w:rsidR="00216982">
        <w:rPr>
          <w:rFonts w:ascii="Times New Roman" w:hAnsi="Times New Roman" w:cs="Times New Roman"/>
          <w:sz w:val="24"/>
          <w:szCs w:val="24"/>
        </w:rPr>
        <w:t>aries of their interest under the trust</w:t>
      </w:r>
      <w:r w:rsidR="00BB499F">
        <w:rPr>
          <w:rFonts w:ascii="Times New Roman" w:hAnsi="Times New Roman" w:cs="Times New Roman"/>
          <w:sz w:val="24"/>
          <w:szCs w:val="24"/>
        </w:rPr>
        <w:t>.</w:t>
      </w:r>
      <w:r w:rsidR="00BB499F">
        <w:rPr>
          <w:rStyle w:val="FootnoteReference"/>
          <w:rFonts w:ascii="Times New Roman" w:hAnsi="Times New Roman" w:cs="Times New Roman"/>
          <w:sz w:val="24"/>
          <w:szCs w:val="24"/>
        </w:rPr>
        <w:footnoteReference w:id="108"/>
      </w:r>
      <w:r w:rsidR="00203739">
        <w:rPr>
          <w:rFonts w:ascii="Times New Roman" w:hAnsi="Times New Roman" w:cs="Times New Roman"/>
          <w:sz w:val="24"/>
          <w:szCs w:val="24"/>
        </w:rPr>
        <w:t xml:space="preserve"> This duty </w:t>
      </w:r>
      <w:r w:rsidR="00AC4305">
        <w:rPr>
          <w:rFonts w:ascii="Times New Roman" w:hAnsi="Times New Roman" w:cs="Times New Roman"/>
          <w:sz w:val="24"/>
          <w:szCs w:val="24"/>
        </w:rPr>
        <w:t>is part of</w:t>
      </w:r>
      <w:r w:rsidR="00976BAD">
        <w:rPr>
          <w:rFonts w:ascii="Times New Roman" w:hAnsi="Times New Roman" w:cs="Times New Roman"/>
          <w:sz w:val="24"/>
          <w:szCs w:val="24"/>
        </w:rPr>
        <w:t xml:space="preserve"> the trustee’s duty to account</w:t>
      </w:r>
      <w:r w:rsidR="00303EDD">
        <w:rPr>
          <w:rFonts w:ascii="Times New Roman" w:hAnsi="Times New Roman" w:cs="Times New Roman"/>
          <w:sz w:val="24"/>
          <w:szCs w:val="24"/>
        </w:rPr>
        <w:t xml:space="preserve"> to the beneficiaries for the property</w:t>
      </w:r>
      <w:r w:rsidR="00976BAD">
        <w:rPr>
          <w:rFonts w:ascii="Times New Roman" w:hAnsi="Times New Roman" w:cs="Times New Roman"/>
          <w:sz w:val="24"/>
          <w:szCs w:val="24"/>
        </w:rPr>
        <w:t>:</w:t>
      </w:r>
      <w:r w:rsidR="009E48C8">
        <w:rPr>
          <w:rStyle w:val="FootnoteReference"/>
          <w:rFonts w:ascii="Times New Roman" w:hAnsi="Times New Roman" w:cs="Times New Roman"/>
          <w:sz w:val="24"/>
          <w:szCs w:val="24"/>
        </w:rPr>
        <w:footnoteReference w:id="109"/>
      </w:r>
      <w:r w:rsidR="00203739">
        <w:rPr>
          <w:rFonts w:ascii="Times New Roman" w:hAnsi="Times New Roman" w:cs="Times New Roman"/>
          <w:sz w:val="24"/>
          <w:szCs w:val="24"/>
        </w:rPr>
        <w:t xml:space="preserve"> </w:t>
      </w:r>
      <w:r w:rsidR="00976BAD">
        <w:rPr>
          <w:rFonts w:ascii="Times New Roman" w:hAnsi="Times New Roman" w:cs="Times New Roman"/>
          <w:sz w:val="24"/>
          <w:szCs w:val="24"/>
        </w:rPr>
        <w:t>U</w:t>
      </w:r>
      <w:r w:rsidR="009E48C8">
        <w:rPr>
          <w:rFonts w:ascii="Times New Roman" w:hAnsi="Times New Roman" w:cs="Times New Roman"/>
          <w:sz w:val="24"/>
          <w:szCs w:val="24"/>
        </w:rPr>
        <w:t>nless the beneficiaries are aware of their status, they cannot exercise their rights</w:t>
      </w:r>
      <w:r w:rsidR="00E3774B">
        <w:rPr>
          <w:rFonts w:ascii="Times New Roman" w:hAnsi="Times New Roman" w:cs="Times New Roman"/>
          <w:sz w:val="24"/>
          <w:szCs w:val="24"/>
        </w:rPr>
        <w:t>: for payment, for consideration, for trust information</w:t>
      </w:r>
      <w:r w:rsidR="00303EDD">
        <w:rPr>
          <w:rFonts w:ascii="Times New Roman" w:hAnsi="Times New Roman" w:cs="Times New Roman"/>
          <w:sz w:val="24"/>
          <w:szCs w:val="24"/>
        </w:rPr>
        <w:t xml:space="preserve"> and performance.</w:t>
      </w:r>
      <w:r w:rsidR="00035E1A">
        <w:rPr>
          <w:rStyle w:val="FootnoteReference"/>
          <w:rFonts w:ascii="Times New Roman" w:hAnsi="Times New Roman" w:cs="Times New Roman"/>
          <w:sz w:val="24"/>
          <w:szCs w:val="24"/>
        </w:rPr>
        <w:footnoteReference w:id="110"/>
      </w:r>
      <w:r w:rsidR="00EE3B61">
        <w:rPr>
          <w:rFonts w:ascii="Times New Roman" w:hAnsi="Times New Roman" w:cs="Times New Roman"/>
          <w:sz w:val="24"/>
          <w:szCs w:val="24"/>
        </w:rPr>
        <w:t xml:space="preserve"> </w:t>
      </w:r>
      <w:r w:rsidR="00203739">
        <w:rPr>
          <w:rFonts w:ascii="Times New Roman" w:hAnsi="Times New Roman" w:cs="Times New Roman"/>
          <w:sz w:val="24"/>
          <w:szCs w:val="24"/>
        </w:rPr>
        <w:t>They</w:t>
      </w:r>
      <w:r w:rsidR="00625955">
        <w:rPr>
          <w:rFonts w:ascii="Times New Roman" w:hAnsi="Times New Roman" w:cs="Times New Roman"/>
          <w:sz w:val="24"/>
          <w:szCs w:val="24"/>
        </w:rPr>
        <w:t xml:space="preserve"> cannot hold the trustees to account </w:t>
      </w:r>
      <w:r w:rsidR="000F2F0C" w:rsidRPr="00A5729E">
        <w:rPr>
          <w:rFonts w:ascii="Times New Roman" w:hAnsi="Times New Roman" w:cs="Times New Roman"/>
          <w:sz w:val="24"/>
          <w:szCs w:val="24"/>
        </w:rPr>
        <w:t xml:space="preserve">for their stewardship of the </w:t>
      </w:r>
      <w:r w:rsidR="00625955">
        <w:rPr>
          <w:rFonts w:ascii="Times New Roman" w:hAnsi="Times New Roman" w:cs="Times New Roman"/>
          <w:sz w:val="24"/>
          <w:szCs w:val="24"/>
        </w:rPr>
        <w:t>trust assets</w:t>
      </w:r>
      <w:r w:rsidR="000F2F0C" w:rsidRPr="00A5729E">
        <w:rPr>
          <w:rFonts w:ascii="Times New Roman" w:hAnsi="Times New Roman" w:cs="Times New Roman"/>
          <w:sz w:val="24"/>
          <w:szCs w:val="24"/>
        </w:rPr>
        <w:t>.</w:t>
      </w:r>
      <w:r w:rsidR="00B14AB4" w:rsidRPr="00EF54DE">
        <w:rPr>
          <w:rStyle w:val="FootnoteReference"/>
          <w:rFonts w:ascii="Times New Roman" w:hAnsi="Times New Roman" w:cs="Times New Roman"/>
        </w:rPr>
        <w:footnoteReference w:id="111"/>
      </w:r>
      <w:r w:rsidR="000F2F0C" w:rsidRPr="00A5729E">
        <w:rPr>
          <w:rFonts w:ascii="Times New Roman" w:hAnsi="Times New Roman" w:cs="Times New Roman"/>
          <w:sz w:val="24"/>
          <w:szCs w:val="24"/>
        </w:rPr>
        <w:t xml:space="preserve"> No correlative </w:t>
      </w:r>
      <w:r w:rsidR="00625955">
        <w:rPr>
          <w:rFonts w:ascii="Times New Roman" w:hAnsi="Times New Roman" w:cs="Times New Roman"/>
          <w:sz w:val="24"/>
          <w:szCs w:val="24"/>
        </w:rPr>
        <w:t>right:</w:t>
      </w:r>
      <w:r w:rsidR="00A5729E">
        <w:rPr>
          <w:rFonts w:ascii="Times New Roman" w:hAnsi="Times New Roman" w:cs="Times New Roman"/>
          <w:sz w:val="24"/>
          <w:szCs w:val="24"/>
        </w:rPr>
        <w:t xml:space="preserve"> no trust obligation</w:t>
      </w:r>
      <w:r w:rsidR="00625955">
        <w:rPr>
          <w:rFonts w:ascii="Times New Roman" w:hAnsi="Times New Roman" w:cs="Times New Roman"/>
          <w:sz w:val="24"/>
          <w:szCs w:val="24"/>
        </w:rPr>
        <w:t xml:space="preserve">, </w:t>
      </w:r>
      <w:r w:rsidR="000F2F0C" w:rsidRPr="00A5729E">
        <w:rPr>
          <w:rFonts w:ascii="Times New Roman" w:hAnsi="Times New Roman" w:cs="Times New Roman"/>
          <w:sz w:val="24"/>
          <w:szCs w:val="24"/>
        </w:rPr>
        <w:t xml:space="preserve">according to </w:t>
      </w:r>
      <w:r w:rsidR="00625955">
        <w:rPr>
          <w:rFonts w:ascii="Times New Roman" w:hAnsi="Times New Roman" w:cs="Times New Roman"/>
          <w:sz w:val="24"/>
          <w:szCs w:val="24"/>
        </w:rPr>
        <w:t xml:space="preserve">both </w:t>
      </w:r>
      <w:proofErr w:type="spellStart"/>
      <w:r w:rsidR="000F2F0C" w:rsidRPr="00A5729E">
        <w:rPr>
          <w:rFonts w:ascii="Times New Roman" w:hAnsi="Times New Roman" w:cs="Times New Roman"/>
          <w:sz w:val="24"/>
          <w:szCs w:val="24"/>
        </w:rPr>
        <w:t>Hohfeld</w:t>
      </w:r>
      <w:proofErr w:type="spellEnd"/>
      <w:r w:rsidR="00625955">
        <w:rPr>
          <w:rFonts w:ascii="Times New Roman" w:hAnsi="Times New Roman" w:cs="Times New Roman"/>
          <w:sz w:val="24"/>
          <w:szCs w:val="24"/>
        </w:rPr>
        <w:t xml:space="preserve"> and </w:t>
      </w:r>
      <w:proofErr w:type="spellStart"/>
      <w:r w:rsidR="00625955">
        <w:rPr>
          <w:rFonts w:ascii="Times New Roman" w:hAnsi="Times New Roman" w:cs="Times New Roman"/>
          <w:sz w:val="24"/>
          <w:szCs w:val="24"/>
        </w:rPr>
        <w:t>Pothier</w:t>
      </w:r>
      <w:proofErr w:type="spellEnd"/>
      <w:r w:rsidR="000F2F0C" w:rsidRPr="00A5729E">
        <w:rPr>
          <w:rFonts w:ascii="Times New Roman" w:hAnsi="Times New Roman" w:cs="Times New Roman"/>
          <w:sz w:val="24"/>
          <w:szCs w:val="24"/>
        </w:rPr>
        <w:t>.</w:t>
      </w:r>
      <w:r w:rsidR="000F2F0C" w:rsidRPr="00A5729E">
        <w:rPr>
          <w:rStyle w:val="FootnoteReference"/>
          <w:rFonts w:ascii="Times New Roman" w:hAnsi="Times New Roman" w:cs="Times New Roman"/>
          <w:sz w:val="24"/>
          <w:szCs w:val="24"/>
        </w:rPr>
        <w:footnoteReference w:id="112"/>
      </w:r>
      <w:r w:rsidR="00EF54DE">
        <w:rPr>
          <w:rFonts w:ascii="Times New Roman" w:hAnsi="Times New Roman" w:cs="Times New Roman"/>
          <w:sz w:val="24"/>
          <w:szCs w:val="24"/>
        </w:rPr>
        <w:t xml:space="preserve"> </w:t>
      </w:r>
      <w:r w:rsidR="000F2F0C">
        <w:rPr>
          <w:rFonts w:ascii="Times New Roman" w:hAnsi="Times New Roman" w:cs="Times New Roman"/>
          <w:sz w:val="24"/>
          <w:szCs w:val="24"/>
        </w:rPr>
        <w:t xml:space="preserve">With a fixed interest trust, </w:t>
      </w:r>
      <w:r w:rsidR="00CE1D39">
        <w:rPr>
          <w:rFonts w:ascii="Times New Roman" w:hAnsi="Times New Roman" w:cs="Times New Roman"/>
          <w:sz w:val="24"/>
          <w:szCs w:val="24"/>
        </w:rPr>
        <w:t>the trustee must find and pay the beneficiary, if he is entitled, or at least make him aware that he is a beneficiary and of his rights to call for the property.</w:t>
      </w:r>
      <w:r w:rsidR="00886991">
        <w:rPr>
          <w:rStyle w:val="FootnoteReference"/>
          <w:rFonts w:ascii="Times New Roman" w:hAnsi="Times New Roman" w:cs="Times New Roman"/>
          <w:sz w:val="24"/>
          <w:szCs w:val="24"/>
        </w:rPr>
        <w:footnoteReference w:id="113"/>
      </w:r>
      <w:r w:rsidR="0082122B">
        <w:rPr>
          <w:rFonts w:ascii="Times New Roman" w:hAnsi="Times New Roman" w:cs="Times New Roman"/>
          <w:sz w:val="24"/>
          <w:szCs w:val="24"/>
        </w:rPr>
        <w:t xml:space="preserve"> </w:t>
      </w:r>
      <w:r w:rsidR="000F2F0C" w:rsidRPr="00EF54DE">
        <w:rPr>
          <w:rFonts w:ascii="Times New Roman" w:hAnsi="Times New Roman" w:cs="Times New Roman"/>
          <w:sz w:val="24"/>
          <w:szCs w:val="24"/>
        </w:rPr>
        <w:t>In the case of a discretionary trust,</w:t>
      </w:r>
      <w:r w:rsidR="00EF54DE" w:rsidRPr="00EF54DE">
        <w:rPr>
          <w:rFonts w:ascii="Times New Roman" w:hAnsi="Times New Roman" w:cs="Times New Roman"/>
          <w:sz w:val="24"/>
          <w:szCs w:val="24"/>
        </w:rPr>
        <w:t xml:space="preserve"> the</w:t>
      </w:r>
      <w:r w:rsidR="00B14AB4">
        <w:rPr>
          <w:rFonts w:ascii="Times New Roman" w:hAnsi="Times New Roman" w:cs="Times New Roman"/>
          <w:sz w:val="24"/>
          <w:szCs w:val="24"/>
        </w:rPr>
        <w:t xml:space="preserve"> duty extends as far as taking</w:t>
      </w:r>
      <w:r w:rsidR="00EF54DE" w:rsidRPr="00EF54DE">
        <w:rPr>
          <w:rFonts w:ascii="Times New Roman" w:hAnsi="Times New Roman" w:cs="Times New Roman"/>
          <w:sz w:val="24"/>
          <w:szCs w:val="24"/>
        </w:rPr>
        <w:t xml:space="preserve"> reasonable steps to inform the </w:t>
      </w:r>
      <w:r w:rsidR="00EF54DE" w:rsidRPr="00EF54DE">
        <w:rPr>
          <w:rFonts w:ascii="Times New Roman" w:hAnsi="Times New Roman" w:cs="Times New Roman"/>
          <w:sz w:val="24"/>
          <w:szCs w:val="24"/>
        </w:rPr>
        <w:lastRenderedPageBreak/>
        <w:t>beneficiaries of their rights to put their case to t</w:t>
      </w:r>
      <w:r w:rsidR="00886991">
        <w:rPr>
          <w:rFonts w:ascii="Times New Roman" w:hAnsi="Times New Roman" w:cs="Times New Roman"/>
          <w:sz w:val="24"/>
          <w:szCs w:val="24"/>
        </w:rPr>
        <w:t>he trustees for a distribution.</w:t>
      </w:r>
      <w:r w:rsidR="00EF54DE" w:rsidRPr="00EF54DE">
        <w:rPr>
          <w:rStyle w:val="FootnoteReference"/>
          <w:rFonts w:ascii="Times New Roman" w:hAnsi="Times New Roman" w:cs="Times New Roman"/>
          <w:sz w:val="24"/>
          <w:szCs w:val="24"/>
        </w:rPr>
        <w:footnoteReference w:id="114"/>
      </w:r>
      <w:r w:rsidR="00DF602D">
        <w:rPr>
          <w:rFonts w:ascii="Times New Roman" w:hAnsi="Times New Roman" w:cs="Times New Roman"/>
          <w:sz w:val="24"/>
          <w:szCs w:val="24"/>
        </w:rPr>
        <w:t xml:space="preserve"> </w:t>
      </w:r>
      <w:r w:rsidR="00402FF9">
        <w:rPr>
          <w:rFonts w:ascii="Times New Roman" w:hAnsi="Times New Roman" w:cs="Times New Roman"/>
          <w:sz w:val="24"/>
          <w:szCs w:val="24"/>
        </w:rPr>
        <w:t>The Jersey Law Commission considers that this duty to inform beneficiaries of their status is part of</w:t>
      </w:r>
      <w:r w:rsidR="006171BC">
        <w:rPr>
          <w:rFonts w:ascii="Times New Roman" w:hAnsi="Times New Roman" w:cs="Times New Roman"/>
          <w:sz w:val="24"/>
          <w:szCs w:val="24"/>
        </w:rPr>
        <w:t xml:space="preserve"> </w:t>
      </w:r>
      <w:r w:rsidR="00402FF9">
        <w:rPr>
          <w:rFonts w:ascii="Times New Roman" w:hAnsi="Times New Roman" w:cs="Times New Roman"/>
          <w:sz w:val="24"/>
          <w:szCs w:val="24"/>
        </w:rPr>
        <w:t>Jersey trust law, although commented that the English law was uncertain.</w:t>
      </w:r>
      <w:r w:rsidR="00402FF9">
        <w:rPr>
          <w:rStyle w:val="FootnoteReference"/>
          <w:rFonts w:ascii="Times New Roman" w:hAnsi="Times New Roman" w:cs="Times New Roman"/>
          <w:sz w:val="24"/>
          <w:szCs w:val="24"/>
        </w:rPr>
        <w:footnoteReference w:id="115"/>
      </w:r>
    </w:p>
    <w:p w:rsidR="00402FF9" w:rsidRPr="00715220" w:rsidRDefault="00402FF9" w:rsidP="006171BC">
      <w:pPr>
        <w:spacing w:after="0"/>
        <w:jc w:val="both"/>
        <w:rPr>
          <w:rFonts w:ascii="Times New Roman" w:hAnsi="Times New Roman" w:cs="Times New Roman"/>
        </w:rPr>
      </w:pPr>
    </w:p>
    <w:p w:rsidR="006171BC" w:rsidRPr="00715220" w:rsidRDefault="006171BC" w:rsidP="00715220">
      <w:pPr>
        <w:spacing w:after="0"/>
        <w:ind w:left="720"/>
        <w:jc w:val="both"/>
        <w:rPr>
          <w:rFonts w:ascii="Times New Roman" w:hAnsi="Times New Roman" w:cs="Times New Roman"/>
        </w:rPr>
      </w:pPr>
      <w:r w:rsidRPr="00715220">
        <w:rPr>
          <w:rFonts w:ascii="Times New Roman" w:hAnsi="Times New Roman" w:cs="Times New Roman"/>
        </w:rPr>
        <w:t>“A strong argument can therefore be made that a beneficiary is entitled to know of the fact of his interest… However, the Trusts (Jersey) Law 1984 does not make any express provision in this respect, and whilst it is felt that here Jersey law will follow English law the English law is itself relatively uncertain.”</w:t>
      </w:r>
    </w:p>
    <w:p w:rsidR="006171BC" w:rsidRPr="00715220" w:rsidRDefault="006171BC" w:rsidP="006171BC">
      <w:pPr>
        <w:spacing w:after="0"/>
        <w:jc w:val="both"/>
        <w:rPr>
          <w:rFonts w:ascii="Times New Roman" w:hAnsi="Times New Roman" w:cs="Times New Roman"/>
        </w:rPr>
      </w:pPr>
    </w:p>
    <w:p w:rsidR="00CA56B4" w:rsidRDefault="00303EDD" w:rsidP="008B1F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602D">
        <w:rPr>
          <w:rFonts w:ascii="Times New Roman" w:hAnsi="Times New Roman" w:cs="Times New Roman"/>
          <w:sz w:val="24"/>
          <w:szCs w:val="24"/>
        </w:rPr>
        <w:t>Considering black hole trusts</w:t>
      </w:r>
      <w:r w:rsidR="00BE1ECC">
        <w:rPr>
          <w:rFonts w:ascii="Times New Roman" w:hAnsi="Times New Roman" w:cs="Times New Roman"/>
          <w:sz w:val="24"/>
          <w:szCs w:val="24"/>
        </w:rPr>
        <w:t>, w</w:t>
      </w:r>
      <w:r w:rsidR="008B1F3D">
        <w:rPr>
          <w:rFonts w:ascii="Times New Roman" w:hAnsi="Times New Roman" w:cs="Times New Roman"/>
          <w:sz w:val="24"/>
          <w:szCs w:val="24"/>
        </w:rPr>
        <w:t>here there have been beneficiaries appointed into the class, e.g.</w:t>
      </w:r>
      <w:r w:rsidR="008E12E3">
        <w:rPr>
          <w:rFonts w:ascii="Times New Roman" w:hAnsi="Times New Roman" w:cs="Times New Roman"/>
          <w:sz w:val="24"/>
          <w:szCs w:val="24"/>
        </w:rPr>
        <w:t xml:space="preserve"> the settlor and his issue, </w:t>
      </w:r>
      <w:r w:rsidR="008B1F3D">
        <w:rPr>
          <w:rFonts w:ascii="Times New Roman" w:hAnsi="Times New Roman" w:cs="Times New Roman"/>
          <w:sz w:val="24"/>
          <w:szCs w:val="24"/>
        </w:rPr>
        <w:t>they will have rights of information and a right to be informed of their status. This will ensure the ex</w:t>
      </w:r>
      <w:r w:rsidR="008E12E3">
        <w:rPr>
          <w:rFonts w:ascii="Times New Roman" w:hAnsi="Times New Roman" w:cs="Times New Roman"/>
          <w:sz w:val="24"/>
          <w:szCs w:val="24"/>
        </w:rPr>
        <w:t>istence of the trust obligation as it will be these primary beneficiaries that will hold the trustees to account.</w:t>
      </w:r>
      <w:r w:rsidR="00BE1ECC">
        <w:rPr>
          <w:rFonts w:ascii="Times New Roman" w:hAnsi="Times New Roman" w:cs="Times New Roman"/>
          <w:sz w:val="24"/>
          <w:szCs w:val="24"/>
        </w:rPr>
        <w:t xml:space="preserve"> However, </w:t>
      </w:r>
      <w:r w:rsidR="003E1AD8">
        <w:rPr>
          <w:rFonts w:ascii="Times New Roman" w:hAnsi="Times New Roman" w:cs="Times New Roman"/>
          <w:sz w:val="24"/>
          <w:szCs w:val="24"/>
        </w:rPr>
        <w:t>a</w:t>
      </w:r>
      <w:r w:rsidR="00BE1ECC">
        <w:rPr>
          <w:rFonts w:ascii="Times New Roman" w:hAnsi="Times New Roman" w:cs="Times New Roman"/>
          <w:sz w:val="24"/>
          <w:szCs w:val="24"/>
        </w:rPr>
        <w:t>s I have argued above, it may often be the default charity in a black hole trust that will have to support the trustees’ accounting obligation.</w:t>
      </w:r>
      <w:r w:rsidR="003E1AD8">
        <w:rPr>
          <w:rStyle w:val="FootnoteReference"/>
          <w:rFonts w:ascii="Times New Roman" w:hAnsi="Times New Roman" w:cs="Times New Roman"/>
          <w:sz w:val="24"/>
          <w:szCs w:val="24"/>
        </w:rPr>
        <w:footnoteReference w:id="116"/>
      </w:r>
      <w:r w:rsidR="003E1AD8">
        <w:rPr>
          <w:rFonts w:ascii="Times New Roman" w:hAnsi="Times New Roman" w:cs="Times New Roman"/>
          <w:sz w:val="24"/>
          <w:szCs w:val="24"/>
        </w:rPr>
        <w:t xml:space="preserve"> The position is the same as if there were an ordinary non-compellable power of appointment with a trust over in default.</w:t>
      </w:r>
      <w:r w:rsidR="003E1AD8">
        <w:rPr>
          <w:rStyle w:val="FootnoteReference"/>
          <w:rFonts w:ascii="Times New Roman" w:hAnsi="Times New Roman" w:cs="Times New Roman"/>
          <w:sz w:val="24"/>
          <w:szCs w:val="24"/>
        </w:rPr>
        <w:footnoteReference w:id="117"/>
      </w:r>
      <w:r w:rsidR="003E1AD8">
        <w:rPr>
          <w:rFonts w:ascii="Times New Roman" w:hAnsi="Times New Roman" w:cs="Times New Roman"/>
          <w:sz w:val="24"/>
          <w:szCs w:val="24"/>
        </w:rPr>
        <w:t xml:space="preserve"> Therefore, the effect of the above analysis is that w</w:t>
      </w:r>
      <w:r w:rsidR="00CA56B4">
        <w:rPr>
          <w:rFonts w:ascii="Times New Roman" w:hAnsi="Times New Roman" w:cs="Times New Roman"/>
          <w:sz w:val="24"/>
          <w:szCs w:val="24"/>
        </w:rPr>
        <w:t>here the default charity is the relevant beneficiary that holds the trustee to account, the trustees must inform the charity</w:t>
      </w:r>
      <w:r w:rsidR="00C01DF7">
        <w:rPr>
          <w:rFonts w:ascii="Times New Roman" w:hAnsi="Times New Roman" w:cs="Times New Roman"/>
          <w:sz w:val="24"/>
          <w:szCs w:val="24"/>
        </w:rPr>
        <w:t xml:space="preserve"> of its </w:t>
      </w:r>
      <w:r w:rsidR="00CA56B4">
        <w:rPr>
          <w:rFonts w:ascii="Times New Roman" w:hAnsi="Times New Roman" w:cs="Times New Roman"/>
          <w:sz w:val="24"/>
          <w:szCs w:val="24"/>
        </w:rPr>
        <w:t>statu</w:t>
      </w:r>
      <w:r w:rsidR="003E1AD8">
        <w:rPr>
          <w:rFonts w:ascii="Times New Roman" w:hAnsi="Times New Roman" w:cs="Times New Roman"/>
          <w:sz w:val="24"/>
          <w:szCs w:val="24"/>
        </w:rPr>
        <w:t>s as beneficiary. However, it may</w:t>
      </w:r>
      <w:r w:rsidR="00BC05A9">
        <w:rPr>
          <w:rFonts w:ascii="Times New Roman" w:hAnsi="Times New Roman" w:cs="Times New Roman"/>
          <w:sz w:val="24"/>
          <w:szCs w:val="24"/>
        </w:rPr>
        <w:t xml:space="preserve"> often</w:t>
      </w:r>
      <w:r w:rsidR="003E1AD8">
        <w:rPr>
          <w:rFonts w:ascii="Times New Roman" w:hAnsi="Times New Roman" w:cs="Times New Roman"/>
          <w:sz w:val="24"/>
          <w:szCs w:val="24"/>
        </w:rPr>
        <w:t xml:space="preserve"> be</w:t>
      </w:r>
      <w:r w:rsidR="00BC05A9">
        <w:rPr>
          <w:rFonts w:ascii="Times New Roman" w:hAnsi="Times New Roman" w:cs="Times New Roman"/>
          <w:sz w:val="24"/>
          <w:szCs w:val="24"/>
        </w:rPr>
        <w:t xml:space="preserve"> the case that these default charities are not informed of the</w:t>
      </w:r>
      <w:r w:rsidR="003E1AD8">
        <w:rPr>
          <w:rFonts w:ascii="Times New Roman" w:hAnsi="Times New Roman" w:cs="Times New Roman"/>
          <w:sz w:val="24"/>
          <w:szCs w:val="24"/>
        </w:rPr>
        <w:t xml:space="preserve"> existence of the</w:t>
      </w:r>
      <w:r w:rsidR="00BC05A9">
        <w:rPr>
          <w:rFonts w:ascii="Times New Roman" w:hAnsi="Times New Roman" w:cs="Times New Roman"/>
          <w:sz w:val="24"/>
          <w:szCs w:val="24"/>
        </w:rPr>
        <w:t xml:space="preserve"> trust. In such cases, and where there are no beneficiaries yet appointed into th</w:t>
      </w:r>
      <w:r w:rsidR="00DF602D">
        <w:rPr>
          <w:rFonts w:ascii="Times New Roman" w:hAnsi="Times New Roman" w:cs="Times New Roman"/>
          <w:sz w:val="24"/>
          <w:szCs w:val="24"/>
        </w:rPr>
        <w:t>e primary class, it is highly arguable</w:t>
      </w:r>
      <w:r w:rsidR="00BC05A9">
        <w:rPr>
          <w:rFonts w:ascii="Times New Roman" w:hAnsi="Times New Roman" w:cs="Times New Roman"/>
          <w:sz w:val="24"/>
          <w:szCs w:val="24"/>
        </w:rPr>
        <w:t xml:space="preserve"> that the trust is invalid.</w:t>
      </w:r>
    </w:p>
    <w:p w:rsidR="00BC05A9" w:rsidRDefault="00BC05A9" w:rsidP="008B1F3D">
      <w:pPr>
        <w:spacing w:after="0"/>
        <w:jc w:val="both"/>
        <w:rPr>
          <w:rFonts w:ascii="Times New Roman" w:hAnsi="Times New Roman" w:cs="Times New Roman"/>
          <w:sz w:val="24"/>
          <w:szCs w:val="24"/>
        </w:rPr>
      </w:pPr>
    </w:p>
    <w:p w:rsidR="00BC05A9" w:rsidRPr="00DF602D" w:rsidRDefault="00DF602D" w:rsidP="008B1F3D">
      <w:pPr>
        <w:spacing w:after="0"/>
        <w:jc w:val="both"/>
        <w:rPr>
          <w:rFonts w:ascii="Times New Roman" w:hAnsi="Times New Roman" w:cs="Times New Roman"/>
          <w:sz w:val="24"/>
          <w:szCs w:val="24"/>
        </w:rPr>
      </w:pPr>
      <w:r w:rsidRPr="00DF602D">
        <w:rPr>
          <w:rFonts w:ascii="Times New Roman" w:hAnsi="Times New Roman" w:cs="Times New Roman"/>
          <w:sz w:val="24"/>
          <w:szCs w:val="24"/>
        </w:rPr>
        <w:t xml:space="preserve">iii) </w:t>
      </w:r>
      <w:r w:rsidR="00BC05A9" w:rsidRPr="00DF602D">
        <w:rPr>
          <w:rFonts w:ascii="Times New Roman" w:hAnsi="Times New Roman" w:cs="Times New Roman"/>
          <w:sz w:val="24"/>
          <w:szCs w:val="24"/>
          <w:u w:val="single"/>
        </w:rPr>
        <w:t>Conclusions and reform</w:t>
      </w:r>
      <w:r w:rsidR="00AB506A">
        <w:rPr>
          <w:rFonts w:ascii="Times New Roman" w:hAnsi="Times New Roman" w:cs="Times New Roman"/>
          <w:sz w:val="24"/>
          <w:szCs w:val="24"/>
          <w:u w:val="single"/>
        </w:rPr>
        <w:t xml:space="preserve"> suggestions</w:t>
      </w:r>
    </w:p>
    <w:p w:rsidR="003F703F" w:rsidRDefault="003F703F" w:rsidP="009266E1">
      <w:pPr>
        <w:spacing w:after="0"/>
        <w:jc w:val="both"/>
        <w:rPr>
          <w:rFonts w:ascii="Times New Roman" w:hAnsi="Times New Roman" w:cs="Times New Roman"/>
          <w:sz w:val="16"/>
          <w:szCs w:val="16"/>
        </w:rPr>
      </w:pPr>
    </w:p>
    <w:p w:rsidR="002B26C5" w:rsidRDefault="00152ACF" w:rsidP="009266E1">
      <w:pPr>
        <w:spacing w:after="0"/>
        <w:jc w:val="both"/>
        <w:rPr>
          <w:rFonts w:ascii="Times New Roman" w:hAnsi="Times New Roman" w:cs="Times New Roman"/>
          <w:sz w:val="24"/>
          <w:szCs w:val="24"/>
        </w:rPr>
      </w:pPr>
      <w:r>
        <w:rPr>
          <w:rFonts w:ascii="Times New Roman" w:hAnsi="Times New Roman" w:cs="Times New Roman"/>
          <w:sz w:val="24"/>
          <w:szCs w:val="24"/>
        </w:rPr>
        <w:t>Matthews argues</w:t>
      </w:r>
      <w:r w:rsidR="00934BA1">
        <w:rPr>
          <w:rFonts w:ascii="Times New Roman" w:hAnsi="Times New Roman" w:cs="Times New Roman"/>
          <w:sz w:val="24"/>
          <w:szCs w:val="24"/>
        </w:rPr>
        <w:t xml:space="preserve"> in favour of a reform in relation to these trusts, i.e.</w:t>
      </w:r>
      <w:r>
        <w:rPr>
          <w:rFonts w:ascii="Times New Roman" w:hAnsi="Times New Roman" w:cs="Times New Roman"/>
          <w:sz w:val="24"/>
          <w:szCs w:val="24"/>
        </w:rPr>
        <w:t xml:space="preserve"> that </w:t>
      </w:r>
      <w:r w:rsidR="00934BA1">
        <w:rPr>
          <w:rFonts w:ascii="Times New Roman" w:hAnsi="Times New Roman" w:cs="Times New Roman"/>
          <w:sz w:val="24"/>
          <w:szCs w:val="24"/>
        </w:rPr>
        <w:t>where a trustee is in the practice of acting on the instructions of the settlor</w:t>
      </w:r>
      <w:r w:rsidR="00AA406E">
        <w:rPr>
          <w:rFonts w:ascii="Times New Roman" w:hAnsi="Times New Roman" w:cs="Times New Roman"/>
          <w:sz w:val="24"/>
          <w:szCs w:val="24"/>
        </w:rPr>
        <w:t xml:space="preserve">, the trust </w:t>
      </w:r>
      <w:r w:rsidR="00E262BF">
        <w:rPr>
          <w:rFonts w:ascii="Times New Roman" w:hAnsi="Times New Roman" w:cs="Times New Roman"/>
          <w:sz w:val="24"/>
          <w:szCs w:val="24"/>
        </w:rPr>
        <w:t>would have to be declared to a regulator. Although this would encompass many genuine situations,</w:t>
      </w:r>
      <w:r w:rsidR="00AA406E">
        <w:rPr>
          <w:rStyle w:val="FootnoteReference"/>
          <w:rFonts w:ascii="Times New Roman" w:hAnsi="Times New Roman" w:cs="Times New Roman"/>
          <w:sz w:val="24"/>
          <w:szCs w:val="24"/>
        </w:rPr>
        <w:footnoteReference w:id="118"/>
      </w:r>
      <w:r w:rsidR="005C69D9">
        <w:rPr>
          <w:rFonts w:ascii="Times New Roman" w:hAnsi="Times New Roman" w:cs="Times New Roman"/>
          <w:sz w:val="24"/>
          <w:szCs w:val="24"/>
        </w:rPr>
        <w:t xml:space="preserve"> it would also catch arrangements that were, in reality</w:t>
      </w:r>
      <w:r w:rsidR="00E262BF">
        <w:rPr>
          <w:rFonts w:ascii="Times New Roman" w:hAnsi="Times New Roman" w:cs="Times New Roman"/>
          <w:sz w:val="24"/>
          <w:szCs w:val="24"/>
        </w:rPr>
        <w:t xml:space="preserve">, pure </w:t>
      </w:r>
      <w:proofErr w:type="spellStart"/>
      <w:r w:rsidR="00E262BF">
        <w:rPr>
          <w:rFonts w:ascii="Times New Roman" w:hAnsi="Times New Roman" w:cs="Times New Roman"/>
          <w:sz w:val="24"/>
          <w:szCs w:val="24"/>
        </w:rPr>
        <w:t>nomineeships</w:t>
      </w:r>
      <w:proofErr w:type="spellEnd"/>
      <w:r w:rsidR="00E262BF">
        <w:rPr>
          <w:rFonts w:ascii="Times New Roman" w:hAnsi="Times New Roman" w:cs="Times New Roman"/>
          <w:sz w:val="24"/>
          <w:szCs w:val="24"/>
        </w:rPr>
        <w:t>.</w:t>
      </w:r>
      <w:r w:rsidR="00E262BF">
        <w:rPr>
          <w:rStyle w:val="FootnoteReference"/>
          <w:rFonts w:ascii="Times New Roman" w:hAnsi="Times New Roman" w:cs="Times New Roman"/>
          <w:sz w:val="24"/>
          <w:szCs w:val="24"/>
        </w:rPr>
        <w:footnoteReference w:id="119"/>
      </w:r>
      <w:r w:rsidR="00AA406E">
        <w:rPr>
          <w:rFonts w:ascii="Times New Roman" w:hAnsi="Times New Roman" w:cs="Times New Roman"/>
          <w:sz w:val="24"/>
          <w:szCs w:val="24"/>
        </w:rPr>
        <w:t xml:space="preserve"> </w:t>
      </w:r>
      <w:r w:rsidR="000B72D8">
        <w:rPr>
          <w:rFonts w:ascii="Times New Roman" w:hAnsi="Times New Roman" w:cs="Times New Roman"/>
          <w:sz w:val="24"/>
          <w:szCs w:val="24"/>
        </w:rPr>
        <w:t>It would not require amending legislation t</w:t>
      </w:r>
      <w:r w:rsidR="00BF4402">
        <w:rPr>
          <w:rFonts w:ascii="Times New Roman" w:hAnsi="Times New Roman" w:cs="Times New Roman"/>
          <w:sz w:val="24"/>
          <w:szCs w:val="24"/>
        </w:rPr>
        <w:t xml:space="preserve">o address the </w:t>
      </w:r>
      <w:r w:rsidR="000B0150">
        <w:rPr>
          <w:rFonts w:ascii="Times New Roman" w:hAnsi="Times New Roman" w:cs="Times New Roman"/>
          <w:sz w:val="24"/>
          <w:szCs w:val="24"/>
        </w:rPr>
        <w:t>very different</w:t>
      </w:r>
      <w:r w:rsidR="000B72D8">
        <w:rPr>
          <w:rFonts w:ascii="Times New Roman" w:hAnsi="Times New Roman" w:cs="Times New Roman"/>
          <w:sz w:val="24"/>
          <w:szCs w:val="24"/>
        </w:rPr>
        <w:t xml:space="preserve"> </w:t>
      </w:r>
      <w:r w:rsidR="00BF4402">
        <w:rPr>
          <w:rFonts w:ascii="Times New Roman" w:hAnsi="Times New Roman" w:cs="Times New Roman"/>
          <w:sz w:val="24"/>
          <w:szCs w:val="24"/>
        </w:rPr>
        <w:t xml:space="preserve">problems of validity identified in this article. </w:t>
      </w:r>
      <w:r w:rsidR="003F703F">
        <w:rPr>
          <w:rFonts w:ascii="Times New Roman" w:hAnsi="Times New Roman" w:cs="Times New Roman"/>
          <w:sz w:val="24"/>
          <w:szCs w:val="24"/>
        </w:rPr>
        <w:t>The Jersey Law Commission identified that it is always important “to define the minimum level of accountability required for a trust to be valid”.</w:t>
      </w:r>
      <w:r w:rsidR="003F703F">
        <w:rPr>
          <w:rStyle w:val="FootnoteReference"/>
          <w:rFonts w:ascii="Times New Roman" w:hAnsi="Times New Roman" w:cs="Times New Roman"/>
          <w:sz w:val="24"/>
          <w:szCs w:val="24"/>
        </w:rPr>
        <w:footnoteReference w:id="120"/>
      </w:r>
      <w:r w:rsidR="003F703F">
        <w:rPr>
          <w:rFonts w:ascii="Times New Roman" w:hAnsi="Times New Roman" w:cs="Times New Roman"/>
          <w:sz w:val="24"/>
          <w:szCs w:val="24"/>
        </w:rPr>
        <w:t xml:space="preserve"> In this article I have argued that in a black hole trust, the default charity may be the only named beneficiary who can call the trustees to </w:t>
      </w:r>
      <w:r w:rsidR="003F703F">
        <w:rPr>
          <w:rFonts w:ascii="Times New Roman" w:hAnsi="Times New Roman" w:cs="Times New Roman"/>
          <w:sz w:val="24"/>
          <w:szCs w:val="24"/>
        </w:rPr>
        <w:lastRenderedPageBreak/>
        <w:t xml:space="preserve">account for their stewardship of the trust property. However, the charity will often have no incentive to call the trustees to account, having very little </w:t>
      </w:r>
      <w:r w:rsidR="003F703F">
        <w:rPr>
          <w:rFonts w:ascii="Times New Roman" w:hAnsi="Times New Roman" w:cs="Times New Roman"/>
          <w:i/>
          <w:sz w:val="24"/>
          <w:szCs w:val="24"/>
        </w:rPr>
        <w:t xml:space="preserve">de facto </w:t>
      </w:r>
      <w:r w:rsidR="003F703F">
        <w:rPr>
          <w:rFonts w:ascii="Times New Roman" w:hAnsi="Times New Roman" w:cs="Times New Roman"/>
          <w:sz w:val="24"/>
          <w:szCs w:val="24"/>
        </w:rPr>
        <w:t xml:space="preserve">connection with the trust. </w:t>
      </w:r>
    </w:p>
    <w:p w:rsidR="005B6D7F" w:rsidRDefault="002B26C5" w:rsidP="009266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F703F">
        <w:rPr>
          <w:rFonts w:ascii="Times New Roman" w:hAnsi="Times New Roman" w:cs="Times New Roman"/>
          <w:sz w:val="24"/>
          <w:szCs w:val="24"/>
        </w:rPr>
        <w:t>To address this</w:t>
      </w:r>
      <w:r w:rsidR="007522AC">
        <w:rPr>
          <w:rFonts w:ascii="Times New Roman" w:hAnsi="Times New Roman" w:cs="Times New Roman"/>
          <w:sz w:val="24"/>
          <w:szCs w:val="24"/>
        </w:rPr>
        <w:t xml:space="preserve"> ac</w:t>
      </w:r>
      <w:r w:rsidR="003F703F">
        <w:rPr>
          <w:rFonts w:ascii="Times New Roman" w:hAnsi="Times New Roman" w:cs="Times New Roman"/>
          <w:sz w:val="24"/>
          <w:szCs w:val="24"/>
        </w:rPr>
        <w:t>c</w:t>
      </w:r>
      <w:r>
        <w:rPr>
          <w:rFonts w:ascii="Times New Roman" w:hAnsi="Times New Roman" w:cs="Times New Roman"/>
          <w:sz w:val="24"/>
          <w:szCs w:val="24"/>
        </w:rPr>
        <w:t>ountability gap, trustees could</w:t>
      </w:r>
      <w:r w:rsidR="007522AC">
        <w:rPr>
          <w:rFonts w:ascii="Times New Roman" w:hAnsi="Times New Roman" w:cs="Times New Roman"/>
          <w:sz w:val="24"/>
          <w:szCs w:val="24"/>
        </w:rPr>
        <w:t xml:space="preserve"> ensure that settlors</w:t>
      </w:r>
      <w:r w:rsidR="00C726DC">
        <w:rPr>
          <w:rFonts w:ascii="Times New Roman" w:hAnsi="Times New Roman" w:cs="Times New Roman"/>
          <w:sz w:val="24"/>
          <w:szCs w:val="24"/>
        </w:rPr>
        <w:t xml:space="preserve"> cons</w:t>
      </w:r>
      <w:r>
        <w:rPr>
          <w:rFonts w:ascii="Times New Roman" w:hAnsi="Times New Roman" w:cs="Times New Roman"/>
          <w:sz w:val="24"/>
          <w:szCs w:val="24"/>
        </w:rPr>
        <w:t>ider carefully the role that a</w:t>
      </w:r>
      <w:r w:rsidR="00C726DC">
        <w:rPr>
          <w:rFonts w:ascii="Times New Roman" w:hAnsi="Times New Roman" w:cs="Times New Roman"/>
          <w:sz w:val="24"/>
          <w:szCs w:val="24"/>
        </w:rPr>
        <w:t xml:space="preserve"> </w:t>
      </w:r>
      <w:r w:rsidR="00285ECA">
        <w:rPr>
          <w:rFonts w:ascii="Times New Roman" w:hAnsi="Times New Roman" w:cs="Times New Roman"/>
          <w:sz w:val="24"/>
          <w:szCs w:val="24"/>
        </w:rPr>
        <w:t>cha</w:t>
      </w:r>
      <w:r>
        <w:rPr>
          <w:rFonts w:ascii="Times New Roman" w:hAnsi="Times New Roman" w:cs="Times New Roman"/>
          <w:sz w:val="24"/>
          <w:szCs w:val="24"/>
        </w:rPr>
        <w:t>rity could play in the trust</w:t>
      </w:r>
      <w:r w:rsidR="00AB506A">
        <w:rPr>
          <w:rFonts w:ascii="Times New Roman" w:hAnsi="Times New Roman" w:cs="Times New Roman"/>
          <w:sz w:val="24"/>
          <w:szCs w:val="24"/>
        </w:rPr>
        <w:t>.</w:t>
      </w:r>
      <w:r w:rsidR="007522AC">
        <w:rPr>
          <w:rFonts w:ascii="Times New Roman" w:hAnsi="Times New Roman" w:cs="Times New Roman"/>
          <w:sz w:val="24"/>
          <w:szCs w:val="24"/>
        </w:rPr>
        <w:t xml:space="preserve"> </w:t>
      </w:r>
      <w:r w:rsidR="00AB506A">
        <w:rPr>
          <w:rFonts w:ascii="Times New Roman" w:hAnsi="Times New Roman" w:cs="Times New Roman"/>
          <w:sz w:val="24"/>
          <w:szCs w:val="24"/>
        </w:rPr>
        <w:t>W</w:t>
      </w:r>
      <w:r w:rsidR="00B97362">
        <w:rPr>
          <w:rFonts w:ascii="Times New Roman" w:hAnsi="Times New Roman" w:cs="Times New Roman"/>
          <w:sz w:val="24"/>
          <w:szCs w:val="24"/>
        </w:rPr>
        <w:t>here there are no beneficiaries envisaged to be appointed into the class at the beginning of the trust, or at significant intervals throughout the trust, the default charity must be informed of its interest under the trus</w:t>
      </w:r>
      <w:r w:rsidR="00AB506A">
        <w:rPr>
          <w:rFonts w:ascii="Times New Roman" w:hAnsi="Times New Roman" w:cs="Times New Roman"/>
          <w:sz w:val="24"/>
          <w:szCs w:val="24"/>
        </w:rPr>
        <w:t>t. I</w:t>
      </w:r>
      <w:r w:rsidR="00E41D83">
        <w:rPr>
          <w:rFonts w:ascii="Times New Roman" w:hAnsi="Times New Roman" w:cs="Times New Roman"/>
          <w:sz w:val="24"/>
          <w:szCs w:val="24"/>
        </w:rPr>
        <w:t>n the alternative,</w:t>
      </w:r>
      <w:r w:rsidR="007522AC">
        <w:rPr>
          <w:rFonts w:ascii="Times New Roman" w:hAnsi="Times New Roman" w:cs="Times New Roman"/>
          <w:sz w:val="24"/>
          <w:szCs w:val="24"/>
        </w:rPr>
        <w:t xml:space="preserve"> </w:t>
      </w:r>
      <w:r w:rsidR="009266E1">
        <w:rPr>
          <w:rFonts w:ascii="Times New Roman" w:hAnsi="Times New Roman" w:cs="Times New Roman"/>
          <w:sz w:val="24"/>
          <w:szCs w:val="24"/>
        </w:rPr>
        <w:t>the trustees</w:t>
      </w:r>
      <w:r w:rsidR="00E41D83">
        <w:rPr>
          <w:rFonts w:ascii="Times New Roman" w:hAnsi="Times New Roman" w:cs="Times New Roman"/>
          <w:sz w:val="24"/>
          <w:szCs w:val="24"/>
        </w:rPr>
        <w:t xml:space="preserve"> should be given the</w:t>
      </w:r>
      <w:r w:rsidR="009266E1">
        <w:rPr>
          <w:rFonts w:ascii="Times New Roman" w:hAnsi="Times New Roman" w:cs="Times New Roman"/>
          <w:sz w:val="24"/>
          <w:szCs w:val="24"/>
        </w:rPr>
        <w:t xml:space="preserve"> power to appoint an enforcer, to be effective in the a</w:t>
      </w:r>
      <w:r w:rsidR="005B6D7F">
        <w:rPr>
          <w:rFonts w:ascii="Times New Roman" w:hAnsi="Times New Roman" w:cs="Times New Roman"/>
          <w:sz w:val="24"/>
          <w:szCs w:val="24"/>
        </w:rPr>
        <w:t>bsence of primary beneficiaries.</w:t>
      </w:r>
      <w:r w:rsidR="005B1A53">
        <w:rPr>
          <w:rStyle w:val="FootnoteReference"/>
          <w:rFonts w:ascii="Times New Roman" w:hAnsi="Times New Roman" w:cs="Times New Roman"/>
          <w:sz w:val="24"/>
          <w:szCs w:val="24"/>
        </w:rPr>
        <w:footnoteReference w:id="121"/>
      </w:r>
    </w:p>
    <w:p w:rsidR="005B6D7F" w:rsidRDefault="005B6D7F" w:rsidP="009266E1">
      <w:pPr>
        <w:spacing w:after="0"/>
        <w:jc w:val="both"/>
        <w:rPr>
          <w:rFonts w:ascii="Times New Roman" w:hAnsi="Times New Roman" w:cs="Times New Roman"/>
          <w:sz w:val="24"/>
          <w:szCs w:val="24"/>
        </w:rPr>
      </w:pPr>
    </w:p>
    <w:p w:rsidR="00DB6CB8" w:rsidRDefault="00DB6CB8" w:rsidP="009266E1">
      <w:pPr>
        <w:spacing w:after="0"/>
        <w:jc w:val="both"/>
        <w:rPr>
          <w:rFonts w:ascii="Times New Roman" w:hAnsi="Times New Roman" w:cs="Times New Roman"/>
          <w:sz w:val="24"/>
          <w:szCs w:val="24"/>
        </w:rPr>
      </w:pPr>
    </w:p>
    <w:p w:rsidR="00213421" w:rsidRPr="00F31A9D" w:rsidRDefault="00213421" w:rsidP="00213421">
      <w:pPr>
        <w:spacing w:after="0"/>
        <w:jc w:val="both"/>
        <w:rPr>
          <w:rFonts w:ascii="Times New Roman" w:hAnsi="Times New Roman" w:cs="Times New Roman"/>
          <w:b/>
          <w:sz w:val="28"/>
          <w:szCs w:val="28"/>
        </w:rPr>
      </w:pPr>
      <w:r>
        <w:rPr>
          <w:rFonts w:ascii="Times New Roman" w:hAnsi="Times New Roman" w:cs="Times New Roman"/>
          <w:b/>
          <w:sz w:val="28"/>
          <w:szCs w:val="28"/>
        </w:rPr>
        <w:t>Author</w:t>
      </w:r>
    </w:p>
    <w:p w:rsidR="00213421" w:rsidRPr="00F31A9D" w:rsidRDefault="00213421" w:rsidP="00213421">
      <w:pPr>
        <w:spacing w:after="0"/>
        <w:jc w:val="both"/>
        <w:rPr>
          <w:rFonts w:ascii="Times New Roman" w:hAnsi="Times New Roman" w:cs="Times New Roman"/>
          <w:sz w:val="16"/>
          <w:szCs w:val="16"/>
        </w:rPr>
      </w:pPr>
    </w:p>
    <w:p w:rsidR="00213421" w:rsidRDefault="00844A22" w:rsidP="00213421">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r w:rsidR="00213421">
        <w:rPr>
          <w:rFonts w:ascii="Times New Roman" w:hAnsi="Times New Roman" w:cs="Times New Roman"/>
          <w:sz w:val="24"/>
          <w:szCs w:val="24"/>
        </w:rPr>
        <w:t xml:space="preserve">Nicola Jackson is Lecturer in Law at the University of Leicester, School of Law. She is Visiting Professor in Jersey Trust Law at the Institute of Law, Jersey (since October 2014). Nicola has written widely on the subject of Property Law in a number of leading law journals, and has written two books on Land Law. She was awarded her </w:t>
      </w:r>
      <w:proofErr w:type="spellStart"/>
      <w:r w:rsidR="00213421">
        <w:rPr>
          <w:rFonts w:ascii="Times New Roman" w:hAnsi="Times New Roman" w:cs="Times New Roman"/>
          <w:sz w:val="24"/>
          <w:szCs w:val="24"/>
        </w:rPr>
        <w:t>Ph.D</w:t>
      </w:r>
      <w:proofErr w:type="spellEnd"/>
      <w:r w:rsidR="00213421">
        <w:rPr>
          <w:rFonts w:ascii="Times New Roman" w:hAnsi="Times New Roman" w:cs="Times New Roman"/>
          <w:sz w:val="24"/>
          <w:szCs w:val="24"/>
        </w:rPr>
        <w:t xml:space="preserve"> (Birmingham) in 2005 and her doctoral thesis is on the subject of trustees’ powers and overreaching.</w:t>
      </w:r>
    </w:p>
    <w:p w:rsidR="00DB6CB8" w:rsidRDefault="00DB6CB8" w:rsidP="009266E1">
      <w:pPr>
        <w:spacing w:after="0"/>
        <w:jc w:val="both"/>
        <w:rPr>
          <w:rFonts w:ascii="Times New Roman" w:hAnsi="Times New Roman" w:cs="Times New Roman"/>
          <w:sz w:val="24"/>
          <w:szCs w:val="24"/>
        </w:rPr>
      </w:pPr>
    </w:p>
    <w:p w:rsidR="00DB6CB8" w:rsidRDefault="00DB6CB8" w:rsidP="00F35AFC">
      <w:pPr>
        <w:spacing w:after="0"/>
        <w:jc w:val="both"/>
        <w:rPr>
          <w:rFonts w:ascii="Times New Roman" w:hAnsi="Times New Roman" w:cs="Times New Roman"/>
          <w:sz w:val="24"/>
          <w:szCs w:val="24"/>
        </w:rPr>
      </w:pPr>
    </w:p>
    <w:p w:rsidR="00DB6CB8" w:rsidRDefault="00DB6CB8" w:rsidP="00F35AFC">
      <w:pPr>
        <w:spacing w:after="0"/>
        <w:jc w:val="both"/>
        <w:rPr>
          <w:rFonts w:ascii="Times New Roman" w:hAnsi="Times New Roman" w:cs="Times New Roman"/>
          <w:sz w:val="24"/>
          <w:szCs w:val="24"/>
        </w:rPr>
      </w:pPr>
    </w:p>
    <w:sectPr w:rsidR="00DB6CB8" w:rsidSect="00F843BC">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6B" w:rsidRDefault="0000006B" w:rsidP="00786F9D">
      <w:pPr>
        <w:spacing w:after="0" w:line="240" w:lineRule="auto"/>
      </w:pPr>
      <w:r>
        <w:separator/>
      </w:r>
    </w:p>
  </w:endnote>
  <w:endnote w:type="continuationSeparator" w:id="0">
    <w:p w:rsidR="0000006B" w:rsidRDefault="0000006B" w:rsidP="0078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6B" w:rsidRDefault="0000006B" w:rsidP="00786F9D">
      <w:pPr>
        <w:spacing w:after="0" w:line="240" w:lineRule="auto"/>
      </w:pPr>
      <w:r>
        <w:separator/>
      </w:r>
    </w:p>
  </w:footnote>
  <w:footnote w:type="continuationSeparator" w:id="0">
    <w:p w:rsidR="0000006B" w:rsidRDefault="0000006B" w:rsidP="00786F9D">
      <w:pPr>
        <w:spacing w:after="0" w:line="240" w:lineRule="auto"/>
      </w:pPr>
      <w:r>
        <w:continuationSeparator/>
      </w:r>
    </w:p>
  </w:footnote>
  <w:footnote w:id="1">
    <w:p w:rsidR="002C5DA6" w:rsidRPr="000F0B0D" w:rsidRDefault="002C5DA6" w:rsidP="00C1100A">
      <w:pPr>
        <w:spacing w:after="0"/>
        <w:jc w:val="both"/>
        <w:rPr>
          <w:rFonts w:ascii="Times New Roman" w:hAnsi="Times New Roman" w:cs="Times New Roman"/>
          <w:sz w:val="20"/>
          <w:szCs w:val="20"/>
        </w:rPr>
      </w:pPr>
      <w:r w:rsidRPr="000F0B0D">
        <w:rPr>
          <w:rStyle w:val="FootnoteReference"/>
          <w:rFonts w:ascii="Times New Roman" w:hAnsi="Times New Roman" w:cs="Times New Roman"/>
          <w:sz w:val="20"/>
          <w:szCs w:val="20"/>
        </w:rPr>
        <w:footnoteRef/>
      </w:r>
      <w:r w:rsidRPr="000F0B0D">
        <w:rPr>
          <w:rFonts w:ascii="Times New Roman" w:hAnsi="Times New Roman" w:cs="Times New Roman"/>
          <w:sz w:val="20"/>
          <w:szCs w:val="20"/>
        </w:rPr>
        <w:t xml:space="preserve"> </w:t>
      </w:r>
      <w:proofErr w:type="spellStart"/>
      <w:r w:rsidRPr="000F0B0D">
        <w:rPr>
          <w:rFonts w:ascii="Times New Roman" w:hAnsi="Times New Roman" w:cs="Times New Roman"/>
          <w:sz w:val="20"/>
          <w:szCs w:val="20"/>
        </w:rPr>
        <w:t>D.Hayton</w:t>
      </w:r>
      <w:proofErr w:type="spellEnd"/>
      <w:r w:rsidRPr="000F0B0D">
        <w:rPr>
          <w:rFonts w:ascii="Times New Roman" w:hAnsi="Times New Roman" w:cs="Times New Roman"/>
          <w:sz w:val="20"/>
          <w:szCs w:val="20"/>
        </w:rPr>
        <w:t xml:space="preserve">, “Developing the obligation characteristic of the trust” (2001) 117 </w:t>
      </w:r>
      <w:r w:rsidRPr="000F0B0D">
        <w:rPr>
          <w:rFonts w:ascii="Times New Roman" w:hAnsi="Times New Roman" w:cs="Times New Roman"/>
          <w:i/>
          <w:sz w:val="20"/>
          <w:szCs w:val="20"/>
        </w:rPr>
        <w:t xml:space="preserve">Law Quarterly Review </w:t>
      </w:r>
      <w:r w:rsidRPr="000F0B0D">
        <w:rPr>
          <w:rFonts w:ascii="Times New Roman" w:hAnsi="Times New Roman" w:cs="Times New Roman"/>
          <w:sz w:val="20"/>
          <w:szCs w:val="20"/>
        </w:rPr>
        <w:t>96, p.100.</w:t>
      </w:r>
    </w:p>
  </w:footnote>
  <w:footnote w:id="2">
    <w:p w:rsidR="002C5DA6" w:rsidRPr="000F0B0D" w:rsidRDefault="002C5DA6" w:rsidP="00F20DC5">
      <w:pPr>
        <w:spacing w:after="0"/>
        <w:jc w:val="both"/>
        <w:rPr>
          <w:rFonts w:ascii="Times New Roman" w:hAnsi="Times New Roman" w:cs="Times New Roman"/>
          <w:sz w:val="20"/>
          <w:szCs w:val="20"/>
        </w:rPr>
      </w:pPr>
      <w:r w:rsidRPr="000F0B0D">
        <w:rPr>
          <w:rStyle w:val="FootnoteReference"/>
          <w:rFonts w:ascii="Times New Roman" w:hAnsi="Times New Roman" w:cs="Times New Roman"/>
          <w:sz w:val="20"/>
          <w:szCs w:val="20"/>
        </w:rPr>
        <w:footnoteRef/>
      </w:r>
      <w:r w:rsidRPr="000F0B0D">
        <w:rPr>
          <w:rFonts w:ascii="Times New Roman" w:hAnsi="Times New Roman" w:cs="Times New Roman"/>
          <w:sz w:val="20"/>
          <w:szCs w:val="20"/>
        </w:rPr>
        <w:t xml:space="preserve"> </w:t>
      </w:r>
      <w:r w:rsidRPr="000F0B0D">
        <w:rPr>
          <w:rFonts w:ascii="Times New Roman" w:hAnsi="Times New Roman" w:cs="Times New Roman"/>
          <w:i/>
          <w:sz w:val="20"/>
          <w:szCs w:val="20"/>
        </w:rPr>
        <w:t>Re Representation AIB Jersey Trust Ltd, the Exeter Settlement</w:t>
      </w:r>
      <w:r w:rsidRPr="000F0B0D">
        <w:rPr>
          <w:rFonts w:ascii="Times New Roman" w:hAnsi="Times New Roman" w:cs="Times New Roman"/>
          <w:sz w:val="20"/>
          <w:szCs w:val="20"/>
        </w:rPr>
        <w:t>, 2010 JLR 169.</w:t>
      </w:r>
    </w:p>
  </w:footnote>
  <w:footnote w:id="3">
    <w:p w:rsidR="000F0B0D" w:rsidRPr="000F0B0D" w:rsidRDefault="000F0B0D" w:rsidP="000F0B0D">
      <w:pPr>
        <w:spacing w:after="0"/>
        <w:jc w:val="both"/>
        <w:rPr>
          <w:rFonts w:ascii="Times New Roman" w:hAnsi="Times New Roman" w:cs="Times New Roman"/>
          <w:sz w:val="20"/>
          <w:szCs w:val="20"/>
        </w:rPr>
      </w:pPr>
      <w:r w:rsidRPr="000F0B0D">
        <w:rPr>
          <w:rStyle w:val="FootnoteReference"/>
          <w:rFonts w:ascii="Times New Roman" w:hAnsi="Times New Roman" w:cs="Times New Roman"/>
          <w:sz w:val="20"/>
          <w:szCs w:val="20"/>
        </w:rPr>
        <w:footnoteRef/>
      </w:r>
      <w:r w:rsidRPr="000F0B0D">
        <w:rPr>
          <w:rFonts w:ascii="Times New Roman" w:hAnsi="Times New Roman" w:cs="Times New Roman"/>
          <w:sz w:val="20"/>
          <w:szCs w:val="20"/>
        </w:rPr>
        <w:t xml:space="preserve"> For a recent case see </w:t>
      </w:r>
      <w:r w:rsidRPr="000F0B0D">
        <w:rPr>
          <w:rFonts w:ascii="Times New Roman" w:hAnsi="Times New Roman" w:cs="Times New Roman"/>
          <w:i/>
          <w:sz w:val="20"/>
          <w:szCs w:val="20"/>
        </w:rPr>
        <w:t xml:space="preserve">Harper v Apex Trust Company Ltd </w:t>
      </w:r>
      <w:r w:rsidRPr="000F0B0D">
        <w:rPr>
          <w:rFonts w:ascii="Times New Roman" w:hAnsi="Times New Roman" w:cs="Times New Roman"/>
          <w:sz w:val="20"/>
          <w:szCs w:val="20"/>
        </w:rPr>
        <w:t>[2014] JRC 253 (the trust here was held void for uncertainty).</w:t>
      </w:r>
    </w:p>
  </w:footnote>
  <w:footnote w:id="4">
    <w:p w:rsidR="002C5DA6" w:rsidRPr="000F0B0D" w:rsidRDefault="002C5DA6" w:rsidP="0059238F">
      <w:pPr>
        <w:pStyle w:val="FootnoteText"/>
        <w:jc w:val="both"/>
        <w:rPr>
          <w:rFonts w:ascii="Times New Roman" w:hAnsi="Times New Roman" w:cs="Times New Roman"/>
        </w:rPr>
      </w:pPr>
      <w:r w:rsidRPr="000F0B0D">
        <w:rPr>
          <w:rStyle w:val="FootnoteReference"/>
          <w:rFonts w:ascii="Times New Roman" w:hAnsi="Times New Roman" w:cs="Times New Roman"/>
        </w:rPr>
        <w:footnoteRef/>
      </w:r>
      <w:r w:rsidRPr="000F0B0D">
        <w:rPr>
          <w:rFonts w:ascii="Times New Roman" w:hAnsi="Times New Roman" w:cs="Times New Roman"/>
        </w:rPr>
        <w:t xml:space="preserve"> 2010</w:t>
      </w:r>
      <w:r w:rsidR="000F0B0D">
        <w:rPr>
          <w:rFonts w:ascii="Times New Roman" w:hAnsi="Times New Roman" w:cs="Times New Roman"/>
        </w:rPr>
        <w:t xml:space="preserve"> JLR 169, referred to hereafter as </w:t>
      </w:r>
      <w:r w:rsidR="000F0B0D">
        <w:rPr>
          <w:rFonts w:ascii="Times New Roman" w:hAnsi="Times New Roman" w:cs="Times New Roman"/>
          <w:i/>
        </w:rPr>
        <w:t xml:space="preserve">The Exeter Settlement </w:t>
      </w:r>
      <w:r w:rsidR="000F0B0D">
        <w:rPr>
          <w:rFonts w:ascii="Times New Roman" w:hAnsi="Times New Roman" w:cs="Times New Roman"/>
        </w:rPr>
        <w:t xml:space="preserve">or </w:t>
      </w:r>
      <w:r w:rsidR="000F0B0D">
        <w:rPr>
          <w:rFonts w:ascii="Times New Roman" w:hAnsi="Times New Roman" w:cs="Times New Roman"/>
          <w:i/>
        </w:rPr>
        <w:t>Exeter</w:t>
      </w:r>
      <w:r w:rsidR="000F0B0D">
        <w:rPr>
          <w:rFonts w:ascii="Times New Roman" w:hAnsi="Times New Roman" w:cs="Times New Roman"/>
        </w:rPr>
        <w:t>.</w:t>
      </w:r>
    </w:p>
  </w:footnote>
  <w:footnote w:id="5">
    <w:p w:rsidR="002C5DA6" w:rsidRPr="000F0B0D" w:rsidRDefault="002C5DA6" w:rsidP="004E1000">
      <w:pPr>
        <w:spacing w:after="0"/>
        <w:jc w:val="both"/>
        <w:rPr>
          <w:rFonts w:ascii="Times New Roman" w:hAnsi="Times New Roman" w:cs="Times New Roman"/>
          <w:sz w:val="20"/>
          <w:szCs w:val="20"/>
        </w:rPr>
      </w:pPr>
      <w:r w:rsidRPr="000F0B0D">
        <w:rPr>
          <w:rStyle w:val="FootnoteReference"/>
          <w:rFonts w:ascii="Times New Roman" w:hAnsi="Times New Roman" w:cs="Times New Roman"/>
          <w:sz w:val="20"/>
          <w:szCs w:val="20"/>
        </w:rPr>
        <w:footnoteRef/>
      </w:r>
      <w:r w:rsidR="000F0B0D">
        <w:rPr>
          <w:rFonts w:ascii="Times New Roman" w:hAnsi="Times New Roman" w:cs="Times New Roman"/>
          <w:sz w:val="20"/>
          <w:szCs w:val="20"/>
        </w:rPr>
        <w:t xml:space="preserve"> </w:t>
      </w:r>
      <w:proofErr w:type="spellStart"/>
      <w:r w:rsidR="000F0B0D">
        <w:rPr>
          <w:rFonts w:ascii="Times New Roman" w:hAnsi="Times New Roman" w:cs="Times New Roman"/>
          <w:sz w:val="20"/>
          <w:szCs w:val="20"/>
        </w:rPr>
        <w:t>P.</w:t>
      </w:r>
      <w:r w:rsidRPr="000F0B0D">
        <w:rPr>
          <w:rFonts w:ascii="Times New Roman" w:hAnsi="Times New Roman" w:cs="Times New Roman"/>
          <w:sz w:val="20"/>
          <w:szCs w:val="20"/>
        </w:rPr>
        <w:t>Fudakowska</w:t>
      </w:r>
      <w:proofErr w:type="spellEnd"/>
      <w:r w:rsidRPr="000F0B0D">
        <w:rPr>
          <w:rFonts w:ascii="Times New Roman" w:hAnsi="Times New Roman" w:cs="Times New Roman"/>
          <w:sz w:val="20"/>
          <w:szCs w:val="20"/>
        </w:rPr>
        <w:t xml:space="preserve"> (2010) 14 JGLR 331, para.25.</w:t>
      </w:r>
    </w:p>
  </w:footnote>
  <w:footnote w:id="6">
    <w:p w:rsidR="002C5DA6" w:rsidRPr="000F0B0D" w:rsidRDefault="002C5DA6" w:rsidP="00C10657">
      <w:pPr>
        <w:spacing w:after="0"/>
        <w:jc w:val="both"/>
        <w:rPr>
          <w:rFonts w:ascii="Times New Roman" w:hAnsi="Times New Roman" w:cs="Times New Roman"/>
          <w:sz w:val="20"/>
          <w:szCs w:val="20"/>
        </w:rPr>
      </w:pPr>
      <w:r w:rsidRPr="000F0B0D">
        <w:rPr>
          <w:rStyle w:val="FootnoteReference"/>
          <w:rFonts w:ascii="Times New Roman" w:hAnsi="Times New Roman" w:cs="Times New Roman"/>
          <w:sz w:val="20"/>
          <w:szCs w:val="20"/>
        </w:rPr>
        <w:footnoteRef/>
      </w:r>
      <w:r w:rsidR="000F0B0D">
        <w:rPr>
          <w:rFonts w:ascii="Times New Roman" w:hAnsi="Times New Roman" w:cs="Times New Roman"/>
          <w:sz w:val="20"/>
          <w:szCs w:val="20"/>
        </w:rPr>
        <w:t xml:space="preserve"> </w:t>
      </w:r>
      <w:proofErr w:type="spellStart"/>
      <w:r w:rsidR="000F0B0D">
        <w:rPr>
          <w:rFonts w:ascii="Times New Roman" w:hAnsi="Times New Roman" w:cs="Times New Roman"/>
          <w:sz w:val="20"/>
          <w:szCs w:val="20"/>
        </w:rPr>
        <w:t>Fudakowska</w:t>
      </w:r>
      <w:proofErr w:type="spellEnd"/>
      <w:r w:rsidR="000F0B0D">
        <w:rPr>
          <w:rFonts w:ascii="Times New Roman" w:hAnsi="Times New Roman" w:cs="Times New Roman"/>
          <w:sz w:val="20"/>
          <w:szCs w:val="20"/>
        </w:rPr>
        <w:t>, above, paras 25-26, a</w:t>
      </w:r>
      <w:r w:rsidRPr="000F0B0D">
        <w:rPr>
          <w:rFonts w:ascii="Times New Roman" w:hAnsi="Times New Roman" w:cs="Times New Roman"/>
          <w:sz w:val="20"/>
          <w:szCs w:val="20"/>
        </w:rPr>
        <w:t xml:space="preserve">lthough this observation was made as a joint comment on </w:t>
      </w:r>
      <w:r w:rsidRPr="000F0B0D">
        <w:rPr>
          <w:rFonts w:ascii="Times New Roman" w:hAnsi="Times New Roman" w:cs="Times New Roman"/>
          <w:i/>
          <w:sz w:val="20"/>
          <w:szCs w:val="20"/>
        </w:rPr>
        <w:t xml:space="preserve">The Exeter Settlement </w:t>
      </w:r>
      <w:r w:rsidRPr="000F0B0D">
        <w:rPr>
          <w:rFonts w:ascii="Times New Roman" w:hAnsi="Times New Roman" w:cs="Times New Roman"/>
          <w:sz w:val="20"/>
          <w:szCs w:val="20"/>
        </w:rPr>
        <w:t xml:space="preserve">and </w:t>
      </w:r>
      <w:r w:rsidRPr="000F0B0D">
        <w:rPr>
          <w:rFonts w:ascii="Times New Roman" w:hAnsi="Times New Roman" w:cs="Times New Roman"/>
          <w:i/>
          <w:sz w:val="20"/>
          <w:szCs w:val="20"/>
        </w:rPr>
        <w:t xml:space="preserve">Re the “A” Employees Shares Trust </w:t>
      </w:r>
      <w:r w:rsidRPr="000F0B0D">
        <w:rPr>
          <w:rFonts w:ascii="Times New Roman" w:hAnsi="Times New Roman" w:cs="Times New Roman"/>
          <w:sz w:val="20"/>
          <w:szCs w:val="20"/>
        </w:rPr>
        <w:t>[2010] JRC 013.</w:t>
      </w:r>
    </w:p>
  </w:footnote>
  <w:footnote w:id="7">
    <w:p w:rsidR="002C5DA6" w:rsidRPr="000F0B0D" w:rsidRDefault="002C5DA6" w:rsidP="00C10657">
      <w:pPr>
        <w:spacing w:after="0"/>
        <w:jc w:val="both"/>
        <w:rPr>
          <w:rFonts w:ascii="Times New Roman" w:hAnsi="Times New Roman" w:cs="Times New Roman"/>
          <w:sz w:val="20"/>
          <w:szCs w:val="20"/>
        </w:rPr>
      </w:pPr>
      <w:r w:rsidRPr="000F0B0D">
        <w:rPr>
          <w:rStyle w:val="FootnoteReference"/>
          <w:rFonts w:ascii="Times New Roman" w:hAnsi="Times New Roman" w:cs="Times New Roman"/>
          <w:sz w:val="20"/>
          <w:szCs w:val="20"/>
        </w:rPr>
        <w:footnoteRef/>
      </w:r>
      <w:r w:rsidRPr="000F0B0D">
        <w:rPr>
          <w:rFonts w:ascii="Times New Roman" w:hAnsi="Times New Roman" w:cs="Times New Roman"/>
          <w:sz w:val="20"/>
          <w:szCs w:val="20"/>
        </w:rPr>
        <w:t xml:space="preserve"> Jersey Law Commission, </w:t>
      </w:r>
      <w:r w:rsidRPr="000F0B0D">
        <w:rPr>
          <w:rFonts w:ascii="Times New Roman" w:hAnsi="Times New Roman" w:cs="Times New Roman"/>
          <w:i/>
          <w:sz w:val="20"/>
          <w:szCs w:val="20"/>
        </w:rPr>
        <w:t>The Rights of Beneficiaries to Information Regarding a Trust</w:t>
      </w:r>
      <w:r w:rsidRPr="000F0B0D">
        <w:rPr>
          <w:rFonts w:ascii="Times New Roman" w:hAnsi="Times New Roman" w:cs="Times New Roman"/>
          <w:sz w:val="20"/>
          <w:szCs w:val="20"/>
        </w:rPr>
        <w:t xml:space="preserve"> (Consultation Paper No.1 February 1998), para.2.1, in the context of allowing settlor restrictions in access to trust information.</w:t>
      </w:r>
    </w:p>
  </w:footnote>
  <w:footnote w:id="8">
    <w:p w:rsidR="00543861" w:rsidRPr="00100C4A" w:rsidRDefault="00543861" w:rsidP="00543861">
      <w:pPr>
        <w:spacing w:after="0"/>
        <w:jc w:val="both"/>
        <w:rPr>
          <w:rFonts w:ascii="Times New Roman" w:hAnsi="Times New Roman" w:cs="Times New Roman"/>
          <w:sz w:val="20"/>
          <w:szCs w:val="20"/>
        </w:rPr>
      </w:pPr>
      <w:r w:rsidRPr="00100C4A">
        <w:rPr>
          <w:rStyle w:val="FootnoteReference"/>
          <w:rFonts w:ascii="Times New Roman" w:hAnsi="Times New Roman" w:cs="Times New Roman"/>
          <w:sz w:val="20"/>
          <w:szCs w:val="20"/>
        </w:rPr>
        <w:footnoteRef/>
      </w:r>
      <w:r w:rsidRPr="00100C4A">
        <w:rPr>
          <w:rFonts w:ascii="Times New Roman" w:hAnsi="Times New Roman" w:cs="Times New Roman"/>
          <w:sz w:val="20"/>
          <w:szCs w:val="20"/>
        </w:rPr>
        <w:t xml:space="preserve"> Whilst Jersey trust law is not bound to follow English trust law</w:t>
      </w:r>
      <w:r>
        <w:rPr>
          <w:rFonts w:ascii="Times New Roman" w:hAnsi="Times New Roman" w:cs="Times New Roman"/>
          <w:sz w:val="20"/>
          <w:szCs w:val="20"/>
        </w:rPr>
        <w:t>, particularly where questions of policy differ</w:t>
      </w:r>
      <w:r w:rsidRPr="00100C4A">
        <w:rPr>
          <w:rFonts w:ascii="Times New Roman" w:hAnsi="Times New Roman" w:cs="Times New Roman"/>
          <w:sz w:val="20"/>
          <w:szCs w:val="20"/>
        </w:rPr>
        <w:t xml:space="preserve">: </w:t>
      </w:r>
      <w:r w:rsidRPr="00100C4A">
        <w:rPr>
          <w:rFonts w:ascii="Times New Roman" w:hAnsi="Times New Roman" w:cs="Times New Roman"/>
          <w:i/>
          <w:sz w:val="20"/>
          <w:szCs w:val="20"/>
        </w:rPr>
        <w:t xml:space="preserve">Re B </w:t>
      </w:r>
      <w:r w:rsidRPr="00100C4A">
        <w:rPr>
          <w:rFonts w:ascii="Times New Roman" w:hAnsi="Times New Roman" w:cs="Times New Roman"/>
          <w:sz w:val="20"/>
          <w:szCs w:val="20"/>
        </w:rPr>
        <w:t xml:space="preserve">[2012] JRC 229, as stated in </w:t>
      </w:r>
      <w:r w:rsidRPr="00100C4A">
        <w:rPr>
          <w:rFonts w:ascii="Times New Roman" w:hAnsi="Times New Roman" w:cs="Times New Roman"/>
          <w:i/>
          <w:sz w:val="20"/>
          <w:szCs w:val="20"/>
        </w:rPr>
        <w:t>Re Esteem Settlement</w:t>
      </w:r>
      <w:r w:rsidRPr="00100C4A">
        <w:rPr>
          <w:rFonts w:ascii="Times New Roman" w:hAnsi="Times New Roman" w:cs="Times New Roman"/>
          <w:sz w:val="20"/>
          <w:szCs w:val="20"/>
        </w:rPr>
        <w:t xml:space="preserve"> [2012] JRC 229, “a Jersey trust is essentially the same animal as is found in English law, subject </w:t>
      </w:r>
      <w:r>
        <w:rPr>
          <w:rFonts w:ascii="Times New Roman" w:hAnsi="Times New Roman" w:cs="Times New Roman"/>
          <w:sz w:val="20"/>
          <w:szCs w:val="20"/>
        </w:rPr>
        <w:t>to certain local modifications”. Therefore, Jersey often adopts the features of English trust law.</w:t>
      </w:r>
      <w:r w:rsidRPr="00100C4A">
        <w:rPr>
          <w:rFonts w:ascii="Times New Roman" w:hAnsi="Times New Roman" w:cs="Times New Roman"/>
          <w:sz w:val="20"/>
          <w:szCs w:val="20"/>
        </w:rPr>
        <w:t xml:space="preserve"> See The Jersey Institute of Law, </w:t>
      </w:r>
      <w:r w:rsidRPr="00100C4A">
        <w:rPr>
          <w:rFonts w:ascii="Times New Roman" w:hAnsi="Times New Roman" w:cs="Times New Roman"/>
          <w:i/>
          <w:sz w:val="20"/>
          <w:szCs w:val="20"/>
        </w:rPr>
        <w:t>Trusts Law Study Guide 2014-15</w:t>
      </w:r>
      <w:r w:rsidRPr="00100C4A">
        <w:rPr>
          <w:rFonts w:ascii="Times New Roman" w:hAnsi="Times New Roman" w:cs="Times New Roman"/>
          <w:sz w:val="20"/>
          <w:szCs w:val="20"/>
        </w:rPr>
        <w:t>, pp.12-13.</w:t>
      </w:r>
    </w:p>
  </w:footnote>
  <w:footnote w:id="9">
    <w:p w:rsidR="00213421" w:rsidRPr="00213421" w:rsidRDefault="00213421" w:rsidP="00213421">
      <w:pPr>
        <w:pStyle w:val="FootnoteText"/>
        <w:jc w:val="both"/>
        <w:rPr>
          <w:rFonts w:ascii="Times New Roman" w:hAnsi="Times New Roman" w:cs="Times New Roman"/>
        </w:rPr>
      </w:pPr>
      <w:r w:rsidRPr="00213421">
        <w:rPr>
          <w:rStyle w:val="FootnoteReference"/>
          <w:rFonts w:ascii="Times New Roman" w:hAnsi="Times New Roman" w:cs="Times New Roman"/>
        </w:rPr>
        <w:footnoteRef/>
      </w:r>
      <w:r w:rsidRPr="00213421">
        <w:rPr>
          <w:rFonts w:ascii="Times New Roman" w:hAnsi="Times New Roman" w:cs="Times New Roman"/>
        </w:rPr>
        <w:t xml:space="preserve"> </w:t>
      </w:r>
      <w:proofErr w:type="spellStart"/>
      <w:r w:rsidRPr="00213421">
        <w:rPr>
          <w:rFonts w:ascii="Times New Roman" w:hAnsi="Times New Roman" w:cs="Times New Roman"/>
        </w:rPr>
        <w:t>D.Hayton</w:t>
      </w:r>
      <w:proofErr w:type="spellEnd"/>
      <w:r w:rsidRPr="00213421">
        <w:rPr>
          <w:rFonts w:ascii="Times New Roman" w:hAnsi="Times New Roman" w:cs="Times New Roman"/>
        </w:rPr>
        <w:t xml:space="preserve">, “The Irreducible Core Content of Trusteeship” in </w:t>
      </w:r>
      <w:r w:rsidRPr="00213421">
        <w:rPr>
          <w:rFonts w:ascii="Times New Roman" w:hAnsi="Times New Roman" w:cs="Times New Roman"/>
          <w:i/>
        </w:rPr>
        <w:t xml:space="preserve">Trends in Contemporary Trust Law </w:t>
      </w:r>
      <w:r w:rsidRPr="00213421">
        <w:rPr>
          <w:rFonts w:ascii="Times New Roman" w:hAnsi="Times New Roman" w:cs="Times New Roman"/>
        </w:rPr>
        <w:t xml:space="preserve">(1996, </w:t>
      </w:r>
      <w:proofErr w:type="spellStart"/>
      <w:r w:rsidRPr="00213421">
        <w:rPr>
          <w:rFonts w:ascii="Times New Roman" w:hAnsi="Times New Roman" w:cs="Times New Roman"/>
        </w:rPr>
        <w:t>A.J.Oakley</w:t>
      </w:r>
      <w:proofErr w:type="spellEnd"/>
      <w:r w:rsidRPr="00213421">
        <w:rPr>
          <w:rFonts w:ascii="Times New Roman" w:hAnsi="Times New Roman" w:cs="Times New Roman"/>
        </w:rPr>
        <w:t xml:space="preserve"> ed., Clarendon Press, Oxford), p.47.</w:t>
      </w:r>
    </w:p>
  </w:footnote>
  <w:footnote w:id="10">
    <w:p w:rsidR="00660EC4" w:rsidRPr="00213421" w:rsidRDefault="00660EC4" w:rsidP="00660EC4">
      <w:pPr>
        <w:pStyle w:val="FootnoteText"/>
        <w:jc w:val="both"/>
        <w:rPr>
          <w:rFonts w:ascii="Times New Roman" w:hAnsi="Times New Roman" w:cs="Times New Roman"/>
        </w:rPr>
      </w:pPr>
      <w:r w:rsidRPr="00213421">
        <w:rPr>
          <w:rStyle w:val="FootnoteReference"/>
          <w:rFonts w:ascii="Times New Roman" w:hAnsi="Times New Roman" w:cs="Times New Roman"/>
        </w:rPr>
        <w:footnoteRef/>
      </w:r>
      <w:r w:rsidRPr="00213421">
        <w:rPr>
          <w:rFonts w:ascii="Times New Roman" w:hAnsi="Times New Roman" w:cs="Times New Roman"/>
        </w:rPr>
        <w:t xml:space="preserve"> See for example, Hon Mr Justice David Hayton, Caribbean Court of Justice, “The Future of the Anglo-Saxon Trust in the Age of Transparency”, Paper for the STEP Caribbean Conference 2015, May 4, 2015, accessed 26 June 2015; </w:t>
      </w:r>
      <w:proofErr w:type="spellStart"/>
      <w:r w:rsidRPr="00213421">
        <w:rPr>
          <w:rFonts w:ascii="Times New Roman" w:hAnsi="Times New Roman" w:cs="Times New Roman"/>
        </w:rPr>
        <w:t>P.Matthews</w:t>
      </w:r>
      <w:proofErr w:type="spellEnd"/>
      <w:r w:rsidRPr="00213421">
        <w:rPr>
          <w:rFonts w:ascii="Times New Roman" w:hAnsi="Times New Roman" w:cs="Times New Roman"/>
        </w:rPr>
        <w:t xml:space="preserve">, “The black hole trust – uses, abuses and possible reforms: Part 1” (2002) </w:t>
      </w:r>
      <w:r w:rsidRPr="00213421">
        <w:rPr>
          <w:rFonts w:ascii="Times New Roman" w:hAnsi="Times New Roman" w:cs="Times New Roman"/>
          <w:i/>
        </w:rPr>
        <w:t xml:space="preserve">Private Client Business </w:t>
      </w:r>
      <w:r w:rsidRPr="00213421">
        <w:rPr>
          <w:rFonts w:ascii="Times New Roman" w:hAnsi="Times New Roman" w:cs="Times New Roman"/>
        </w:rPr>
        <w:t xml:space="preserve">42, (“The black hole trust 1”); “The black hole trust – uses, abuses and possible reforms: Part 2” [2002] </w:t>
      </w:r>
      <w:r w:rsidRPr="00213421">
        <w:rPr>
          <w:rFonts w:ascii="Times New Roman" w:hAnsi="Times New Roman" w:cs="Times New Roman"/>
          <w:i/>
        </w:rPr>
        <w:t>Private Client Business</w:t>
      </w:r>
      <w:r w:rsidRPr="00213421">
        <w:rPr>
          <w:rFonts w:ascii="Times New Roman" w:hAnsi="Times New Roman" w:cs="Times New Roman"/>
        </w:rPr>
        <w:t xml:space="preserve"> 103 (“The black hole trust 2”).</w:t>
      </w:r>
    </w:p>
  </w:footnote>
  <w:footnote w:id="11">
    <w:p w:rsidR="00660EC4" w:rsidRPr="00213421" w:rsidRDefault="00660EC4" w:rsidP="00660EC4">
      <w:pPr>
        <w:pStyle w:val="FootnoteText"/>
        <w:jc w:val="both"/>
        <w:rPr>
          <w:rFonts w:ascii="Times New Roman" w:hAnsi="Times New Roman" w:cs="Times New Roman"/>
        </w:rPr>
      </w:pPr>
      <w:r w:rsidRPr="00213421">
        <w:rPr>
          <w:rStyle w:val="FootnoteReference"/>
          <w:rFonts w:ascii="Times New Roman" w:hAnsi="Times New Roman" w:cs="Times New Roman"/>
        </w:rPr>
        <w:footnoteRef/>
      </w:r>
      <w:r w:rsidRPr="00213421">
        <w:rPr>
          <w:rFonts w:ascii="Times New Roman" w:hAnsi="Times New Roman" w:cs="Times New Roman"/>
        </w:rPr>
        <w:t xml:space="preserve"> </w:t>
      </w:r>
      <w:proofErr w:type="spellStart"/>
      <w:r w:rsidRPr="00213421">
        <w:rPr>
          <w:rFonts w:ascii="Times New Roman" w:hAnsi="Times New Roman" w:cs="Times New Roman"/>
        </w:rPr>
        <w:t>P.Matthews</w:t>
      </w:r>
      <w:proofErr w:type="spellEnd"/>
      <w:r w:rsidRPr="00213421">
        <w:rPr>
          <w:rFonts w:ascii="Times New Roman" w:hAnsi="Times New Roman" w:cs="Times New Roman"/>
        </w:rPr>
        <w:t>, The black hole trust 1 and 2.</w:t>
      </w:r>
      <w:r>
        <w:rPr>
          <w:rFonts w:ascii="Times New Roman" w:hAnsi="Times New Roman" w:cs="Times New Roman"/>
        </w:rPr>
        <w:t xml:space="preserve"> In Part 2 Matthews proposes certain reforms to help prevent the use of these trusts as shams or pure </w:t>
      </w:r>
      <w:proofErr w:type="spellStart"/>
      <w:r>
        <w:rPr>
          <w:rFonts w:ascii="Times New Roman" w:hAnsi="Times New Roman" w:cs="Times New Roman"/>
        </w:rPr>
        <w:t>nomineeships</w:t>
      </w:r>
      <w:proofErr w:type="spellEnd"/>
      <w:r>
        <w:rPr>
          <w:rFonts w:ascii="Times New Roman" w:hAnsi="Times New Roman" w:cs="Times New Roman"/>
        </w:rPr>
        <w:t>.</w:t>
      </w:r>
    </w:p>
  </w:footnote>
  <w:footnote w:id="12">
    <w:p w:rsidR="00A51341" w:rsidRPr="00A51341" w:rsidRDefault="00A51341" w:rsidP="00A51341">
      <w:pPr>
        <w:spacing w:after="0"/>
        <w:jc w:val="both"/>
        <w:rPr>
          <w:rFonts w:ascii="Times New Roman" w:hAnsi="Times New Roman" w:cs="Times New Roman"/>
          <w:sz w:val="20"/>
          <w:szCs w:val="20"/>
        </w:rPr>
      </w:pPr>
      <w:r w:rsidRPr="00A51341">
        <w:rPr>
          <w:rStyle w:val="FootnoteReference"/>
          <w:rFonts w:ascii="Times New Roman" w:hAnsi="Times New Roman" w:cs="Times New Roman"/>
          <w:sz w:val="20"/>
          <w:szCs w:val="20"/>
        </w:rPr>
        <w:footnoteRef/>
      </w:r>
      <w:r w:rsidRPr="00A51341">
        <w:rPr>
          <w:rFonts w:ascii="Times New Roman" w:hAnsi="Times New Roman" w:cs="Times New Roman"/>
          <w:sz w:val="20"/>
          <w:szCs w:val="20"/>
        </w:rPr>
        <w:t xml:space="preserve"> Jersey Law Commission, above, para.6.5,</w:t>
      </w:r>
      <w:r w:rsidR="00F61E6B">
        <w:rPr>
          <w:rFonts w:ascii="Times New Roman" w:hAnsi="Times New Roman" w:cs="Times New Roman"/>
          <w:sz w:val="20"/>
          <w:szCs w:val="20"/>
        </w:rPr>
        <w:t xml:space="preserve"> in a different context,</w:t>
      </w:r>
      <w:r w:rsidRPr="00A51341">
        <w:rPr>
          <w:rFonts w:ascii="Times New Roman" w:hAnsi="Times New Roman" w:cs="Times New Roman"/>
          <w:sz w:val="20"/>
          <w:szCs w:val="20"/>
        </w:rPr>
        <w:t xml:space="preserve"> commenting on whether a restriction on information rights would “be appropriate to the standing of Jersey as a responsible and sophisticated finance centre”.</w:t>
      </w:r>
    </w:p>
  </w:footnote>
  <w:footnote w:id="13">
    <w:p w:rsidR="00A51341" w:rsidRPr="00A51341" w:rsidRDefault="00A51341" w:rsidP="00A51341">
      <w:pPr>
        <w:spacing w:after="0"/>
        <w:jc w:val="both"/>
        <w:rPr>
          <w:rFonts w:ascii="Times New Roman" w:hAnsi="Times New Roman" w:cs="Times New Roman"/>
          <w:sz w:val="20"/>
          <w:szCs w:val="20"/>
        </w:rPr>
      </w:pPr>
      <w:r w:rsidRPr="00A51341">
        <w:rPr>
          <w:rStyle w:val="FootnoteReference"/>
          <w:rFonts w:ascii="Times New Roman" w:hAnsi="Times New Roman" w:cs="Times New Roman"/>
          <w:sz w:val="20"/>
          <w:szCs w:val="20"/>
        </w:rPr>
        <w:footnoteRef/>
      </w:r>
      <w:r w:rsidRPr="00A51341">
        <w:rPr>
          <w:rFonts w:ascii="Times New Roman" w:hAnsi="Times New Roman" w:cs="Times New Roman"/>
          <w:sz w:val="20"/>
          <w:szCs w:val="20"/>
        </w:rPr>
        <w:t xml:space="preserve"> As the Jersey Law Commission observes, “[</w:t>
      </w:r>
      <w:proofErr w:type="spellStart"/>
      <w:r w:rsidRPr="00A51341">
        <w:rPr>
          <w:rFonts w:ascii="Times New Roman" w:hAnsi="Times New Roman" w:cs="Times New Roman"/>
          <w:sz w:val="20"/>
          <w:szCs w:val="20"/>
        </w:rPr>
        <w:t>i</w:t>
      </w:r>
      <w:proofErr w:type="spellEnd"/>
      <w:r w:rsidRPr="00A51341">
        <w:rPr>
          <w:rFonts w:ascii="Times New Roman" w:hAnsi="Times New Roman" w:cs="Times New Roman"/>
          <w:sz w:val="20"/>
          <w:szCs w:val="20"/>
        </w:rPr>
        <w:t xml:space="preserve">]t is essential that the trust remains pragmatically enforceable by the beneficiaries”: </w:t>
      </w:r>
      <w:r w:rsidRPr="00A51341">
        <w:rPr>
          <w:rFonts w:ascii="Times New Roman" w:hAnsi="Times New Roman" w:cs="Times New Roman"/>
          <w:i/>
          <w:sz w:val="20"/>
          <w:szCs w:val="20"/>
        </w:rPr>
        <w:t>The Rights of Beneficiaries to Information Regarding a Trust</w:t>
      </w:r>
      <w:r w:rsidRPr="00A51341">
        <w:rPr>
          <w:rFonts w:ascii="Times New Roman" w:hAnsi="Times New Roman" w:cs="Times New Roman"/>
          <w:sz w:val="20"/>
          <w:szCs w:val="20"/>
        </w:rPr>
        <w:t xml:space="preserve"> (Consultation Paper No.1 February 1998), para.6.4, in considering whether to allow settlor restrictions on access to trust information.</w:t>
      </w:r>
    </w:p>
  </w:footnote>
  <w:footnote w:id="14">
    <w:p w:rsidR="00197D47" w:rsidRPr="00A51341" w:rsidRDefault="00197D47" w:rsidP="00213421">
      <w:pPr>
        <w:pStyle w:val="FootnoteText"/>
        <w:jc w:val="both"/>
        <w:rPr>
          <w:rFonts w:ascii="Times New Roman" w:hAnsi="Times New Roman" w:cs="Times New Roman"/>
        </w:rPr>
      </w:pPr>
      <w:r w:rsidRPr="00A51341">
        <w:rPr>
          <w:rStyle w:val="FootnoteReference"/>
          <w:rFonts w:ascii="Times New Roman" w:hAnsi="Times New Roman" w:cs="Times New Roman"/>
        </w:rPr>
        <w:footnoteRef/>
      </w:r>
      <w:r w:rsidRPr="00A51341">
        <w:rPr>
          <w:rFonts w:ascii="Times New Roman" w:hAnsi="Times New Roman" w:cs="Times New Roman"/>
        </w:rPr>
        <w:t xml:space="preserve"> Jersey Law Commission, </w:t>
      </w:r>
      <w:r w:rsidRPr="00A51341">
        <w:rPr>
          <w:rFonts w:ascii="Times New Roman" w:hAnsi="Times New Roman" w:cs="Times New Roman"/>
          <w:i/>
        </w:rPr>
        <w:t>The Rights of Beneficiaries to Information Regarding a Trust</w:t>
      </w:r>
      <w:r w:rsidRPr="00A51341">
        <w:rPr>
          <w:rFonts w:ascii="Times New Roman" w:hAnsi="Times New Roman" w:cs="Times New Roman"/>
        </w:rPr>
        <w:t xml:space="preserve"> (Consultation Paper No.1 February 1998), para.2.2.</w:t>
      </w:r>
      <w:r w:rsidR="00213421" w:rsidRPr="00A51341">
        <w:rPr>
          <w:rFonts w:ascii="Times New Roman" w:hAnsi="Times New Roman" w:cs="Times New Roman"/>
        </w:rPr>
        <w:t xml:space="preserve"> The Commission observes: “[W]e believe that the principle of accountability is… central to any reputable trust jurisdiction”, para. 6.3.</w:t>
      </w:r>
    </w:p>
  </w:footnote>
  <w:footnote w:id="15">
    <w:p w:rsidR="002C5DA6" w:rsidRPr="00A51341" w:rsidRDefault="002C5DA6" w:rsidP="00213421">
      <w:pPr>
        <w:pStyle w:val="FootnoteText"/>
        <w:jc w:val="both"/>
        <w:rPr>
          <w:rFonts w:ascii="Times New Roman" w:hAnsi="Times New Roman" w:cs="Times New Roman"/>
        </w:rPr>
      </w:pPr>
      <w:r w:rsidRPr="00A51341">
        <w:rPr>
          <w:rStyle w:val="FootnoteReference"/>
          <w:rFonts w:ascii="Times New Roman" w:hAnsi="Times New Roman" w:cs="Times New Roman"/>
        </w:rPr>
        <w:footnoteRef/>
      </w:r>
      <w:r w:rsidRPr="00A51341">
        <w:rPr>
          <w:rFonts w:ascii="Times New Roman" w:hAnsi="Times New Roman" w:cs="Times New Roman"/>
        </w:rPr>
        <w:t xml:space="preserve"> Hon Mr Justice David Hayton, Caribbean Court of Justice, “The Future of the Anglo-Saxon Trust in the Age of Transparency”, Paper for the STEP Caribbean Conference 2015, May 4, 2015, accessed 26 June 2015.</w:t>
      </w:r>
    </w:p>
  </w:footnote>
  <w:footnote w:id="16">
    <w:p w:rsidR="002C5DA6" w:rsidRPr="00A51341" w:rsidRDefault="002C5DA6" w:rsidP="00213421">
      <w:pPr>
        <w:spacing w:after="0"/>
        <w:jc w:val="both"/>
        <w:rPr>
          <w:rFonts w:ascii="Times New Roman" w:hAnsi="Times New Roman" w:cs="Times New Roman"/>
          <w:sz w:val="20"/>
          <w:szCs w:val="20"/>
        </w:rPr>
      </w:pPr>
      <w:r w:rsidRPr="00A51341">
        <w:rPr>
          <w:rStyle w:val="FootnoteReference"/>
          <w:rFonts w:ascii="Times New Roman" w:hAnsi="Times New Roman" w:cs="Times New Roman"/>
          <w:sz w:val="20"/>
          <w:szCs w:val="20"/>
        </w:rPr>
        <w:footnoteRef/>
      </w:r>
      <w:r w:rsidRPr="00A51341">
        <w:rPr>
          <w:rFonts w:ascii="Times New Roman" w:hAnsi="Times New Roman" w:cs="Times New Roman"/>
          <w:sz w:val="20"/>
          <w:szCs w:val="20"/>
        </w:rPr>
        <w:t xml:space="preserve"> The considerably more lenient certainty of object test in </w:t>
      </w:r>
      <w:r w:rsidRPr="00A51341">
        <w:rPr>
          <w:rFonts w:ascii="Times New Roman" w:hAnsi="Times New Roman" w:cs="Times New Roman"/>
          <w:i/>
          <w:sz w:val="20"/>
          <w:szCs w:val="20"/>
        </w:rPr>
        <w:t xml:space="preserve">McPhail v Doulton </w:t>
      </w:r>
      <w:r w:rsidRPr="00A51341">
        <w:rPr>
          <w:rFonts w:ascii="Times New Roman" w:hAnsi="Times New Roman" w:cs="Times New Roman"/>
          <w:sz w:val="20"/>
          <w:szCs w:val="20"/>
        </w:rPr>
        <w:t xml:space="preserve">[1971] AC 424 enabled the furtherance of these aims. Donovan Waters, “The Protector: New Wine in Old Bottles” in </w:t>
      </w:r>
      <w:r w:rsidRPr="00A51341">
        <w:rPr>
          <w:rFonts w:ascii="Times New Roman" w:hAnsi="Times New Roman" w:cs="Times New Roman"/>
          <w:i/>
          <w:sz w:val="20"/>
          <w:szCs w:val="20"/>
        </w:rPr>
        <w:t xml:space="preserve">Trends in Contemporary Trust Law </w:t>
      </w:r>
      <w:r w:rsidRPr="00A51341">
        <w:rPr>
          <w:rFonts w:ascii="Times New Roman" w:hAnsi="Times New Roman" w:cs="Times New Roman"/>
          <w:sz w:val="20"/>
          <w:szCs w:val="20"/>
        </w:rPr>
        <w:t xml:space="preserve">(1996, </w:t>
      </w:r>
      <w:proofErr w:type="spellStart"/>
      <w:r w:rsidRPr="00A51341">
        <w:rPr>
          <w:rFonts w:ascii="Times New Roman" w:hAnsi="Times New Roman" w:cs="Times New Roman"/>
          <w:sz w:val="20"/>
          <w:szCs w:val="20"/>
        </w:rPr>
        <w:t>A.J.Oakley</w:t>
      </w:r>
      <w:proofErr w:type="spellEnd"/>
      <w:r w:rsidRPr="00A51341">
        <w:rPr>
          <w:rFonts w:ascii="Times New Roman" w:hAnsi="Times New Roman" w:cs="Times New Roman"/>
          <w:sz w:val="20"/>
          <w:szCs w:val="20"/>
        </w:rPr>
        <w:t xml:space="preserve"> ed., Clarendon Press, Oxford, p.73.</w:t>
      </w:r>
    </w:p>
  </w:footnote>
  <w:footnote w:id="17">
    <w:p w:rsidR="002C5DA6" w:rsidRPr="00A51341" w:rsidRDefault="002C5DA6" w:rsidP="00017031">
      <w:pPr>
        <w:pStyle w:val="FootnoteText"/>
        <w:jc w:val="both"/>
        <w:rPr>
          <w:rFonts w:ascii="Times New Roman" w:hAnsi="Times New Roman" w:cs="Times New Roman"/>
        </w:rPr>
      </w:pPr>
      <w:r w:rsidRPr="00A51341">
        <w:rPr>
          <w:rStyle w:val="FootnoteReference"/>
          <w:rFonts w:ascii="Times New Roman" w:hAnsi="Times New Roman" w:cs="Times New Roman"/>
        </w:rPr>
        <w:footnoteRef/>
      </w:r>
      <w:r w:rsidRPr="00A51341">
        <w:rPr>
          <w:rFonts w:ascii="Times New Roman" w:hAnsi="Times New Roman" w:cs="Times New Roman"/>
        </w:rPr>
        <w:t xml:space="preserve"> Jersey Institute of Law, </w:t>
      </w:r>
      <w:r w:rsidRPr="00A51341">
        <w:rPr>
          <w:rFonts w:ascii="Times New Roman" w:hAnsi="Times New Roman" w:cs="Times New Roman"/>
          <w:i/>
        </w:rPr>
        <w:t>Trusts Law Study Guide</w:t>
      </w:r>
      <w:r w:rsidRPr="00A51341">
        <w:rPr>
          <w:rFonts w:ascii="Times New Roman" w:hAnsi="Times New Roman" w:cs="Times New Roman"/>
        </w:rPr>
        <w:t>, 2014-</w:t>
      </w:r>
      <w:r w:rsidR="00D15DED" w:rsidRPr="00A51341">
        <w:rPr>
          <w:rFonts w:ascii="Times New Roman" w:hAnsi="Times New Roman" w:cs="Times New Roman"/>
        </w:rPr>
        <w:t xml:space="preserve">15; also, </w:t>
      </w:r>
      <w:proofErr w:type="spellStart"/>
      <w:r w:rsidR="00D15DED" w:rsidRPr="00A51341">
        <w:rPr>
          <w:rFonts w:ascii="Times New Roman" w:hAnsi="Times New Roman" w:cs="Times New Roman"/>
        </w:rPr>
        <w:t>P.Matthews</w:t>
      </w:r>
      <w:proofErr w:type="spellEnd"/>
      <w:r w:rsidR="00D15DED" w:rsidRPr="00A51341">
        <w:rPr>
          <w:rFonts w:ascii="Times New Roman" w:hAnsi="Times New Roman" w:cs="Times New Roman"/>
        </w:rPr>
        <w:t>, “The black hole trust 1”</w:t>
      </w:r>
      <w:r w:rsidRPr="00A51341">
        <w:rPr>
          <w:rFonts w:ascii="Times New Roman" w:hAnsi="Times New Roman" w:cs="Times New Roman"/>
        </w:rPr>
        <w:t>, p.43.</w:t>
      </w:r>
    </w:p>
  </w:footnote>
  <w:footnote w:id="18">
    <w:p w:rsidR="002C5DA6" w:rsidRPr="00A51341" w:rsidRDefault="002C5DA6" w:rsidP="00017031">
      <w:pPr>
        <w:pStyle w:val="FootnoteText"/>
        <w:jc w:val="both"/>
        <w:rPr>
          <w:rFonts w:ascii="Times New Roman" w:hAnsi="Times New Roman" w:cs="Times New Roman"/>
        </w:rPr>
      </w:pPr>
      <w:r w:rsidRPr="00A51341">
        <w:rPr>
          <w:rStyle w:val="FootnoteReference"/>
          <w:rFonts w:ascii="Times New Roman" w:hAnsi="Times New Roman" w:cs="Times New Roman"/>
        </w:rPr>
        <w:footnoteRef/>
      </w:r>
      <w:r w:rsidRPr="00A51341">
        <w:rPr>
          <w:rFonts w:ascii="Times New Roman" w:hAnsi="Times New Roman" w:cs="Times New Roman"/>
        </w:rPr>
        <w:t xml:space="preserve"> </w:t>
      </w:r>
      <w:r w:rsidRPr="00A51341">
        <w:rPr>
          <w:rFonts w:ascii="Times New Roman" w:hAnsi="Times New Roman" w:cs="Times New Roman"/>
          <w:i/>
        </w:rPr>
        <w:t xml:space="preserve">Re </w:t>
      </w:r>
      <w:proofErr w:type="spellStart"/>
      <w:r w:rsidRPr="00A51341">
        <w:rPr>
          <w:rFonts w:ascii="Times New Roman" w:hAnsi="Times New Roman" w:cs="Times New Roman"/>
          <w:i/>
        </w:rPr>
        <w:t>Gea</w:t>
      </w:r>
      <w:proofErr w:type="spellEnd"/>
      <w:r w:rsidRPr="00A51341">
        <w:rPr>
          <w:rFonts w:ascii="Times New Roman" w:hAnsi="Times New Roman" w:cs="Times New Roman"/>
          <w:i/>
        </w:rPr>
        <w:t xml:space="preserve"> Settlement </w:t>
      </w:r>
      <w:r w:rsidRPr="00A51341">
        <w:rPr>
          <w:rFonts w:ascii="Times New Roman" w:hAnsi="Times New Roman" w:cs="Times New Roman"/>
        </w:rPr>
        <w:t xml:space="preserve">(1992) 13 TLI 188, cited Matthews, “The black hole trust 1”, p.48: Tomes, Deputy Bailiff, observes that “[I]n practice, the charities will receive nothing, because letters of wishes referred to hereafter will be implemented by the trustees for the time being and will dispose of the whole of the trust fund.” In </w:t>
      </w:r>
      <w:r w:rsidRPr="00A51341">
        <w:rPr>
          <w:rFonts w:ascii="Times New Roman" w:hAnsi="Times New Roman" w:cs="Times New Roman"/>
          <w:i/>
        </w:rPr>
        <w:t xml:space="preserve">The Exeter Settlement </w:t>
      </w:r>
      <w:r w:rsidRPr="00A51341">
        <w:rPr>
          <w:rFonts w:ascii="Times New Roman" w:hAnsi="Times New Roman" w:cs="Times New Roman"/>
        </w:rPr>
        <w:t xml:space="preserve">itself the </w:t>
      </w:r>
      <w:r w:rsidR="00D76698" w:rsidRPr="00A51341">
        <w:rPr>
          <w:rFonts w:ascii="Times New Roman" w:hAnsi="Times New Roman" w:cs="Times New Roman"/>
        </w:rPr>
        <w:t xml:space="preserve">default </w:t>
      </w:r>
      <w:r w:rsidRPr="00A51341">
        <w:rPr>
          <w:rFonts w:ascii="Times New Roman" w:hAnsi="Times New Roman" w:cs="Times New Roman"/>
        </w:rPr>
        <w:t>charity</w:t>
      </w:r>
      <w:r w:rsidR="00D76698" w:rsidRPr="00A51341">
        <w:rPr>
          <w:rFonts w:ascii="Times New Roman" w:hAnsi="Times New Roman" w:cs="Times New Roman"/>
        </w:rPr>
        <w:t xml:space="preserve"> beneficiary</w:t>
      </w:r>
      <w:r w:rsidRPr="00A51341">
        <w:rPr>
          <w:rFonts w:ascii="Times New Roman" w:hAnsi="Times New Roman" w:cs="Times New Roman"/>
        </w:rPr>
        <w:t xml:space="preserve"> (the RNLI) was only intended to benefit as a last resort.</w:t>
      </w:r>
    </w:p>
  </w:footnote>
  <w:footnote w:id="19">
    <w:p w:rsidR="002C5DA6" w:rsidRPr="00A51341" w:rsidRDefault="002C5DA6" w:rsidP="000B3C59">
      <w:pPr>
        <w:pStyle w:val="FootnoteText"/>
        <w:jc w:val="both"/>
        <w:rPr>
          <w:rFonts w:ascii="Times New Roman" w:hAnsi="Times New Roman" w:cs="Times New Roman"/>
        </w:rPr>
      </w:pPr>
      <w:r w:rsidRPr="00A51341">
        <w:rPr>
          <w:rStyle w:val="FootnoteReference"/>
          <w:rFonts w:ascii="Times New Roman" w:hAnsi="Times New Roman" w:cs="Times New Roman"/>
        </w:rPr>
        <w:footnoteRef/>
      </w:r>
      <w:r w:rsidRPr="00A51341">
        <w:rPr>
          <w:rFonts w:ascii="Times New Roman" w:hAnsi="Times New Roman" w:cs="Times New Roman"/>
        </w:rPr>
        <w:t xml:space="preserve">  [1988] BCLC 256, cited Matthews, “The black hole trust 1”, pp.45-46.</w:t>
      </w:r>
    </w:p>
  </w:footnote>
  <w:footnote w:id="20">
    <w:p w:rsidR="002C5DA6" w:rsidRPr="000B3C59" w:rsidRDefault="002C5DA6" w:rsidP="000B3C59">
      <w:pPr>
        <w:spacing w:after="0"/>
        <w:jc w:val="both"/>
        <w:rPr>
          <w:rFonts w:ascii="Times New Roman" w:hAnsi="Times New Roman" w:cs="Times New Roman"/>
          <w:sz w:val="20"/>
          <w:szCs w:val="20"/>
        </w:rPr>
      </w:pPr>
      <w:r w:rsidRPr="000B3C59">
        <w:rPr>
          <w:rStyle w:val="FootnoteReference"/>
          <w:rFonts w:ascii="Times New Roman" w:hAnsi="Times New Roman" w:cs="Times New Roman"/>
          <w:sz w:val="20"/>
          <w:szCs w:val="20"/>
        </w:rPr>
        <w:footnoteRef/>
      </w:r>
      <w:r w:rsidRPr="000B3C59">
        <w:rPr>
          <w:rFonts w:ascii="Times New Roman" w:hAnsi="Times New Roman" w:cs="Times New Roman"/>
          <w:sz w:val="20"/>
          <w:szCs w:val="20"/>
        </w:rPr>
        <w:t xml:space="preserve"> “These trusts therefore reveal very little and depend upon the trust and confidence reposed in the trustee”: </w:t>
      </w:r>
      <w:r w:rsidRPr="000B3C59">
        <w:rPr>
          <w:rFonts w:ascii="Times New Roman" w:hAnsi="Times New Roman" w:cs="Times New Roman"/>
          <w:i/>
          <w:sz w:val="20"/>
          <w:szCs w:val="20"/>
        </w:rPr>
        <w:t>Re TR Technology Investment Trust plc.</w:t>
      </w:r>
      <w:r w:rsidRPr="000B3C59">
        <w:rPr>
          <w:rFonts w:ascii="Times New Roman" w:hAnsi="Times New Roman" w:cs="Times New Roman"/>
          <w:sz w:val="20"/>
          <w:szCs w:val="20"/>
        </w:rPr>
        <w:t xml:space="preserve"> [1988] BCLC 256, per </w:t>
      </w:r>
      <w:r>
        <w:rPr>
          <w:rFonts w:ascii="Times New Roman" w:hAnsi="Times New Roman" w:cs="Times New Roman"/>
          <w:sz w:val="20"/>
          <w:szCs w:val="20"/>
        </w:rPr>
        <w:t>Hoffman J</w:t>
      </w:r>
      <w:r w:rsidRPr="000B3C59">
        <w:rPr>
          <w:rFonts w:ascii="Times New Roman" w:hAnsi="Times New Roman" w:cs="Times New Roman"/>
          <w:sz w:val="20"/>
          <w:szCs w:val="20"/>
        </w:rPr>
        <w:t>.</w:t>
      </w:r>
    </w:p>
  </w:footnote>
  <w:footnote w:id="21">
    <w:p w:rsidR="002C5DA6" w:rsidRPr="000B3C59" w:rsidRDefault="002C5DA6" w:rsidP="000B3C59">
      <w:pPr>
        <w:pStyle w:val="FootnoteText"/>
        <w:jc w:val="both"/>
        <w:rPr>
          <w:rFonts w:ascii="Times New Roman" w:hAnsi="Times New Roman" w:cs="Times New Roman"/>
        </w:rPr>
      </w:pPr>
      <w:r w:rsidRPr="000B3C59">
        <w:rPr>
          <w:rStyle w:val="FootnoteReference"/>
          <w:rFonts w:ascii="Times New Roman" w:hAnsi="Times New Roman" w:cs="Times New Roman"/>
        </w:rPr>
        <w:footnoteRef/>
      </w:r>
      <w:r w:rsidRPr="000B3C59">
        <w:rPr>
          <w:rFonts w:ascii="Times New Roman" w:hAnsi="Times New Roman" w:cs="Times New Roman"/>
        </w:rPr>
        <w:t xml:space="preserve"> Matthews, “The black hole trust 1”, p.45.</w:t>
      </w:r>
    </w:p>
  </w:footnote>
  <w:footnote w:id="22">
    <w:p w:rsidR="002C5DA6" w:rsidRPr="000B3C59" w:rsidRDefault="002C5DA6" w:rsidP="000B3C59">
      <w:pPr>
        <w:spacing w:after="0"/>
        <w:jc w:val="both"/>
        <w:rPr>
          <w:rFonts w:ascii="Times New Roman" w:hAnsi="Times New Roman" w:cs="Times New Roman"/>
          <w:sz w:val="20"/>
          <w:szCs w:val="20"/>
        </w:rPr>
      </w:pPr>
      <w:r w:rsidRPr="000B3C59">
        <w:rPr>
          <w:rStyle w:val="FootnoteReference"/>
          <w:rFonts w:ascii="Times New Roman" w:hAnsi="Times New Roman" w:cs="Times New Roman"/>
          <w:sz w:val="20"/>
          <w:szCs w:val="20"/>
        </w:rPr>
        <w:footnoteRef/>
      </w:r>
      <w:r w:rsidRPr="000B3C59">
        <w:rPr>
          <w:rFonts w:ascii="Times New Roman" w:hAnsi="Times New Roman" w:cs="Times New Roman"/>
          <w:sz w:val="20"/>
          <w:szCs w:val="20"/>
        </w:rPr>
        <w:t xml:space="preserve"> </w:t>
      </w:r>
      <w:r w:rsidRPr="000B3C59">
        <w:rPr>
          <w:rFonts w:ascii="Times New Roman" w:hAnsi="Times New Roman" w:cs="Times New Roman"/>
          <w:i/>
          <w:sz w:val="20"/>
          <w:szCs w:val="20"/>
        </w:rPr>
        <w:t xml:space="preserve">West v Lazard Bros &amp; Co (Jersey) Ltd. </w:t>
      </w:r>
      <w:r w:rsidRPr="000B3C59">
        <w:rPr>
          <w:rFonts w:ascii="Times New Roman" w:hAnsi="Times New Roman" w:cs="Times New Roman"/>
          <w:sz w:val="20"/>
          <w:szCs w:val="20"/>
        </w:rPr>
        <w:t>1987-88 JLR N-22a.</w:t>
      </w:r>
    </w:p>
  </w:footnote>
  <w:footnote w:id="23">
    <w:p w:rsidR="002C5DA6" w:rsidRPr="000B3C59" w:rsidRDefault="002C5DA6" w:rsidP="000B3C59">
      <w:pPr>
        <w:spacing w:after="0"/>
        <w:jc w:val="both"/>
        <w:rPr>
          <w:rFonts w:ascii="Times New Roman" w:hAnsi="Times New Roman" w:cs="Times New Roman"/>
          <w:sz w:val="20"/>
          <w:szCs w:val="20"/>
        </w:rPr>
      </w:pPr>
      <w:r w:rsidRPr="000B3C59">
        <w:rPr>
          <w:rStyle w:val="FootnoteReference"/>
          <w:rFonts w:ascii="Times New Roman" w:hAnsi="Times New Roman" w:cs="Times New Roman"/>
          <w:sz w:val="20"/>
          <w:szCs w:val="20"/>
        </w:rPr>
        <w:footnoteRef/>
      </w:r>
      <w:r w:rsidRPr="000B3C59">
        <w:rPr>
          <w:rFonts w:ascii="Times New Roman" w:hAnsi="Times New Roman" w:cs="Times New Roman"/>
          <w:sz w:val="20"/>
          <w:szCs w:val="20"/>
        </w:rPr>
        <w:t xml:space="preserve"> Matthews, The black hol</w:t>
      </w:r>
      <w:r>
        <w:rPr>
          <w:rFonts w:ascii="Times New Roman" w:hAnsi="Times New Roman" w:cs="Times New Roman"/>
          <w:sz w:val="20"/>
          <w:szCs w:val="20"/>
        </w:rPr>
        <w:t>e trust 2 [2002] PCB 103, p.106, who suggested a useful reform to eliminate this possibility.</w:t>
      </w:r>
    </w:p>
  </w:footnote>
  <w:footnote w:id="24">
    <w:p w:rsidR="002C5DA6" w:rsidRPr="000B3C59" w:rsidRDefault="002C5DA6" w:rsidP="000B3C59">
      <w:pPr>
        <w:pStyle w:val="FootnoteText"/>
        <w:jc w:val="both"/>
        <w:rPr>
          <w:rFonts w:ascii="Times New Roman" w:hAnsi="Times New Roman" w:cs="Times New Roman"/>
        </w:rPr>
      </w:pPr>
      <w:r w:rsidRPr="000B3C59">
        <w:rPr>
          <w:rStyle w:val="FootnoteReference"/>
          <w:rFonts w:ascii="Times New Roman" w:hAnsi="Times New Roman" w:cs="Times New Roman"/>
        </w:rPr>
        <w:footnoteRef/>
      </w:r>
      <w:r w:rsidRPr="000B3C59">
        <w:rPr>
          <w:rFonts w:ascii="Times New Roman" w:hAnsi="Times New Roman" w:cs="Times New Roman"/>
        </w:rPr>
        <w:t xml:space="preserve"> Matthews, “The black hole trust 2”, p.103; also by the same author: “The New Trust: Obligations without Rights?” in </w:t>
      </w:r>
      <w:r w:rsidRPr="000B3C59">
        <w:rPr>
          <w:rFonts w:ascii="Times New Roman" w:hAnsi="Times New Roman" w:cs="Times New Roman"/>
          <w:i/>
        </w:rPr>
        <w:t xml:space="preserve">Trends in Contemporary Trust Law </w:t>
      </w:r>
      <w:r w:rsidRPr="000B3C59">
        <w:rPr>
          <w:rFonts w:ascii="Times New Roman" w:hAnsi="Times New Roman" w:cs="Times New Roman"/>
        </w:rPr>
        <w:t xml:space="preserve">(1996, </w:t>
      </w:r>
      <w:proofErr w:type="spellStart"/>
      <w:r w:rsidRPr="000B3C59">
        <w:rPr>
          <w:rFonts w:ascii="Times New Roman" w:hAnsi="Times New Roman" w:cs="Times New Roman"/>
        </w:rPr>
        <w:t>A.J.Oakley</w:t>
      </w:r>
      <w:proofErr w:type="spellEnd"/>
      <w:r w:rsidRPr="000B3C59">
        <w:rPr>
          <w:rFonts w:ascii="Times New Roman" w:hAnsi="Times New Roman" w:cs="Times New Roman"/>
        </w:rPr>
        <w:t xml:space="preserve"> ed., Clarendon Press, Oxford), p.28.</w:t>
      </w:r>
    </w:p>
  </w:footnote>
  <w:footnote w:id="25">
    <w:p w:rsidR="002C5DA6" w:rsidRPr="000B3C59" w:rsidRDefault="002C5DA6" w:rsidP="000B3C59">
      <w:pPr>
        <w:spacing w:after="0"/>
        <w:jc w:val="both"/>
        <w:rPr>
          <w:rFonts w:ascii="Times New Roman" w:hAnsi="Times New Roman" w:cs="Times New Roman"/>
          <w:sz w:val="20"/>
          <w:szCs w:val="20"/>
        </w:rPr>
      </w:pPr>
      <w:r w:rsidRPr="000B3C59">
        <w:rPr>
          <w:rStyle w:val="FootnoteReference"/>
          <w:rFonts w:ascii="Times New Roman" w:hAnsi="Times New Roman" w:cs="Times New Roman"/>
          <w:sz w:val="20"/>
          <w:szCs w:val="20"/>
        </w:rPr>
        <w:footnoteRef/>
      </w:r>
      <w:r w:rsidRPr="000B3C59">
        <w:rPr>
          <w:rFonts w:ascii="Times New Roman" w:hAnsi="Times New Roman" w:cs="Times New Roman"/>
          <w:sz w:val="20"/>
          <w:szCs w:val="20"/>
        </w:rPr>
        <w:t xml:space="preserve"> Matthews, “The black hole trust 1”, p.47.</w:t>
      </w:r>
    </w:p>
  </w:footnote>
  <w:footnote w:id="26">
    <w:p w:rsidR="002C5DA6" w:rsidRPr="000B3C59" w:rsidRDefault="002C5DA6" w:rsidP="000B3C59">
      <w:pPr>
        <w:pStyle w:val="FootnoteText"/>
        <w:jc w:val="both"/>
        <w:rPr>
          <w:rFonts w:ascii="Times New Roman" w:hAnsi="Times New Roman" w:cs="Times New Roman"/>
          <w:i/>
        </w:rPr>
      </w:pPr>
      <w:r w:rsidRPr="000B3C59">
        <w:rPr>
          <w:rStyle w:val="FootnoteReference"/>
          <w:rFonts w:ascii="Times New Roman" w:hAnsi="Times New Roman" w:cs="Times New Roman"/>
        </w:rPr>
        <w:footnoteRef/>
      </w:r>
      <w:r w:rsidRPr="000B3C59">
        <w:rPr>
          <w:rFonts w:ascii="Times New Roman" w:hAnsi="Times New Roman" w:cs="Times New Roman"/>
        </w:rPr>
        <w:t xml:space="preserve"> </w:t>
      </w:r>
      <w:r>
        <w:rPr>
          <w:rFonts w:ascii="Times New Roman" w:hAnsi="Times New Roman" w:cs="Times New Roman"/>
          <w:i/>
        </w:rPr>
        <w:t>Ibid.</w:t>
      </w:r>
    </w:p>
  </w:footnote>
  <w:footnote w:id="27">
    <w:p w:rsidR="002C5DA6" w:rsidRPr="004015C8" w:rsidRDefault="002C5DA6" w:rsidP="004015C8">
      <w:pPr>
        <w:spacing w:after="0"/>
        <w:jc w:val="both"/>
        <w:rPr>
          <w:rFonts w:ascii="Times New Roman" w:hAnsi="Times New Roman" w:cs="Times New Roman"/>
          <w:sz w:val="20"/>
          <w:szCs w:val="20"/>
        </w:rPr>
      </w:pPr>
      <w:r w:rsidRPr="004015C8">
        <w:rPr>
          <w:rStyle w:val="FootnoteReference"/>
          <w:rFonts w:ascii="Times New Roman" w:hAnsi="Times New Roman" w:cs="Times New Roman"/>
          <w:sz w:val="20"/>
          <w:szCs w:val="20"/>
        </w:rPr>
        <w:footnoteRef/>
      </w:r>
      <w:r w:rsidRPr="004015C8">
        <w:rPr>
          <w:rFonts w:ascii="Times New Roman" w:hAnsi="Times New Roman" w:cs="Times New Roman"/>
          <w:sz w:val="20"/>
          <w:szCs w:val="20"/>
        </w:rPr>
        <w:t xml:space="preserve"> The power of addition in </w:t>
      </w:r>
      <w:r w:rsidRPr="004015C8">
        <w:rPr>
          <w:rFonts w:ascii="Times New Roman" w:hAnsi="Times New Roman" w:cs="Times New Roman"/>
          <w:i/>
          <w:sz w:val="20"/>
          <w:szCs w:val="20"/>
        </w:rPr>
        <w:t xml:space="preserve">The Exeter Settlement </w:t>
      </w:r>
      <w:r w:rsidRPr="004015C8">
        <w:rPr>
          <w:rFonts w:ascii="Times New Roman" w:hAnsi="Times New Roman" w:cs="Times New Roman"/>
          <w:sz w:val="20"/>
          <w:szCs w:val="20"/>
        </w:rPr>
        <w:t>was an intermediate power, i.e. exercisable in favour of the whole world excep</w:t>
      </w:r>
      <w:r w:rsidR="006E0406">
        <w:rPr>
          <w:rFonts w:ascii="Times New Roman" w:hAnsi="Times New Roman" w:cs="Times New Roman"/>
          <w:sz w:val="20"/>
          <w:szCs w:val="20"/>
        </w:rPr>
        <w:t>t certain excluded individuals:</w:t>
      </w:r>
      <w:r>
        <w:rPr>
          <w:rFonts w:ascii="Times New Roman" w:hAnsi="Times New Roman" w:cs="Times New Roman"/>
          <w:sz w:val="20"/>
          <w:szCs w:val="20"/>
        </w:rPr>
        <w:t xml:space="preserve"> para.22; for </w:t>
      </w:r>
      <w:r w:rsidRPr="004015C8">
        <w:rPr>
          <w:rFonts w:ascii="Times New Roman" w:hAnsi="Times New Roman" w:cs="Times New Roman"/>
          <w:sz w:val="20"/>
          <w:szCs w:val="20"/>
        </w:rPr>
        <w:t>similar</w:t>
      </w:r>
      <w:r>
        <w:rPr>
          <w:rFonts w:ascii="Times New Roman" w:hAnsi="Times New Roman" w:cs="Times New Roman"/>
          <w:sz w:val="20"/>
          <w:szCs w:val="20"/>
        </w:rPr>
        <w:t xml:space="preserve"> in English law </w:t>
      </w:r>
      <w:r w:rsidRPr="004015C8">
        <w:rPr>
          <w:rFonts w:ascii="Times New Roman" w:hAnsi="Times New Roman" w:cs="Times New Roman"/>
          <w:sz w:val="20"/>
          <w:szCs w:val="20"/>
        </w:rPr>
        <w:t xml:space="preserve">see </w:t>
      </w:r>
      <w:r w:rsidRPr="004015C8">
        <w:rPr>
          <w:rFonts w:ascii="Times New Roman" w:hAnsi="Times New Roman" w:cs="Times New Roman"/>
          <w:i/>
          <w:sz w:val="20"/>
          <w:szCs w:val="20"/>
        </w:rPr>
        <w:t xml:space="preserve">In Re </w:t>
      </w:r>
      <w:proofErr w:type="spellStart"/>
      <w:r w:rsidRPr="004015C8">
        <w:rPr>
          <w:rFonts w:ascii="Times New Roman" w:hAnsi="Times New Roman" w:cs="Times New Roman"/>
          <w:i/>
          <w:sz w:val="20"/>
          <w:szCs w:val="20"/>
        </w:rPr>
        <w:t>Manisty’s</w:t>
      </w:r>
      <w:proofErr w:type="spellEnd"/>
      <w:r w:rsidRPr="004015C8">
        <w:rPr>
          <w:rFonts w:ascii="Times New Roman" w:hAnsi="Times New Roman" w:cs="Times New Roman"/>
          <w:i/>
          <w:sz w:val="20"/>
          <w:szCs w:val="20"/>
        </w:rPr>
        <w:t xml:space="preserve"> Settlement</w:t>
      </w:r>
      <w:r w:rsidRPr="004015C8">
        <w:rPr>
          <w:rFonts w:ascii="Times New Roman" w:hAnsi="Times New Roman" w:cs="Times New Roman"/>
          <w:sz w:val="20"/>
          <w:szCs w:val="20"/>
        </w:rPr>
        <w:t xml:space="preserve"> [1974] Ch. 17.</w:t>
      </w:r>
    </w:p>
  </w:footnote>
  <w:footnote w:id="28">
    <w:p w:rsidR="002C5DA6" w:rsidRPr="004015C8" w:rsidRDefault="002C5DA6" w:rsidP="00D03449">
      <w:pPr>
        <w:spacing w:after="0"/>
        <w:jc w:val="both"/>
        <w:rPr>
          <w:rFonts w:ascii="Times New Roman" w:hAnsi="Times New Roman" w:cs="Times New Roman"/>
          <w:sz w:val="20"/>
          <w:szCs w:val="20"/>
        </w:rPr>
      </w:pPr>
      <w:r w:rsidRPr="004015C8">
        <w:rPr>
          <w:rStyle w:val="FootnoteReference"/>
          <w:rFonts w:ascii="Times New Roman" w:hAnsi="Times New Roman" w:cs="Times New Roman"/>
          <w:sz w:val="20"/>
          <w:szCs w:val="20"/>
        </w:rPr>
        <w:footnoteRef/>
      </w:r>
      <w:r w:rsidRPr="004015C8">
        <w:rPr>
          <w:rFonts w:ascii="Times New Roman" w:hAnsi="Times New Roman" w:cs="Times New Roman"/>
          <w:sz w:val="20"/>
          <w:szCs w:val="20"/>
        </w:rPr>
        <w:t xml:space="preserve"> All parties had proceeded in good faith, there was a genuine mistake so that the document failed to carry out the parties’ true intentions, there was full and frank disclosure, and there was no other remedy available except rectificati</w:t>
      </w:r>
      <w:r w:rsidR="006E0406">
        <w:rPr>
          <w:rFonts w:ascii="Times New Roman" w:hAnsi="Times New Roman" w:cs="Times New Roman"/>
          <w:sz w:val="20"/>
          <w:szCs w:val="20"/>
        </w:rPr>
        <w:t>on: [2010] JLR 169, para.37. For this test for rectification:</w:t>
      </w:r>
      <w:r w:rsidRPr="004015C8">
        <w:rPr>
          <w:rFonts w:ascii="Times New Roman" w:hAnsi="Times New Roman" w:cs="Times New Roman"/>
          <w:sz w:val="20"/>
          <w:szCs w:val="20"/>
        </w:rPr>
        <w:t xml:space="preserve"> </w:t>
      </w:r>
      <w:r w:rsidRPr="004015C8">
        <w:rPr>
          <w:rFonts w:ascii="Times New Roman" w:hAnsi="Times New Roman" w:cs="Times New Roman"/>
          <w:i/>
          <w:sz w:val="20"/>
          <w:szCs w:val="20"/>
        </w:rPr>
        <w:t xml:space="preserve">Re </w:t>
      </w:r>
      <w:proofErr w:type="spellStart"/>
      <w:r w:rsidRPr="004015C8">
        <w:rPr>
          <w:rFonts w:ascii="Times New Roman" w:hAnsi="Times New Roman" w:cs="Times New Roman"/>
          <w:i/>
          <w:sz w:val="20"/>
          <w:szCs w:val="20"/>
        </w:rPr>
        <w:t>Sesemann</w:t>
      </w:r>
      <w:proofErr w:type="spellEnd"/>
      <w:r w:rsidRPr="004015C8">
        <w:rPr>
          <w:rFonts w:ascii="Times New Roman" w:hAnsi="Times New Roman" w:cs="Times New Roman"/>
          <w:i/>
          <w:sz w:val="20"/>
          <w:szCs w:val="20"/>
        </w:rPr>
        <w:t xml:space="preserve"> </w:t>
      </w:r>
      <w:r w:rsidRPr="004015C8">
        <w:rPr>
          <w:rFonts w:ascii="Times New Roman" w:hAnsi="Times New Roman" w:cs="Times New Roman"/>
          <w:sz w:val="20"/>
          <w:szCs w:val="20"/>
        </w:rPr>
        <w:t>2005 JL</w:t>
      </w:r>
      <w:r>
        <w:rPr>
          <w:rFonts w:ascii="Times New Roman" w:hAnsi="Times New Roman" w:cs="Times New Roman"/>
          <w:sz w:val="20"/>
          <w:szCs w:val="20"/>
        </w:rPr>
        <w:t>R 421.</w:t>
      </w:r>
    </w:p>
  </w:footnote>
  <w:footnote w:id="29">
    <w:p w:rsidR="002C5DA6" w:rsidRPr="00A5729A" w:rsidRDefault="002C5DA6" w:rsidP="004E1000">
      <w:pPr>
        <w:spacing w:after="0"/>
        <w:jc w:val="both"/>
        <w:rPr>
          <w:rFonts w:ascii="Times New Roman" w:hAnsi="Times New Roman" w:cs="Times New Roman"/>
          <w:sz w:val="20"/>
          <w:szCs w:val="20"/>
        </w:rPr>
      </w:pPr>
      <w:r w:rsidRPr="004015C8">
        <w:rPr>
          <w:rStyle w:val="FootnoteReference"/>
          <w:rFonts w:ascii="Times New Roman" w:hAnsi="Times New Roman" w:cs="Times New Roman"/>
          <w:sz w:val="20"/>
          <w:szCs w:val="20"/>
        </w:rPr>
        <w:footnoteRef/>
      </w:r>
      <w:r w:rsidRPr="004015C8">
        <w:rPr>
          <w:rFonts w:ascii="Times New Roman" w:hAnsi="Times New Roman" w:cs="Times New Roman"/>
          <w:sz w:val="20"/>
          <w:szCs w:val="20"/>
        </w:rPr>
        <w:t xml:space="preserve"> </w:t>
      </w:r>
      <w:r w:rsidRPr="004015C8">
        <w:rPr>
          <w:rFonts w:ascii="Times New Roman" w:hAnsi="Times New Roman" w:cs="Times New Roman"/>
          <w:i/>
          <w:sz w:val="20"/>
          <w:szCs w:val="20"/>
        </w:rPr>
        <w:t xml:space="preserve">Knight v Knight </w:t>
      </w:r>
      <w:r w:rsidR="006137D7">
        <w:rPr>
          <w:rFonts w:ascii="Times New Roman" w:hAnsi="Times New Roman" w:cs="Times New Roman"/>
          <w:sz w:val="20"/>
          <w:szCs w:val="20"/>
        </w:rPr>
        <w:t>(1840) 3</w:t>
      </w:r>
      <w:r>
        <w:rPr>
          <w:rFonts w:ascii="Times New Roman" w:hAnsi="Times New Roman" w:cs="Times New Roman"/>
          <w:sz w:val="20"/>
          <w:szCs w:val="20"/>
        </w:rPr>
        <w:t xml:space="preserve"> </w:t>
      </w:r>
      <w:proofErr w:type="spellStart"/>
      <w:r>
        <w:rPr>
          <w:rFonts w:ascii="Times New Roman" w:hAnsi="Times New Roman" w:cs="Times New Roman"/>
          <w:sz w:val="20"/>
          <w:szCs w:val="20"/>
        </w:rPr>
        <w:t>Beav</w:t>
      </w:r>
      <w:proofErr w:type="spellEnd"/>
      <w:r>
        <w:rPr>
          <w:rFonts w:ascii="Times New Roman" w:hAnsi="Times New Roman" w:cs="Times New Roman"/>
          <w:sz w:val="20"/>
          <w:szCs w:val="20"/>
        </w:rPr>
        <w:t>.</w:t>
      </w:r>
      <w:r w:rsidR="006137D7">
        <w:rPr>
          <w:rFonts w:ascii="Times New Roman" w:hAnsi="Times New Roman" w:cs="Times New Roman"/>
          <w:sz w:val="20"/>
          <w:szCs w:val="20"/>
        </w:rPr>
        <w:t xml:space="preserve"> 148 pp.172-3</w:t>
      </w:r>
      <w:r w:rsidR="00A5729A">
        <w:rPr>
          <w:rFonts w:ascii="Times New Roman" w:hAnsi="Times New Roman" w:cs="Times New Roman"/>
          <w:sz w:val="20"/>
          <w:szCs w:val="20"/>
        </w:rPr>
        <w:t>, confirmed</w:t>
      </w:r>
      <w:r w:rsidR="00782A08">
        <w:rPr>
          <w:rFonts w:ascii="Times New Roman" w:hAnsi="Times New Roman" w:cs="Times New Roman"/>
          <w:sz w:val="20"/>
          <w:szCs w:val="20"/>
        </w:rPr>
        <w:t xml:space="preserve"> as part of Jersey law</w:t>
      </w:r>
      <w:r w:rsidR="00A5729A">
        <w:rPr>
          <w:rFonts w:ascii="Times New Roman" w:hAnsi="Times New Roman" w:cs="Times New Roman"/>
          <w:sz w:val="20"/>
          <w:szCs w:val="20"/>
        </w:rPr>
        <w:t xml:space="preserve"> in </w:t>
      </w:r>
      <w:r w:rsidR="00A5729A">
        <w:rPr>
          <w:rFonts w:ascii="Times New Roman" w:hAnsi="Times New Roman" w:cs="Times New Roman"/>
          <w:i/>
          <w:sz w:val="20"/>
          <w:szCs w:val="20"/>
        </w:rPr>
        <w:t>Exeter</w:t>
      </w:r>
      <w:r w:rsidR="00A5729A">
        <w:rPr>
          <w:rFonts w:ascii="Times New Roman" w:hAnsi="Times New Roman" w:cs="Times New Roman"/>
          <w:sz w:val="20"/>
          <w:szCs w:val="20"/>
        </w:rPr>
        <w:t>.</w:t>
      </w:r>
    </w:p>
  </w:footnote>
  <w:footnote w:id="30">
    <w:p w:rsidR="002C5DA6" w:rsidRPr="00660A60" w:rsidRDefault="002C5DA6" w:rsidP="00660A60">
      <w:pPr>
        <w:spacing w:after="0"/>
        <w:jc w:val="both"/>
        <w:rPr>
          <w:rFonts w:ascii="Times New Roman" w:hAnsi="Times New Roman" w:cs="Times New Roman"/>
          <w:sz w:val="20"/>
          <w:szCs w:val="20"/>
        </w:rPr>
      </w:pPr>
      <w:r w:rsidRPr="00660A60">
        <w:rPr>
          <w:rStyle w:val="FootnoteReference"/>
          <w:rFonts w:ascii="Times New Roman" w:hAnsi="Times New Roman" w:cs="Times New Roman"/>
          <w:sz w:val="20"/>
          <w:szCs w:val="20"/>
        </w:rPr>
        <w:footnoteRef/>
      </w:r>
      <w:r w:rsidRPr="00660A60">
        <w:rPr>
          <w:rFonts w:ascii="Times New Roman" w:hAnsi="Times New Roman" w:cs="Times New Roman"/>
          <w:sz w:val="20"/>
          <w:szCs w:val="20"/>
        </w:rPr>
        <w:t xml:space="preserve"> For recent application of this provision see</w:t>
      </w:r>
      <w:r>
        <w:rPr>
          <w:rFonts w:ascii="Times New Roman" w:hAnsi="Times New Roman" w:cs="Times New Roman"/>
          <w:sz w:val="20"/>
          <w:szCs w:val="20"/>
        </w:rPr>
        <w:t xml:space="preserve"> the decision of the Royal Court in</w:t>
      </w:r>
      <w:r w:rsidRPr="00660A60">
        <w:rPr>
          <w:rFonts w:ascii="Times New Roman" w:hAnsi="Times New Roman" w:cs="Times New Roman"/>
          <w:sz w:val="20"/>
          <w:szCs w:val="20"/>
        </w:rPr>
        <w:t xml:space="preserve"> </w:t>
      </w:r>
      <w:r w:rsidRPr="00660A60">
        <w:rPr>
          <w:rFonts w:ascii="Times New Roman" w:hAnsi="Times New Roman" w:cs="Times New Roman"/>
          <w:i/>
          <w:sz w:val="20"/>
          <w:szCs w:val="20"/>
        </w:rPr>
        <w:t xml:space="preserve">Harper v Apex Trust Company Ltd </w:t>
      </w:r>
      <w:r w:rsidRPr="00660A60">
        <w:rPr>
          <w:rFonts w:ascii="Times New Roman" w:hAnsi="Times New Roman" w:cs="Times New Roman"/>
          <w:sz w:val="20"/>
          <w:szCs w:val="20"/>
        </w:rPr>
        <w:t>[2014] JRC 253</w:t>
      </w:r>
      <w:r>
        <w:rPr>
          <w:rFonts w:ascii="Times New Roman" w:hAnsi="Times New Roman" w:cs="Times New Roman"/>
          <w:sz w:val="20"/>
          <w:szCs w:val="20"/>
        </w:rPr>
        <w:t xml:space="preserve">, which considered </w:t>
      </w:r>
      <w:r>
        <w:rPr>
          <w:rFonts w:ascii="Times New Roman" w:hAnsi="Times New Roman" w:cs="Times New Roman"/>
          <w:i/>
          <w:sz w:val="20"/>
          <w:szCs w:val="20"/>
        </w:rPr>
        <w:t>The Exeter Settlement</w:t>
      </w:r>
      <w:r>
        <w:rPr>
          <w:rFonts w:ascii="Times New Roman" w:hAnsi="Times New Roman" w:cs="Times New Roman"/>
          <w:sz w:val="20"/>
          <w:szCs w:val="20"/>
        </w:rPr>
        <w:t>.</w:t>
      </w:r>
    </w:p>
  </w:footnote>
  <w:footnote w:id="31">
    <w:p w:rsidR="002377D2" w:rsidRPr="002377D2" w:rsidRDefault="002377D2" w:rsidP="002377D2">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The time for assessing</w:t>
      </w:r>
      <w:r w:rsidR="003E04AC">
        <w:rPr>
          <w:rFonts w:ascii="Times New Roman" w:hAnsi="Times New Roman" w:cs="Times New Roman"/>
        </w:rPr>
        <w:t xml:space="preserve"> whether a trust</w:t>
      </w:r>
      <w:r>
        <w:rPr>
          <w:rFonts w:ascii="Times New Roman" w:hAnsi="Times New Roman" w:cs="Times New Roman"/>
        </w:rPr>
        <w:t xml:space="preserve"> certain</w:t>
      </w:r>
      <w:r w:rsidR="003E04AC">
        <w:rPr>
          <w:rFonts w:ascii="Times New Roman" w:hAnsi="Times New Roman" w:cs="Times New Roman"/>
        </w:rPr>
        <w:t xml:space="preserve"> in its objects</w:t>
      </w:r>
      <w:r>
        <w:rPr>
          <w:rFonts w:ascii="Times New Roman" w:hAnsi="Times New Roman" w:cs="Times New Roman"/>
        </w:rPr>
        <w:t xml:space="preserve"> is the </w:t>
      </w:r>
      <w:r w:rsidR="003E04AC">
        <w:rPr>
          <w:rFonts w:ascii="Times New Roman" w:hAnsi="Times New Roman" w:cs="Times New Roman"/>
        </w:rPr>
        <w:t>time of the set-up of the trust.</w:t>
      </w:r>
      <w:r>
        <w:rPr>
          <w:rFonts w:ascii="Times New Roman" w:hAnsi="Times New Roman" w:cs="Times New Roman"/>
        </w:rPr>
        <w:t xml:space="preserve"> </w:t>
      </w:r>
      <w:r>
        <w:rPr>
          <w:rFonts w:ascii="Times New Roman" w:hAnsi="Times New Roman" w:cs="Times New Roman"/>
          <w:i/>
        </w:rPr>
        <w:t xml:space="preserve">Re </w:t>
      </w:r>
      <w:proofErr w:type="spellStart"/>
      <w:r>
        <w:rPr>
          <w:rFonts w:ascii="Times New Roman" w:hAnsi="Times New Roman" w:cs="Times New Roman"/>
          <w:i/>
        </w:rPr>
        <w:t>Gulbenkian</w:t>
      </w:r>
      <w:proofErr w:type="spellEnd"/>
      <w:r>
        <w:rPr>
          <w:rFonts w:ascii="Times New Roman" w:hAnsi="Times New Roman" w:cs="Times New Roman"/>
          <w:i/>
        </w:rPr>
        <w:t xml:space="preserve"> </w:t>
      </w:r>
      <w:r w:rsidR="003E04AC">
        <w:rPr>
          <w:rFonts w:ascii="Times New Roman" w:hAnsi="Times New Roman" w:cs="Times New Roman"/>
        </w:rPr>
        <w:t>[1970] AC 508, p.524 emphasised this point in relation to powers of appointment, which attract the sa</w:t>
      </w:r>
      <w:r w:rsidR="00E8493A">
        <w:rPr>
          <w:rFonts w:ascii="Times New Roman" w:hAnsi="Times New Roman" w:cs="Times New Roman"/>
        </w:rPr>
        <w:t>me test for certainty of object as discretionary trusts.</w:t>
      </w:r>
    </w:p>
  </w:footnote>
  <w:footnote w:id="32">
    <w:p w:rsidR="002C5DA6" w:rsidRPr="006A6449" w:rsidRDefault="002C5DA6" w:rsidP="00DC1D0C">
      <w:pPr>
        <w:spacing w:after="0"/>
        <w:jc w:val="both"/>
        <w:rPr>
          <w:rFonts w:ascii="Times New Roman" w:hAnsi="Times New Roman" w:cs="Times New Roman"/>
          <w:sz w:val="20"/>
          <w:szCs w:val="20"/>
        </w:rPr>
      </w:pPr>
      <w:r w:rsidRPr="00DC1D0C">
        <w:rPr>
          <w:rStyle w:val="FootnoteReference"/>
          <w:rFonts w:ascii="Times New Roman" w:hAnsi="Times New Roman" w:cs="Times New Roman"/>
          <w:sz w:val="20"/>
          <w:szCs w:val="20"/>
        </w:rPr>
        <w:footnoteRef/>
      </w:r>
      <w:r w:rsidRPr="00DC1D0C">
        <w:rPr>
          <w:rFonts w:ascii="Times New Roman" w:hAnsi="Times New Roman" w:cs="Times New Roman"/>
          <w:sz w:val="20"/>
          <w:szCs w:val="20"/>
        </w:rPr>
        <w:t xml:space="preserve"> [1971] AC 424, p.450, per Lord Wilberforce. The test originated as the certainty test for powers of appointment in </w:t>
      </w:r>
      <w:r w:rsidRPr="00DC1D0C">
        <w:rPr>
          <w:rFonts w:ascii="Times New Roman" w:hAnsi="Times New Roman" w:cs="Times New Roman"/>
          <w:i/>
          <w:sz w:val="20"/>
          <w:szCs w:val="20"/>
        </w:rPr>
        <w:t xml:space="preserve">Re </w:t>
      </w:r>
      <w:proofErr w:type="spellStart"/>
      <w:r w:rsidRPr="00DC1D0C">
        <w:rPr>
          <w:rFonts w:ascii="Times New Roman" w:hAnsi="Times New Roman" w:cs="Times New Roman"/>
          <w:i/>
          <w:sz w:val="20"/>
          <w:szCs w:val="20"/>
        </w:rPr>
        <w:t>Gulbenkian’s</w:t>
      </w:r>
      <w:proofErr w:type="spellEnd"/>
      <w:r w:rsidRPr="00DC1D0C">
        <w:rPr>
          <w:rFonts w:ascii="Times New Roman" w:hAnsi="Times New Roman" w:cs="Times New Roman"/>
          <w:i/>
          <w:sz w:val="20"/>
          <w:szCs w:val="20"/>
        </w:rPr>
        <w:t xml:space="preserve"> Settlement</w:t>
      </w:r>
      <w:r w:rsidR="006A6449">
        <w:rPr>
          <w:rFonts w:ascii="Times New Roman" w:hAnsi="Times New Roman" w:cs="Times New Roman"/>
          <w:sz w:val="20"/>
          <w:szCs w:val="20"/>
        </w:rPr>
        <w:t xml:space="preserve"> [1970] AC 508</w:t>
      </w:r>
      <w:r w:rsidRPr="00DC1D0C">
        <w:rPr>
          <w:rFonts w:ascii="Times New Roman" w:hAnsi="Times New Roman" w:cs="Times New Roman"/>
          <w:sz w:val="20"/>
          <w:szCs w:val="20"/>
        </w:rPr>
        <w:t>.</w:t>
      </w:r>
      <w:r w:rsidR="006A6449">
        <w:rPr>
          <w:rFonts w:ascii="Times New Roman" w:hAnsi="Times New Roman" w:cs="Times New Roman"/>
          <w:sz w:val="20"/>
          <w:szCs w:val="20"/>
        </w:rPr>
        <w:t xml:space="preserve"> In holding that this was the relevant test to determine certainty of object in discretionary trusts, Lord Wilberforce in </w:t>
      </w:r>
      <w:r w:rsidR="006A6449">
        <w:rPr>
          <w:rFonts w:ascii="Times New Roman" w:hAnsi="Times New Roman" w:cs="Times New Roman"/>
          <w:i/>
          <w:sz w:val="20"/>
          <w:szCs w:val="20"/>
        </w:rPr>
        <w:t xml:space="preserve">McPhail </w:t>
      </w:r>
      <w:r w:rsidR="006A6449">
        <w:rPr>
          <w:rFonts w:ascii="Times New Roman" w:hAnsi="Times New Roman" w:cs="Times New Roman"/>
          <w:sz w:val="20"/>
          <w:szCs w:val="20"/>
        </w:rPr>
        <w:t xml:space="preserve">overrules the case of </w:t>
      </w:r>
      <w:r w:rsidR="006A6449">
        <w:rPr>
          <w:rFonts w:ascii="Times New Roman" w:hAnsi="Times New Roman" w:cs="Times New Roman"/>
          <w:i/>
          <w:sz w:val="20"/>
          <w:szCs w:val="20"/>
        </w:rPr>
        <w:t>IRC v Broadway Cottages Trust</w:t>
      </w:r>
      <w:r w:rsidR="006A6449">
        <w:rPr>
          <w:rFonts w:ascii="Times New Roman" w:hAnsi="Times New Roman" w:cs="Times New Roman"/>
          <w:sz w:val="20"/>
          <w:szCs w:val="20"/>
        </w:rPr>
        <w:t>, which required the ability to compile a complete list of beneficiaries, i.e. the ascertainment of every member of the class.</w:t>
      </w:r>
    </w:p>
  </w:footnote>
  <w:footnote w:id="33">
    <w:p w:rsidR="002C5DA6" w:rsidRPr="00DC1D0C" w:rsidRDefault="002C5DA6" w:rsidP="00DC1D0C">
      <w:pPr>
        <w:spacing w:after="0"/>
        <w:jc w:val="both"/>
        <w:rPr>
          <w:rFonts w:ascii="Times New Roman" w:hAnsi="Times New Roman" w:cs="Times New Roman"/>
          <w:sz w:val="20"/>
          <w:szCs w:val="20"/>
        </w:rPr>
      </w:pPr>
      <w:r w:rsidRPr="00DC1D0C">
        <w:rPr>
          <w:rStyle w:val="FootnoteReference"/>
          <w:rFonts w:ascii="Times New Roman" w:hAnsi="Times New Roman" w:cs="Times New Roman"/>
          <w:sz w:val="20"/>
          <w:szCs w:val="20"/>
        </w:rPr>
        <w:footnoteRef/>
      </w:r>
      <w:r w:rsidRPr="00DC1D0C">
        <w:rPr>
          <w:rFonts w:ascii="Times New Roman" w:hAnsi="Times New Roman" w:cs="Times New Roman"/>
          <w:sz w:val="20"/>
          <w:szCs w:val="20"/>
        </w:rPr>
        <w:t xml:space="preserve"> </w:t>
      </w:r>
      <w:r w:rsidR="006A6449">
        <w:rPr>
          <w:rFonts w:ascii="Times New Roman" w:hAnsi="Times New Roman" w:cs="Times New Roman"/>
          <w:sz w:val="20"/>
          <w:szCs w:val="20"/>
        </w:rPr>
        <w:t xml:space="preserve">It is necessary to identify every member of the class of beneficiaries where </w:t>
      </w:r>
      <w:r w:rsidRPr="00DC1D0C">
        <w:rPr>
          <w:rFonts w:ascii="Times New Roman" w:hAnsi="Times New Roman" w:cs="Times New Roman"/>
          <w:sz w:val="20"/>
          <w:szCs w:val="20"/>
        </w:rPr>
        <w:t xml:space="preserve">the settlor intends equal distribution in default, in which case the trustees must be able to compile a complete list of all beneficiaries before the trust is valid. For example, </w:t>
      </w:r>
      <w:proofErr w:type="spellStart"/>
      <w:r w:rsidRPr="00DC1D0C">
        <w:rPr>
          <w:rFonts w:ascii="Times New Roman" w:hAnsi="Times New Roman" w:cs="Times New Roman"/>
          <w:i/>
          <w:sz w:val="20"/>
          <w:szCs w:val="20"/>
        </w:rPr>
        <w:t>Burrough</w:t>
      </w:r>
      <w:proofErr w:type="spellEnd"/>
      <w:r w:rsidRPr="00DC1D0C">
        <w:rPr>
          <w:rFonts w:ascii="Times New Roman" w:hAnsi="Times New Roman" w:cs="Times New Roman"/>
          <w:i/>
          <w:sz w:val="20"/>
          <w:szCs w:val="20"/>
        </w:rPr>
        <w:t xml:space="preserve"> v </w:t>
      </w:r>
      <w:proofErr w:type="spellStart"/>
      <w:r w:rsidRPr="00DC1D0C">
        <w:rPr>
          <w:rFonts w:ascii="Times New Roman" w:hAnsi="Times New Roman" w:cs="Times New Roman"/>
          <w:i/>
          <w:sz w:val="20"/>
          <w:szCs w:val="20"/>
        </w:rPr>
        <w:t>Philcox</w:t>
      </w:r>
      <w:proofErr w:type="spellEnd"/>
      <w:r w:rsidRPr="00DC1D0C">
        <w:rPr>
          <w:rFonts w:ascii="Times New Roman" w:hAnsi="Times New Roman" w:cs="Times New Roman"/>
          <w:sz w:val="20"/>
          <w:szCs w:val="20"/>
        </w:rPr>
        <w:t xml:space="preserve"> (1840) 5 My &amp; CR 72, 5 </w:t>
      </w:r>
      <w:proofErr w:type="spellStart"/>
      <w:r w:rsidRPr="00DC1D0C">
        <w:rPr>
          <w:rFonts w:ascii="Times New Roman" w:hAnsi="Times New Roman" w:cs="Times New Roman"/>
          <w:sz w:val="20"/>
          <w:szCs w:val="20"/>
        </w:rPr>
        <w:t>Jur</w:t>
      </w:r>
      <w:proofErr w:type="spellEnd"/>
      <w:r w:rsidRPr="00DC1D0C">
        <w:rPr>
          <w:rFonts w:ascii="Times New Roman" w:hAnsi="Times New Roman" w:cs="Times New Roman"/>
          <w:sz w:val="20"/>
          <w:szCs w:val="20"/>
        </w:rPr>
        <w:t xml:space="preserve"> 453, 48 RR 236, in which case the </w:t>
      </w:r>
      <w:r w:rsidRPr="00DC1D0C">
        <w:rPr>
          <w:rFonts w:ascii="Times New Roman" w:hAnsi="Times New Roman" w:cs="Times New Roman"/>
          <w:i/>
          <w:sz w:val="20"/>
          <w:szCs w:val="20"/>
        </w:rPr>
        <w:t xml:space="preserve">IRC v Broadway Cottages </w:t>
      </w:r>
      <w:r w:rsidRPr="00DC1D0C">
        <w:rPr>
          <w:rFonts w:ascii="Times New Roman" w:hAnsi="Times New Roman" w:cs="Times New Roman"/>
          <w:sz w:val="20"/>
          <w:szCs w:val="20"/>
        </w:rPr>
        <w:t xml:space="preserve">test would apply: </w:t>
      </w:r>
      <w:proofErr w:type="spellStart"/>
      <w:r w:rsidRPr="00DC1D0C">
        <w:rPr>
          <w:rFonts w:ascii="Times New Roman" w:hAnsi="Times New Roman" w:cs="Times New Roman"/>
          <w:sz w:val="20"/>
          <w:szCs w:val="20"/>
        </w:rPr>
        <w:t>C.T.Emery</w:t>
      </w:r>
      <w:proofErr w:type="spellEnd"/>
      <w:r w:rsidRPr="00DC1D0C">
        <w:rPr>
          <w:rFonts w:ascii="Times New Roman" w:hAnsi="Times New Roman" w:cs="Times New Roman"/>
          <w:sz w:val="20"/>
          <w:szCs w:val="20"/>
        </w:rPr>
        <w:t xml:space="preserve"> (1982) 98 LQR 551.</w:t>
      </w:r>
    </w:p>
  </w:footnote>
  <w:footnote w:id="34">
    <w:p w:rsidR="00EE612F" w:rsidRPr="00DC1D0C" w:rsidRDefault="00EE612F" w:rsidP="00EE612F">
      <w:pPr>
        <w:spacing w:after="0"/>
        <w:jc w:val="both"/>
        <w:rPr>
          <w:rFonts w:ascii="Times New Roman" w:hAnsi="Times New Roman" w:cs="Times New Roman"/>
          <w:sz w:val="20"/>
          <w:szCs w:val="20"/>
        </w:rPr>
      </w:pPr>
      <w:r w:rsidRPr="00DC1D0C">
        <w:rPr>
          <w:rStyle w:val="FootnoteReference"/>
          <w:rFonts w:ascii="Times New Roman" w:hAnsi="Times New Roman" w:cs="Times New Roman"/>
          <w:sz w:val="20"/>
          <w:szCs w:val="20"/>
        </w:rPr>
        <w:footnoteRef/>
      </w:r>
      <w:r w:rsidRPr="00DC1D0C">
        <w:rPr>
          <w:rFonts w:ascii="Times New Roman" w:hAnsi="Times New Roman" w:cs="Times New Roman"/>
          <w:sz w:val="20"/>
          <w:szCs w:val="20"/>
        </w:rPr>
        <w:t xml:space="preserve"> It was also argued that even if it did, the trustees’ exercise of the power of addition in 1984 validated the trust, but these arguments will not be considered in this article as they fall outside its scope.</w:t>
      </w:r>
    </w:p>
  </w:footnote>
  <w:footnote w:id="35">
    <w:p w:rsidR="002C5DA6" w:rsidRPr="00DC1D0C" w:rsidRDefault="002C5DA6" w:rsidP="00DC1D0C">
      <w:pPr>
        <w:spacing w:after="0"/>
        <w:jc w:val="both"/>
        <w:rPr>
          <w:rFonts w:ascii="Times New Roman" w:hAnsi="Times New Roman" w:cs="Times New Roman"/>
          <w:sz w:val="20"/>
          <w:szCs w:val="20"/>
        </w:rPr>
      </w:pPr>
      <w:r w:rsidRPr="00DC1D0C">
        <w:rPr>
          <w:rStyle w:val="FootnoteReference"/>
          <w:rFonts w:ascii="Times New Roman" w:hAnsi="Times New Roman" w:cs="Times New Roman"/>
          <w:sz w:val="20"/>
          <w:szCs w:val="20"/>
        </w:rPr>
        <w:footnoteRef/>
      </w:r>
      <w:r w:rsidRPr="00DC1D0C">
        <w:rPr>
          <w:rFonts w:ascii="Times New Roman" w:hAnsi="Times New Roman" w:cs="Times New Roman"/>
          <w:sz w:val="20"/>
          <w:szCs w:val="20"/>
        </w:rPr>
        <w:t xml:space="preserve"> 1993-95 MLR 426.</w:t>
      </w:r>
    </w:p>
  </w:footnote>
  <w:footnote w:id="36">
    <w:p w:rsidR="002C5DA6" w:rsidRPr="00DC1D0C" w:rsidRDefault="002C5DA6" w:rsidP="00DC1D0C">
      <w:pPr>
        <w:pStyle w:val="FootnoteText"/>
        <w:jc w:val="both"/>
        <w:rPr>
          <w:rFonts w:ascii="Times New Roman" w:hAnsi="Times New Roman" w:cs="Times New Roman"/>
        </w:rPr>
      </w:pPr>
      <w:r w:rsidRPr="00DC1D0C">
        <w:rPr>
          <w:rStyle w:val="FootnoteReference"/>
          <w:rFonts w:ascii="Times New Roman" w:hAnsi="Times New Roman" w:cs="Times New Roman"/>
        </w:rPr>
        <w:footnoteRef/>
      </w:r>
      <w:r w:rsidRPr="00DC1D0C">
        <w:rPr>
          <w:rFonts w:ascii="Times New Roman" w:hAnsi="Times New Roman" w:cs="Times New Roman"/>
        </w:rPr>
        <w:t xml:space="preserve"> Comprising </w:t>
      </w:r>
      <w:proofErr w:type="spellStart"/>
      <w:r w:rsidRPr="00DC1D0C">
        <w:rPr>
          <w:rFonts w:ascii="Times New Roman" w:hAnsi="Times New Roman" w:cs="Times New Roman"/>
        </w:rPr>
        <w:t>Birt</w:t>
      </w:r>
      <w:proofErr w:type="spellEnd"/>
      <w:r w:rsidRPr="00DC1D0C">
        <w:rPr>
          <w:rFonts w:ascii="Times New Roman" w:hAnsi="Times New Roman" w:cs="Times New Roman"/>
        </w:rPr>
        <w:t xml:space="preserve"> (then Bailiff) and de </w:t>
      </w:r>
      <w:proofErr w:type="spellStart"/>
      <w:r w:rsidRPr="00DC1D0C">
        <w:rPr>
          <w:rFonts w:ascii="Times New Roman" w:hAnsi="Times New Roman" w:cs="Times New Roman"/>
        </w:rPr>
        <w:t>Veulle</w:t>
      </w:r>
      <w:proofErr w:type="spellEnd"/>
      <w:r w:rsidRPr="00DC1D0C">
        <w:rPr>
          <w:rFonts w:ascii="Times New Roman" w:hAnsi="Times New Roman" w:cs="Times New Roman"/>
        </w:rPr>
        <w:t xml:space="preserve"> and </w:t>
      </w:r>
      <w:proofErr w:type="spellStart"/>
      <w:r w:rsidRPr="00DC1D0C">
        <w:rPr>
          <w:rFonts w:ascii="Times New Roman" w:hAnsi="Times New Roman" w:cs="Times New Roman"/>
        </w:rPr>
        <w:t>Tibbo</w:t>
      </w:r>
      <w:proofErr w:type="spellEnd"/>
      <w:r w:rsidRPr="00DC1D0C">
        <w:rPr>
          <w:rFonts w:ascii="Times New Roman" w:hAnsi="Times New Roman" w:cs="Times New Roman"/>
        </w:rPr>
        <w:t xml:space="preserve"> (</w:t>
      </w:r>
      <w:proofErr w:type="spellStart"/>
      <w:r w:rsidRPr="00DC1D0C">
        <w:rPr>
          <w:rFonts w:ascii="Times New Roman" w:hAnsi="Times New Roman" w:cs="Times New Roman"/>
        </w:rPr>
        <w:t>Jurats</w:t>
      </w:r>
      <w:proofErr w:type="spellEnd"/>
      <w:r w:rsidRPr="00DC1D0C">
        <w:rPr>
          <w:rFonts w:ascii="Times New Roman" w:hAnsi="Times New Roman" w:cs="Times New Roman"/>
        </w:rPr>
        <w:t>).</w:t>
      </w:r>
    </w:p>
  </w:footnote>
  <w:footnote w:id="37">
    <w:p w:rsidR="002C5DA6" w:rsidRPr="00DC1D0C" w:rsidRDefault="002C5DA6" w:rsidP="00DC1D0C">
      <w:pPr>
        <w:pStyle w:val="FootnoteText"/>
        <w:jc w:val="both"/>
        <w:rPr>
          <w:rFonts w:ascii="Times New Roman" w:hAnsi="Times New Roman" w:cs="Times New Roman"/>
        </w:rPr>
      </w:pPr>
      <w:r w:rsidRPr="00DC1D0C">
        <w:rPr>
          <w:rStyle w:val="FootnoteReference"/>
          <w:rFonts w:ascii="Times New Roman" w:hAnsi="Times New Roman" w:cs="Times New Roman"/>
        </w:rPr>
        <w:footnoteRef/>
      </w:r>
      <w:r w:rsidRPr="00DC1D0C">
        <w:rPr>
          <w:rFonts w:ascii="Times New Roman" w:hAnsi="Times New Roman" w:cs="Times New Roman"/>
        </w:rPr>
        <w:t xml:space="preserve"> </w:t>
      </w:r>
      <w:r w:rsidR="00AF52EC" w:rsidRPr="00DC1D0C">
        <w:rPr>
          <w:rFonts w:ascii="Times New Roman" w:hAnsi="Times New Roman" w:cs="Times New Roman"/>
          <w:i/>
        </w:rPr>
        <w:t>The Exeter Settlement</w:t>
      </w:r>
      <w:r w:rsidR="00AF52EC" w:rsidRPr="00DC1D0C">
        <w:rPr>
          <w:rFonts w:ascii="Times New Roman" w:hAnsi="Times New Roman" w:cs="Times New Roman"/>
        </w:rPr>
        <w:t xml:space="preserve"> paras 26-28.</w:t>
      </w:r>
      <w:r w:rsidR="00AF52EC">
        <w:rPr>
          <w:rFonts w:ascii="Times New Roman" w:hAnsi="Times New Roman" w:cs="Times New Roman"/>
        </w:rPr>
        <w:t xml:space="preserve"> We will explore these reasons </w:t>
      </w:r>
      <w:r w:rsidRPr="00DC1D0C">
        <w:rPr>
          <w:rFonts w:ascii="Times New Roman" w:hAnsi="Times New Roman" w:cs="Times New Roman"/>
        </w:rPr>
        <w:t xml:space="preserve">below in order to see whether such a distinction </w:t>
      </w:r>
      <w:r w:rsidRPr="00DC1D0C">
        <w:rPr>
          <w:rFonts w:ascii="Times New Roman" w:hAnsi="Times New Roman" w:cs="Times New Roman"/>
          <w:i/>
        </w:rPr>
        <w:t xml:space="preserve">is </w:t>
      </w:r>
      <w:r w:rsidRPr="00DC1D0C">
        <w:rPr>
          <w:rFonts w:ascii="Times New Roman" w:hAnsi="Times New Roman" w:cs="Times New Roman"/>
        </w:rPr>
        <w:t xml:space="preserve">necessary, or whether </w:t>
      </w:r>
      <w:proofErr w:type="spellStart"/>
      <w:r w:rsidRPr="00DC1D0C">
        <w:rPr>
          <w:rFonts w:ascii="Times New Roman" w:hAnsi="Times New Roman" w:cs="Times New Roman"/>
          <w:i/>
        </w:rPr>
        <w:t>Rawcliffe</w:t>
      </w:r>
      <w:proofErr w:type="spellEnd"/>
      <w:r w:rsidRPr="00DC1D0C">
        <w:rPr>
          <w:rFonts w:ascii="Times New Roman" w:hAnsi="Times New Roman" w:cs="Times New Roman"/>
          <w:i/>
        </w:rPr>
        <w:t xml:space="preserve"> v Steele </w:t>
      </w:r>
      <w:r w:rsidRPr="00DC1D0C">
        <w:rPr>
          <w:rFonts w:ascii="Times New Roman" w:hAnsi="Times New Roman" w:cs="Times New Roman"/>
        </w:rPr>
        <w:t>1993-95 MLR 426 could have been followed.</w:t>
      </w:r>
    </w:p>
  </w:footnote>
  <w:footnote w:id="38">
    <w:p w:rsidR="002C5DA6" w:rsidRPr="00AF52EC" w:rsidRDefault="002C5DA6" w:rsidP="00DC1D0C">
      <w:pPr>
        <w:spacing w:after="0"/>
        <w:jc w:val="both"/>
        <w:rPr>
          <w:rFonts w:ascii="Times New Roman" w:hAnsi="Times New Roman" w:cs="Times New Roman"/>
          <w:sz w:val="24"/>
          <w:szCs w:val="24"/>
        </w:rPr>
      </w:pPr>
      <w:r w:rsidRPr="00DC1D0C">
        <w:rPr>
          <w:rStyle w:val="FootnoteReference"/>
          <w:rFonts w:ascii="Times New Roman" w:hAnsi="Times New Roman" w:cs="Times New Roman"/>
          <w:sz w:val="20"/>
          <w:szCs w:val="20"/>
        </w:rPr>
        <w:footnoteRef/>
      </w:r>
      <w:r w:rsidRPr="00DC1D0C">
        <w:rPr>
          <w:rFonts w:ascii="Times New Roman" w:hAnsi="Times New Roman" w:cs="Times New Roman"/>
          <w:sz w:val="20"/>
          <w:szCs w:val="20"/>
        </w:rPr>
        <w:t xml:space="preserve"> </w:t>
      </w:r>
      <w:r w:rsidR="00AF52EC">
        <w:rPr>
          <w:rFonts w:ascii="Times New Roman" w:hAnsi="Times New Roman" w:cs="Times New Roman"/>
          <w:sz w:val="20"/>
          <w:szCs w:val="20"/>
        </w:rPr>
        <w:t>Para.28.</w:t>
      </w:r>
    </w:p>
  </w:footnote>
  <w:footnote w:id="39">
    <w:p w:rsidR="002C5DA6" w:rsidRPr="00DC1D0C" w:rsidRDefault="002C5DA6" w:rsidP="00DC1D0C">
      <w:pPr>
        <w:pStyle w:val="FootnoteText"/>
        <w:jc w:val="both"/>
        <w:rPr>
          <w:rFonts w:ascii="Times New Roman" w:hAnsi="Times New Roman" w:cs="Times New Roman"/>
        </w:rPr>
      </w:pPr>
      <w:r w:rsidRPr="00DC1D0C">
        <w:rPr>
          <w:rStyle w:val="FootnoteReference"/>
          <w:rFonts w:ascii="Times New Roman" w:hAnsi="Times New Roman" w:cs="Times New Roman"/>
        </w:rPr>
        <w:footnoteRef/>
      </w:r>
      <w:r w:rsidR="00221711">
        <w:rPr>
          <w:rFonts w:ascii="Times New Roman" w:hAnsi="Times New Roman" w:cs="Times New Roman"/>
        </w:rPr>
        <w:t xml:space="preserve"> Paras 29-30</w:t>
      </w:r>
      <w:r w:rsidRPr="00DC1D0C">
        <w:rPr>
          <w:rFonts w:ascii="Times New Roman" w:hAnsi="Times New Roman" w:cs="Times New Roman"/>
        </w:rPr>
        <w:t>.</w:t>
      </w:r>
    </w:p>
  </w:footnote>
  <w:footnote w:id="40">
    <w:p w:rsidR="00495A25" w:rsidRPr="00C660AC" w:rsidRDefault="00495A25" w:rsidP="00495A25">
      <w:pPr>
        <w:spacing w:after="0"/>
        <w:jc w:val="both"/>
        <w:rPr>
          <w:rFonts w:ascii="Times New Roman" w:hAnsi="Times New Roman" w:cs="Times New Roman"/>
          <w:sz w:val="24"/>
          <w:szCs w:val="24"/>
        </w:rPr>
      </w:pPr>
      <w:r w:rsidRPr="00C660AC">
        <w:rPr>
          <w:rStyle w:val="FootnoteReference"/>
          <w:rFonts w:ascii="Times New Roman" w:hAnsi="Times New Roman" w:cs="Times New Roman"/>
          <w:sz w:val="20"/>
          <w:szCs w:val="20"/>
        </w:rPr>
        <w:footnoteRef/>
      </w:r>
      <w:r w:rsidR="00752107">
        <w:rPr>
          <w:rFonts w:ascii="Times New Roman" w:hAnsi="Times New Roman" w:cs="Times New Roman"/>
          <w:sz w:val="20"/>
          <w:szCs w:val="20"/>
        </w:rPr>
        <w:t xml:space="preserve"> [1971] AC 424</w:t>
      </w:r>
      <w:r w:rsidRPr="00C660AC">
        <w:rPr>
          <w:rFonts w:ascii="Times New Roman" w:hAnsi="Times New Roman" w:cs="Times New Roman"/>
          <w:sz w:val="20"/>
          <w:szCs w:val="20"/>
        </w:rPr>
        <w:t>.</w:t>
      </w:r>
    </w:p>
  </w:footnote>
  <w:footnote w:id="41">
    <w:p w:rsidR="002C5DA6" w:rsidRPr="00C660AC" w:rsidRDefault="002C5DA6" w:rsidP="003E005D">
      <w:pPr>
        <w:spacing w:after="0"/>
        <w:jc w:val="both"/>
        <w:rPr>
          <w:rFonts w:ascii="Times New Roman" w:hAnsi="Times New Roman" w:cs="Times New Roman"/>
          <w:sz w:val="20"/>
          <w:szCs w:val="20"/>
        </w:rPr>
      </w:pPr>
      <w:r w:rsidRPr="00C660AC">
        <w:rPr>
          <w:rStyle w:val="FootnoteReference"/>
          <w:rFonts w:ascii="Times New Roman" w:hAnsi="Times New Roman" w:cs="Times New Roman"/>
          <w:sz w:val="20"/>
          <w:szCs w:val="20"/>
        </w:rPr>
        <w:footnoteRef/>
      </w:r>
      <w:r w:rsidRPr="00C660AC">
        <w:rPr>
          <w:rFonts w:ascii="Times New Roman" w:hAnsi="Times New Roman" w:cs="Times New Roman"/>
          <w:sz w:val="20"/>
          <w:szCs w:val="20"/>
        </w:rPr>
        <w:t xml:space="preserve"> 2010 JLR 169, para.17. The “accepted test” referred to was </w:t>
      </w:r>
      <w:r w:rsidRPr="00C660AC">
        <w:rPr>
          <w:rFonts w:ascii="Times New Roman" w:hAnsi="Times New Roman" w:cs="Times New Roman"/>
          <w:i/>
          <w:sz w:val="20"/>
          <w:szCs w:val="20"/>
        </w:rPr>
        <w:t>McPhail v Doulton</w:t>
      </w:r>
      <w:r w:rsidRPr="00C660AC">
        <w:rPr>
          <w:rFonts w:ascii="Times New Roman" w:hAnsi="Times New Roman" w:cs="Times New Roman"/>
          <w:sz w:val="20"/>
          <w:szCs w:val="20"/>
        </w:rPr>
        <w:t>, identified above.</w:t>
      </w:r>
    </w:p>
  </w:footnote>
  <w:footnote w:id="42">
    <w:p w:rsidR="00C660AC" w:rsidRPr="00C660AC" w:rsidRDefault="00C660AC">
      <w:pPr>
        <w:pStyle w:val="FootnoteText"/>
        <w:rPr>
          <w:rFonts w:ascii="Times New Roman" w:hAnsi="Times New Roman" w:cs="Times New Roman"/>
        </w:rPr>
      </w:pPr>
      <w:r w:rsidRPr="00C660AC">
        <w:rPr>
          <w:rStyle w:val="FootnoteReference"/>
          <w:rFonts w:ascii="Times New Roman" w:hAnsi="Times New Roman" w:cs="Times New Roman"/>
        </w:rPr>
        <w:footnoteRef/>
      </w:r>
      <w:r w:rsidRPr="00C660AC">
        <w:rPr>
          <w:rFonts w:ascii="Times New Roman" w:hAnsi="Times New Roman" w:cs="Times New Roman"/>
        </w:rPr>
        <w:t xml:space="preserve"> [1971] AC 424.</w:t>
      </w:r>
    </w:p>
  </w:footnote>
  <w:footnote w:id="43">
    <w:p w:rsidR="002C5DA6" w:rsidRPr="00C660AC" w:rsidRDefault="002C5DA6" w:rsidP="003E005D">
      <w:pPr>
        <w:spacing w:after="0"/>
        <w:jc w:val="both"/>
        <w:rPr>
          <w:rFonts w:ascii="Times New Roman" w:hAnsi="Times New Roman" w:cs="Times New Roman"/>
          <w:sz w:val="20"/>
          <w:szCs w:val="20"/>
        </w:rPr>
      </w:pPr>
      <w:r w:rsidRPr="00C660AC">
        <w:rPr>
          <w:rStyle w:val="FootnoteReference"/>
          <w:rFonts w:ascii="Times New Roman" w:hAnsi="Times New Roman" w:cs="Times New Roman"/>
          <w:sz w:val="20"/>
          <w:szCs w:val="20"/>
        </w:rPr>
        <w:footnoteRef/>
      </w:r>
      <w:r w:rsidRPr="00C660AC">
        <w:rPr>
          <w:rFonts w:ascii="Times New Roman" w:hAnsi="Times New Roman" w:cs="Times New Roman"/>
          <w:sz w:val="20"/>
          <w:szCs w:val="20"/>
        </w:rPr>
        <w:t xml:space="preserve"> </w:t>
      </w:r>
      <w:proofErr w:type="spellStart"/>
      <w:r w:rsidRPr="00C660AC">
        <w:rPr>
          <w:rFonts w:ascii="Times New Roman" w:hAnsi="Times New Roman" w:cs="Times New Roman"/>
          <w:sz w:val="20"/>
          <w:szCs w:val="20"/>
        </w:rPr>
        <w:t>P.Fudakowska</w:t>
      </w:r>
      <w:proofErr w:type="spellEnd"/>
      <w:r w:rsidRPr="00C660AC">
        <w:rPr>
          <w:rFonts w:ascii="Times New Roman" w:hAnsi="Times New Roman" w:cs="Times New Roman"/>
          <w:sz w:val="20"/>
          <w:szCs w:val="20"/>
        </w:rPr>
        <w:t xml:space="preserve">, “No beneficiaries, no Trust?” (2010) 14 JGLR 331; Jersey Institute of Law, </w:t>
      </w:r>
      <w:r w:rsidRPr="00C660AC">
        <w:rPr>
          <w:rFonts w:ascii="Times New Roman" w:hAnsi="Times New Roman" w:cs="Times New Roman"/>
          <w:i/>
          <w:sz w:val="20"/>
          <w:szCs w:val="20"/>
        </w:rPr>
        <w:t>Trust Law Study Guide</w:t>
      </w:r>
      <w:r w:rsidRPr="00C660AC">
        <w:rPr>
          <w:rFonts w:ascii="Times New Roman" w:hAnsi="Times New Roman" w:cs="Times New Roman"/>
          <w:sz w:val="20"/>
          <w:szCs w:val="20"/>
        </w:rPr>
        <w:t xml:space="preserve"> (2014-15), para. 2.52.</w:t>
      </w:r>
    </w:p>
  </w:footnote>
  <w:footnote w:id="44">
    <w:p w:rsidR="002C5DA6" w:rsidRPr="00C660AC" w:rsidRDefault="002C5DA6" w:rsidP="003E005D">
      <w:pPr>
        <w:spacing w:after="0"/>
        <w:jc w:val="both"/>
        <w:rPr>
          <w:rFonts w:ascii="Times New Roman" w:hAnsi="Times New Roman" w:cs="Times New Roman"/>
          <w:sz w:val="20"/>
          <w:szCs w:val="20"/>
        </w:rPr>
      </w:pPr>
      <w:r w:rsidRPr="00C660AC">
        <w:rPr>
          <w:rStyle w:val="FootnoteReference"/>
          <w:rFonts w:ascii="Times New Roman" w:hAnsi="Times New Roman" w:cs="Times New Roman"/>
          <w:sz w:val="20"/>
          <w:szCs w:val="20"/>
        </w:rPr>
        <w:footnoteRef/>
      </w:r>
      <w:r w:rsidRPr="00C660AC">
        <w:rPr>
          <w:rFonts w:ascii="Times New Roman" w:hAnsi="Times New Roman" w:cs="Times New Roman"/>
          <w:sz w:val="20"/>
          <w:szCs w:val="20"/>
        </w:rPr>
        <w:t xml:space="preserve"> See the observations of Hoffmann J in </w:t>
      </w:r>
      <w:r w:rsidRPr="00C660AC">
        <w:rPr>
          <w:rFonts w:ascii="Times New Roman" w:hAnsi="Times New Roman" w:cs="Times New Roman"/>
          <w:i/>
          <w:sz w:val="20"/>
          <w:szCs w:val="20"/>
        </w:rPr>
        <w:t>Re TR Technology Investment Trust plc.</w:t>
      </w:r>
      <w:r w:rsidRPr="00C660AC">
        <w:rPr>
          <w:rFonts w:ascii="Times New Roman" w:hAnsi="Times New Roman" w:cs="Times New Roman"/>
          <w:sz w:val="20"/>
          <w:szCs w:val="20"/>
        </w:rPr>
        <w:t xml:space="preserve"> [1988] BCLC 256 (quoted above).</w:t>
      </w:r>
    </w:p>
  </w:footnote>
  <w:footnote w:id="45">
    <w:p w:rsidR="002C5DA6" w:rsidRPr="00C660AC" w:rsidRDefault="002C5DA6" w:rsidP="003E005D">
      <w:pPr>
        <w:pStyle w:val="FootnoteText"/>
        <w:jc w:val="both"/>
        <w:rPr>
          <w:rFonts w:ascii="Times New Roman" w:hAnsi="Times New Roman" w:cs="Times New Roman"/>
        </w:rPr>
      </w:pPr>
      <w:r w:rsidRPr="00C660AC">
        <w:rPr>
          <w:rStyle w:val="FootnoteReference"/>
          <w:rFonts w:ascii="Times New Roman" w:hAnsi="Times New Roman" w:cs="Times New Roman"/>
        </w:rPr>
        <w:footnoteRef/>
      </w:r>
      <w:r w:rsidRPr="00C660AC">
        <w:rPr>
          <w:rFonts w:ascii="Times New Roman" w:hAnsi="Times New Roman" w:cs="Times New Roman"/>
        </w:rPr>
        <w:t xml:space="preserve"> </w:t>
      </w:r>
      <w:proofErr w:type="spellStart"/>
      <w:r w:rsidRPr="00C660AC">
        <w:rPr>
          <w:rFonts w:ascii="Times New Roman" w:hAnsi="Times New Roman" w:cs="Times New Roman"/>
        </w:rPr>
        <w:t>Hanbury</w:t>
      </w:r>
      <w:proofErr w:type="spellEnd"/>
      <w:r w:rsidRPr="00C660AC">
        <w:rPr>
          <w:rFonts w:ascii="Times New Roman" w:hAnsi="Times New Roman" w:cs="Times New Roman"/>
        </w:rPr>
        <w:t xml:space="preserve"> and Martin, </w:t>
      </w:r>
      <w:r w:rsidRPr="00C660AC">
        <w:rPr>
          <w:rFonts w:ascii="Times New Roman" w:hAnsi="Times New Roman" w:cs="Times New Roman"/>
          <w:i/>
        </w:rPr>
        <w:t>Modern Equity</w:t>
      </w:r>
      <w:r w:rsidR="00221711">
        <w:rPr>
          <w:rFonts w:ascii="Times New Roman" w:hAnsi="Times New Roman" w:cs="Times New Roman"/>
        </w:rPr>
        <w:t xml:space="preserve"> (18</w:t>
      </w:r>
      <w:r w:rsidR="00221711" w:rsidRPr="00221711">
        <w:rPr>
          <w:rFonts w:ascii="Times New Roman" w:hAnsi="Times New Roman" w:cs="Times New Roman"/>
          <w:vertAlign w:val="superscript"/>
        </w:rPr>
        <w:t>th</w:t>
      </w:r>
      <w:r w:rsidR="00221711">
        <w:rPr>
          <w:rFonts w:ascii="Times New Roman" w:hAnsi="Times New Roman" w:cs="Times New Roman"/>
        </w:rPr>
        <w:t xml:space="preserve"> ed., Jill E. Martin, 2009, Sweet &amp; Maxwell).</w:t>
      </w:r>
    </w:p>
  </w:footnote>
  <w:footnote w:id="46">
    <w:p w:rsidR="002C5DA6" w:rsidRPr="00C660AC" w:rsidRDefault="002C5DA6" w:rsidP="003E005D">
      <w:pPr>
        <w:pStyle w:val="FootnoteText"/>
        <w:jc w:val="both"/>
        <w:rPr>
          <w:rFonts w:ascii="Times New Roman" w:hAnsi="Times New Roman" w:cs="Times New Roman"/>
        </w:rPr>
      </w:pPr>
      <w:r w:rsidRPr="00C660AC">
        <w:rPr>
          <w:rStyle w:val="FootnoteReference"/>
          <w:rFonts w:ascii="Times New Roman" w:hAnsi="Times New Roman" w:cs="Times New Roman"/>
        </w:rPr>
        <w:footnoteRef/>
      </w:r>
      <w:r w:rsidR="00EB0BC3">
        <w:rPr>
          <w:rFonts w:ascii="Times New Roman" w:hAnsi="Times New Roman" w:cs="Times New Roman"/>
        </w:rPr>
        <w:t xml:space="preserve"> </w:t>
      </w:r>
      <w:proofErr w:type="spellStart"/>
      <w:r w:rsidR="00EB0BC3">
        <w:rPr>
          <w:rFonts w:ascii="Times New Roman" w:hAnsi="Times New Roman" w:cs="Times New Roman"/>
        </w:rPr>
        <w:t>P.</w:t>
      </w:r>
      <w:r w:rsidRPr="00C660AC">
        <w:rPr>
          <w:rFonts w:ascii="Times New Roman" w:hAnsi="Times New Roman" w:cs="Times New Roman"/>
        </w:rPr>
        <w:t>Fudakowska</w:t>
      </w:r>
      <w:proofErr w:type="spellEnd"/>
      <w:r w:rsidRPr="00C660AC">
        <w:rPr>
          <w:rFonts w:ascii="Times New Roman" w:hAnsi="Times New Roman" w:cs="Times New Roman"/>
        </w:rPr>
        <w:t xml:space="preserve"> (2010) 14 JGLR 331; Institute of Law, </w:t>
      </w:r>
      <w:r w:rsidRPr="00C660AC">
        <w:rPr>
          <w:rFonts w:ascii="Times New Roman" w:hAnsi="Times New Roman" w:cs="Times New Roman"/>
          <w:i/>
        </w:rPr>
        <w:t>Trusts Law Study Guide</w:t>
      </w:r>
      <w:r w:rsidRPr="00C660AC">
        <w:rPr>
          <w:rFonts w:ascii="Times New Roman" w:hAnsi="Times New Roman" w:cs="Times New Roman"/>
        </w:rPr>
        <w:t xml:space="preserve"> (2014).</w:t>
      </w:r>
    </w:p>
  </w:footnote>
  <w:footnote w:id="47">
    <w:p w:rsidR="002C5DA6" w:rsidRPr="003E005D" w:rsidRDefault="002C5DA6" w:rsidP="003E005D">
      <w:pPr>
        <w:spacing w:after="0"/>
        <w:jc w:val="both"/>
        <w:rPr>
          <w:rFonts w:ascii="Times New Roman" w:hAnsi="Times New Roman" w:cs="Times New Roman"/>
          <w:sz w:val="20"/>
          <w:szCs w:val="20"/>
        </w:rPr>
      </w:pPr>
      <w:r w:rsidRPr="00C660AC">
        <w:rPr>
          <w:rStyle w:val="FootnoteReference"/>
          <w:rFonts w:ascii="Times New Roman" w:hAnsi="Times New Roman" w:cs="Times New Roman"/>
          <w:sz w:val="20"/>
          <w:szCs w:val="20"/>
        </w:rPr>
        <w:footnoteRef/>
      </w:r>
      <w:r w:rsidRPr="00C660AC">
        <w:rPr>
          <w:rFonts w:ascii="Times New Roman" w:hAnsi="Times New Roman" w:cs="Times New Roman"/>
          <w:sz w:val="20"/>
          <w:szCs w:val="20"/>
        </w:rPr>
        <w:t xml:space="preserve"> Jersey Institute of Law, </w:t>
      </w:r>
      <w:r w:rsidRPr="00C660AC">
        <w:rPr>
          <w:rFonts w:ascii="Times New Roman" w:hAnsi="Times New Roman" w:cs="Times New Roman"/>
          <w:i/>
          <w:sz w:val="20"/>
          <w:szCs w:val="20"/>
        </w:rPr>
        <w:t>Trust Law Study Guide 2014-15</w:t>
      </w:r>
      <w:r w:rsidRPr="00C660AC">
        <w:rPr>
          <w:rFonts w:ascii="Times New Roman" w:hAnsi="Times New Roman" w:cs="Times New Roman"/>
          <w:sz w:val="20"/>
          <w:szCs w:val="20"/>
        </w:rPr>
        <w:t xml:space="preserve">, para.2.53-4; </w:t>
      </w:r>
      <w:proofErr w:type="spellStart"/>
      <w:r w:rsidRPr="00C660AC">
        <w:rPr>
          <w:rFonts w:ascii="Times New Roman" w:hAnsi="Times New Roman" w:cs="Times New Roman"/>
          <w:sz w:val="20"/>
          <w:szCs w:val="20"/>
        </w:rPr>
        <w:t>P.Fudakowska</w:t>
      </w:r>
      <w:proofErr w:type="spellEnd"/>
      <w:r w:rsidRPr="00C660AC">
        <w:rPr>
          <w:rFonts w:ascii="Times New Roman" w:hAnsi="Times New Roman" w:cs="Times New Roman"/>
          <w:sz w:val="20"/>
          <w:szCs w:val="20"/>
        </w:rPr>
        <w:t>, above, paras 10-11. To deal with a peripheral aspect of this argument</w:t>
      </w:r>
      <w:r w:rsidR="00EB0BC3">
        <w:rPr>
          <w:rFonts w:ascii="Times New Roman" w:hAnsi="Times New Roman" w:cs="Times New Roman"/>
          <w:sz w:val="20"/>
          <w:szCs w:val="20"/>
        </w:rPr>
        <w:t xml:space="preserve">, </w:t>
      </w:r>
      <w:proofErr w:type="spellStart"/>
      <w:r w:rsidR="00EB0BC3">
        <w:rPr>
          <w:rFonts w:ascii="Times New Roman" w:hAnsi="Times New Roman" w:cs="Times New Roman"/>
          <w:sz w:val="20"/>
          <w:szCs w:val="20"/>
        </w:rPr>
        <w:t>Fudakowska</w:t>
      </w:r>
      <w:proofErr w:type="spellEnd"/>
      <w:r w:rsidR="00EB0BC3">
        <w:rPr>
          <w:rFonts w:ascii="Times New Roman" w:hAnsi="Times New Roman" w:cs="Times New Roman"/>
          <w:sz w:val="20"/>
          <w:szCs w:val="20"/>
        </w:rPr>
        <w:t xml:space="preserve"> refers to the part</w:t>
      </w:r>
      <w:r w:rsidRPr="00C660AC">
        <w:rPr>
          <w:rFonts w:ascii="Times New Roman" w:hAnsi="Times New Roman" w:cs="Times New Roman"/>
          <w:sz w:val="20"/>
          <w:szCs w:val="20"/>
        </w:rPr>
        <w:t xml:space="preserve"> of Bailiff </w:t>
      </w:r>
      <w:proofErr w:type="spellStart"/>
      <w:r w:rsidRPr="00C660AC">
        <w:rPr>
          <w:rFonts w:ascii="Times New Roman" w:hAnsi="Times New Roman" w:cs="Times New Roman"/>
          <w:sz w:val="20"/>
          <w:szCs w:val="20"/>
        </w:rPr>
        <w:t>Birt’s</w:t>
      </w:r>
      <w:proofErr w:type="spellEnd"/>
      <w:r w:rsidRPr="00C660AC">
        <w:rPr>
          <w:rFonts w:ascii="Times New Roman" w:hAnsi="Times New Roman" w:cs="Times New Roman"/>
          <w:sz w:val="20"/>
          <w:szCs w:val="20"/>
        </w:rPr>
        <w:t xml:space="preserve"> reasoning</w:t>
      </w:r>
      <w:r w:rsidR="00075B02">
        <w:rPr>
          <w:rFonts w:ascii="Times New Roman" w:hAnsi="Times New Roman" w:cs="Times New Roman"/>
          <w:sz w:val="20"/>
          <w:szCs w:val="20"/>
        </w:rPr>
        <w:t xml:space="preserve"> (identified in the first quote at note 40 above)</w:t>
      </w:r>
      <w:r w:rsidRPr="00C660AC">
        <w:rPr>
          <w:rFonts w:ascii="Times New Roman" w:hAnsi="Times New Roman" w:cs="Times New Roman"/>
          <w:sz w:val="20"/>
          <w:szCs w:val="20"/>
        </w:rPr>
        <w:t>,</w:t>
      </w:r>
      <w:r w:rsidR="00EB0BC3">
        <w:rPr>
          <w:rFonts w:ascii="Times New Roman" w:hAnsi="Times New Roman" w:cs="Times New Roman"/>
          <w:sz w:val="20"/>
          <w:szCs w:val="20"/>
        </w:rPr>
        <w:t xml:space="preserve"> describing the lack of</w:t>
      </w:r>
      <w:r w:rsidRPr="00C660AC">
        <w:rPr>
          <w:rFonts w:ascii="Times New Roman" w:hAnsi="Times New Roman" w:cs="Times New Roman"/>
          <w:sz w:val="20"/>
          <w:szCs w:val="20"/>
        </w:rPr>
        <w:t xml:space="preserve"> </w:t>
      </w:r>
      <w:r w:rsidR="00EB0BC3">
        <w:rPr>
          <w:rFonts w:ascii="Times New Roman" w:hAnsi="Times New Roman" w:cs="Times New Roman"/>
          <w:sz w:val="20"/>
          <w:szCs w:val="20"/>
        </w:rPr>
        <w:t xml:space="preserve">a </w:t>
      </w:r>
      <w:r w:rsidRPr="00C660AC">
        <w:rPr>
          <w:rFonts w:ascii="Times New Roman" w:hAnsi="Times New Roman" w:cs="Times New Roman"/>
          <w:sz w:val="20"/>
          <w:szCs w:val="20"/>
        </w:rPr>
        <w:t>“list or guidance”</w:t>
      </w:r>
      <w:r w:rsidR="00EB0BC3">
        <w:rPr>
          <w:rFonts w:ascii="Times New Roman" w:hAnsi="Times New Roman" w:cs="Times New Roman"/>
          <w:sz w:val="20"/>
          <w:szCs w:val="20"/>
        </w:rPr>
        <w:t xml:space="preserve"> within the trust documents as to what constitutes a beneficiary</w:t>
      </w:r>
      <w:r w:rsidRPr="00C660AC">
        <w:rPr>
          <w:rFonts w:ascii="Times New Roman" w:hAnsi="Times New Roman" w:cs="Times New Roman"/>
          <w:sz w:val="20"/>
          <w:szCs w:val="20"/>
        </w:rPr>
        <w:t>. She argues that</w:t>
      </w:r>
      <w:r w:rsidR="00EB0BC3">
        <w:rPr>
          <w:rFonts w:ascii="Times New Roman" w:hAnsi="Times New Roman" w:cs="Times New Roman"/>
          <w:sz w:val="20"/>
          <w:szCs w:val="20"/>
        </w:rPr>
        <w:t xml:space="preserve"> this led to an overly restrictive view of the validity requirements, and should not have led to the trust being declared void. She observes that</w:t>
      </w:r>
      <w:r w:rsidRPr="00C660AC">
        <w:rPr>
          <w:rFonts w:ascii="Times New Roman" w:hAnsi="Times New Roman" w:cs="Times New Roman"/>
          <w:sz w:val="20"/>
          <w:szCs w:val="20"/>
        </w:rPr>
        <w:t xml:space="preserve"> “[t]here is no need for a comprehensive list to be drawn up, as confirmed by the House of Lords in </w:t>
      </w:r>
      <w:r w:rsidRPr="00C660AC">
        <w:rPr>
          <w:rFonts w:ascii="Times New Roman" w:hAnsi="Times New Roman" w:cs="Times New Roman"/>
          <w:i/>
          <w:sz w:val="20"/>
          <w:szCs w:val="20"/>
        </w:rPr>
        <w:t>McPhail v Doulton</w:t>
      </w:r>
      <w:r w:rsidRPr="00C660AC">
        <w:rPr>
          <w:rFonts w:ascii="Times New Roman" w:hAnsi="Times New Roman" w:cs="Times New Roman"/>
          <w:sz w:val="20"/>
          <w:szCs w:val="20"/>
        </w:rPr>
        <w:t>.” Above, paras 10-11: “[t]his statement confuses the concept of certainty of</w:t>
      </w:r>
      <w:r w:rsidRPr="003E005D">
        <w:rPr>
          <w:rFonts w:ascii="Times New Roman" w:hAnsi="Times New Roman" w:cs="Times New Roman"/>
          <w:sz w:val="20"/>
          <w:szCs w:val="20"/>
        </w:rPr>
        <w:t xml:space="preserve"> objects with evidence”.</w:t>
      </w:r>
      <w:r w:rsidR="00EB0BC3">
        <w:rPr>
          <w:rFonts w:ascii="Times New Roman" w:hAnsi="Times New Roman" w:cs="Times New Roman"/>
          <w:sz w:val="20"/>
          <w:szCs w:val="20"/>
        </w:rPr>
        <w:t xml:space="preserve"> This </w:t>
      </w:r>
      <w:r w:rsidR="00075B02">
        <w:rPr>
          <w:rFonts w:ascii="Times New Roman" w:hAnsi="Times New Roman" w:cs="Times New Roman"/>
          <w:sz w:val="20"/>
          <w:szCs w:val="20"/>
        </w:rPr>
        <w:t xml:space="preserve">criticism </w:t>
      </w:r>
      <w:r w:rsidR="00EB0BC3">
        <w:rPr>
          <w:rFonts w:ascii="Times New Roman" w:hAnsi="Times New Roman" w:cs="Times New Roman"/>
          <w:sz w:val="20"/>
          <w:szCs w:val="20"/>
        </w:rPr>
        <w:t>refers to the fact that</w:t>
      </w:r>
      <w:r w:rsidRPr="003E005D">
        <w:rPr>
          <w:rFonts w:ascii="Times New Roman" w:hAnsi="Times New Roman" w:cs="Times New Roman"/>
          <w:sz w:val="20"/>
          <w:szCs w:val="20"/>
        </w:rPr>
        <w:t xml:space="preserve"> </w:t>
      </w:r>
      <w:r w:rsidRPr="003E005D">
        <w:rPr>
          <w:rFonts w:ascii="Times New Roman" w:hAnsi="Times New Roman" w:cs="Times New Roman"/>
          <w:i/>
          <w:sz w:val="20"/>
          <w:szCs w:val="20"/>
        </w:rPr>
        <w:t>McPhail v Doulton</w:t>
      </w:r>
      <w:r w:rsidRPr="003E005D">
        <w:rPr>
          <w:rFonts w:ascii="Times New Roman" w:hAnsi="Times New Roman" w:cs="Times New Roman"/>
          <w:sz w:val="20"/>
          <w:szCs w:val="20"/>
        </w:rPr>
        <w:t xml:space="preserve"> had overruled </w:t>
      </w:r>
      <w:r w:rsidRPr="003E005D">
        <w:rPr>
          <w:rFonts w:ascii="Times New Roman" w:hAnsi="Times New Roman" w:cs="Times New Roman"/>
          <w:i/>
          <w:sz w:val="20"/>
          <w:szCs w:val="20"/>
        </w:rPr>
        <w:t>IRC v Broadway Cottages Trust</w:t>
      </w:r>
      <w:r w:rsidRPr="003E005D">
        <w:rPr>
          <w:rFonts w:ascii="Times New Roman" w:hAnsi="Times New Roman" w:cs="Times New Roman"/>
          <w:sz w:val="20"/>
          <w:szCs w:val="20"/>
        </w:rPr>
        <w:t xml:space="preserve"> [1955] Ch.20</w:t>
      </w:r>
      <w:r w:rsidR="00EB0BC3">
        <w:rPr>
          <w:rFonts w:ascii="Times New Roman" w:hAnsi="Times New Roman" w:cs="Times New Roman"/>
          <w:sz w:val="20"/>
          <w:szCs w:val="20"/>
        </w:rPr>
        <w:t>,</w:t>
      </w:r>
      <w:r w:rsidRPr="003E005D">
        <w:rPr>
          <w:rFonts w:ascii="Times New Roman" w:hAnsi="Times New Roman" w:cs="Times New Roman"/>
          <w:sz w:val="20"/>
          <w:szCs w:val="20"/>
        </w:rPr>
        <w:t xml:space="preserve"> which required</w:t>
      </w:r>
      <w:r w:rsidR="00EB0BC3">
        <w:rPr>
          <w:rFonts w:ascii="Times New Roman" w:hAnsi="Times New Roman" w:cs="Times New Roman"/>
          <w:sz w:val="20"/>
          <w:szCs w:val="20"/>
        </w:rPr>
        <w:t xml:space="preserve"> that every single member of the class of</w:t>
      </w:r>
      <w:r w:rsidRPr="003E005D">
        <w:rPr>
          <w:rFonts w:ascii="Times New Roman" w:hAnsi="Times New Roman" w:cs="Times New Roman"/>
          <w:sz w:val="20"/>
          <w:szCs w:val="20"/>
        </w:rPr>
        <w:t xml:space="preserve"> beneficiaries of a discretionary trus</w:t>
      </w:r>
      <w:r w:rsidR="00EB0BC3">
        <w:rPr>
          <w:rFonts w:ascii="Times New Roman" w:hAnsi="Times New Roman" w:cs="Times New Roman"/>
          <w:sz w:val="20"/>
          <w:szCs w:val="20"/>
        </w:rPr>
        <w:t>t should be identified</w:t>
      </w:r>
      <w:r w:rsidRPr="003E005D">
        <w:rPr>
          <w:rFonts w:ascii="Times New Roman" w:hAnsi="Times New Roman" w:cs="Times New Roman"/>
          <w:sz w:val="20"/>
          <w:szCs w:val="20"/>
        </w:rPr>
        <w:t>.</w:t>
      </w:r>
      <w:r w:rsidR="00EB0BC3">
        <w:rPr>
          <w:rFonts w:ascii="Times New Roman" w:hAnsi="Times New Roman" w:cs="Times New Roman"/>
          <w:sz w:val="20"/>
          <w:szCs w:val="20"/>
        </w:rPr>
        <w:t xml:space="preserve"> Following </w:t>
      </w:r>
      <w:r w:rsidR="00EB0BC3">
        <w:rPr>
          <w:rFonts w:ascii="Times New Roman" w:hAnsi="Times New Roman" w:cs="Times New Roman"/>
          <w:i/>
          <w:sz w:val="20"/>
          <w:szCs w:val="20"/>
        </w:rPr>
        <w:t>McPhail</w:t>
      </w:r>
      <w:r w:rsidR="00EB0BC3">
        <w:rPr>
          <w:rFonts w:ascii="Times New Roman" w:hAnsi="Times New Roman" w:cs="Times New Roman"/>
          <w:sz w:val="20"/>
          <w:szCs w:val="20"/>
        </w:rPr>
        <w:t>, i</w:t>
      </w:r>
      <w:r w:rsidRPr="003E005D">
        <w:rPr>
          <w:rFonts w:ascii="Times New Roman" w:hAnsi="Times New Roman" w:cs="Times New Roman"/>
          <w:sz w:val="20"/>
          <w:szCs w:val="20"/>
        </w:rPr>
        <w:t xml:space="preserve">t was no longer necessary to compile a </w:t>
      </w:r>
      <w:r w:rsidR="00075B02">
        <w:rPr>
          <w:rFonts w:ascii="Times New Roman" w:hAnsi="Times New Roman" w:cs="Times New Roman"/>
          <w:sz w:val="20"/>
          <w:szCs w:val="20"/>
        </w:rPr>
        <w:t xml:space="preserve">complete </w:t>
      </w:r>
      <w:r w:rsidRPr="003E005D">
        <w:rPr>
          <w:rFonts w:ascii="Times New Roman" w:hAnsi="Times New Roman" w:cs="Times New Roman"/>
          <w:sz w:val="20"/>
          <w:szCs w:val="20"/>
        </w:rPr>
        <w:t xml:space="preserve">list of beneficiaries. However, the wording of the Royal Court </w:t>
      </w:r>
      <w:r w:rsidR="00470459">
        <w:rPr>
          <w:rFonts w:ascii="Times New Roman" w:hAnsi="Times New Roman" w:cs="Times New Roman"/>
          <w:sz w:val="20"/>
          <w:szCs w:val="20"/>
        </w:rPr>
        <w:t xml:space="preserve">(“as to what”) suggests that Bailiff </w:t>
      </w:r>
      <w:proofErr w:type="spellStart"/>
      <w:r w:rsidR="00470459">
        <w:rPr>
          <w:rFonts w:ascii="Times New Roman" w:hAnsi="Times New Roman" w:cs="Times New Roman"/>
          <w:sz w:val="20"/>
          <w:szCs w:val="20"/>
        </w:rPr>
        <w:t>Birt’s</w:t>
      </w:r>
      <w:proofErr w:type="spellEnd"/>
      <w:r w:rsidRPr="003E005D">
        <w:rPr>
          <w:rFonts w:ascii="Times New Roman" w:hAnsi="Times New Roman" w:cs="Times New Roman"/>
          <w:sz w:val="20"/>
          <w:szCs w:val="20"/>
        </w:rPr>
        <w:t xml:space="preserve"> observations</w:t>
      </w:r>
      <w:r w:rsidR="00470459">
        <w:rPr>
          <w:rFonts w:ascii="Times New Roman" w:hAnsi="Times New Roman" w:cs="Times New Roman"/>
          <w:sz w:val="20"/>
          <w:szCs w:val="20"/>
        </w:rPr>
        <w:t xml:space="preserve"> should not be construed as a misapplication of the certainty test. Instead, the observations remain directed at the requirement that it should be possible to say of any </w:t>
      </w:r>
      <w:r w:rsidR="00470459" w:rsidRPr="00075B02">
        <w:rPr>
          <w:rFonts w:ascii="Times New Roman" w:hAnsi="Times New Roman" w:cs="Times New Roman"/>
          <w:i/>
          <w:sz w:val="20"/>
          <w:szCs w:val="20"/>
        </w:rPr>
        <w:t>hypothetical</w:t>
      </w:r>
      <w:r w:rsidR="00470459">
        <w:rPr>
          <w:rFonts w:ascii="Times New Roman" w:hAnsi="Times New Roman" w:cs="Times New Roman"/>
          <w:sz w:val="20"/>
          <w:szCs w:val="20"/>
        </w:rPr>
        <w:t xml:space="preserve"> individual</w:t>
      </w:r>
      <w:r w:rsidRPr="003E005D">
        <w:rPr>
          <w:rFonts w:ascii="Times New Roman" w:hAnsi="Times New Roman" w:cs="Times New Roman"/>
          <w:sz w:val="20"/>
          <w:szCs w:val="20"/>
        </w:rPr>
        <w:t xml:space="preserve"> </w:t>
      </w:r>
      <w:r w:rsidR="00470459">
        <w:rPr>
          <w:rFonts w:ascii="Times New Roman" w:hAnsi="Times New Roman" w:cs="Times New Roman"/>
          <w:sz w:val="20"/>
          <w:szCs w:val="20"/>
        </w:rPr>
        <w:t xml:space="preserve">that he is or is not a beneficiary. It would not be possible to do this where </w:t>
      </w:r>
      <w:r w:rsidR="00075B02">
        <w:rPr>
          <w:rFonts w:ascii="Times New Roman" w:hAnsi="Times New Roman" w:cs="Times New Roman"/>
          <w:sz w:val="20"/>
          <w:szCs w:val="20"/>
        </w:rPr>
        <w:t>there is no class description at all</w:t>
      </w:r>
      <w:r w:rsidR="00470459">
        <w:rPr>
          <w:rFonts w:ascii="Times New Roman" w:hAnsi="Times New Roman" w:cs="Times New Roman"/>
          <w:sz w:val="20"/>
          <w:szCs w:val="20"/>
        </w:rPr>
        <w:t>, without some form of list or guidance to assist the trustees in their execution of the trust. The choice of wording was, perhaps, a little unfortunate.</w:t>
      </w:r>
    </w:p>
  </w:footnote>
  <w:footnote w:id="48">
    <w:p w:rsidR="002C5DA6" w:rsidRPr="003E005D" w:rsidRDefault="002C5DA6" w:rsidP="003E005D">
      <w:pPr>
        <w:spacing w:after="0"/>
        <w:jc w:val="both"/>
        <w:rPr>
          <w:rFonts w:ascii="Times New Roman" w:hAnsi="Times New Roman" w:cs="Times New Roman"/>
          <w:sz w:val="20"/>
          <w:szCs w:val="20"/>
        </w:rPr>
      </w:pPr>
      <w:r w:rsidRPr="003E005D">
        <w:rPr>
          <w:rStyle w:val="FootnoteReference"/>
          <w:rFonts w:ascii="Times New Roman" w:hAnsi="Times New Roman" w:cs="Times New Roman"/>
          <w:sz w:val="20"/>
          <w:szCs w:val="20"/>
        </w:rPr>
        <w:footnoteRef/>
      </w:r>
      <w:r w:rsidRPr="003E005D">
        <w:rPr>
          <w:rFonts w:ascii="Times New Roman" w:hAnsi="Times New Roman" w:cs="Times New Roman"/>
          <w:sz w:val="20"/>
          <w:szCs w:val="20"/>
        </w:rPr>
        <w:t xml:space="preserve"> The Royal Court had expressed a desire to “return to first principles”: </w:t>
      </w:r>
      <w:r w:rsidRPr="003E005D">
        <w:rPr>
          <w:rFonts w:ascii="Times New Roman" w:hAnsi="Times New Roman" w:cs="Times New Roman"/>
          <w:i/>
          <w:sz w:val="20"/>
          <w:szCs w:val="20"/>
        </w:rPr>
        <w:t>The Exeter Settlement</w:t>
      </w:r>
      <w:r w:rsidRPr="003E005D">
        <w:rPr>
          <w:rFonts w:ascii="Times New Roman" w:hAnsi="Times New Roman" w:cs="Times New Roman"/>
          <w:sz w:val="20"/>
          <w:szCs w:val="20"/>
        </w:rPr>
        <w:t>, par</w:t>
      </w:r>
      <w:r w:rsidR="009763CD">
        <w:rPr>
          <w:rFonts w:ascii="Times New Roman" w:hAnsi="Times New Roman" w:cs="Times New Roman"/>
          <w:sz w:val="20"/>
          <w:szCs w:val="20"/>
        </w:rPr>
        <w:t>a.29</w:t>
      </w:r>
      <w:r w:rsidRPr="003E005D">
        <w:rPr>
          <w:rFonts w:ascii="Times New Roman" w:hAnsi="Times New Roman" w:cs="Times New Roman"/>
          <w:sz w:val="20"/>
          <w:szCs w:val="20"/>
        </w:rPr>
        <w:t>.</w:t>
      </w:r>
    </w:p>
  </w:footnote>
  <w:footnote w:id="49">
    <w:p w:rsidR="00CD2835" w:rsidRPr="001A6958" w:rsidRDefault="00CD2835" w:rsidP="00CD2835">
      <w:pPr>
        <w:spacing w:after="0"/>
        <w:jc w:val="both"/>
        <w:rPr>
          <w:rFonts w:ascii="Times New Roman" w:hAnsi="Times New Roman" w:cs="Times New Roman"/>
          <w:sz w:val="20"/>
          <w:szCs w:val="20"/>
        </w:rPr>
      </w:pPr>
      <w:r w:rsidRPr="001A6958">
        <w:rPr>
          <w:rStyle w:val="FootnoteReference"/>
          <w:rFonts w:ascii="Times New Roman" w:hAnsi="Times New Roman" w:cs="Times New Roman"/>
          <w:sz w:val="20"/>
          <w:szCs w:val="20"/>
        </w:rPr>
        <w:footnoteRef/>
      </w:r>
      <w:r w:rsidRPr="001A6958">
        <w:rPr>
          <w:rFonts w:ascii="Times New Roman" w:hAnsi="Times New Roman" w:cs="Times New Roman"/>
          <w:sz w:val="20"/>
          <w:szCs w:val="20"/>
        </w:rPr>
        <w:t xml:space="preserve"> Jersey Law Commission, </w:t>
      </w:r>
      <w:r w:rsidRPr="001A6958">
        <w:rPr>
          <w:rFonts w:ascii="Times New Roman" w:hAnsi="Times New Roman" w:cs="Times New Roman"/>
          <w:i/>
          <w:sz w:val="20"/>
          <w:szCs w:val="20"/>
        </w:rPr>
        <w:t>The Rights of Beneficiaries to Information Regarding a Trust</w:t>
      </w:r>
      <w:r w:rsidRPr="001A6958">
        <w:rPr>
          <w:rFonts w:ascii="Times New Roman" w:hAnsi="Times New Roman" w:cs="Times New Roman"/>
          <w:sz w:val="20"/>
          <w:szCs w:val="20"/>
        </w:rPr>
        <w:t xml:space="preserve"> (Consultation Paper No.1 February 1998), para.6.5, commenting in the context of information rights.</w:t>
      </w:r>
    </w:p>
  </w:footnote>
  <w:footnote w:id="50">
    <w:p w:rsidR="002C5DA6" w:rsidRPr="001A6958" w:rsidRDefault="002C5DA6" w:rsidP="0058598B">
      <w:pPr>
        <w:pStyle w:val="FootnoteText"/>
        <w:jc w:val="both"/>
        <w:rPr>
          <w:rFonts w:ascii="Times New Roman" w:hAnsi="Times New Roman" w:cs="Times New Roman"/>
        </w:rPr>
      </w:pPr>
      <w:r w:rsidRPr="001A6958">
        <w:rPr>
          <w:rStyle w:val="FootnoteReference"/>
          <w:rFonts w:ascii="Times New Roman" w:hAnsi="Times New Roman" w:cs="Times New Roman"/>
        </w:rPr>
        <w:footnoteRef/>
      </w:r>
      <w:r w:rsidRPr="001A6958">
        <w:rPr>
          <w:rFonts w:ascii="Times New Roman" w:hAnsi="Times New Roman" w:cs="Times New Roman"/>
        </w:rPr>
        <w:t xml:space="preserve"> </w:t>
      </w:r>
      <w:proofErr w:type="spellStart"/>
      <w:r w:rsidRPr="001A6958">
        <w:rPr>
          <w:rFonts w:ascii="Times New Roman" w:hAnsi="Times New Roman" w:cs="Times New Roman"/>
        </w:rPr>
        <w:t>Hanbury</w:t>
      </w:r>
      <w:proofErr w:type="spellEnd"/>
      <w:r w:rsidRPr="001A6958">
        <w:rPr>
          <w:rFonts w:ascii="Times New Roman" w:hAnsi="Times New Roman" w:cs="Times New Roman"/>
        </w:rPr>
        <w:t xml:space="preserve"> and Martin, </w:t>
      </w:r>
      <w:r w:rsidRPr="001A6958">
        <w:rPr>
          <w:rFonts w:ascii="Times New Roman" w:hAnsi="Times New Roman" w:cs="Times New Roman"/>
          <w:i/>
        </w:rPr>
        <w:t>Modern Equity</w:t>
      </w:r>
      <w:r w:rsidR="00221711">
        <w:rPr>
          <w:rFonts w:ascii="Times New Roman" w:hAnsi="Times New Roman" w:cs="Times New Roman"/>
        </w:rPr>
        <w:t xml:space="preserve"> (above).</w:t>
      </w:r>
    </w:p>
  </w:footnote>
  <w:footnote w:id="51">
    <w:p w:rsidR="002C5DA6" w:rsidRPr="001A6958" w:rsidRDefault="002C5DA6" w:rsidP="00DE332D">
      <w:pPr>
        <w:spacing w:after="0"/>
        <w:jc w:val="both"/>
        <w:rPr>
          <w:rFonts w:ascii="Times New Roman" w:hAnsi="Times New Roman" w:cs="Times New Roman"/>
          <w:sz w:val="20"/>
          <w:szCs w:val="20"/>
        </w:rPr>
      </w:pPr>
      <w:r w:rsidRPr="001A6958">
        <w:rPr>
          <w:rStyle w:val="FootnoteReference"/>
          <w:rFonts w:ascii="Times New Roman" w:hAnsi="Times New Roman" w:cs="Times New Roman"/>
          <w:sz w:val="20"/>
          <w:szCs w:val="20"/>
        </w:rPr>
        <w:footnoteRef/>
      </w:r>
      <w:r w:rsidRPr="001A6958">
        <w:rPr>
          <w:rFonts w:ascii="Times New Roman" w:hAnsi="Times New Roman" w:cs="Times New Roman"/>
          <w:sz w:val="20"/>
          <w:szCs w:val="20"/>
        </w:rPr>
        <w:t xml:space="preserve"> “As it is a maxim, that the execution of a trust shall be under the control of the court, it must be of such a nature, that it can be under that control; so that the administration of it can be reviewed by the court”: </w:t>
      </w:r>
      <w:proofErr w:type="spellStart"/>
      <w:r w:rsidRPr="001A6958">
        <w:rPr>
          <w:rFonts w:ascii="Times New Roman" w:hAnsi="Times New Roman" w:cs="Times New Roman"/>
          <w:i/>
          <w:sz w:val="20"/>
          <w:szCs w:val="20"/>
        </w:rPr>
        <w:t>Morice</w:t>
      </w:r>
      <w:proofErr w:type="spellEnd"/>
      <w:r w:rsidRPr="001A6958">
        <w:rPr>
          <w:rFonts w:ascii="Times New Roman" w:hAnsi="Times New Roman" w:cs="Times New Roman"/>
          <w:i/>
          <w:sz w:val="20"/>
          <w:szCs w:val="20"/>
        </w:rPr>
        <w:t xml:space="preserve"> v Bishop of Durham </w:t>
      </w:r>
      <w:r w:rsidRPr="001A6958">
        <w:rPr>
          <w:rFonts w:ascii="Times New Roman" w:hAnsi="Times New Roman" w:cs="Times New Roman"/>
          <w:sz w:val="20"/>
          <w:szCs w:val="20"/>
        </w:rPr>
        <w:t xml:space="preserve">(1805) 10 </w:t>
      </w:r>
      <w:proofErr w:type="spellStart"/>
      <w:r w:rsidRPr="001A6958">
        <w:rPr>
          <w:rFonts w:ascii="Times New Roman" w:hAnsi="Times New Roman" w:cs="Times New Roman"/>
          <w:sz w:val="20"/>
          <w:szCs w:val="20"/>
        </w:rPr>
        <w:t>Ves</w:t>
      </w:r>
      <w:proofErr w:type="spellEnd"/>
      <w:r w:rsidRPr="001A6958">
        <w:rPr>
          <w:rFonts w:ascii="Times New Roman" w:hAnsi="Times New Roman" w:cs="Times New Roman"/>
          <w:sz w:val="20"/>
          <w:szCs w:val="20"/>
        </w:rPr>
        <w:t xml:space="preserve"> 522, p.539, per Lord Eldon, quoted in </w:t>
      </w:r>
      <w:proofErr w:type="spellStart"/>
      <w:r w:rsidRPr="001A6958">
        <w:rPr>
          <w:rFonts w:ascii="Times New Roman" w:hAnsi="Times New Roman" w:cs="Times New Roman"/>
          <w:sz w:val="20"/>
          <w:szCs w:val="20"/>
        </w:rPr>
        <w:t>E.H.Burn</w:t>
      </w:r>
      <w:proofErr w:type="spellEnd"/>
      <w:r w:rsidRPr="001A6958">
        <w:rPr>
          <w:rFonts w:ascii="Times New Roman" w:hAnsi="Times New Roman" w:cs="Times New Roman"/>
          <w:sz w:val="20"/>
          <w:szCs w:val="20"/>
        </w:rPr>
        <w:t xml:space="preserve"> and </w:t>
      </w:r>
      <w:proofErr w:type="spellStart"/>
      <w:r w:rsidRPr="001A6958">
        <w:rPr>
          <w:rFonts w:ascii="Times New Roman" w:hAnsi="Times New Roman" w:cs="Times New Roman"/>
          <w:sz w:val="20"/>
          <w:szCs w:val="20"/>
        </w:rPr>
        <w:t>G.J.Virgo</w:t>
      </w:r>
      <w:proofErr w:type="spellEnd"/>
      <w:r w:rsidRPr="001A6958">
        <w:rPr>
          <w:rFonts w:ascii="Times New Roman" w:hAnsi="Times New Roman" w:cs="Times New Roman"/>
          <w:sz w:val="20"/>
          <w:szCs w:val="20"/>
        </w:rPr>
        <w:t xml:space="preserve">, </w:t>
      </w:r>
      <w:proofErr w:type="spellStart"/>
      <w:r w:rsidRPr="001A6958">
        <w:rPr>
          <w:rFonts w:ascii="Times New Roman" w:hAnsi="Times New Roman" w:cs="Times New Roman"/>
          <w:i/>
          <w:sz w:val="20"/>
          <w:szCs w:val="20"/>
        </w:rPr>
        <w:t>Maudsley</w:t>
      </w:r>
      <w:proofErr w:type="spellEnd"/>
      <w:r w:rsidRPr="001A6958">
        <w:rPr>
          <w:rFonts w:ascii="Times New Roman" w:hAnsi="Times New Roman" w:cs="Times New Roman"/>
          <w:i/>
          <w:sz w:val="20"/>
          <w:szCs w:val="20"/>
        </w:rPr>
        <w:t xml:space="preserve"> &amp; Burn’s Trusts &amp; Trustees Cases and materials </w:t>
      </w:r>
      <w:r w:rsidRPr="001A6958">
        <w:rPr>
          <w:rFonts w:ascii="Times New Roman" w:hAnsi="Times New Roman" w:cs="Times New Roman"/>
          <w:sz w:val="20"/>
          <w:szCs w:val="20"/>
        </w:rPr>
        <w:t>(2008), 7</w:t>
      </w:r>
      <w:r w:rsidRPr="001A6958">
        <w:rPr>
          <w:rFonts w:ascii="Times New Roman" w:hAnsi="Times New Roman" w:cs="Times New Roman"/>
          <w:sz w:val="20"/>
          <w:szCs w:val="20"/>
          <w:vertAlign w:val="superscript"/>
        </w:rPr>
        <w:t>th</w:t>
      </w:r>
      <w:r w:rsidRPr="001A6958">
        <w:rPr>
          <w:rFonts w:ascii="Times New Roman" w:hAnsi="Times New Roman" w:cs="Times New Roman"/>
          <w:sz w:val="20"/>
          <w:szCs w:val="20"/>
        </w:rPr>
        <w:t xml:space="preserve"> ed., p.361; </w:t>
      </w:r>
      <w:proofErr w:type="spellStart"/>
      <w:r w:rsidRPr="001A6958">
        <w:rPr>
          <w:rFonts w:ascii="Times New Roman" w:hAnsi="Times New Roman" w:cs="Times New Roman"/>
          <w:sz w:val="20"/>
          <w:szCs w:val="20"/>
        </w:rPr>
        <w:t>C.T.Emery</w:t>
      </w:r>
      <w:proofErr w:type="spellEnd"/>
      <w:r w:rsidRPr="001A6958">
        <w:rPr>
          <w:rFonts w:ascii="Times New Roman" w:hAnsi="Times New Roman" w:cs="Times New Roman"/>
          <w:sz w:val="20"/>
          <w:szCs w:val="20"/>
        </w:rPr>
        <w:t xml:space="preserve"> (1982) 98 LQR 551.</w:t>
      </w:r>
    </w:p>
  </w:footnote>
  <w:footnote w:id="52">
    <w:p w:rsidR="002C5DA6" w:rsidRPr="001A6958" w:rsidRDefault="002C5DA6" w:rsidP="00DE332D">
      <w:pPr>
        <w:pStyle w:val="FootnoteText"/>
        <w:jc w:val="both"/>
        <w:rPr>
          <w:rFonts w:ascii="Times New Roman" w:hAnsi="Times New Roman" w:cs="Times New Roman"/>
          <w:i/>
        </w:rPr>
      </w:pPr>
      <w:r w:rsidRPr="001A6958">
        <w:rPr>
          <w:rStyle w:val="FootnoteReference"/>
          <w:rFonts w:ascii="Times New Roman" w:hAnsi="Times New Roman" w:cs="Times New Roman"/>
        </w:rPr>
        <w:footnoteRef/>
      </w:r>
      <w:r w:rsidRPr="001A6958">
        <w:rPr>
          <w:rFonts w:ascii="Times New Roman" w:hAnsi="Times New Roman" w:cs="Times New Roman"/>
        </w:rPr>
        <w:t xml:space="preserve"> </w:t>
      </w:r>
      <w:r w:rsidRPr="001A6958">
        <w:rPr>
          <w:rFonts w:ascii="Times New Roman" w:hAnsi="Times New Roman" w:cs="Times New Roman"/>
          <w:i/>
        </w:rPr>
        <w:t>Ibid.</w:t>
      </w:r>
    </w:p>
  </w:footnote>
  <w:footnote w:id="53">
    <w:p w:rsidR="002C5DA6" w:rsidRPr="001A6958" w:rsidRDefault="002C5DA6" w:rsidP="00AA1674">
      <w:pPr>
        <w:spacing w:after="0"/>
        <w:jc w:val="both"/>
        <w:rPr>
          <w:rFonts w:ascii="Times New Roman" w:hAnsi="Times New Roman" w:cs="Times New Roman"/>
          <w:sz w:val="20"/>
          <w:szCs w:val="20"/>
        </w:rPr>
      </w:pPr>
      <w:r w:rsidRPr="001A6958">
        <w:rPr>
          <w:rStyle w:val="FootnoteReference"/>
          <w:rFonts w:ascii="Times New Roman" w:hAnsi="Times New Roman" w:cs="Times New Roman"/>
          <w:sz w:val="20"/>
          <w:szCs w:val="20"/>
        </w:rPr>
        <w:footnoteRef/>
      </w:r>
      <w:r w:rsidRPr="001A6958">
        <w:rPr>
          <w:rFonts w:ascii="Times New Roman" w:hAnsi="Times New Roman" w:cs="Times New Roman"/>
          <w:sz w:val="20"/>
          <w:szCs w:val="20"/>
        </w:rPr>
        <w:t xml:space="preserve">  [1971] AC 424, p.451.</w:t>
      </w:r>
      <w:r w:rsidR="000B4B6C">
        <w:rPr>
          <w:rFonts w:ascii="Times New Roman" w:hAnsi="Times New Roman" w:cs="Times New Roman"/>
          <w:sz w:val="20"/>
          <w:szCs w:val="20"/>
        </w:rPr>
        <w:t xml:space="preserve"> Lord Wilberforce gave the leading judgment for the majority.</w:t>
      </w:r>
    </w:p>
  </w:footnote>
  <w:footnote w:id="54">
    <w:p w:rsidR="002C5DA6" w:rsidRPr="00B40647" w:rsidRDefault="002C5DA6" w:rsidP="007F4912">
      <w:pPr>
        <w:pStyle w:val="FootnoteText"/>
        <w:jc w:val="both"/>
        <w:rPr>
          <w:rFonts w:ascii="Times New Roman" w:hAnsi="Times New Roman" w:cs="Times New Roman"/>
        </w:rPr>
      </w:pPr>
      <w:r w:rsidRPr="00B40647">
        <w:rPr>
          <w:rStyle w:val="FootnoteReference"/>
          <w:rFonts w:ascii="Times New Roman" w:hAnsi="Times New Roman" w:cs="Times New Roman"/>
        </w:rPr>
        <w:footnoteRef/>
      </w:r>
      <w:r w:rsidRPr="00B40647">
        <w:rPr>
          <w:rFonts w:ascii="Times New Roman" w:hAnsi="Times New Roman" w:cs="Times New Roman"/>
        </w:rPr>
        <w:t xml:space="preserve"> [1971] AC 424, p.457, per Lord Wilberforce, citing </w:t>
      </w:r>
      <w:proofErr w:type="spellStart"/>
      <w:r w:rsidRPr="00B40647">
        <w:rPr>
          <w:rFonts w:ascii="Times New Roman" w:hAnsi="Times New Roman" w:cs="Times New Roman"/>
          <w:i/>
        </w:rPr>
        <w:t>Brunsden</w:t>
      </w:r>
      <w:proofErr w:type="spellEnd"/>
      <w:r w:rsidRPr="00B40647">
        <w:rPr>
          <w:rFonts w:ascii="Times New Roman" w:hAnsi="Times New Roman" w:cs="Times New Roman"/>
          <w:i/>
        </w:rPr>
        <w:t xml:space="preserve"> v </w:t>
      </w:r>
      <w:proofErr w:type="spellStart"/>
      <w:r w:rsidRPr="00B40647">
        <w:rPr>
          <w:rFonts w:ascii="Times New Roman" w:hAnsi="Times New Roman" w:cs="Times New Roman"/>
          <w:i/>
        </w:rPr>
        <w:t>Woolredge</w:t>
      </w:r>
      <w:proofErr w:type="spellEnd"/>
      <w:r w:rsidRPr="00B40647">
        <w:rPr>
          <w:rFonts w:ascii="Times New Roman" w:hAnsi="Times New Roman" w:cs="Times New Roman"/>
          <w:i/>
        </w:rPr>
        <w:t xml:space="preserve"> </w:t>
      </w:r>
      <w:r w:rsidRPr="00B40647">
        <w:rPr>
          <w:rFonts w:ascii="Times New Roman" w:hAnsi="Times New Roman" w:cs="Times New Roman"/>
        </w:rPr>
        <w:t xml:space="preserve">(1765) 1 </w:t>
      </w:r>
      <w:proofErr w:type="spellStart"/>
      <w:r w:rsidRPr="00B40647">
        <w:rPr>
          <w:rFonts w:ascii="Times New Roman" w:hAnsi="Times New Roman" w:cs="Times New Roman"/>
        </w:rPr>
        <w:t>Amb</w:t>
      </w:r>
      <w:proofErr w:type="spellEnd"/>
      <w:r w:rsidRPr="00B40647">
        <w:rPr>
          <w:rFonts w:ascii="Times New Roman" w:hAnsi="Times New Roman" w:cs="Times New Roman"/>
        </w:rPr>
        <w:t xml:space="preserve">. 507; </w:t>
      </w:r>
      <w:r w:rsidRPr="00B40647">
        <w:rPr>
          <w:rFonts w:ascii="Times New Roman" w:hAnsi="Times New Roman" w:cs="Times New Roman"/>
          <w:i/>
        </w:rPr>
        <w:t xml:space="preserve">Supple v </w:t>
      </w:r>
      <w:proofErr w:type="spellStart"/>
      <w:r w:rsidRPr="00B40647">
        <w:rPr>
          <w:rFonts w:ascii="Times New Roman" w:hAnsi="Times New Roman" w:cs="Times New Roman"/>
          <w:i/>
        </w:rPr>
        <w:t>Lowson</w:t>
      </w:r>
      <w:proofErr w:type="spellEnd"/>
      <w:r w:rsidRPr="00B40647">
        <w:rPr>
          <w:rFonts w:ascii="Times New Roman" w:hAnsi="Times New Roman" w:cs="Times New Roman"/>
          <w:i/>
        </w:rPr>
        <w:t xml:space="preserve"> </w:t>
      </w:r>
      <w:r w:rsidRPr="00B40647">
        <w:rPr>
          <w:rFonts w:ascii="Times New Roman" w:hAnsi="Times New Roman" w:cs="Times New Roman"/>
        </w:rPr>
        <w:t xml:space="preserve">(1773) 2 </w:t>
      </w:r>
      <w:proofErr w:type="spellStart"/>
      <w:r w:rsidRPr="00B40647">
        <w:rPr>
          <w:rFonts w:ascii="Times New Roman" w:hAnsi="Times New Roman" w:cs="Times New Roman"/>
        </w:rPr>
        <w:t>Amb</w:t>
      </w:r>
      <w:proofErr w:type="spellEnd"/>
      <w:r w:rsidRPr="00B40647">
        <w:rPr>
          <w:rFonts w:ascii="Times New Roman" w:hAnsi="Times New Roman" w:cs="Times New Roman"/>
        </w:rPr>
        <w:t xml:space="preserve">. 729; </w:t>
      </w:r>
      <w:proofErr w:type="spellStart"/>
      <w:r w:rsidRPr="00B40647">
        <w:rPr>
          <w:rFonts w:ascii="Times New Roman" w:hAnsi="Times New Roman" w:cs="Times New Roman"/>
          <w:i/>
        </w:rPr>
        <w:t>Liley</w:t>
      </w:r>
      <w:proofErr w:type="spellEnd"/>
      <w:r w:rsidRPr="00B40647">
        <w:rPr>
          <w:rFonts w:ascii="Times New Roman" w:hAnsi="Times New Roman" w:cs="Times New Roman"/>
          <w:i/>
        </w:rPr>
        <w:t xml:space="preserve"> v Hey </w:t>
      </w:r>
      <w:r w:rsidRPr="00B40647">
        <w:rPr>
          <w:rFonts w:ascii="Times New Roman" w:hAnsi="Times New Roman" w:cs="Times New Roman"/>
        </w:rPr>
        <w:t xml:space="preserve">(1842) 1 Hare 580 and </w:t>
      </w:r>
      <w:r w:rsidRPr="00B40647">
        <w:rPr>
          <w:rFonts w:ascii="Times New Roman" w:hAnsi="Times New Roman" w:cs="Times New Roman"/>
          <w:i/>
        </w:rPr>
        <w:t>Lewin on Trusts</w:t>
      </w:r>
      <w:r w:rsidRPr="00B40647">
        <w:rPr>
          <w:rFonts w:ascii="Times New Roman" w:hAnsi="Times New Roman" w:cs="Times New Roman"/>
        </w:rPr>
        <w:t>, 16</w:t>
      </w:r>
      <w:r w:rsidRPr="00B40647">
        <w:rPr>
          <w:rFonts w:ascii="Times New Roman" w:hAnsi="Times New Roman" w:cs="Times New Roman"/>
          <w:vertAlign w:val="superscript"/>
        </w:rPr>
        <w:t>th</w:t>
      </w:r>
      <w:r w:rsidRPr="00B40647">
        <w:rPr>
          <w:rFonts w:ascii="Times New Roman" w:hAnsi="Times New Roman" w:cs="Times New Roman"/>
        </w:rPr>
        <w:t xml:space="preserve"> ed. (1964), p.630</w:t>
      </w:r>
      <w:r w:rsidR="0052297E" w:rsidRPr="00B40647">
        <w:rPr>
          <w:rFonts w:ascii="Times New Roman" w:hAnsi="Times New Roman" w:cs="Times New Roman"/>
        </w:rPr>
        <w:t xml:space="preserve"> for the proposition that there was no reason why this could not apply to discretionary trusts</w:t>
      </w:r>
      <w:r w:rsidRPr="00B40647">
        <w:rPr>
          <w:rFonts w:ascii="Times New Roman" w:hAnsi="Times New Roman" w:cs="Times New Roman"/>
        </w:rPr>
        <w:t xml:space="preserve">. Although Lord </w:t>
      </w:r>
      <w:proofErr w:type="spellStart"/>
      <w:r w:rsidRPr="00B40647">
        <w:rPr>
          <w:rFonts w:ascii="Times New Roman" w:hAnsi="Times New Roman" w:cs="Times New Roman"/>
        </w:rPr>
        <w:t>Hodson</w:t>
      </w:r>
      <w:proofErr w:type="spellEnd"/>
      <w:r w:rsidRPr="00B40647">
        <w:rPr>
          <w:rFonts w:ascii="Times New Roman" w:hAnsi="Times New Roman" w:cs="Times New Roman"/>
        </w:rPr>
        <w:t xml:space="preserve"> dissented on this point, amongst others, it being “the very thing which the court cannot do”: p.443.</w:t>
      </w:r>
    </w:p>
  </w:footnote>
  <w:footnote w:id="55">
    <w:p w:rsidR="009C382A" w:rsidRPr="00B40647" w:rsidRDefault="009C382A" w:rsidP="009C382A">
      <w:pPr>
        <w:spacing w:after="0"/>
        <w:jc w:val="both"/>
        <w:rPr>
          <w:rFonts w:ascii="Times New Roman" w:hAnsi="Times New Roman" w:cs="Times New Roman"/>
          <w:sz w:val="20"/>
          <w:szCs w:val="20"/>
        </w:rPr>
      </w:pPr>
      <w:r w:rsidRPr="00B40647">
        <w:rPr>
          <w:rStyle w:val="FootnoteReference"/>
          <w:rFonts w:ascii="Times New Roman" w:hAnsi="Times New Roman" w:cs="Times New Roman"/>
          <w:sz w:val="20"/>
          <w:szCs w:val="20"/>
        </w:rPr>
        <w:footnoteRef/>
      </w:r>
      <w:r w:rsidR="00B52498" w:rsidRPr="00B40647">
        <w:rPr>
          <w:rFonts w:ascii="Times New Roman" w:hAnsi="Times New Roman" w:cs="Times New Roman"/>
          <w:sz w:val="20"/>
          <w:szCs w:val="20"/>
        </w:rPr>
        <w:t xml:space="preserve"> </w:t>
      </w:r>
      <w:r w:rsidR="00B52498" w:rsidRPr="00B40647">
        <w:rPr>
          <w:rFonts w:ascii="Times New Roman" w:hAnsi="Times New Roman" w:cs="Times New Roman"/>
          <w:i/>
          <w:sz w:val="20"/>
          <w:szCs w:val="20"/>
        </w:rPr>
        <w:t>Re S Settlement</w:t>
      </w:r>
      <w:r w:rsidR="00B52498" w:rsidRPr="00B40647">
        <w:rPr>
          <w:rFonts w:ascii="Times New Roman" w:hAnsi="Times New Roman" w:cs="Times New Roman"/>
          <w:sz w:val="20"/>
          <w:szCs w:val="20"/>
        </w:rPr>
        <w:t xml:space="preserve"> [2001] JRC 154;</w:t>
      </w:r>
      <w:r w:rsidRPr="00B40647">
        <w:rPr>
          <w:rFonts w:ascii="Times New Roman" w:hAnsi="Times New Roman" w:cs="Times New Roman"/>
          <w:sz w:val="20"/>
          <w:szCs w:val="20"/>
        </w:rPr>
        <w:t xml:space="preserve"> </w:t>
      </w:r>
      <w:r w:rsidRPr="00B40647">
        <w:rPr>
          <w:rFonts w:ascii="Times New Roman" w:hAnsi="Times New Roman" w:cs="Times New Roman"/>
          <w:i/>
          <w:sz w:val="20"/>
          <w:szCs w:val="20"/>
        </w:rPr>
        <w:t xml:space="preserve">S v </w:t>
      </w:r>
      <w:proofErr w:type="spellStart"/>
      <w:r w:rsidRPr="00B40647">
        <w:rPr>
          <w:rFonts w:ascii="Times New Roman" w:hAnsi="Times New Roman" w:cs="Times New Roman"/>
          <w:i/>
          <w:sz w:val="20"/>
          <w:szCs w:val="20"/>
        </w:rPr>
        <w:t>Bedell</w:t>
      </w:r>
      <w:proofErr w:type="spellEnd"/>
      <w:r w:rsidRPr="00B40647">
        <w:rPr>
          <w:rFonts w:ascii="Times New Roman" w:hAnsi="Times New Roman" w:cs="Times New Roman"/>
          <w:i/>
          <w:sz w:val="20"/>
          <w:szCs w:val="20"/>
        </w:rPr>
        <w:t xml:space="preserve"> </w:t>
      </w:r>
      <w:proofErr w:type="spellStart"/>
      <w:r w:rsidRPr="00B40647">
        <w:rPr>
          <w:rFonts w:ascii="Times New Roman" w:hAnsi="Times New Roman" w:cs="Times New Roman"/>
          <w:i/>
          <w:sz w:val="20"/>
          <w:szCs w:val="20"/>
        </w:rPr>
        <w:t>Cristin</w:t>
      </w:r>
      <w:proofErr w:type="spellEnd"/>
      <w:r w:rsidRPr="00B40647">
        <w:rPr>
          <w:rFonts w:ascii="Times New Roman" w:hAnsi="Times New Roman" w:cs="Times New Roman"/>
          <w:i/>
          <w:sz w:val="20"/>
          <w:szCs w:val="20"/>
        </w:rPr>
        <w:t xml:space="preserve"> Trustees Ltd </w:t>
      </w:r>
      <w:r w:rsidRPr="00B40647">
        <w:rPr>
          <w:rFonts w:ascii="Times New Roman" w:hAnsi="Times New Roman" w:cs="Times New Roman"/>
          <w:sz w:val="20"/>
          <w:szCs w:val="20"/>
        </w:rPr>
        <w:t xml:space="preserve">[2005] JRC 109, where the Jersey Royal Court considered the exercise, or rather the non-exercise, of a dispositive discretion on an application under Article 51 of the Trusts (Jersey) Law 1984, in terms of whether it was a decision that a reasonable trustee could have arrived at. The court will not substitute its own discretion for that of the trustee. (Although there have been recent statements from the Jersey Royal Court that the court could reserve its discretion for cases involving trustees’ decisions relating to disclosure or non-disclosure of trust information: </w:t>
      </w:r>
      <w:r w:rsidRPr="00B40647">
        <w:rPr>
          <w:rFonts w:ascii="Times New Roman" w:hAnsi="Times New Roman" w:cs="Times New Roman"/>
          <w:i/>
          <w:sz w:val="20"/>
          <w:szCs w:val="20"/>
        </w:rPr>
        <w:t xml:space="preserve">In the Matter of the Y Trust, E Trust Company Ltd v B, C, and D </w:t>
      </w:r>
      <w:r w:rsidRPr="00B40647">
        <w:rPr>
          <w:rFonts w:ascii="Times New Roman" w:hAnsi="Times New Roman" w:cs="Times New Roman"/>
          <w:sz w:val="20"/>
          <w:szCs w:val="20"/>
        </w:rPr>
        <w:t>2014(1) JLR 199).</w:t>
      </w:r>
    </w:p>
  </w:footnote>
  <w:footnote w:id="56">
    <w:p w:rsidR="002C5DA6" w:rsidRPr="00B40647" w:rsidRDefault="002C5DA6" w:rsidP="003C7441">
      <w:pPr>
        <w:spacing w:after="0"/>
        <w:jc w:val="both"/>
        <w:rPr>
          <w:rFonts w:ascii="Times New Roman" w:hAnsi="Times New Roman" w:cs="Times New Roman"/>
          <w:sz w:val="20"/>
          <w:szCs w:val="20"/>
        </w:rPr>
      </w:pPr>
      <w:r w:rsidRPr="00B40647">
        <w:rPr>
          <w:rStyle w:val="FootnoteReference"/>
          <w:rFonts w:ascii="Times New Roman" w:hAnsi="Times New Roman" w:cs="Times New Roman"/>
          <w:sz w:val="20"/>
          <w:szCs w:val="20"/>
        </w:rPr>
        <w:footnoteRef/>
      </w:r>
      <w:r w:rsidRPr="00B40647">
        <w:rPr>
          <w:rFonts w:ascii="Times New Roman" w:hAnsi="Times New Roman" w:cs="Times New Roman"/>
          <w:sz w:val="20"/>
          <w:szCs w:val="20"/>
        </w:rPr>
        <w:t xml:space="preserve"> </w:t>
      </w:r>
      <w:r w:rsidRPr="00B40647">
        <w:rPr>
          <w:rFonts w:ascii="Times New Roman" w:hAnsi="Times New Roman" w:cs="Times New Roman"/>
          <w:i/>
          <w:sz w:val="20"/>
          <w:szCs w:val="20"/>
        </w:rPr>
        <w:t xml:space="preserve">Re </w:t>
      </w:r>
      <w:proofErr w:type="spellStart"/>
      <w:r w:rsidRPr="00B40647">
        <w:rPr>
          <w:rFonts w:ascii="Times New Roman" w:hAnsi="Times New Roman" w:cs="Times New Roman"/>
          <w:i/>
          <w:sz w:val="20"/>
          <w:szCs w:val="20"/>
        </w:rPr>
        <w:t>Gulbenkian’s</w:t>
      </w:r>
      <w:proofErr w:type="spellEnd"/>
      <w:r w:rsidRPr="00B40647">
        <w:rPr>
          <w:rFonts w:ascii="Times New Roman" w:hAnsi="Times New Roman" w:cs="Times New Roman"/>
          <w:i/>
          <w:sz w:val="20"/>
          <w:szCs w:val="20"/>
        </w:rPr>
        <w:t xml:space="preserve"> Settlement </w:t>
      </w:r>
      <w:r w:rsidRPr="00B40647">
        <w:rPr>
          <w:rFonts w:ascii="Times New Roman" w:hAnsi="Times New Roman" w:cs="Times New Roman"/>
          <w:sz w:val="20"/>
          <w:szCs w:val="20"/>
        </w:rPr>
        <w:t>[1970] AC 508, p.524. This case involved the execution of a power of appointment.</w:t>
      </w:r>
    </w:p>
  </w:footnote>
  <w:footnote w:id="57">
    <w:p w:rsidR="002C5DA6" w:rsidRPr="00B40647" w:rsidRDefault="002C5DA6" w:rsidP="003C7441">
      <w:pPr>
        <w:spacing w:after="0"/>
        <w:jc w:val="both"/>
        <w:rPr>
          <w:rFonts w:ascii="Times New Roman" w:hAnsi="Times New Roman" w:cs="Times New Roman"/>
          <w:sz w:val="20"/>
          <w:szCs w:val="20"/>
        </w:rPr>
      </w:pPr>
      <w:r w:rsidRPr="00B40647">
        <w:rPr>
          <w:rStyle w:val="FootnoteReference"/>
          <w:rFonts w:ascii="Times New Roman" w:hAnsi="Times New Roman" w:cs="Times New Roman"/>
          <w:sz w:val="20"/>
          <w:szCs w:val="20"/>
        </w:rPr>
        <w:footnoteRef/>
      </w:r>
      <w:r w:rsidRPr="00B40647">
        <w:rPr>
          <w:rFonts w:ascii="Times New Roman" w:hAnsi="Times New Roman" w:cs="Times New Roman"/>
          <w:sz w:val="20"/>
          <w:szCs w:val="20"/>
        </w:rPr>
        <w:t xml:space="preserve"> </w:t>
      </w:r>
      <w:r w:rsidRPr="00B40647">
        <w:rPr>
          <w:rFonts w:ascii="Times New Roman" w:hAnsi="Times New Roman" w:cs="Times New Roman"/>
          <w:i/>
          <w:sz w:val="20"/>
          <w:szCs w:val="20"/>
        </w:rPr>
        <w:t>McPhail v Doulton</w:t>
      </w:r>
      <w:r w:rsidRPr="00B40647">
        <w:rPr>
          <w:rFonts w:ascii="Times New Roman" w:hAnsi="Times New Roman" w:cs="Times New Roman"/>
          <w:sz w:val="20"/>
          <w:szCs w:val="20"/>
        </w:rPr>
        <w:t xml:space="preserve"> [1971] AC 424, p.449. The fact that objects of a discretionary trust can compel a distribution, even though not necessarily to them, strengthens the obligation</w:t>
      </w:r>
      <w:r w:rsidR="00181469" w:rsidRPr="00B40647">
        <w:rPr>
          <w:rFonts w:ascii="Times New Roman" w:hAnsi="Times New Roman" w:cs="Times New Roman"/>
          <w:sz w:val="20"/>
          <w:szCs w:val="20"/>
        </w:rPr>
        <w:t xml:space="preserve"> to consider the class diligently,</w:t>
      </w:r>
      <w:r w:rsidRPr="00B40647">
        <w:rPr>
          <w:rFonts w:ascii="Times New Roman" w:hAnsi="Times New Roman" w:cs="Times New Roman"/>
          <w:sz w:val="20"/>
          <w:szCs w:val="20"/>
        </w:rPr>
        <w:t xml:space="preserve"> and a greater degree of certainty is </w:t>
      </w:r>
      <w:r w:rsidR="00181469" w:rsidRPr="00B40647">
        <w:rPr>
          <w:rFonts w:ascii="Times New Roman" w:hAnsi="Times New Roman" w:cs="Times New Roman"/>
          <w:sz w:val="20"/>
          <w:szCs w:val="20"/>
        </w:rPr>
        <w:t xml:space="preserve">therefore </w:t>
      </w:r>
      <w:r w:rsidRPr="00B40647">
        <w:rPr>
          <w:rFonts w:ascii="Times New Roman" w:hAnsi="Times New Roman" w:cs="Times New Roman"/>
          <w:sz w:val="20"/>
          <w:szCs w:val="20"/>
        </w:rPr>
        <w:t xml:space="preserve">required: See for example, Lord Wilberforce’s observations in </w:t>
      </w:r>
      <w:r w:rsidRPr="00B40647">
        <w:rPr>
          <w:rFonts w:ascii="Times New Roman" w:hAnsi="Times New Roman" w:cs="Times New Roman"/>
          <w:i/>
          <w:sz w:val="20"/>
          <w:szCs w:val="20"/>
        </w:rPr>
        <w:t>McPhail v Doulton</w:t>
      </w:r>
      <w:r w:rsidRPr="00B40647">
        <w:rPr>
          <w:rFonts w:ascii="Times New Roman" w:hAnsi="Times New Roman" w:cs="Times New Roman"/>
          <w:sz w:val="20"/>
          <w:szCs w:val="20"/>
        </w:rPr>
        <w:t>, above, pp.453, 457</w:t>
      </w:r>
      <w:r w:rsidR="00181469" w:rsidRPr="00B40647">
        <w:rPr>
          <w:rFonts w:ascii="Times New Roman" w:hAnsi="Times New Roman" w:cs="Times New Roman"/>
          <w:sz w:val="20"/>
          <w:szCs w:val="20"/>
        </w:rPr>
        <w:t>-458. Discretionary trusts “</w:t>
      </w:r>
      <w:r w:rsidRPr="00B40647">
        <w:rPr>
          <w:rFonts w:ascii="Times New Roman" w:hAnsi="Times New Roman" w:cs="Times New Roman"/>
          <w:sz w:val="20"/>
          <w:szCs w:val="20"/>
        </w:rPr>
        <w:t xml:space="preserve">will attract the more exacting and demanding court order”: Donovan Waters, “The Protector: New Wine in Old Bottles” in </w:t>
      </w:r>
      <w:r w:rsidRPr="00B40647">
        <w:rPr>
          <w:rFonts w:ascii="Times New Roman" w:hAnsi="Times New Roman" w:cs="Times New Roman"/>
          <w:i/>
          <w:sz w:val="20"/>
          <w:szCs w:val="20"/>
        </w:rPr>
        <w:t xml:space="preserve">Trends in Contemporary Trust Law </w:t>
      </w:r>
      <w:r w:rsidRPr="00B40647">
        <w:rPr>
          <w:rFonts w:ascii="Times New Roman" w:hAnsi="Times New Roman" w:cs="Times New Roman"/>
          <w:sz w:val="20"/>
          <w:szCs w:val="20"/>
        </w:rPr>
        <w:t xml:space="preserve">(1996, </w:t>
      </w:r>
      <w:proofErr w:type="spellStart"/>
      <w:r w:rsidRPr="00B40647">
        <w:rPr>
          <w:rFonts w:ascii="Times New Roman" w:hAnsi="Times New Roman" w:cs="Times New Roman"/>
          <w:sz w:val="20"/>
          <w:szCs w:val="20"/>
        </w:rPr>
        <w:t>A.J.Oakley</w:t>
      </w:r>
      <w:proofErr w:type="spellEnd"/>
      <w:r w:rsidRPr="00B40647">
        <w:rPr>
          <w:rFonts w:ascii="Times New Roman" w:hAnsi="Times New Roman" w:cs="Times New Roman"/>
          <w:sz w:val="20"/>
          <w:szCs w:val="20"/>
        </w:rPr>
        <w:t xml:space="preserve"> ed., </w:t>
      </w:r>
      <w:r w:rsidR="00181469" w:rsidRPr="00B40647">
        <w:rPr>
          <w:rFonts w:ascii="Times New Roman" w:hAnsi="Times New Roman" w:cs="Times New Roman"/>
          <w:sz w:val="20"/>
          <w:szCs w:val="20"/>
        </w:rPr>
        <w:t>Clarendon Press, Oxford), p.83.</w:t>
      </w:r>
    </w:p>
  </w:footnote>
  <w:footnote w:id="58">
    <w:p w:rsidR="00B40647" w:rsidRPr="00B40647" w:rsidRDefault="00B40647" w:rsidP="00B40647">
      <w:pPr>
        <w:spacing w:after="0"/>
        <w:jc w:val="both"/>
        <w:rPr>
          <w:rFonts w:ascii="Times New Roman" w:hAnsi="Times New Roman" w:cs="Times New Roman"/>
          <w:sz w:val="20"/>
          <w:szCs w:val="20"/>
        </w:rPr>
      </w:pPr>
      <w:r w:rsidRPr="00B40647">
        <w:rPr>
          <w:rStyle w:val="FootnoteReference"/>
          <w:rFonts w:ascii="Times New Roman" w:hAnsi="Times New Roman" w:cs="Times New Roman"/>
          <w:sz w:val="20"/>
          <w:szCs w:val="20"/>
        </w:rPr>
        <w:footnoteRef/>
      </w:r>
      <w:r w:rsidRPr="00B40647">
        <w:rPr>
          <w:rFonts w:ascii="Times New Roman" w:hAnsi="Times New Roman" w:cs="Times New Roman"/>
          <w:sz w:val="20"/>
          <w:szCs w:val="20"/>
        </w:rPr>
        <w:t xml:space="preserve"> </w:t>
      </w:r>
      <w:proofErr w:type="gramStart"/>
      <w:r w:rsidRPr="00B40647">
        <w:rPr>
          <w:rFonts w:ascii="Times New Roman" w:hAnsi="Times New Roman" w:cs="Times New Roman"/>
          <w:sz w:val="20"/>
          <w:szCs w:val="20"/>
        </w:rPr>
        <w:t>i.e</w:t>
      </w:r>
      <w:proofErr w:type="gramEnd"/>
      <w:r w:rsidRPr="00B40647">
        <w:rPr>
          <w:rFonts w:ascii="Times New Roman" w:hAnsi="Times New Roman" w:cs="Times New Roman"/>
          <w:sz w:val="20"/>
          <w:szCs w:val="20"/>
        </w:rPr>
        <w:t>. that the trust was valid because it could be said with certainty who was or was not in the class by reference to the time at which the trustees exercised their power of addition to the class.</w:t>
      </w:r>
    </w:p>
  </w:footnote>
  <w:footnote w:id="59">
    <w:p w:rsidR="003337F5" w:rsidRPr="00B40647" w:rsidRDefault="003337F5" w:rsidP="003337F5">
      <w:pPr>
        <w:spacing w:after="0"/>
        <w:jc w:val="both"/>
        <w:rPr>
          <w:rFonts w:ascii="Times New Roman" w:hAnsi="Times New Roman" w:cs="Times New Roman"/>
          <w:sz w:val="20"/>
          <w:szCs w:val="20"/>
        </w:rPr>
      </w:pPr>
      <w:r w:rsidRPr="00B40647">
        <w:rPr>
          <w:rStyle w:val="FootnoteReference"/>
          <w:rFonts w:ascii="Times New Roman" w:hAnsi="Times New Roman" w:cs="Times New Roman"/>
          <w:sz w:val="20"/>
          <w:szCs w:val="20"/>
        </w:rPr>
        <w:footnoteRef/>
      </w:r>
      <w:r w:rsidRPr="00B40647">
        <w:rPr>
          <w:rFonts w:ascii="Times New Roman" w:hAnsi="Times New Roman" w:cs="Times New Roman"/>
          <w:sz w:val="20"/>
          <w:szCs w:val="20"/>
        </w:rPr>
        <w:t xml:space="preserve"> [1974]</w:t>
      </w:r>
      <w:r w:rsidR="009E65AB">
        <w:rPr>
          <w:rFonts w:ascii="Times New Roman" w:hAnsi="Times New Roman" w:cs="Times New Roman"/>
          <w:sz w:val="20"/>
          <w:szCs w:val="20"/>
        </w:rPr>
        <w:t xml:space="preserve"> Ch. 17. The case</w:t>
      </w:r>
      <w:r w:rsidRPr="00B40647">
        <w:rPr>
          <w:rFonts w:ascii="Times New Roman" w:hAnsi="Times New Roman" w:cs="Times New Roman"/>
          <w:sz w:val="20"/>
          <w:szCs w:val="20"/>
        </w:rPr>
        <w:t xml:space="preserve"> concerned an intermediate power of addition.</w:t>
      </w:r>
    </w:p>
  </w:footnote>
  <w:footnote w:id="60">
    <w:p w:rsidR="003337F5" w:rsidRPr="00B40647" w:rsidRDefault="003337F5" w:rsidP="003337F5">
      <w:pPr>
        <w:spacing w:after="0"/>
        <w:jc w:val="both"/>
        <w:rPr>
          <w:rFonts w:ascii="Times New Roman" w:hAnsi="Times New Roman" w:cs="Times New Roman"/>
          <w:sz w:val="20"/>
          <w:szCs w:val="20"/>
        </w:rPr>
      </w:pPr>
      <w:r w:rsidRPr="00B40647">
        <w:rPr>
          <w:rStyle w:val="FootnoteReference"/>
          <w:rFonts w:ascii="Times New Roman" w:hAnsi="Times New Roman" w:cs="Times New Roman"/>
          <w:sz w:val="20"/>
          <w:szCs w:val="20"/>
        </w:rPr>
        <w:footnoteRef/>
      </w:r>
      <w:r w:rsidRPr="00B40647">
        <w:rPr>
          <w:rFonts w:ascii="Times New Roman" w:hAnsi="Times New Roman" w:cs="Times New Roman"/>
          <w:sz w:val="20"/>
          <w:szCs w:val="20"/>
        </w:rPr>
        <w:t xml:space="preserve"> This is where a trustee has a power to appoint to anyone except certain individuals, e.g. “residents of the Isle of Man: e.g. </w:t>
      </w:r>
      <w:proofErr w:type="spellStart"/>
      <w:r w:rsidRPr="00B40647">
        <w:rPr>
          <w:rFonts w:ascii="Times New Roman" w:hAnsi="Times New Roman" w:cs="Times New Roman"/>
          <w:i/>
          <w:sz w:val="20"/>
          <w:szCs w:val="20"/>
        </w:rPr>
        <w:t>Rawcliffe</w:t>
      </w:r>
      <w:proofErr w:type="spellEnd"/>
      <w:r w:rsidRPr="00B40647">
        <w:rPr>
          <w:rFonts w:ascii="Times New Roman" w:hAnsi="Times New Roman" w:cs="Times New Roman"/>
          <w:i/>
          <w:sz w:val="20"/>
          <w:szCs w:val="20"/>
        </w:rPr>
        <w:t xml:space="preserve"> v Steele</w:t>
      </w:r>
      <w:r w:rsidR="00221711">
        <w:rPr>
          <w:rFonts w:ascii="Times New Roman" w:hAnsi="Times New Roman" w:cs="Times New Roman"/>
          <w:sz w:val="20"/>
          <w:szCs w:val="20"/>
        </w:rPr>
        <w:t xml:space="preserve"> 1993-95 MLR 426.</w:t>
      </w:r>
    </w:p>
  </w:footnote>
  <w:footnote w:id="61">
    <w:p w:rsidR="00EE5E57" w:rsidRPr="00265962" w:rsidRDefault="00EE5E57" w:rsidP="00EE5E57">
      <w:pPr>
        <w:pStyle w:val="FootnoteText"/>
        <w:jc w:val="both"/>
        <w:rPr>
          <w:rFonts w:ascii="Times New Roman" w:hAnsi="Times New Roman" w:cs="Times New Roman"/>
        </w:rPr>
      </w:pPr>
      <w:r w:rsidRPr="00B40647">
        <w:rPr>
          <w:rStyle w:val="FootnoteReference"/>
          <w:rFonts w:ascii="Times New Roman" w:hAnsi="Times New Roman" w:cs="Times New Roman"/>
        </w:rPr>
        <w:footnoteRef/>
      </w:r>
      <w:r w:rsidRPr="00B40647">
        <w:rPr>
          <w:rFonts w:ascii="Times New Roman" w:hAnsi="Times New Roman" w:cs="Times New Roman"/>
        </w:rPr>
        <w:t xml:space="preserve"> This is not to suggest that there are not obvious differences. Objects of a discretionary trust have rights of enforcement and concomitant rights to trust information due to their status as a beneficiary (see below). Nevertheless, in terms of the breadth of the class, little should turn on the distinction in terms of certainty of object apart from this, provided that the trustees can perform their duties and the court can execute the trust. The doctrine</w:t>
      </w:r>
      <w:r>
        <w:rPr>
          <w:rFonts w:ascii="Times New Roman" w:hAnsi="Times New Roman" w:cs="Times New Roman"/>
        </w:rPr>
        <w:t xml:space="preserve"> of administrative unworkability applies to discretionary trusts not powers, and a broad class of objects such as that in </w:t>
      </w:r>
      <w:r>
        <w:rPr>
          <w:rFonts w:ascii="Times New Roman" w:hAnsi="Times New Roman" w:cs="Times New Roman"/>
          <w:i/>
        </w:rPr>
        <w:t xml:space="preserve">Re </w:t>
      </w:r>
      <w:proofErr w:type="spellStart"/>
      <w:r>
        <w:rPr>
          <w:rFonts w:ascii="Times New Roman" w:hAnsi="Times New Roman" w:cs="Times New Roman"/>
          <w:i/>
        </w:rPr>
        <w:t>Manisty’s</w:t>
      </w:r>
      <w:proofErr w:type="spellEnd"/>
      <w:r>
        <w:rPr>
          <w:rFonts w:ascii="Times New Roman" w:hAnsi="Times New Roman" w:cs="Times New Roman"/>
          <w:i/>
        </w:rPr>
        <w:t xml:space="preserve"> Settlement</w:t>
      </w:r>
      <w:r>
        <w:rPr>
          <w:rFonts w:ascii="Times New Roman" w:hAnsi="Times New Roman" w:cs="Times New Roman"/>
        </w:rPr>
        <w:t xml:space="preserve"> would be void as a discretionary trust on this basis: </w:t>
      </w:r>
      <w:r w:rsidR="0091270D">
        <w:rPr>
          <w:rFonts w:ascii="Times New Roman" w:hAnsi="Times New Roman" w:cs="Times New Roman"/>
          <w:i/>
        </w:rPr>
        <w:t xml:space="preserve">R v District Auditor, ex p West Yorkshire Metropolitan County Council </w:t>
      </w:r>
      <w:r w:rsidR="0091270D">
        <w:rPr>
          <w:rFonts w:ascii="Times New Roman" w:hAnsi="Times New Roman" w:cs="Times New Roman"/>
        </w:rPr>
        <w:t>[1986] RVR 24 (QB);</w:t>
      </w:r>
      <w:r w:rsidR="00265962">
        <w:rPr>
          <w:rFonts w:ascii="Times New Roman" w:hAnsi="Times New Roman" w:cs="Times New Roman"/>
        </w:rPr>
        <w:t xml:space="preserve"> McKay, “</w:t>
      </w:r>
      <w:r w:rsidR="00265962">
        <w:rPr>
          <w:rFonts w:ascii="Times New Roman" w:hAnsi="Times New Roman" w:cs="Times New Roman"/>
          <w:i/>
        </w:rPr>
        <w:t xml:space="preserve">Re Baden </w:t>
      </w:r>
      <w:r w:rsidR="00265962">
        <w:rPr>
          <w:rFonts w:ascii="Times New Roman" w:hAnsi="Times New Roman" w:cs="Times New Roman"/>
        </w:rPr>
        <w:t>and the Third Class if Uncertainty” [1974] Conv. 269.</w:t>
      </w:r>
    </w:p>
  </w:footnote>
  <w:footnote w:id="62">
    <w:p w:rsidR="000B4B6C" w:rsidRPr="003337F5" w:rsidRDefault="000B4B6C" w:rsidP="000B4B6C">
      <w:pPr>
        <w:spacing w:after="0"/>
        <w:jc w:val="both"/>
        <w:rPr>
          <w:rFonts w:ascii="Times New Roman" w:hAnsi="Times New Roman" w:cs="Times New Roman"/>
          <w:sz w:val="20"/>
          <w:szCs w:val="20"/>
        </w:rPr>
      </w:pPr>
      <w:r w:rsidRPr="003337F5">
        <w:rPr>
          <w:rStyle w:val="FootnoteReference"/>
          <w:rFonts w:ascii="Times New Roman" w:hAnsi="Times New Roman" w:cs="Times New Roman"/>
          <w:sz w:val="20"/>
          <w:szCs w:val="20"/>
        </w:rPr>
        <w:footnoteRef/>
      </w:r>
      <w:r w:rsidRPr="003337F5">
        <w:rPr>
          <w:rFonts w:ascii="Times New Roman" w:hAnsi="Times New Roman" w:cs="Times New Roman"/>
          <w:sz w:val="20"/>
          <w:szCs w:val="20"/>
        </w:rPr>
        <w:t xml:space="preserve"> </w:t>
      </w:r>
      <w:r w:rsidR="00265962">
        <w:rPr>
          <w:rFonts w:ascii="Times New Roman" w:hAnsi="Times New Roman" w:cs="Times New Roman"/>
          <w:sz w:val="20"/>
          <w:szCs w:val="20"/>
        </w:rPr>
        <w:t xml:space="preserve">Per </w:t>
      </w:r>
      <w:proofErr w:type="spellStart"/>
      <w:r w:rsidR="00265962">
        <w:rPr>
          <w:rFonts w:ascii="Times New Roman" w:hAnsi="Times New Roman" w:cs="Times New Roman"/>
          <w:sz w:val="20"/>
          <w:szCs w:val="20"/>
        </w:rPr>
        <w:t>Templeman</w:t>
      </w:r>
      <w:proofErr w:type="spellEnd"/>
      <w:r w:rsidR="00265962">
        <w:rPr>
          <w:rFonts w:ascii="Times New Roman" w:hAnsi="Times New Roman" w:cs="Times New Roman"/>
          <w:sz w:val="20"/>
          <w:szCs w:val="20"/>
        </w:rPr>
        <w:t xml:space="preserve"> J. </w:t>
      </w:r>
      <w:r w:rsidR="00265962">
        <w:rPr>
          <w:rFonts w:ascii="Times New Roman" w:hAnsi="Times New Roman" w:cs="Times New Roman"/>
          <w:i/>
          <w:sz w:val="20"/>
          <w:szCs w:val="20"/>
        </w:rPr>
        <w:t xml:space="preserve">Re </w:t>
      </w:r>
      <w:proofErr w:type="spellStart"/>
      <w:r w:rsidR="00265962">
        <w:rPr>
          <w:rFonts w:ascii="Times New Roman" w:hAnsi="Times New Roman" w:cs="Times New Roman"/>
          <w:i/>
          <w:sz w:val="20"/>
          <w:szCs w:val="20"/>
        </w:rPr>
        <w:t>Manisty’s</w:t>
      </w:r>
      <w:proofErr w:type="spellEnd"/>
      <w:r w:rsidR="00265962">
        <w:rPr>
          <w:rFonts w:ascii="Times New Roman" w:hAnsi="Times New Roman" w:cs="Times New Roman"/>
          <w:i/>
          <w:sz w:val="20"/>
          <w:szCs w:val="20"/>
        </w:rPr>
        <w:t xml:space="preserve"> Settlement </w:t>
      </w:r>
      <w:r w:rsidR="00265962">
        <w:rPr>
          <w:rFonts w:ascii="Times New Roman" w:hAnsi="Times New Roman" w:cs="Times New Roman"/>
          <w:sz w:val="20"/>
          <w:szCs w:val="20"/>
        </w:rPr>
        <w:t>[1974] Ch. 17,</w:t>
      </w:r>
      <w:r w:rsidRPr="003337F5">
        <w:rPr>
          <w:rFonts w:ascii="Times New Roman" w:hAnsi="Times New Roman" w:cs="Times New Roman"/>
          <w:sz w:val="20"/>
          <w:szCs w:val="20"/>
        </w:rPr>
        <w:t xml:space="preserve"> p.26.</w:t>
      </w:r>
    </w:p>
  </w:footnote>
  <w:footnote w:id="63">
    <w:p w:rsidR="0012236E" w:rsidRPr="003C37E5" w:rsidRDefault="0012236E" w:rsidP="0012236E">
      <w:pPr>
        <w:pStyle w:val="FootnoteText"/>
        <w:jc w:val="both"/>
        <w:rPr>
          <w:rFonts w:ascii="Times New Roman" w:hAnsi="Times New Roman" w:cs="Times New Roman"/>
        </w:rPr>
      </w:pPr>
      <w:r w:rsidRPr="003C37E5">
        <w:rPr>
          <w:rStyle w:val="FootnoteReference"/>
          <w:rFonts w:ascii="Times New Roman" w:hAnsi="Times New Roman" w:cs="Times New Roman"/>
        </w:rPr>
        <w:footnoteRef/>
      </w:r>
      <w:r w:rsidRPr="003C37E5">
        <w:rPr>
          <w:rFonts w:ascii="Times New Roman" w:hAnsi="Times New Roman" w:cs="Times New Roman"/>
        </w:rPr>
        <w:t xml:space="preserve"> </w:t>
      </w:r>
      <w:r>
        <w:rPr>
          <w:rFonts w:ascii="Times New Roman" w:hAnsi="Times New Roman" w:cs="Times New Roman"/>
          <w:i/>
        </w:rPr>
        <w:t xml:space="preserve">Re </w:t>
      </w:r>
      <w:proofErr w:type="spellStart"/>
      <w:r>
        <w:rPr>
          <w:rFonts w:ascii="Times New Roman" w:hAnsi="Times New Roman" w:cs="Times New Roman"/>
          <w:i/>
        </w:rPr>
        <w:t>Manisty’s</w:t>
      </w:r>
      <w:proofErr w:type="spellEnd"/>
      <w:r>
        <w:rPr>
          <w:rFonts w:ascii="Times New Roman" w:hAnsi="Times New Roman" w:cs="Times New Roman"/>
          <w:i/>
        </w:rPr>
        <w:t xml:space="preserve"> Settlement </w:t>
      </w:r>
      <w:r>
        <w:rPr>
          <w:rFonts w:ascii="Times New Roman" w:hAnsi="Times New Roman" w:cs="Times New Roman"/>
        </w:rPr>
        <w:t xml:space="preserve">[1974] Ch.17 </w:t>
      </w:r>
      <w:r w:rsidRPr="003C37E5">
        <w:rPr>
          <w:rFonts w:ascii="Times New Roman" w:hAnsi="Times New Roman" w:cs="Times New Roman"/>
        </w:rPr>
        <w:t xml:space="preserve">was held in </w:t>
      </w:r>
      <w:r w:rsidRPr="003C37E5">
        <w:rPr>
          <w:rFonts w:ascii="Times New Roman" w:hAnsi="Times New Roman" w:cs="Times New Roman"/>
          <w:i/>
        </w:rPr>
        <w:t xml:space="preserve">The Exeter Settlement </w:t>
      </w:r>
      <w:r w:rsidRPr="003C37E5">
        <w:rPr>
          <w:rFonts w:ascii="Times New Roman" w:hAnsi="Times New Roman" w:cs="Times New Roman"/>
        </w:rPr>
        <w:t xml:space="preserve">to be accepted in Jersey law: Bailiff </w:t>
      </w:r>
      <w:proofErr w:type="spellStart"/>
      <w:r w:rsidRPr="003C37E5">
        <w:rPr>
          <w:rFonts w:ascii="Times New Roman" w:hAnsi="Times New Roman" w:cs="Times New Roman"/>
        </w:rPr>
        <w:t>Birt</w:t>
      </w:r>
      <w:proofErr w:type="spellEnd"/>
      <w:r w:rsidRPr="003C37E5">
        <w:rPr>
          <w:rFonts w:ascii="Times New Roman" w:hAnsi="Times New Roman" w:cs="Times New Roman"/>
        </w:rPr>
        <w:t xml:space="preserve"> accepted the case of </w:t>
      </w:r>
      <w:r w:rsidRPr="003C37E5">
        <w:rPr>
          <w:rFonts w:ascii="Times New Roman" w:hAnsi="Times New Roman" w:cs="Times New Roman"/>
          <w:i/>
        </w:rPr>
        <w:t xml:space="preserve">Re </w:t>
      </w:r>
      <w:proofErr w:type="spellStart"/>
      <w:r w:rsidRPr="003C37E5">
        <w:rPr>
          <w:rFonts w:ascii="Times New Roman" w:hAnsi="Times New Roman" w:cs="Times New Roman"/>
          <w:i/>
        </w:rPr>
        <w:t>Manisty’s</w:t>
      </w:r>
      <w:proofErr w:type="spellEnd"/>
      <w:r w:rsidRPr="003C37E5">
        <w:rPr>
          <w:rFonts w:ascii="Times New Roman" w:hAnsi="Times New Roman" w:cs="Times New Roman"/>
          <w:i/>
        </w:rPr>
        <w:t xml:space="preserve"> Settlement</w:t>
      </w:r>
      <w:r w:rsidRPr="003C37E5">
        <w:rPr>
          <w:rFonts w:ascii="Times New Roman" w:hAnsi="Times New Roman" w:cs="Times New Roman"/>
        </w:rPr>
        <w:t xml:space="preserve"> as showing that an intermediate power of addition was also valid in Jersey, the implica</w:t>
      </w:r>
      <w:r>
        <w:rPr>
          <w:rFonts w:ascii="Times New Roman" w:hAnsi="Times New Roman" w:cs="Times New Roman"/>
        </w:rPr>
        <w:t>tion of this argument is that the Royal Court</w:t>
      </w:r>
      <w:r w:rsidRPr="003C37E5">
        <w:rPr>
          <w:rFonts w:ascii="Times New Roman" w:hAnsi="Times New Roman" w:cs="Times New Roman"/>
        </w:rPr>
        <w:t xml:space="preserve"> also accepted the reasoning behind their validity.</w:t>
      </w:r>
    </w:p>
  </w:footnote>
  <w:footnote w:id="64">
    <w:p w:rsidR="000B4B6C" w:rsidRPr="00C51E88" w:rsidRDefault="000B4B6C" w:rsidP="000B4B6C">
      <w:pPr>
        <w:spacing w:after="0"/>
        <w:jc w:val="both"/>
        <w:rPr>
          <w:rFonts w:ascii="Times New Roman" w:hAnsi="Times New Roman" w:cs="Times New Roman"/>
          <w:sz w:val="20"/>
          <w:szCs w:val="20"/>
        </w:rPr>
      </w:pPr>
      <w:r w:rsidRPr="00C51E8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[1974] Ch.17, pp.27-28. </w:t>
      </w:r>
      <w:r w:rsidRPr="00DC1D0C">
        <w:rPr>
          <w:rFonts w:ascii="Times New Roman" w:hAnsi="Times New Roman" w:cs="Times New Roman"/>
          <w:sz w:val="20"/>
          <w:szCs w:val="20"/>
        </w:rPr>
        <w:t xml:space="preserve">Only limited and fiduciary powers are subject to the court’s supervisory jurisdiction. See </w:t>
      </w:r>
      <w:r w:rsidRPr="00DC1D0C">
        <w:rPr>
          <w:rFonts w:ascii="Times New Roman" w:hAnsi="Times New Roman" w:cs="Times New Roman"/>
          <w:i/>
          <w:sz w:val="20"/>
          <w:szCs w:val="20"/>
        </w:rPr>
        <w:t xml:space="preserve">Re Representation Centre Trustees </w:t>
      </w:r>
      <w:r w:rsidRPr="00DC1D0C">
        <w:rPr>
          <w:rFonts w:ascii="Times New Roman" w:hAnsi="Times New Roman" w:cs="Times New Roman"/>
          <w:sz w:val="20"/>
          <w:szCs w:val="20"/>
        </w:rPr>
        <w:t xml:space="preserve">[2009] JRC 109 in Jersey trust law, pointing to the three-fold distinction between beneficial powers, limited powers and fiduciary powers drawn by Hayton, </w:t>
      </w:r>
      <w:r w:rsidRPr="00DC1D0C">
        <w:rPr>
          <w:rFonts w:ascii="Times New Roman" w:hAnsi="Times New Roman" w:cs="Times New Roman"/>
          <w:i/>
          <w:sz w:val="20"/>
          <w:szCs w:val="20"/>
        </w:rPr>
        <w:t xml:space="preserve">Underhill &amp; Hayton Law of Trusts and Trustees </w:t>
      </w:r>
      <w:r w:rsidRPr="00DC1D0C">
        <w:rPr>
          <w:rFonts w:ascii="Times New Roman" w:hAnsi="Times New Roman" w:cs="Times New Roman"/>
          <w:sz w:val="20"/>
          <w:szCs w:val="20"/>
        </w:rPr>
        <w:t>(17</w:t>
      </w:r>
      <w:r w:rsidRPr="00DC1D0C">
        <w:rPr>
          <w:rFonts w:ascii="Times New Roman" w:hAnsi="Times New Roman" w:cs="Times New Roman"/>
          <w:sz w:val="20"/>
          <w:szCs w:val="20"/>
          <w:vertAlign w:val="superscript"/>
        </w:rPr>
        <w:t>th</w:t>
      </w:r>
      <w:r w:rsidRPr="00DC1D0C">
        <w:rPr>
          <w:rFonts w:ascii="Times New Roman" w:hAnsi="Times New Roman" w:cs="Times New Roman"/>
          <w:sz w:val="20"/>
          <w:szCs w:val="20"/>
        </w:rPr>
        <w:t xml:space="preserve"> ed.); </w:t>
      </w:r>
      <w:r w:rsidRPr="00DC1D0C">
        <w:rPr>
          <w:rFonts w:ascii="Times New Roman" w:hAnsi="Times New Roman" w:cs="Times New Roman"/>
          <w:i/>
          <w:sz w:val="20"/>
          <w:szCs w:val="20"/>
        </w:rPr>
        <w:t xml:space="preserve">Re Representation DG, AN and TTL </w:t>
      </w:r>
      <w:r w:rsidRPr="00DC1D0C">
        <w:rPr>
          <w:rFonts w:ascii="Times New Roman" w:hAnsi="Times New Roman" w:cs="Times New Roman"/>
          <w:sz w:val="20"/>
          <w:szCs w:val="20"/>
        </w:rPr>
        <w:t xml:space="preserve">[2009] JRC 140, and </w:t>
      </w:r>
      <w:proofErr w:type="spellStart"/>
      <w:r w:rsidRPr="00DC1D0C">
        <w:rPr>
          <w:rFonts w:ascii="Times New Roman" w:hAnsi="Times New Roman" w:cs="Times New Roman"/>
          <w:sz w:val="20"/>
          <w:szCs w:val="20"/>
        </w:rPr>
        <w:t>N.O’Higgins</w:t>
      </w:r>
      <w:proofErr w:type="spellEnd"/>
      <w:r w:rsidRPr="00DC1D0C">
        <w:rPr>
          <w:rFonts w:ascii="Times New Roman" w:hAnsi="Times New Roman" w:cs="Times New Roman"/>
          <w:sz w:val="20"/>
          <w:szCs w:val="20"/>
        </w:rPr>
        <w:t>, “The Nature of Protectors’ Powers” (IFC Review</w:t>
      </w:r>
      <w:r w:rsidR="00221711">
        <w:rPr>
          <w:rFonts w:ascii="Times New Roman" w:hAnsi="Times New Roman" w:cs="Times New Roman"/>
          <w:sz w:val="20"/>
          <w:szCs w:val="20"/>
        </w:rPr>
        <w:t>.com (IFC Media Ltd. 2014)</w:t>
      </w:r>
      <w:r w:rsidRPr="00DC1D0C">
        <w:rPr>
          <w:rFonts w:ascii="Times New Roman" w:hAnsi="Times New Roman" w:cs="Times New Roman"/>
          <w:sz w:val="20"/>
          <w:szCs w:val="20"/>
        </w:rPr>
        <w:t>)</w:t>
      </w:r>
      <w:r w:rsidR="00221711">
        <w:rPr>
          <w:rFonts w:ascii="Times New Roman" w:hAnsi="Times New Roman" w:cs="Times New Roman"/>
          <w:sz w:val="20"/>
          <w:szCs w:val="20"/>
        </w:rPr>
        <w:t>, last accessed 19:8:2015</w:t>
      </w:r>
      <w:r w:rsidRPr="00DC1D0C">
        <w:rPr>
          <w:rFonts w:ascii="Times New Roman" w:hAnsi="Times New Roman" w:cs="Times New Roman"/>
          <w:sz w:val="20"/>
          <w:szCs w:val="20"/>
        </w:rPr>
        <w:t xml:space="preserve">. A beneficial power can be exercised in self-interest. The doctrine of fraud on a power only applied to limited and fiduciary powers: see also </w:t>
      </w:r>
      <w:r w:rsidRPr="00DC1D0C">
        <w:rPr>
          <w:rFonts w:ascii="Times New Roman" w:hAnsi="Times New Roman" w:cs="Times New Roman"/>
          <w:i/>
          <w:sz w:val="20"/>
          <w:szCs w:val="20"/>
        </w:rPr>
        <w:t xml:space="preserve">Re Bird Charitable Trust </w:t>
      </w:r>
      <w:r w:rsidRPr="00DC1D0C">
        <w:rPr>
          <w:rFonts w:ascii="Times New Roman" w:hAnsi="Times New Roman" w:cs="Times New Roman"/>
          <w:sz w:val="20"/>
          <w:szCs w:val="20"/>
        </w:rPr>
        <w:t xml:space="preserve">[2008] JRC 103 and N </w:t>
      </w:r>
      <w:proofErr w:type="spellStart"/>
      <w:r w:rsidRPr="00DC1D0C">
        <w:rPr>
          <w:rFonts w:ascii="Times New Roman" w:hAnsi="Times New Roman" w:cs="Times New Roman"/>
          <w:sz w:val="20"/>
          <w:szCs w:val="20"/>
        </w:rPr>
        <w:t>OHiggins</w:t>
      </w:r>
      <w:proofErr w:type="spellEnd"/>
      <w:r w:rsidRPr="00DC1D0C">
        <w:rPr>
          <w:rFonts w:ascii="Times New Roman" w:hAnsi="Times New Roman" w:cs="Times New Roman"/>
          <w:sz w:val="20"/>
          <w:szCs w:val="20"/>
        </w:rPr>
        <w:t xml:space="preserve">, </w:t>
      </w:r>
      <w:r w:rsidRPr="00DC1D0C">
        <w:rPr>
          <w:rFonts w:ascii="Times New Roman" w:hAnsi="Times New Roman" w:cs="Times New Roman"/>
          <w:i/>
          <w:sz w:val="20"/>
          <w:szCs w:val="20"/>
        </w:rPr>
        <w:t>ibid</w:t>
      </w:r>
      <w:r>
        <w:rPr>
          <w:rFonts w:ascii="Times New Roman" w:hAnsi="Times New Roman" w:cs="Times New Roman"/>
          <w:i/>
          <w:sz w:val="20"/>
          <w:szCs w:val="20"/>
        </w:rPr>
        <w:t>.</w:t>
      </w:r>
    </w:p>
  </w:footnote>
  <w:footnote w:id="65">
    <w:p w:rsidR="00A963DD" w:rsidRPr="00B40647" w:rsidRDefault="00A963DD" w:rsidP="00A963DD">
      <w:pPr>
        <w:spacing w:after="0"/>
        <w:jc w:val="both"/>
        <w:rPr>
          <w:rFonts w:ascii="Times New Roman" w:hAnsi="Times New Roman" w:cs="Times New Roman"/>
          <w:sz w:val="20"/>
          <w:szCs w:val="20"/>
        </w:rPr>
      </w:pPr>
      <w:r>
        <w:rPr>
          <w:rStyle w:val="FootnoteReference"/>
        </w:rPr>
        <w:footnoteRef/>
      </w:r>
      <w:r>
        <w:t xml:space="preserve"> </w:t>
      </w:r>
      <w:proofErr w:type="gramStart"/>
      <w:r w:rsidRPr="00B40647">
        <w:rPr>
          <w:rFonts w:ascii="Times New Roman" w:hAnsi="Times New Roman" w:cs="Times New Roman"/>
          <w:sz w:val="20"/>
          <w:szCs w:val="20"/>
        </w:rPr>
        <w:t>i.e</w:t>
      </w:r>
      <w:proofErr w:type="gramEnd"/>
      <w:r w:rsidRPr="00B40647">
        <w:rPr>
          <w:rFonts w:ascii="Times New Roman" w:hAnsi="Times New Roman" w:cs="Times New Roman"/>
          <w:sz w:val="20"/>
          <w:szCs w:val="20"/>
        </w:rPr>
        <w:t xml:space="preserve">. that the trust was valid because it could be said with certainty who was or was not in the class by reference to the time at which the trustees exercised their </w:t>
      </w:r>
      <w:r>
        <w:rPr>
          <w:rFonts w:ascii="Times New Roman" w:hAnsi="Times New Roman" w:cs="Times New Roman"/>
          <w:sz w:val="20"/>
          <w:szCs w:val="20"/>
        </w:rPr>
        <w:t>power of addition to the class.</w:t>
      </w:r>
    </w:p>
  </w:footnote>
  <w:footnote w:id="66">
    <w:p w:rsidR="00A963DD" w:rsidRPr="00A963DD" w:rsidRDefault="00A963DD" w:rsidP="00A963D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Re </w:t>
      </w:r>
      <w:proofErr w:type="spellStart"/>
      <w:r>
        <w:rPr>
          <w:rFonts w:ascii="Times New Roman" w:hAnsi="Times New Roman" w:cs="Times New Roman"/>
          <w:i/>
        </w:rPr>
        <w:t>Gulbenkian</w:t>
      </w:r>
      <w:proofErr w:type="spellEnd"/>
      <w:r>
        <w:rPr>
          <w:rFonts w:ascii="Times New Roman" w:hAnsi="Times New Roman" w:cs="Times New Roman"/>
        </w:rPr>
        <w:t>.</w:t>
      </w:r>
    </w:p>
  </w:footnote>
  <w:footnote w:id="67">
    <w:p w:rsidR="00E92AD3" w:rsidRPr="00D010A4" w:rsidRDefault="00E92AD3" w:rsidP="00E92AD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Gardner, “Fiduciary Powers in </w:t>
      </w:r>
      <w:proofErr w:type="spellStart"/>
      <w:r>
        <w:rPr>
          <w:rFonts w:ascii="Times New Roman" w:hAnsi="Times New Roman" w:cs="Times New Roman"/>
        </w:rPr>
        <w:t>Toytown</w:t>
      </w:r>
      <w:proofErr w:type="spellEnd"/>
      <w:r>
        <w:rPr>
          <w:rFonts w:ascii="Times New Roman" w:hAnsi="Times New Roman" w:cs="Times New Roman"/>
        </w:rPr>
        <w:t xml:space="preserve">” (1991) 107 LQR 214; </w:t>
      </w:r>
      <w:r>
        <w:rPr>
          <w:rFonts w:ascii="Times New Roman" w:hAnsi="Times New Roman" w:cs="Times New Roman"/>
          <w:i/>
        </w:rPr>
        <w:t xml:space="preserve">R v District Auditor, ex p West Yorkshire Metropolitan County Council </w:t>
      </w:r>
      <w:r>
        <w:rPr>
          <w:rFonts w:ascii="Times New Roman" w:hAnsi="Times New Roman" w:cs="Times New Roman"/>
        </w:rPr>
        <w:t xml:space="preserve">[1986] RVR 24 (QB); </w:t>
      </w:r>
      <w:r>
        <w:rPr>
          <w:rFonts w:ascii="Times New Roman" w:hAnsi="Times New Roman" w:cs="Times New Roman"/>
          <w:i/>
        </w:rPr>
        <w:t xml:space="preserve">McPhail v Doulton </w:t>
      </w:r>
      <w:r>
        <w:rPr>
          <w:rFonts w:ascii="Times New Roman" w:hAnsi="Times New Roman" w:cs="Times New Roman"/>
        </w:rPr>
        <w:t>[1971] AC 424, p.457 per Lord Wilberforce.</w:t>
      </w:r>
    </w:p>
  </w:footnote>
  <w:footnote w:id="68">
    <w:p w:rsidR="00E92AD3" w:rsidRPr="002D3737" w:rsidRDefault="00E92AD3" w:rsidP="00E92AD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Per Lord Wilberforce, </w:t>
      </w:r>
      <w:r>
        <w:rPr>
          <w:rFonts w:ascii="Times New Roman" w:hAnsi="Times New Roman" w:cs="Times New Roman"/>
          <w:i/>
        </w:rPr>
        <w:t>McPhail v Doulton</w:t>
      </w:r>
      <w:r>
        <w:rPr>
          <w:rFonts w:ascii="Times New Roman" w:hAnsi="Times New Roman" w:cs="Times New Roman"/>
        </w:rPr>
        <w:t xml:space="preserve">, above, p.457, citing Lord Eldon in </w:t>
      </w:r>
      <w:proofErr w:type="spellStart"/>
      <w:r>
        <w:rPr>
          <w:rFonts w:ascii="Times New Roman" w:hAnsi="Times New Roman" w:cs="Times New Roman"/>
          <w:i/>
        </w:rPr>
        <w:t>Morice</w:t>
      </w:r>
      <w:proofErr w:type="spellEnd"/>
      <w:r>
        <w:rPr>
          <w:rFonts w:ascii="Times New Roman" w:hAnsi="Times New Roman" w:cs="Times New Roman"/>
          <w:i/>
        </w:rPr>
        <w:t xml:space="preserve"> v Bishop of Durham</w:t>
      </w:r>
      <w:r>
        <w:rPr>
          <w:rFonts w:ascii="Times New Roman" w:hAnsi="Times New Roman" w:cs="Times New Roman"/>
        </w:rPr>
        <w:t xml:space="preserve">, 10 </w:t>
      </w:r>
      <w:proofErr w:type="spellStart"/>
      <w:r>
        <w:rPr>
          <w:rFonts w:ascii="Times New Roman" w:hAnsi="Times New Roman" w:cs="Times New Roman"/>
        </w:rPr>
        <w:t>Ves</w:t>
      </w:r>
      <w:proofErr w:type="spellEnd"/>
      <w:r>
        <w:rPr>
          <w:rFonts w:ascii="Times New Roman" w:hAnsi="Times New Roman" w:cs="Times New Roman"/>
        </w:rPr>
        <w:t>. Jr. 522, p.527.</w:t>
      </w:r>
    </w:p>
  </w:footnote>
  <w:footnote w:id="69">
    <w:p w:rsidR="00BC77FA" w:rsidRPr="0052297E" w:rsidRDefault="00BC77FA" w:rsidP="00BC77FA">
      <w:pPr>
        <w:spacing w:after="0"/>
        <w:jc w:val="both"/>
        <w:rPr>
          <w:rFonts w:ascii="Times New Roman" w:hAnsi="Times New Roman" w:cs="Times New Roman"/>
          <w:sz w:val="20"/>
          <w:szCs w:val="20"/>
        </w:rPr>
      </w:pPr>
      <w:r w:rsidRPr="0052297E">
        <w:rPr>
          <w:rStyle w:val="FootnoteReference"/>
          <w:rFonts w:ascii="Times New Roman" w:hAnsi="Times New Roman" w:cs="Times New Roman"/>
          <w:sz w:val="20"/>
          <w:szCs w:val="20"/>
        </w:rPr>
        <w:footnoteRef/>
      </w:r>
      <w:r w:rsidRPr="0052297E">
        <w:rPr>
          <w:rFonts w:ascii="Times New Roman" w:hAnsi="Times New Roman" w:cs="Times New Roman"/>
          <w:sz w:val="20"/>
          <w:szCs w:val="20"/>
        </w:rPr>
        <w:t xml:space="preserve"> </w:t>
      </w:r>
      <w:r>
        <w:rPr>
          <w:rFonts w:ascii="Times New Roman" w:hAnsi="Times New Roman" w:cs="Times New Roman"/>
          <w:i/>
          <w:sz w:val="20"/>
          <w:szCs w:val="20"/>
        </w:rPr>
        <w:t xml:space="preserve">McPhail v Doulton </w:t>
      </w:r>
      <w:r>
        <w:rPr>
          <w:rFonts w:ascii="Times New Roman" w:hAnsi="Times New Roman" w:cs="Times New Roman"/>
          <w:sz w:val="20"/>
          <w:szCs w:val="20"/>
        </w:rPr>
        <w:t>[1971] AC 484, p.457, per Lord Wilberforce</w:t>
      </w:r>
      <w:r w:rsidR="00750312">
        <w:rPr>
          <w:rFonts w:ascii="Times New Roman" w:hAnsi="Times New Roman" w:cs="Times New Roman"/>
          <w:sz w:val="20"/>
          <w:szCs w:val="20"/>
        </w:rPr>
        <w:t>.</w:t>
      </w:r>
      <w:r w:rsidRPr="0052297E">
        <w:rPr>
          <w:rFonts w:ascii="Times New Roman" w:hAnsi="Times New Roman" w:cs="Times New Roman"/>
          <w:sz w:val="20"/>
          <w:szCs w:val="20"/>
        </w:rPr>
        <w:t xml:space="preserve"> </w:t>
      </w:r>
    </w:p>
  </w:footnote>
  <w:footnote w:id="70">
    <w:p w:rsidR="00750312" w:rsidRPr="0052297E" w:rsidRDefault="00750312" w:rsidP="00750312">
      <w:pPr>
        <w:pStyle w:val="FootnoteText"/>
        <w:jc w:val="both"/>
        <w:rPr>
          <w:rFonts w:ascii="Times New Roman" w:hAnsi="Times New Roman" w:cs="Times New Roman"/>
        </w:rPr>
      </w:pPr>
      <w:r w:rsidRPr="0052297E">
        <w:rPr>
          <w:rStyle w:val="FootnoteReference"/>
          <w:rFonts w:ascii="Times New Roman" w:hAnsi="Times New Roman" w:cs="Times New Roman"/>
        </w:rPr>
        <w:footnoteRef/>
      </w:r>
      <w:r w:rsidRPr="0052297E">
        <w:rPr>
          <w:rFonts w:ascii="Times New Roman" w:hAnsi="Times New Roman" w:cs="Times New Roman"/>
        </w:rPr>
        <w:t xml:space="preserve"> 2010 JLR 169, see, for instance, para.11.</w:t>
      </w:r>
    </w:p>
  </w:footnote>
  <w:footnote w:id="71">
    <w:p w:rsidR="00D67ACA" w:rsidRPr="00D67ACA" w:rsidRDefault="00D67ACA" w:rsidP="00D67ACA">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And indeed, had been doing so from 1983-2010.</w:t>
      </w:r>
    </w:p>
  </w:footnote>
  <w:footnote w:id="72">
    <w:p w:rsidR="005E143F" w:rsidRPr="005E143F" w:rsidRDefault="005E143F" w:rsidP="005E143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argument of Lord Wilberforce against the “list test”: </w:t>
      </w:r>
      <w:r>
        <w:rPr>
          <w:rFonts w:ascii="Times New Roman" w:hAnsi="Times New Roman" w:cs="Times New Roman"/>
          <w:i/>
        </w:rPr>
        <w:t>McPhail v Doulton</w:t>
      </w:r>
      <w:r>
        <w:rPr>
          <w:rFonts w:ascii="Times New Roman" w:hAnsi="Times New Roman" w:cs="Times New Roman"/>
        </w:rPr>
        <w:t>.</w:t>
      </w:r>
    </w:p>
  </w:footnote>
  <w:footnote w:id="73">
    <w:p w:rsidR="00AB7DE9" w:rsidRPr="0052297E" w:rsidRDefault="00AB7DE9" w:rsidP="00AB7DE9">
      <w:pPr>
        <w:pStyle w:val="FootnoteText"/>
        <w:jc w:val="both"/>
        <w:rPr>
          <w:rFonts w:ascii="Times New Roman" w:hAnsi="Times New Roman" w:cs="Times New Roman"/>
        </w:rPr>
      </w:pPr>
      <w:r w:rsidRPr="0052297E">
        <w:rPr>
          <w:rStyle w:val="FootnoteReference"/>
          <w:rFonts w:ascii="Times New Roman" w:hAnsi="Times New Roman" w:cs="Times New Roman"/>
        </w:rPr>
        <w:footnoteRef/>
      </w:r>
      <w:r w:rsidRPr="0052297E">
        <w:rPr>
          <w:rFonts w:ascii="Times New Roman" w:hAnsi="Times New Roman" w:cs="Times New Roman"/>
        </w:rPr>
        <w:t xml:space="preserve"> Although the authorities relied upon by Lord Wilberforce in determining how a court could</w:t>
      </w:r>
      <w:r>
        <w:rPr>
          <w:rFonts w:ascii="Times New Roman" w:hAnsi="Times New Roman" w:cs="Times New Roman"/>
        </w:rPr>
        <w:t xml:space="preserve"> execute a discretionary trust (</w:t>
      </w:r>
      <w:r>
        <w:rPr>
          <w:rFonts w:ascii="Times New Roman" w:hAnsi="Times New Roman" w:cs="Times New Roman"/>
          <w:i/>
        </w:rPr>
        <w:t>Mosel</w:t>
      </w:r>
      <w:r w:rsidR="005D53E9">
        <w:rPr>
          <w:rFonts w:ascii="Times New Roman" w:hAnsi="Times New Roman" w:cs="Times New Roman"/>
          <w:i/>
        </w:rPr>
        <w:t>e</w:t>
      </w:r>
      <w:r>
        <w:rPr>
          <w:rFonts w:ascii="Times New Roman" w:hAnsi="Times New Roman" w:cs="Times New Roman"/>
          <w:i/>
        </w:rPr>
        <w:t xml:space="preserve">y v Moseley, </w:t>
      </w:r>
      <w:r>
        <w:rPr>
          <w:rFonts w:ascii="Times New Roman" w:hAnsi="Times New Roman" w:cs="Times New Roman"/>
        </w:rPr>
        <w:t xml:space="preserve">Fin. 53; </w:t>
      </w:r>
      <w:r>
        <w:rPr>
          <w:rFonts w:ascii="Times New Roman" w:hAnsi="Times New Roman" w:cs="Times New Roman"/>
          <w:i/>
        </w:rPr>
        <w:t xml:space="preserve">Clarke v Turner, </w:t>
      </w:r>
      <w:r>
        <w:rPr>
          <w:rFonts w:ascii="Times New Roman" w:hAnsi="Times New Roman" w:cs="Times New Roman"/>
        </w:rPr>
        <w:t xml:space="preserve">Free. Ch. 198; </w:t>
      </w:r>
      <w:r>
        <w:rPr>
          <w:rFonts w:ascii="Times New Roman" w:hAnsi="Times New Roman" w:cs="Times New Roman"/>
          <w:i/>
        </w:rPr>
        <w:t xml:space="preserve">Warburton v Warburton, </w:t>
      </w:r>
      <w:r>
        <w:rPr>
          <w:rFonts w:ascii="Times New Roman" w:hAnsi="Times New Roman" w:cs="Times New Roman"/>
        </w:rPr>
        <w:t xml:space="preserve">4 Bro. P.C. 1; </w:t>
      </w:r>
      <w:r>
        <w:rPr>
          <w:rFonts w:ascii="Times New Roman" w:hAnsi="Times New Roman" w:cs="Times New Roman"/>
          <w:i/>
        </w:rPr>
        <w:t xml:space="preserve">Richardson v Chapman, </w:t>
      </w:r>
      <w:r>
        <w:rPr>
          <w:rFonts w:ascii="Times New Roman" w:hAnsi="Times New Roman" w:cs="Times New Roman"/>
        </w:rPr>
        <w:t xml:space="preserve">7 Bro. P.C. 318; </w:t>
      </w:r>
      <w:r>
        <w:rPr>
          <w:rFonts w:ascii="Times New Roman" w:hAnsi="Times New Roman" w:cs="Times New Roman"/>
          <w:i/>
        </w:rPr>
        <w:t xml:space="preserve">Harding v Glyn </w:t>
      </w:r>
      <w:r>
        <w:rPr>
          <w:rFonts w:ascii="Times New Roman" w:hAnsi="Times New Roman" w:cs="Times New Roman"/>
        </w:rPr>
        <w:t xml:space="preserve">(1739) 1 </w:t>
      </w:r>
      <w:proofErr w:type="spellStart"/>
      <w:r>
        <w:rPr>
          <w:rFonts w:ascii="Times New Roman" w:hAnsi="Times New Roman" w:cs="Times New Roman"/>
        </w:rPr>
        <w:t>Atk</w:t>
      </w:r>
      <w:proofErr w:type="spellEnd"/>
      <w:r>
        <w:rPr>
          <w:rFonts w:ascii="Times New Roman" w:hAnsi="Times New Roman" w:cs="Times New Roman"/>
        </w:rPr>
        <w:t xml:space="preserve">. 469; </w:t>
      </w:r>
      <w:proofErr w:type="spellStart"/>
      <w:r>
        <w:rPr>
          <w:rFonts w:ascii="Times New Roman" w:hAnsi="Times New Roman" w:cs="Times New Roman"/>
        </w:rPr>
        <w:t>cf</w:t>
      </w:r>
      <w:proofErr w:type="spellEnd"/>
      <w:r>
        <w:rPr>
          <w:rFonts w:ascii="Times New Roman" w:hAnsi="Times New Roman" w:cs="Times New Roman"/>
        </w:rPr>
        <w:t xml:space="preserve"> </w:t>
      </w:r>
      <w:r>
        <w:rPr>
          <w:rFonts w:ascii="Times New Roman" w:hAnsi="Times New Roman" w:cs="Times New Roman"/>
          <w:i/>
        </w:rPr>
        <w:t xml:space="preserve">Kemp v Kemp, </w:t>
      </w:r>
      <w:r>
        <w:rPr>
          <w:rFonts w:ascii="Times New Roman" w:hAnsi="Times New Roman" w:cs="Times New Roman"/>
        </w:rPr>
        <w:t xml:space="preserve">5 </w:t>
      </w:r>
      <w:proofErr w:type="spellStart"/>
      <w:r>
        <w:rPr>
          <w:rFonts w:ascii="Times New Roman" w:hAnsi="Times New Roman" w:cs="Times New Roman"/>
        </w:rPr>
        <w:t>Ves</w:t>
      </w:r>
      <w:proofErr w:type="spellEnd"/>
      <w:r>
        <w:rPr>
          <w:rFonts w:ascii="Times New Roman" w:hAnsi="Times New Roman" w:cs="Times New Roman"/>
        </w:rPr>
        <w:t xml:space="preserve">. Jr. 849) </w:t>
      </w:r>
      <w:r w:rsidRPr="0052297E">
        <w:rPr>
          <w:rFonts w:ascii="Times New Roman" w:hAnsi="Times New Roman" w:cs="Times New Roman"/>
        </w:rPr>
        <w:t xml:space="preserve">all appeared to order a distribution, the cases were actually relied upon to show that </w:t>
      </w:r>
      <w:r w:rsidRPr="0052297E">
        <w:rPr>
          <w:rFonts w:ascii="Times New Roman" w:hAnsi="Times New Roman" w:cs="Times New Roman"/>
          <w:i/>
        </w:rPr>
        <w:t>equal</w:t>
      </w:r>
      <w:r w:rsidRPr="0052297E">
        <w:rPr>
          <w:rFonts w:ascii="Times New Roman" w:hAnsi="Times New Roman" w:cs="Times New Roman"/>
        </w:rPr>
        <w:t xml:space="preserve"> distribution was not necessary in all cases.</w:t>
      </w:r>
    </w:p>
  </w:footnote>
  <w:footnote w:id="74">
    <w:p w:rsidR="00AB7DE9" w:rsidRPr="005D53E9" w:rsidRDefault="00AB7DE9" w:rsidP="00AB7DE9">
      <w:pPr>
        <w:spacing w:after="0"/>
        <w:jc w:val="both"/>
        <w:rPr>
          <w:rFonts w:ascii="Times New Roman" w:hAnsi="Times New Roman" w:cs="Times New Roman"/>
          <w:sz w:val="20"/>
          <w:szCs w:val="20"/>
        </w:rPr>
      </w:pPr>
      <w:r w:rsidRPr="0052297E">
        <w:rPr>
          <w:rStyle w:val="FootnoteReference"/>
          <w:rFonts w:ascii="Times New Roman" w:hAnsi="Times New Roman" w:cs="Times New Roman"/>
          <w:sz w:val="20"/>
          <w:szCs w:val="20"/>
        </w:rPr>
        <w:footnoteRef/>
      </w:r>
      <w:r w:rsidRPr="0052297E">
        <w:rPr>
          <w:rFonts w:ascii="Times New Roman" w:hAnsi="Times New Roman" w:cs="Times New Roman"/>
          <w:sz w:val="20"/>
          <w:szCs w:val="20"/>
        </w:rPr>
        <w:t xml:space="preserve"> </w:t>
      </w:r>
      <w:r w:rsidRPr="0052297E">
        <w:rPr>
          <w:rFonts w:ascii="Times New Roman" w:hAnsi="Times New Roman" w:cs="Times New Roman"/>
          <w:i/>
          <w:sz w:val="20"/>
          <w:szCs w:val="20"/>
        </w:rPr>
        <w:t>McPhail v Doulton</w:t>
      </w:r>
      <w:r w:rsidRPr="0052297E">
        <w:rPr>
          <w:rFonts w:ascii="Times New Roman" w:hAnsi="Times New Roman" w:cs="Times New Roman"/>
          <w:sz w:val="20"/>
          <w:szCs w:val="20"/>
        </w:rPr>
        <w:t xml:space="preserve">, above, pp.456-7. Directed at the point that equal distribution was unnecessary, requiring a complete list of objects: </w:t>
      </w:r>
      <w:proofErr w:type="spellStart"/>
      <w:r w:rsidRPr="0052297E">
        <w:rPr>
          <w:rFonts w:ascii="Times New Roman" w:hAnsi="Times New Roman" w:cs="Times New Roman"/>
          <w:sz w:val="20"/>
          <w:szCs w:val="20"/>
        </w:rPr>
        <w:t>cf</w:t>
      </w:r>
      <w:proofErr w:type="spellEnd"/>
      <w:r w:rsidRPr="0052297E">
        <w:rPr>
          <w:rFonts w:ascii="Times New Roman" w:hAnsi="Times New Roman" w:cs="Times New Roman"/>
          <w:sz w:val="20"/>
          <w:szCs w:val="20"/>
        </w:rPr>
        <w:t xml:space="preserve"> </w:t>
      </w:r>
      <w:r w:rsidR="005D53E9">
        <w:rPr>
          <w:rFonts w:ascii="Times New Roman" w:hAnsi="Times New Roman" w:cs="Times New Roman"/>
          <w:i/>
          <w:sz w:val="20"/>
          <w:szCs w:val="20"/>
        </w:rPr>
        <w:t>IRC v Broadway Cottages Trust</w:t>
      </w:r>
      <w:r w:rsidR="005D53E9">
        <w:rPr>
          <w:rFonts w:ascii="Times New Roman" w:hAnsi="Times New Roman" w:cs="Times New Roman"/>
          <w:sz w:val="20"/>
          <w:szCs w:val="20"/>
        </w:rPr>
        <w:t xml:space="preserve"> [1955] Ch.20.</w:t>
      </w:r>
    </w:p>
  </w:footnote>
  <w:footnote w:id="75">
    <w:p w:rsidR="00100C4A" w:rsidRPr="0052297E" w:rsidRDefault="00100C4A" w:rsidP="0052297E">
      <w:pPr>
        <w:spacing w:after="0"/>
        <w:jc w:val="both"/>
        <w:rPr>
          <w:rFonts w:ascii="Times New Roman" w:hAnsi="Times New Roman" w:cs="Times New Roman"/>
          <w:sz w:val="20"/>
          <w:szCs w:val="20"/>
        </w:rPr>
      </w:pPr>
      <w:r w:rsidRPr="0052297E">
        <w:rPr>
          <w:rStyle w:val="FootnoteReference"/>
          <w:rFonts w:ascii="Times New Roman" w:hAnsi="Times New Roman" w:cs="Times New Roman"/>
          <w:sz w:val="20"/>
          <w:szCs w:val="20"/>
        </w:rPr>
        <w:footnoteRef/>
      </w:r>
      <w:r w:rsidRPr="0052297E">
        <w:rPr>
          <w:rFonts w:ascii="Times New Roman" w:hAnsi="Times New Roman" w:cs="Times New Roman"/>
          <w:sz w:val="20"/>
          <w:szCs w:val="20"/>
        </w:rPr>
        <w:t xml:space="preserve"> </w:t>
      </w:r>
      <w:r w:rsidR="0052297E" w:rsidRPr="0052297E">
        <w:rPr>
          <w:rFonts w:ascii="Times New Roman" w:hAnsi="Times New Roman" w:cs="Times New Roman"/>
          <w:sz w:val="20"/>
          <w:szCs w:val="20"/>
        </w:rPr>
        <w:t xml:space="preserve">Lord Wilberforce in </w:t>
      </w:r>
      <w:r w:rsidR="0052297E" w:rsidRPr="0052297E">
        <w:rPr>
          <w:rFonts w:ascii="Times New Roman" w:hAnsi="Times New Roman" w:cs="Times New Roman"/>
          <w:i/>
          <w:sz w:val="20"/>
          <w:szCs w:val="20"/>
        </w:rPr>
        <w:t>McPhail</w:t>
      </w:r>
      <w:r w:rsidR="0052297E" w:rsidRPr="0052297E">
        <w:rPr>
          <w:rFonts w:ascii="Times New Roman" w:hAnsi="Times New Roman" w:cs="Times New Roman"/>
          <w:sz w:val="20"/>
          <w:szCs w:val="20"/>
        </w:rPr>
        <w:t xml:space="preserve"> was very conscious of the distinction between a power and a trust, a power not being compellable</w:t>
      </w:r>
      <w:r w:rsidRPr="0052297E">
        <w:rPr>
          <w:rFonts w:ascii="Times New Roman" w:hAnsi="Times New Roman" w:cs="Times New Roman"/>
          <w:sz w:val="20"/>
          <w:szCs w:val="20"/>
        </w:rPr>
        <w:t>.</w:t>
      </w:r>
    </w:p>
  </w:footnote>
  <w:footnote w:id="76">
    <w:p w:rsidR="005629DF" w:rsidRPr="00DC1D0C" w:rsidRDefault="005629DF" w:rsidP="005629DF">
      <w:pPr>
        <w:pStyle w:val="FootnoteText"/>
        <w:jc w:val="both"/>
        <w:rPr>
          <w:rFonts w:ascii="Times New Roman" w:hAnsi="Times New Roman" w:cs="Times New Roman"/>
        </w:rPr>
      </w:pPr>
      <w:r w:rsidRPr="00DC1D0C">
        <w:rPr>
          <w:rStyle w:val="FootnoteReference"/>
          <w:rFonts w:ascii="Times New Roman" w:hAnsi="Times New Roman" w:cs="Times New Roman"/>
        </w:rPr>
        <w:footnoteRef/>
      </w:r>
      <w:r w:rsidR="00D70E91">
        <w:rPr>
          <w:rFonts w:ascii="Times New Roman" w:hAnsi="Times New Roman" w:cs="Times New Roman"/>
        </w:rPr>
        <w:t xml:space="preserve"> Paras 29-32, quoted as part of the judgment above.</w:t>
      </w:r>
    </w:p>
  </w:footnote>
  <w:footnote w:id="77">
    <w:p w:rsidR="002C5DA6" w:rsidRPr="00100C4A" w:rsidRDefault="002C5DA6" w:rsidP="00D233AF">
      <w:pPr>
        <w:pStyle w:val="FootnoteText"/>
        <w:jc w:val="both"/>
        <w:rPr>
          <w:rFonts w:ascii="Times New Roman" w:hAnsi="Times New Roman" w:cs="Times New Roman"/>
        </w:rPr>
      </w:pPr>
      <w:r w:rsidRPr="00100C4A">
        <w:rPr>
          <w:rStyle w:val="FootnoteReference"/>
          <w:rFonts w:ascii="Times New Roman" w:hAnsi="Times New Roman" w:cs="Times New Roman"/>
        </w:rPr>
        <w:footnoteRef/>
      </w:r>
      <w:r w:rsidRPr="00100C4A">
        <w:rPr>
          <w:rFonts w:ascii="Times New Roman" w:hAnsi="Times New Roman" w:cs="Times New Roman"/>
        </w:rPr>
        <w:t xml:space="preserve"> Institute of Law, </w:t>
      </w:r>
      <w:r w:rsidRPr="00100C4A">
        <w:rPr>
          <w:rFonts w:ascii="Times New Roman" w:hAnsi="Times New Roman" w:cs="Times New Roman"/>
          <w:i/>
        </w:rPr>
        <w:t>Law of Trusts Study Guide 2014-15</w:t>
      </w:r>
      <w:r w:rsidRPr="00100C4A">
        <w:rPr>
          <w:rFonts w:ascii="Times New Roman" w:hAnsi="Times New Roman" w:cs="Times New Roman"/>
        </w:rPr>
        <w:t xml:space="preserve"> observes that the issue was that there were no beneficiaries, but does not pursue the issue further.</w:t>
      </w:r>
    </w:p>
  </w:footnote>
  <w:footnote w:id="78">
    <w:p w:rsidR="002C5DA6" w:rsidRPr="00100C4A" w:rsidRDefault="002C5DA6" w:rsidP="00B53F1D">
      <w:pPr>
        <w:pStyle w:val="FootnoteText"/>
        <w:jc w:val="both"/>
        <w:rPr>
          <w:rFonts w:ascii="Times New Roman" w:hAnsi="Times New Roman" w:cs="Times New Roman"/>
        </w:rPr>
      </w:pPr>
      <w:r w:rsidRPr="00100C4A">
        <w:rPr>
          <w:rStyle w:val="FootnoteReference"/>
          <w:rFonts w:ascii="Times New Roman" w:hAnsi="Times New Roman" w:cs="Times New Roman"/>
        </w:rPr>
        <w:footnoteRef/>
      </w:r>
      <w:r w:rsidRPr="00100C4A">
        <w:rPr>
          <w:rFonts w:ascii="Times New Roman" w:hAnsi="Times New Roman" w:cs="Times New Roman"/>
        </w:rPr>
        <w:t xml:space="preserve"> </w:t>
      </w:r>
      <w:proofErr w:type="spellStart"/>
      <w:r w:rsidRPr="00100C4A">
        <w:rPr>
          <w:rFonts w:ascii="Times New Roman" w:hAnsi="Times New Roman" w:cs="Times New Roman"/>
        </w:rPr>
        <w:t>P.Matthews</w:t>
      </w:r>
      <w:proofErr w:type="spellEnd"/>
      <w:r w:rsidRPr="00100C4A">
        <w:rPr>
          <w:rFonts w:ascii="Times New Roman" w:hAnsi="Times New Roman" w:cs="Times New Roman"/>
        </w:rPr>
        <w:t xml:space="preserve">, “The New Trust: Obligations without Rights?” in </w:t>
      </w:r>
      <w:r w:rsidRPr="00100C4A">
        <w:rPr>
          <w:rFonts w:ascii="Times New Roman" w:hAnsi="Times New Roman" w:cs="Times New Roman"/>
          <w:i/>
        </w:rPr>
        <w:t xml:space="preserve">Trends in Contemporary Trust Law </w:t>
      </w:r>
      <w:r w:rsidRPr="00100C4A">
        <w:rPr>
          <w:rFonts w:ascii="Times New Roman" w:hAnsi="Times New Roman" w:cs="Times New Roman"/>
        </w:rPr>
        <w:t xml:space="preserve">(1996, </w:t>
      </w:r>
      <w:proofErr w:type="spellStart"/>
      <w:r w:rsidRPr="00100C4A">
        <w:rPr>
          <w:rFonts w:ascii="Times New Roman" w:hAnsi="Times New Roman" w:cs="Times New Roman"/>
        </w:rPr>
        <w:t>A.J.Oakley</w:t>
      </w:r>
      <w:proofErr w:type="spellEnd"/>
      <w:r w:rsidRPr="00100C4A">
        <w:rPr>
          <w:rFonts w:ascii="Times New Roman" w:hAnsi="Times New Roman" w:cs="Times New Roman"/>
        </w:rPr>
        <w:t xml:space="preserve"> ed., Clarendon Press, Oxford), pp.3-13, points out that the two requirements are separate.</w:t>
      </w:r>
    </w:p>
  </w:footnote>
  <w:footnote w:id="79">
    <w:p w:rsidR="002C5DA6" w:rsidRPr="00100C4A" w:rsidRDefault="002C5DA6" w:rsidP="0058598B">
      <w:pPr>
        <w:spacing w:after="0"/>
        <w:jc w:val="both"/>
        <w:rPr>
          <w:rFonts w:ascii="Times New Roman" w:hAnsi="Times New Roman" w:cs="Times New Roman"/>
          <w:sz w:val="20"/>
          <w:szCs w:val="20"/>
        </w:rPr>
      </w:pPr>
      <w:r w:rsidRPr="00100C4A">
        <w:rPr>
          <w:rStyle w:val="FootnoteReference"/>
          <w:rFonts w:ascii="Times New Roman" w:hAnsi="Times New Roman" w:cs="Times New Roman"/>
          <w:sz w:val="20"/>
          <w:szCs w:val="20"/>
        </w:rPr>
        <w:footnoteRef/>
      </w:r>
      <w:r w:rsidRPr="00100C4A">
        <w:rPr>
          <w:rFonts w:ascii="Times New Roman" w:hAnsi="Times New Roman" w:cs="Times New Roman"/>
          <w:sz w:val="20"/>
          <w:szCs w:val="20"/>
        </w:rPr>
        <w:t xml:space="preserve"> “No principle, perhaps, has greater sanction or authority behind it than the general proposition that a trust by English law, not being a charitable trust, in order to be effective must have ascertained or ascertainable beneficiaries”: per Lord </w:t>
      </w:r>
      <w:proofErr w:type="spellStart"/>
      <w:r w:rsidRPr="00100C4A">
        <w:rPr>
          <w:rFonts w:ascii="Times New Roman" w:hAnsi="Times New Roman" w:cs="Times New Roman"/>
          <w:sz w:val="20"/>
          <w:szCs w:val="20"/>
        </w:rPr>
        <w:t>Evershed</w:t>
      </w:r>
      <w:proofErr w:type="spellEnd"/>
      <w:r w:rsidRPr="00100C4A">
        <w:rPr>
          <w:rFonts w:ascii="Times New Roman" w:hAnsi="Times New Roman" w:cs="Times New Roman"/>
          <w:sz w:val="20"/>
          <w:szCs w:val="20"/>
        </w:rPr>
        <w:t xml:space="preserve"> MR, </w:t>
      </w:r>
      <w:r w:rsidRPr="00100C4A">
        <w:rPr>
          <w:rFonts w:ascii="Times New Roman" w:hAnsi="Times New Roman" w:cs="Times New Roman"/>
          <w:i/>
          <w:sz w:val="20"/>
          <w:szCs w:val="20"/>
        </w:rPr>
        <w:t xml:space="preserve">Re </w:t>
      </w:r>
      <w:proofErr w:type="spellStart"/>
      <w:r w:rsidRPr="00100C4A">
        <w:rPr>
          <w:rFonts w:ascii="Times New Roman" w:hAnsi="Times New Roman" w:cs="Times New Roman"/>
          <w:i/>
          <w:sz w:val="20"/>
          <w:szCs w:val="20"/>
        </w:rPr>
        <w:t>Endacott</w:t>
      </w:r>
      <w:proofErr w:type="spellEnd"/>
      <w:r w:rsidRPr="00100C4A">
        <w:rPr>
          <w:rFonts w:ascii="Times New Roman" w:hAnsi="Times New Roman" w:cs="Times New Roman"/>
          <w:i/>
          <w:sz w:val="20"/>
          <w:szCs w:val="20"/>
        </w:rPr>
        <w:t xml:space="preserve"> </w:t>
      </w:r>
      <w:r w:rsidRPr="00100C4A">
        <w:rPr>
          <w:rFonts w:ascii="Times New Roman" w:hAnsi="Times New Roman" w:cs="Times New Roman"/>
          <w:sz w:val="20"/>
          <w:szCs w:val="20"/>
        </w:rPr>
        <w:t xml:space="preserve">[1960] Ch. 232, </w:t>
      </w:r>
      <w:r w:rsidR="009E65AB">
        <w:rPr>
          <w:rFonts w:ascii="Times New Roman" w:hAnsi="Times New Roman" w:cs="Times New Roman"/>
          <w:sz w:val="20"/>
          <w:szCs w:val="20"/>
        </w:rPr>
        <w:t>p.246</w:t>
      </w:r>
      <w:r w:rsidRPr="00100C4A">
        <w:rPr>
          <w:rFonts w:ascii="Times New Roman" w:hAnsi="Times New Roman" w:cs="Times New Roman"/>
          <w:sz w:val="20"/>
          <w:szCs w:val="20"/>
        </w:rPr>
        <w:t>.</w:t>
      </w:r>
    </w:p>
  </w:footnote>
  <w:footnote w:id="80">
    <w:p w:rsidR="002C5DA6" w:rsidRPr="002F26C6" w:rsidRDefault="002C5DA6" w:rsidP="00B53F1D">
      <w:pPr>
        <w:spacing w:after="0"/>
        <w:jc w:val="both"/>
        <w:rPr>
          <w:rFonts w:ascii="Times New Roman" w:hAnsi="Times New Roman" w:cs="Times New Roman"/>
          <w:sz w:val="20"/>
          <w:szCs w:val="20"/>
        </w:rPr>
      </w:pPr>
      <w:r w:rsidRPr="00FC049E">
        <w:rPr>
          <w:rStyle w:val="FootnoteReference"/>
          <w:rFonts w:ascii="Times New Roman" w:hAnsi="Times New Roman" w:cs="Times New Roman"/>
          <w:sz w:val="20"/>
          <w:szCs w:val="20"/>
        </w:rPr>
        <w:footnoteRef/>
      </w:r>
      <w:r w:rsidRPr="00FC049E">
        <w:rPr>
          <w:rFonts w:ascii="Times New Roman" w:hAnsi="Times New Roman" w:cs="Times New Roman"/>
          <w:sz w:val="20"/>
          <w:szCs w:val="20"/>
        </w:rPr>
        <w:t xml:space="preserve"> Matthews concludes that when enacted in 1984, the Jersey equivalent of the beneficiary principle left out those exceptions that are still known in English law, e.g. trusts for the maintenance of monuments, graves etc.:</w:t>
      </w:r>
      <w:r w:rsidRPr="002F26C6">
        <w:rPr>
          <w:rFonts w:ascii="Times New Roman" w:hAnsi="Times New Roman" w:cs="Times New Roman"/>
          <w:sz w:val="20"/>
          <w:szCs w:val="20"/>
        </w:rPr>
        <w:t xml:space="preserve"> </w:t>
      </w:r>
      <w:proofErr w:type="spellStart"/>
      <w:r w:rsidRPr="002F26C6">
        <w:rPr>
          <w:rFonts w:ascii="Times New Roman" w:hAnsi="Times New Roman" w:cs="Times New Roman"/>
          <w:sz w:val="20"/>
          <w:szCs w:val="20"/>
        </w:rPr>
        <w:t>P.Matthews</w:t>
      </w:r>
      <w:proofErr w:type="spellEnd"/>
      <w:r w:rsidRPr="002F26C6">
        <w:rPr>
          <w:rFonts w:ascii="Times New Roman" w:hAnsi="Times New Roman" w:cs="Times New Roman"/>
          <w:sz w:val="20"/>
          <w:szCs w:val="20"/>
        </w:rPr>
        <w:t xml:space="preserve">, “The New Trust: Obligations without Rights?” in </w:t>
      </w:r>
      <w:r w:rsidRPr="002F26C6">
        <w:rPr>
          <w:rFonts w:ascii="Times New Roman" w:hAnsi="Times New Roman" w:cs="Times New Roman"/>
          <w:i/>
          <w:sz w:val="20"/>
          <w:szCs w:val="20"/>
        </w:rPr>
        <w:t xml:space="preserve">Trends in Contemporary Trust Law </w:t>
      </w:r>
      <w:r w:rsidRPr="002F26C6">
        <w:rPr>
          <w:rFonts w:ascii="Times New Roman" w:hAnsi="Times New Roman" w:cs="Times New Roman"/>
          <w:sz w:val="20"/>
          <w:szCs w:val="20"/>
        </w:rPr>
        <w:t xml:space="preserve">(1996, </w:t>
      </w:r>
      <w:proofErr w:type="spellStart"/>
      <w:r w:rsidRPr="002F26C6">
        <w:rPr>
          <w:rFonts w:ascii="Times New Roman" w:hAnsi="Times New Roman" w:cs="Times New Roman"/>
          <w:sz w:val="20"/>
          <w:szCs w:val="20"/>
        </w:rPr>
        <w:t>A.J.Oakley</w:t>
      </w:r>
      <w:proofErr w:type="spellEnd"/>
      <w:r w:rsidRPr="002F26C6">
        <w:rPr>
          <w:rFonts w:ascii="Times New Roman" w:hAnsi="Times New Roman" w:cs="Times New Roman"/>
          <w:sz w:val="20"/>
          <w:szCs w:val="20"/>
        </w:rPr>
        <w:t xml:space="preserve"> ed., Clarendon Press, Oxford), p.5.</w:t>
      </w:r>
    </w:p>
  </w:footnote>
  <w:footnote w:id="81">
    <w:p w:rsidR="00FA7BFA" w:rsidRPr="00FA7BFA" w:rsidRDefault="00FA7BFA">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82">
    <w:p w:rsidR="002C5DA6" w:rsidRPr="002F26C6" w:rsidRDefault="002C5DA6" w:rsidP="00275732">
      <w:pPr>
        <w:spacing w:after="0"/>
        <w:jc w:val="both"/>
        <w:rPr>
          <w:rFonts w:ascii="Times New Roman" w:hAnsi="Times New Roman" w:cs="Times New Roman"/>
          <w:sz w:val="20"/>
          <w:szCs w:val="20"/>
        </w:rPr>
      </w:pPr>
      <w:r w:rsidRPr="002F26C6">
        <w:rPr>
          <w:rStyle w:val="FootnoteReference"/>
          <w:rFonts w:ascii="Times New Roman" w:hAnsi="Times New Roman" w:cs="Times New Roman"/>
          <w:sz w:val="20"/>
          <w:szCs w:val="20"/>
        </w:rPr>
        <w:footnoteRef/>
      </w:r>
      <w:r w:rsidRPr="002F26C6">
        <w:rPr>
          <w:rFonts w:ascii="Times New Roman" w:hAnsi="Times New Roman" w:cs="Times New Roman"/>
          <w:sz w:val="20"/>
          <w:szCs w:val="20"/>
        </w:rPr>
        <w:t xml:space="preserve"> The Jersey Law Commission observes: “[W]e believe that the principle of accountability is so central to any reputable trust jurisdiction”: The Jersey Law Commission, </w:t>
      </w:r>
      <w:r w:rsidRPr="002F26C6">
        <w:rPr>
          <w:rFonts w:ascii="Times New Roman" w:hAnsi="Times New Roman" w:cs="Times New Roman"/>
          <w:i/>
          <w:sz w:val="20"/>
          <w:szCs w:val="20"/>
        </w:rPr>
        <w:t>The Rights of Beneficiaries to Information Regarding a Trust</w:t>
      </w:r>
      <w:r w:rsidRPr="002F26C6">
        <w:rPr>
          <w:rFonts w:ascii="Times New Roman" w:hAnsi="Times New Roman" w:cs="Times New Roman"/>
          <w:sz w:val="20"/>
          <w:szCs w:val="20"/>
        </w:rPr>
        <w:t xml:space="preserve"> (Consultation Paper No.1 February 1998), para. 6.3.</w:t>
      </w:r>
    </w:p>
  </w:footnote>
  <w:footnote w:id="83">
    <w:p w:rsidR="002C5DA6" w:rsidRPr="002F26C6" w:rsidRDefault="002C5DA6" w:rsidP="00D551EB">
      <w:pPr>
        <w:spacing w:after="0"/>
        <w:jc w:val="both"/>
        <w:rPr>
          <w:rFonts w:ascii="Times New Roman" w:hAnsi="Times New Roman" w:cs="Times New Roman"/>
          <w:sz w:val="20"/>
          <w:szCs w:val="20"/>
        </w:rPr>
      </w:pPr>
      <w:r w:rsidRPr="002F26C6">
        <w:rPr>
          <w:rStyle w:val="FootnoteReference"/>
          <w:rFonts w:ascii="Times New Roman" w:hAnsi="Times New Roman" w:cs="Times New Roman"/>
          <w:sz w:val="20"/>
          <w:szCs w:val="20"/>
        </w:rPr>
        <w:footnoteRef/>
      </w:r>
      <w:r w:rsidRPr="002F26C6">
        <w:rPr>
          <w:rFonts w:ascii="Times New Roman" w:hAnsi="Times New Roman" w:cs="Times New Roman"/>
          <w:sz w:val="20"/>
          <w:szCs w:val="20"/>
        </w:rPr>
        <w:t xml:space="preserve"> Although the Court of Chancery extended the beneficiaries’ rights to be capable of enforcement against third parties: </w:t>
      </w:r>
      <w:proofErr w:type="spellStart"/>
      <w:r w:rsidRPr="002F26C6">
        <w:rPr>
          <w:rFonts w:ascii="Times New Roman" w:hAnsi="Times New Roman" w:cs="Times New Roman"/>
          <w:sz w:val="20"/>
          <w:szCs w:val="20"/>
        </w:rPr>
        <w:t>F.Maitland</w:t>
      </w:r>
      <w:proofErr w:type="spellEnd"/>
      <w:r w:rsidRPr="002F26C6">
        <w:rPr>
          <w:rFonts w:ascii="Times New Roman" w:hAnsi="Times New Roman" w:cs="Times New Roman"/>
          <w:sz w:val="20"/>
          <w:szCs w:val="20"/>
        </w:rPr>
        <w:t xml:space="preserve">, </w:t>
      </w:r>
      <w:r w:rsidRPr="002F26C6">
        <w:rPr>
          <w:rFonts w:ascii="Times New Roman" w:hAnsi="Times New Roman" w:cs="Times New Roman"/>
          <w:i/>
          <w:sz w:val="20"/>
          <w:szCs w:val="20"/>
        </w:rPr>
        <w:t>State, Trust and Corporation</w:t>
      </w:r>
      <w:r w:rsidRPr="002F26C6">
        <w:rPr>
          <w:rFonts w:ascii="Times New Roman" w:hAnsi="Times New Roman" w:cs="Times New Roman"/>
          <w:sz w:val="20"/>
          <w:szCs w:val="20"/>
        </w:rPr>
        <w:t xml:space="preserve"> (2003, ed. </w:t>
      </w:r>
      <w:proofErr w:type="spellStart"/>
      <w:r w:rsidRPr="002F26C6">
        <w:rPr>
          <w:rFonts w:ascii="Times New Roman" w:hAnsi="Times New Roman" w:cs="Times New Roman"/>
          <w:sz w:val="20"/>
          <w:szCs w:val="20"/>
        </w:rPr>
        <w:t>D.Runciman</w:t>
      </w:r>
      <w:proofErr w:type="spellEnd"/>
      <w:r w:rsidRPr="002F26C6">
        <w:rPr>
          <w:rFonts w:ascii="Times New Roman" w:hAnsi="Times New Roman" w:cs="Times New Roman"/>
          <w:sz w:val="20"/>
          <w:szCs w:val="20"/>
        </w:rPr>
        <w:t xml:space="preserve"> and </w:t>
      </w:r>
      <w:proofErr w:type="spellStart"/>
      <w:r w:rsidRPr="002F26C6">
        <w:rPr>
          <w:rFonts w:ascii="Times New Roman" w:hAnsi="Times New Roman" w:cs="Times New Roman"/>
          <w:sz w:val="20"/>
          <w:szCs w:val="20"/>
        </w:rPr>
        <w:t>M.Ryan</w:t>
      </w:r>
      <w:proofErr w:type="spellEnd"/>
      <w:r w:rsidRPr="002F26C6">
        <w:rPr>
          <w:rFonts w:ascii="Times New Roman" w:hAnsi="Times New Roman" w:cs="Times New Roman"/>
          <w:sz w:val="20"/>
          <w:szCs w:val="20"/>
        </w:rPr>
        <w:t xml:space="preserve">), p.94; also </w:t>
      </w:r>
      <w:proofErr w:type="spellStart"/>
      <w:r w:rsidRPr="002F26C6">
        <w:rPr>
          <w:rFonts w:ascii="Times New Roman" w:hAnsi="Times New Roman" w:cs="Times New Roman"/>
          <w:sz w:val="20"/>
          <w:szCs w:val="20"/>
        </w:rPr>
        <w:t>F.Maitland</w:t>
      </w:r>
      <w:proofErr w:type="spellEnd"/>
      <w:r w:rsidRPr="002F26C6">
        <w:rPr>
          <w:rFonts w:ascii="Times New Roman" w:hAnsi="Times New Roman" w:cs="Times New Roman"/>
          <w:sz w:val="20"/>
          <w:szCs w:val="20"/>
        </w:rPr>
        <w:t xml:space="preserve">, </w:t>
      </w:r>
      <w:r w:rsidRPr="002F26C6">
        <w:rPr>
          <w:rFonts w:ascii="Times New Roman" w:hAnsi="Times New Roman" w:cs="Times New Roman"/>
          <w:i/>
          <w:sz w:val="20"/>
          <w:szCs w:val="20"/>
        </w:rPr>
        <w:t xml:space="preserve">Lectures on Equity </w:t>
      </w:r>
      <w:r w:rsidRPr="002F26C6">
        <w:rPr>
          <w:rFonts w:ascii="Times New Roman" w:hAnsi="Times New Roman" w:cs="Times New Roman"/>
          <w:sz w:val="20"/>
          <w:szCs w:val="20"/>
        </w:rPr>
        <w:t xml:space="preserve">(1936, Revised by </w:t>
      </w:r>
      <w:proofErr w:type="spellStart"/>
      <w:r w:rsidRPr="002F26C6">
        <w:rPr>
          <w:rFonts w:ascii="Times New Roman" w:hAnsi="Times New Roman" w:cs="Times New Roman"/>
          <w:sz w:val="20"/>
          <w:szCs w:val="20"/>
        </w:rPr>
        <w:t>J.Brunyate</w:t>
      </w:r>
      <w:proofErr w:type="spellEnd"/>
      <w:r w:rsidRPr="002F26C6">
        <w:rPr>
          <w:rFonts w:ascii="Times New Roman" w:hAnsi="Times New Roman" w:cs="Times New Roman"/>
          <w:sz w:val="20"/>
          <w:szCs w:val="20"/>
        </w:rPr>
        <w:t>), p.23.</w:t>
      </w:r>
    </w:p>
  </w:footnote>
  <w:footnote w:id="84">
    <w:p w:rsidR="002C5DA6" w:rsidRPr="002F26C6" w:rsidRDefault="002C5DA6" w:rsidP="007D5A03">
      <w:pPr>
        <w:pStyle w:val="FootnoteText"/>
        <w:jc w:val="both"/>
        <w:rPr>
          <w:rFonts w:ascii="Times New Roman" w:hAnsi="Times New Roman" w:cs="Times New Roman"/>
        </w:rPr>
      </w:pPr>
      <w:r w:rsidRPr="002F26C6">
        <w:rPr>
          <w:rStyle w:val="FootnoteReference"/>
          <w:rFonts w:ascii="Times New Roman" w:hAnsi="Times New Roman" w:cs="Times New Roman"/>
        </w:rPr>
        <w:footnoteRef/>
      </w:r>
      <w:r w:rsidRPr="002F26C6">
        <w:rPr>
          <w:rFonts w:ascii="Times New Roman" w:hAnsi="Times New Roman" w:cs="Times New Roman"/>
        </w:rPr>
        <w:t xml:space="preserve"> </w:t>
      </w:r>
      <w:proofErr w:type="spellStart"/>
      <w:r w:rsidRPr="002F26C6">
        <w:rPr>
          <w:rFonts w:ascii="Times New Roman" w:hAnsi="Times New Roman" w:cs="Times New Roman"/>
        </w:rPr>
        <w:t>D.Hayton</w:t>
      </w:r>
      <w:proofErr w:type="spellEnd"/>
      <w:r w:rsidRPr="002F26C6">
        <w:rPr>
          <w:rFonts w:ascii="Times New Roman" w:hAnsi="Times New Roman" w:cs="Times New Roman"/>
        </w:rPr>
        <w:t xml:space="preserve">, “The Irreducible Core Content of Trusteeship” in </w:t>
      </w:r>
      <w:r w:rsidRPr="002F26C6">
        <w:rPr>
          <w:rFonts w:ascii="Times New Roman" w:hAnsi="Times New Roman" w:cs="Times New Roman"/>
          <w:i/>
        </w:rPr>
        <w:t xml:space="preserve">Trends in Contemporary Trust Law </w:t>
      </w:r>
      <w:r w:rsidRPr="002F26C6">
        <w:rPr>
          <w:rFonts w:ascii="Times New Roman" w:hAnsi="Times New Roman" w:cs="Times New Roman"/>
        </w:rPr>
        <w:t xml:space="preserve">(1996, </w:t>
      </w:r>
      <w:proofErr w:type="spellStart"/>
      <w:r w:rsidRPr="002F26C6">
        <w:rPr>
          <w:rFonts w:ascii="Times New Roman" w:hAnsi="Times New Roman" w:cs="Times New Roman"/>
        </w:rPr>
        <w:t>A.J.Oakley</w:t>
      </w:r>
      <w:proofErr w:type="spellEnd"/>
      <w:r w:rsidRPr="002F26C6">
        <w:rPr>
          <w:rFonts w:ascii="Times New Roman" w:hAnsi="Times New Roman" w:cs="Times New Roman"/>
        </w:rPr>
        <w:t xml:space="preserve"> ed., Clarendon Press, Oxford), p.47.</w:t>
      </w:r>
    </w:p>
  </w:footnote>
  <w:footnote w:id="85">
    <w:p w:rsidR="002C5DA6" w:rsidRPr="002F26C6" w:rsidRDefault="002C5DA6" w:rsidP="007D5A03">
      <w:pPr>
        <w:spacing w:after="0"/>
        <w:jc w:val="both"/>
        <w:rPr>
          <w:rFonts w:ascii="Times New Roman" w:hAnsi="Times New Roman" w:cs="Times New Roman"/>
          <w:sz w:val="20"/>
          <w:szCs w:val="20"/>
        </w:rPr>
      </w:pPr>
      <w:r w:rsidRPr="002F26C6">
        <w:rPr>
          <w:rStyle w:val="FootnoteReference"/>
          <w:rFonts w:ascii="Times New Roman" w:hAnsi="Times New Roman" w:cs="Times New Roman"/>
          <w:sz w:val="20"/>
          <w:szCs w:val="20"/>
        </w:rPr>
        <w:footnoteRef/>
      </w:r>
      <w:r w:rsidRPr="002F26C6">
        <w:rPr>
          <w:rFonts w:ascii="Times New Roman" w:hAnsi="Times New Roman" w:cs="Times New Roman"/>
          <w:sz w:val="20"/>
          <w:szCs w:val="20"/>
        </w:rPr>
        <w:t xml:space="preserve"> [1997] 3 WLR 1046.</w:t>
      </w:r>
    </w:p>
  </w:footnote>
  <w:footnote w:id="86">
    <w:p w:rsidR="002C5DA6" w:rsidRPr="002F26C6" w:rsidRDefault="002C5DA6" w:rsidP="007D5A03">
      <w:pPr>
        <w:spacing w:after="0"/>
        <w:jc w:val="both"/>
        <w:rPr>
          <w:rFonts w:ascii="Times New Roman" w:hAnsi="Times New Roman" w:cs="Times New Roman"/>
          <w:sz w:val="20"/>
          <w:szCs w:val="20"/>
        </w:rPr>
      </w:pPr>
      <w:r w:rsidRPr="002F26C6">
        <w:rPr>
          <w:rStyle w:val="FootnoteReference"/>
          <w:rFonts w:ascii="Times New Roman" w:hAnsi="Times New Roman" w:cs="Times New Roman"/>
          <w:sz w:val="20"/>
          <w:szCs w:val="20"/>
        </w:rPr>
        <w:footnoteRef/>
      </w:r>
      <w:r w:rsidRPr="002F26C6">
        <w:rPr>
          <w:rFonts w:ascii="Times New Roman" w:hAnsi="Times New Roman" w:cs="Times New Roman"/>
          <w:sz w:val="20"/>
          <w:szCs w:val="20"/>
        </w:rPr>
        <w:t xml:space="preserve"> Pp. 253-4.</w:t>
      </w:r>
    </w:p>
  </w:footnote>
  <w:footnote w:id="87">
    <w:p w:rsidR="002C5DA6" w:rsidRPr="00497F4C" w:rsidRDefault="002C5DA6" w:rsidP="00497F4C">
      <w:pPr>
        <w:spacing w:after="0"/>
        <w:jc w:val="both"/>
        <w:rPr>
          <w:rFonts w:ascii="Times New Roman" w:hAnsi="Times New Roman" w:cs="Times New Roman"/>
          <w:sz w:val="20"/>
          <w:szCs w:val="20"/>
        </w:rPr>
      </w:pPr>
      <w:r w:rsidRPr="00497F4C">
        <w:rPr>
          <w:rStyle w:val="FootnoteReference"/>
          <w:rFonts w:ascii="Times New Roman" w:hAnsi="Times New Roman" w:cs="Times New Roman"/>
          <w:sz w:val="20"/>
          <w:szCs w:val="20"/>
        </w:rPr>
        <w:footnoteRef/>
      </w:r>
      <w:r w:rsidRPr="00497F4C">
        <w:rPr>
          <w:rFonts w:ascii="Times New Roman" w:hAnsi="Times New Roman" w:cs="Times New Roman"/>
          <w:sz w:val="20"/>
          <w:szCs w:val="20"/>
        </w:rPr>
        <w:t xml:space="preserve"> “There must be somebody, in whose favour the Court can decree performance”: </w:t>
      </w:r>
      <w:proofErr w:type="spellStart"/>
      <w:r w:rsidRPr="00497F4C">
        <w:rPr>
          <w:rFonts w:ascii="Times New Roman" w:hAnsi="Times New Roman" w:cs="Times New Roman"/>
          <w:i/>
          <w:sz w:val="20"/>
          <w:szCs w:val="20"/>
        </w:rPr>
        <w:t>Morice</w:t>
      </w:r>
      <w:proofErr w:type="spellEnd"/>
      <w:r w:rsidRPr="00497F4C">
        <w:rPr>
          <w:rFonts w:ascii="Times New Roman" w:hAnsi="Times New Roman" w:cs="Times New Roman"/>
          <w:i/>
          <w:sz w:val="20"/>
          <w:szCs w:val="20"/>
        </w:rPr>
        <w:t xml:space="preserve"> v Bishop of Durham</w:t>
      </w:r>
      <w:r w:rsidRPr="00497F4C">
        <w:rPr>
          <w:rFonts w:ascii="Times New Roman" w:hAnsi="Times New Roman" w:cs="Times New Roman"/>
          <w:sz w:val="20"/>
          <w:szCs w:val="20"/>
        </w:rPr>
        <w:t xml:space="preserve"> (1804) 9 </w:t>
      </w:r>
      <w:proofErr w:type="spellStart"/>
      <w:r w:rsidRPr="00497F4C">
        <w:rPr>
          <w:rFonts w:ascii="Times New Roman" w:hAnsi="Times New Roman" w:cs="Times New Roman"/>
          <w:sz w:val="20"/>
          <w:szCs w:val="20"/>
        </w:rPr>
        <w:t>Ves</w:t>
      </w:r>
      <w:proofErr w:type="spellEnd"/>
      <w:r w:rsidRPr="00497F4C">
        <w:rPr>
          <w:rFonts w:ascii="Times New Roman" w:hAnsi="Times New Roman" w:cs="Times New Roman"/>
          <w:sz w:val="20"/>
          <w:szCs w:val="20"/>
        </w:rPr>
        <w:t>. 399, p.404, per Sir William Grant MR</w:t>
      </w:r>
      <w:r w:rsidRPr="00497F4C">
        <w:rPr>
          <w:rFonts w:ascii="Times New Roman" w:hAnsi="Times New Roman" w:cs="Times New Roman"/>
          <w:i/>
          <w:sz w:val="20"/>
          <w:szCs w:val="20"/>
        </w:rPr>
        <w:t>,</w:t>
      </w:r>
      <w:r w:rsidRPr="00497F4C">
        <w:rPr>
          <w:rFonts w:ascii="Times New Roman" w:hAnsi="Times New Roman" w:cs="Times New Roman"/>
          <w:sz w:val="20"/>
          <w:szCs w:val="20"/>
        </w:rPr>
        <w:t xml:space="preserve"> affirmed by Lord Eldon (1805) 10 </w:t>
      </w:r>
      <w:proofErr w:type="spellStart"/>
      <w:r w:rsidRPr="00497F4C">
        <w:rPr>
          <w:rFonts w:ascii="Times New Roman" w:hAnsi="Times New Roman" w:cs="Times New Roman"/>
          <w:sz w:val="20"/>
          <w:szCs w:val="20"/>
        </w:rPr>
        <w:t>Ves</w:t>
      </w:r>
      <w:proofErr w:type="spellEnd"/>
      <w:r w:rsidRPr="00497F4C">
        <w:rPr>
          <w:rFonts w:ascii="Times New Roman" w:hAnsi="Times New Roman" w:cs="Times New Roman"/>
          <w:sz w:val="20"/>
          <w:szCs w:val="20"/>
        </w:rPr>
        <w:t xml:space="preserve">. Jr. 522, e.g. p.539. </w:t>
      </w:r>
      <w:proofErr w:type="spellStart"/>
      <w:r w:rsidRPr="00497F4C">
        <w:rPr>
          <w:rFonts w:ascii="Times New Roman" w:hAnsi="Times New Roman" w:cs="Times New Roman"/>
          <w:sz w:val="20"/>
          <w:szCs w:val="20"/>
        </w:rPr>
        <w:t>D.Hayton</w:t>
      </w:r>
      <w:proofErr w:type="spellEnd"/>
      <w:r w:rsidRPr="00497F4C">
        <w:rPr>
          <w:rFonts w:ascii="Times New Roman" w:hAnsi="Times New Roman" w:cs="Times New Roman"/>
          <w:sz w:val="20"/>
          <w:szCs w:val="20"/>
        </w:rPr>
        <w:t xml:space="preserve">, “Developing the obligation characteristic of the trust” (2001) 117 </w:t>
      </w:r>
      <w:r w:rsidRPr="00497F4C">
        <w:rPr>
          <w:rFonts w:ascii="Times New Roman" w:hAnsi="Times New Roman" w:cs="Times New Roman"/>
          <w:i/>
          <w:sz w:val="20"/>
          <w:szCs w:val="20"/>
        </w:rPr>
        <w:t xml:space="preserve">Law Quarterly Review </w:t>
      </w:r>
      <w:r w:rsidRPr="00497F4C">
        <w:rPr>
          <w:rFonts w:ascii="Times New Roman" w:hAnsi="Times New Roman" w:cs="Times New Roman"/>
          <w:sz w:val="20"/>
          <w:szCs w:val="20"/>
        </w:rPr>
        <w:t xml:space="preserve">96. For this understanding of the concept of the trust in relation to certainty of </w:t>
      </w:r>
      <w:r w:rsidRPr="00497F4C">
        <w:rPr>
          <w:rFonts w:ascii="Times New Roman" w:hAnsi="Times New Roman" w:cs="Times New Roman"/>
          <w:i/>
          <w:sz w:val="20"/>
          <w:szCs w:val="20"/>
        </w:rPr>
        <w:t xml:space="preserve">intention </w:t>
      </w:r>
      <w:r w:rsidRPr="00497F4C">
        <w:rPr>
          <w:rFonts w:ascii="Times New Roman" w:hAnsi="Times New Roman" w:cs="Times New Roman"/>
          <w:sz w:val="20"/>
          <w:szCs w:val="20"/>
        </w:rPr>
        <w:t xml:space="preserve">see </w:t>
      </w:r>
      <w:r w:rsidRPr="00497F4C">
        <w:rPr>
          <w:rFonts w:ascii="Times New Roman" w:hAnsi="Times New Roman" w:cs="Times New Roman"/>
          <w:i/>
          <w:sz w:val="20"/>
          <w:szCs w:val="20"/>
        </w:rPr>
        <w:t xml:space="preserve">Re Adams and the Kensington Vestry </w:t>
      </w:r>
      <w:r w:rsidRPr="00497F4C">
        <w:rPr>
          <w:rFonts w:ascii="Times New Roman" w:hAnsi="Times New Roman" w:cs="Times New Roman"/>
          <w:sz w:val="20"/>
          <w:szCs w:val="20"/>
        </w:rPr>
        <w:t xml:space="preserve">(1884) 27 Ch. D 394. The trust in </w:t>
      </w:r>
      <w:proofErr w:type="spellStart"/>
      <w:r w:rsidRPr="00497F4C">
        <w:rPr>
          <w:rFonts w:ascii="Times New Roman" w:hAnsi="Times New Roman" w:cs="Times New Roman"/>
          <w:i/>
          <w:sz w:val="20"/>
          <w:szCs w:val="20"/>
        </w:rPr>
        <w:t>Morice</w:t>
      </w:r>
      <w:proofErr w:type="spellEnd"/>
      <w:r w:rsidRPr="00497F4C">
        <w:rPr>
          <w:rFonts w:ascii="Times New Roman" w:hAnsi="Times New Roman" w:cs="Times New Roman"/>
          <w:i/>
          <w:sz w:val="20"/>
          <w:szCs w:val="20"/>
        </w:rPr>
        <w:t xml:space="preserve"> </w:t>
      </w:r>
      <w:r w:rsidRPr="00497F4C">
        <w:rPr>
          <w:rFonts w:ascii="Times New Roman" w:hAnsi="Times New Roman" w:cs="Times New Roman"/>
          <w:sz w:val="20"/>
          <w:szCs w:val="20"/>
        </w:rPr>
        <w:t xml:space="preserve">was invalid because of uncertainty of its objects (a lack of definition) and not for unenforceability per se: </w:t>
      </w:r>
      <w:proofErr w:type="spellStart"/>
      <w:r w:rsidRPr="00497F4C">
        <w:rPr>
          <w:rFonts w:ascii="Times New Roman" w:hAnsi="Times New Roman" w:cs="Times New Roman"/>
          <w:sz w:val="20"/>
          <w:szCs w:val="20"/>
        </w:rPr>
        <w:t>L.H.Leigh</w:t>
      </w:r>
      <w:proofErr w:type="spellEnd"/>
      <w:r w:rsidRPr="00497F4C">
        <w:rPr>
          <w:rFonts w:ascii="Times New Roman" w:hAnsi="Times New Roman" w:cs="Times New Roman"/>
          <w:sz w:val="20"/>
          <w:szCs w:val="20"/>
        </w:rPr>
        <w:t>, “Trusts of Imperfect Obligation” (1955) MLR 120, p.123.</w:t>
      </w:r>
    </w:p>
  </w:footnote>
  <w:footnote w:id="88">
    <w:p w:rsidR="002C5DA6" w:rsidRPr="00497F4C" w:rsidRDefault="002C5DA6" w:rsidP="007D5A03">
      <w:pPr>
        <w:pStyle w:val="FootnoteText"/>
        <w:jc w:val="both"/>
        <w:rPr>
          <w:rFonts w:ascii="Times New Roman" w:hAnsi="Times New Roman" w:cs="Times New Roman"/>
        </w:rPr>
      </w:pPr>
      <w:r w:rsidRPr="00497F4C">
        <w:rPr>
          <w:rStyle w:val="FootnoteReference"/>
          <w:rFonts w:ascii="Times New Roman" w:hAnsi="Times New Roman" w:cs="Times New Roman"/>
        </w:rPr>
        <w:footnoteRef/>
      </w:r>
      <w:r w:rsidRPr="00497F4C">
        <w:rPr>
          <w:rFonts w:ascii="Times New Roman" w:hAnsi="Times New Roman" w:cs="Times New Roman"/>
        </w:rPr>
        <w:t xml:space="preserve"> </w:t>
      </w:r>
      <w:proofErr w:type="spellStart"/>
      <w:r w:rsidRPr="00497F4C">
        <w:rPr>
          <w:rFonts w:ascii="Times New Roman" w:hAnsi="Times New Roman" w:cs="Times New Roman"/>
        </w:rPr>
        <w:t>R.J.Pothier</w:t>
      </w:r>
      <w:proofErr w:type="spellEnd"/>
      <w:r w:rsidRPr="00497F4C">
        <w:rPr>
          <w:rFonts w:ascii="Times New Roman" w:hAnsi="Times New Roman" w:cs="Times New Roman"/>
        </w:rPr>
        <w:t xml:space="preserve">, </w:t>
      </w:r>
      <w:r w:rsidRPr="00497F4C">
        <w:rPr>
          <w:rFonts w:ascii="Times New Roman" w:hAnsi="Times New Roman" w:cs="Times New Roman"/>
          <w:i/>
        </w:rPr>
        <w:t>A Treatise on Obligations considered in a Moral and Legal View</w:t>
      </w:r>
      <w:r w:rsidRPr="00497F4C">
        <w:rPr>
          <w:rFonts w:ascii="Times New Roman" w:hAnsi="Times New Roman" w:cs="Times New Roman"/>
        </w:rPr>
        <w:t xml:space="preserve">, (translated by Francois-Xavier Martin), The </w:t>
      </w:r>
      <w:proofErr w:type="spellStart"/>
      <w:r w:rsidRPr="00497F4C">
        <w:rPr>
          <w:rFonts w:ascii="Times New Roman" w:hAnsi="Times New Roman" w:cs="Times New Roman"/>
        </w:rPr>
        <w:t>Lawbook</w:t>
      </w:r>
      <w:proofErr w:type="spellEnd"/>
      <w:r w:rsidRPr="00497F4C">
        <w:rPr>
          <w:rFonts w:ascii="Times New Roman" w:hAnsi="Times New Roman" w:cs="Times New Roman"/>
        </w:rPr>
        <w:t xml:space="preserve"> Exchange Ltd, New Jersey, 1999), Preliminary Article, para.1.</w:t>
      </w:r>
    </w:p>
  </w:footnote>
  <w:footnote w:id="89">
    <w:p w:rsidR="002C5DA6" w:rsidRPr="00497F4C" w:rsidRDefault="002C5DA6" w:rsidP="007D5A03">
      <w:pPr>
        <w:spacing w:after="0"/>
        <w:jc w:val="both"/>
        <w:rPr>
          <w:rFonts w:ascii="Times New Roman" w:hAnsi="Times New Roman" w:cs="Times New Roman"/>
          <w:sz w:val="20"/>
          <w:szCs w:val="20"/>
        </w:rPr>
      </w:pPr>
      <w:r w:rsidRPr="00497F4C">
        <w:rPr>
          <w:rStyle w:val="FootnoteReference"/>
          <w:rFonts w:ascii="Times New Roman" w:hAnsi="Times New Roman" w:cs="Times New Roman"/>
          <w:sz w:val="20"/>
          <w:szCs w:val="20"/>
        </w:rPr>
        <w:footnoteRef/>
      </w:r>
      <w:r w:rsidRPr="00497F4C">
        <w:rPr>
          <w:rFonts w:ascii="Times New Roman" w:hAnsi="Times New Roman" w:cs="Times New Roman"/>
          <w:sz w:val="20"/>
          <w:szCs w:val="20"/>
        </w:rPr>
        <w:t xml:space="preserve"> Wesley Newcomb </w:t>
      </w:r>
      <w:proofErr w:type="spellStart"/>
      <w:r w:rsidRPr="00497F4C">
        <w:rPr>
          <w:rFonts w:ascii="Times New Roman" w:hAnsi="Times New Roman" w:cs="Times New Roman"/>
          <w:sz w:val="20"/>
          <w:szCs w:val="20"/>
        </w:rPr>
        <w:t>Hohfeld</w:t>
      </w:r>
      <w:proofErr w:type="spellEnd"/>
      <w:r w:rsidRPr="00497F4C">
        <w:rPr>
          <w:rFonts w:ascii="Times New Roman" w:hAnsi="Times New Roman" w:cs="Times New Roman"/>
          <w:sz w:val="20"/>
          <w:szCs w:val="20"/>
        </w:rPr>
        <w:t xml:space="preserve">, “Some Fundamental Legal Conceptions as Applied in Judicial Reasoning” (1913) 23(1) </w:t>
      </w:r>
      <w:r w:rsidRPr="00497F4C">
        <w:rPr>
          <w:rFonts w:ascii="Times New Roman" w:hAnsi="Times New Roman" w:cs="Times New Roman"/>
          <w:i/>
          <w:sz w:val="20"/>
          <w:szCs w:val="20"/>
        </w:rPr>
        <w:t xml:space="preserve">Yale Law Journal </w:t>
      </w:r>
      <w:r w:rsidRPr="00497F4C">
        <w:rPr>
          <w:rFonts w:ascii="Times New Roman" w:hAnsi="Times New Roman" w:cs="Times New Roman"/>
          <w:sz w:val="20"/>
          <w:szCs w:val="20"/>
        </w:rPr>
        <w:t xml:space="preserve">16-59. </w:t>
      </w:r>
      <w:proofErr w:type="spellStart"/>
      <w:r w:rsidRPr="00497F4C">
        <w:rPr>
          <w:rFonts w:ascii="Times New Roman" w:hAnsi="Times New Roman" w:cs="Times New Roman"/>
          <w:sz w:val="20"/>
          <w:szCs w:val="20"/>
        </w:rPr>
        <w:t>D.Clarry</w:t>
      </w:r>
      <w:proofErr w:type="spellEnd"/>
      <w:r w:rsidRPr="00497F4C">
        <w:rPr>
          <w:rFonts w:ascii="Times New Roman" w:hAnsi="Times New Roman" w:cs="Times New Roman"/>
          <w:sz w:val="20"/>
          <w:szCs w:val="20"/>
        </w:rPr>
        <w:t xml:space="preserve"> also refer</w:t>
      </w:r>
      <w:r w:rsidR="005D53E9">
        <w:rPr>
          <w:rFonts w:ascii="Times New Roman" w:hAnsi="Times New Roman" w:cs="Times New Roman"/>
          <w:sz w:val="20"/>
          <w:szCs w:val="20"/>
        </w:rPr>
        <w:t xml:space="preserve">s to this analysis: master’s thesis </w:t>
      </w:r>
      <w:proofErr w:type="spellStart"/>
      <w:r w:rsidR="005D53E9">
        <w:rPr>
          <w:rFonts w:ascii="Times New Roman" w:hAnsi="Times New Roman" w:cs="Times New Roman"/>
          <w:sz w:val="20"/>
          <w:szCs w:val="20"/>
        </w:rPr>
        <w:t>D.Clarry</w:t>
      </w:r>
      <w:proofErr w:type="spellEnd"/>
      <w:r w:rsidR="005D53E9">
        <w:rPr>
          <w:rFonts w:ascii="Times New Roman" w:hAnsi="Times New Roman" w:cs="Times New Roman"/>
          <w:sz w:val="20"/>
          <w:szCs w:val="20"/>
        </w:rPr>
        <w:t xml:space="preserve"> “The Irreducible Core of the Trust” (Institute of Comparative Law, Faculty of Law, McGill University, </w:t>
      </w:r>
      <w:proofErr w:type="gramStart"/>
      <w:r w:rsidR="005D53E9">
        <w:rPr>
          <w:rFonts w:ascii="Times New Roman" w:hAnsi="Times New Roman" w:cs="Times New Roman"/>
          <w:sz w:val="20"/>
          <w:szCs w:val="20"/>
        </w:rPr>
        <w:t>Montreal</w:t>
      </w:r>
      <w:proofErr w:type="gramEnd"/>
      <w:r w:rsidR="005D53E9">
        <w:rPr>
          <w:rFonts w:ascii="Times New Roman" w:hAnsi="Times New Roman" w:cs="Times New Roman"/>
          <w:sz w:val="20"/>
          <w:szCs w:val="20"/>
        </w:rPr>
        <w:t xml:space="preserve"> August 2011 (Open Access Theses and Dissertations: http://digitool.library.mcgill.ca/thesisfile106559.pdf.)</w:t>
      </w:r>
    </w:p>
  </w:footnote>
  <w:footnote w:id="90">
    <w:p w:rsidR="002C5DA6" w:rsidRPr="005C3027" w:rsidRDefault="002C5DA6" w:rsidP="007D5A03">
      <w:pPr>
        <w:spacing w:after="0"/>
        <w:jc w:val="both"/>
        <w:rPr>
          <w:rFonts w:ascii="Times New Roman" w:hAnsi="Times New Roman" w:cs="Times New Roman"/>
          <w:sz w:val="20"/>
          <w:szCs w:val="20"/>
        </w:rPr>
      </w:pPr>
      <w:r w:rsidRPr="005C3027">
        <w:rPr>
          <w:rStyle w:val="FootnoteReference"/>
          <w:rFonts w:ascii="Times New Roman" w:hAnsi="Times New Roman" w:cs="Times New Roman"/>
          <w:sz w:val="20"/>
          <w:szCs w:val="20"/>
        </w:rPr>
        <w:footnoteRef/>
      </w:r>
      <w:r w:rsidRPr="005C3027">
        <w:rPr>
          <w:rFonts w:ascii="Times New Roman" w:hAnsi="Times New Roman" w:cs="Times New Roman"/>
          <w:sz w:val="20"/>
          <w:szCs w:val="20"/>
        </w:rPr>
        <w:t xml:space="preserve"> [1952] </w:t>
      </w:r>
      <w:proofErr w:type="spellStart"/>
      <w:r w:rsidRPr="005C3027">
        <w:rPr>
          <w:rFonts w:ascii="Times New Roman" w:hAnsi="Times New Roman" w:cs="Times New Roman"/>
          <w:sz w:val="20"/>
          <w:szCs w:val="20"/>
        </w:rPr>
        <w:t>Ch</w:t>
      </w:r>
      <w:proofErr w:type="spellEnd"/>
      <w:r w:rsidRPr="005C3027">
        <w:rPr>
          <w:rFonts w:ascii="Times New Roman" w:hAnsi="Times New Roman" w:cs="Times New Roman"/>
          <w:sz w:val="20"/>
          <w:szCs w:val="20"/>
        </w:rPr>
        <w:t xml:space="preserve"> 534, per Roxburgh J., applying </w:t>
      </w:r>
      <w:r w:rsidRPr="005C3027">
        <w:rPr>
          <w:rFonts w:ascii="Times New Roman" w:hAnsi="Times New Roman" w:cs="Times New Roman"/>
          <w:i/>
          <w:sz w:val="20"/>
          <w:szCs w:val="20"/>
        </w:rPr>
        <w:t xml:space="preserve">Bowman v Secular Society Ltd. </w:t>
      </w:r>
      <w:r w:rsidRPr="005C3027">
        <w:rPr>
          <w:rFonts w:ascii="Times New Roman" w:hAnsi="Times New Roman" w:cs="Times New Roman"/>
          <w:sz w:val="20"/>
          <w:szCs w:val="20"/>
        </w:rPr>
        <w:t xml:space="preserve">[1917] AC 406, Lord Parker. It has been suggested that Lord Parker’s observations were directed at uncertainty rather than unenforceability: Lord Parker “does not concern himself here at all with the problem raised by the absence of an available litigant”: </w:t>
      </w:r>
      <w:proofErr w:type="spellStart"/>
      <w:r w:rsidRPr="005C3027">
        <w:rPr>
          <w:rFonts w:ascii="Times New Roman" w:hAnsi="Times New Roman" w:cs="Times New Roman"/>
          <w:sz w:val="20"/>
          <w:szCs w:val="20"/>
        </w:rPr>
        <w:t>L.H.Leigh</w:t>
      </w:r>
      <w:proofErr w:type="spellEnd"/>
      <w:r w:rsidRPr="005C3027">
        <w:rPr>
          <w:rFonts w:ascii="Times New Roman" w:hAnsi="Times New Roman" w:cs="Times New Roman"/>
          <w:sz w:val="20"/>
          <w:szCs w:val="20"/>
        </w:rPr>
        <w:t xml:space="preserve">, “Trusts of Imperfect Obligation” (1955) MLR 120, p.123. Compare the interpretation of Roxburgh J in </w:t>
      </w:r>
      <w:r w:rsidRPr="005C3027">
        <w:rPr>
          <w:rFonts w:ascii="Times New Roman" w:hAnsi="Times New Roman" w:cs="Times New Roman"/>
          <w:i/>
          <w:sz w:val="20"/>
          <w:szCs w:val="20"/>
        </w:rPr>
        <w:t xml:space="preserve">Re Astor’s Settlement Trust </w:t>
      </w:r>
      <w:r w:rsidRPr="005C3027">
        <w:rPr>
          <w:rFonts w:ascii="Times New Roman" w:hAnsi="Times New Roman" w:cs="Times New Roman"/>
          <w:sz w:val="20"/>
          <w:szCs w:val="20"/>
        </w:rPr>
        <w:t>[1952] Ch. 534, in the quote identified here, which was challenged in this article.</w:t>
      </w:r>
    </w:p>
  </w:footnote>
  <w:footnote w:id="91">
    <w:p w:rsidR="002C5DA6" w:rsidRPr="00E513B7" w:rsidRDefault="002C5DA6" w:rsidP="007E520F">
      <w:pPr>
        <w:spacing w:after="0"/>
        <w:jc w:val="both"/>
        <w:rPr>
          <w:rFonts w:ascii="Times New Roman" w:hAnsi="Times New Roman" w:cs="Times New Roman"/>
          <w:sz w:val="20"/>
          <w:szCs w:val="20"/>
        </w:rPr>
      </w:pPr>
      <w:r w:rsidRPr="00E513B7">
        <w:rPr>
          <w:rStyle w:val="FootnoteReference"/>
          <w:rFonts w:ascii="Times New Roman" w:hAnsi="Times New Roman" w:cs="Times New Roman"/>
          <w:sz w:val="20"/>
          <w:szCs w:val="20"/>
        </w:rPr>
        <w:footnoteRef/>
      </w:r>
      <w:r w:rsidRPr="00E513B7">
        <w:rPr>
          <w:rFonts w:ascii="Times New Roman" w:hAnsi="Times New Roman" w:cs="Times New Roman"/>
          <w:sz w:val="20"/>
          <w:szCs w:val="20"/>
        </w:rPr>
        <w:t xml:space="preserve"> Prior to the recognition of certain cases as “exceptions” to the beneficiary principle in </w:t>
      </w:r>
      <w:r w:rsidRPr="00E513B7">
        <w:rPr>
          <w:rFonts w:ascii="Times New Roman" w:hAnsi="Times New Roman" w:cs="Times New Roman"/>
          <w:i/>
          <w:sz w:val="20"/>
          <w:szCs w:val="20"/>
        </w:rPr>
        <w:t xml:space="preserve">Re </w:t>
      </w:r>
      <w:proofErr w:type="spellStart"/>
      <w:r w:rsidRPr="00E513B7">
        <w:rPr>
          <w:rFonts w:ascii="Times New Roman" w:hAnsi="Times New Roman" w:cs="Times New Roman"/>
          <w:i/>
          <w:sz w:val="20"/>
          <w:szCs w:val="20"/>
        </w:rPr>
        <w:t>Endacott</w:t>
      </w:r>
      <w:proofErr w:type="spellEnd"/>
      <w:r w:rsidRPr="00E513B7">
        <w:rPr>
          <w:rFonts w:ascii="Times New Roman" w:hAnsi="Times New Roman" w:cs="Times New Roman"/>
          <w:i/>
          <w:sz w:val="20"/>
          <w:szCs w:val="20"/>
        </w:rPr>
        <w:t xml:space="preserve"> </w:t>
      </w:r>
      <w:r w:rsidRPr="00E513B7">
        <w:rPr>
          <w:rFonts w:ascii="Times New Roman" w:hAnsi="Times New Roman" w:cs="Times New Roman"/>
          <w:sz w:val="20"/>
          <w:szCs w:val="20"/>
        </w:rPr>
        <w:t xml:space="preserve">[1960] Ch. 232, e.g. trusts for the maintenance of graves, monuments, animals etc. (which Harman LJ considered in that case to be “troublesome, anomalous and aberrant”), there was a strong thread of academic opinion that argued that trusts could be valid even in the absence of a litigant to enforce them: See </w:t>
      </w:r>
      <w:proofErr w:type="spellStart"/>
      <w:r w:rsidRPr="00E513B7">
        <w:rPr>
          <w:rFonts w:ascii="Times New Roman" w:hAnsi="Times New Roman" w:cs="Times New Roman"/>
          <w:sz w:val="20"/>
          <w:szCs w:val="20"/>
        </w:rPr>
        <w:t>D.C.Potter</w:t>
      </w:r>
      <w:proofErr w:type="spellEnd"/>
      <w:r w:rsidRPr="00E513B7">
        <w:rPr>
          <w:rFonts w:ascii="Times New Roman" w:hAnsi="Times New Roman" w:cs="Times New Roman"/>
          <w:sz w:val="20"/>
          <w:szCs w:val="20"/>
        </w:rPr>
        <w:t>, 13 Conv. (NS) 418, Glanville Williams, 4 MLR 20, and Hart, 53 LQR 29. This was identifie</w:t>
      </w:r>
      <w:r>
        <w:rPr>
          <w:rFonts w:ascii="Times New Roman" w:hAnsi="Times New Roman" w:cs="Times New Roman"/>
          <w:sz w:val="20"/>
          <w:szCs w:val="20"/>
        </w:rPr>
        <w:t xml:space="preserve">d by </w:t>
      </w:r>
      <w:proofErr w:type="spellStart"/>
      <w:r>
        <w:rPr>
          <w:rFonts w:ascii="Times New Roman" w:hAnsi="Times New Roman" w:cs="Times New Roman"/>
          <w:sz w:val="20"/>
          <w:szCs w:val="20"/>
        </w:rPr>
        <w:t>L.H.Leigh</w:t>
      </w:r>
      <w:proofErr w:type="spellEnd"/>
      <w:r>
        <w:rPr>
          <w:rFonts w:ascii="Times New Roman" w:hAnsi="Times New Roman" w:cs="Times New Roman"/>
          <w:sz w:val="20"/>
          <w:szCs w:val="20"/>
        </w:rPr>
        <w:t>, above</w:t>
      </w:r>
      <w:r w:rsidRPr="00E513B7">
        <w:rPr>
          <w:rFonts w:ascii="Times New Roman" w:hAnsi="Times New Roman" w:cs="Times New Roman"/>
          <w:sz w:val="20"/>
          <w:szCs w:val="20"/>
        </w:rPr>
        <w:t>, p.127.</w:t>
      </w:r>
    </w:p>
  </w:footnote>
  <w:footnote w:id="92">
    <w:p w:rsidR="002C5DA6" w:rsidRPr="00080A5D" w:rsidRDefault="002C5DA6" w:rsidP="007E520F">
      <w:pPr>
        <w:pStyle w:val="FootnoteText"/>
        <w:jc w:val="both"/>
        <w:rPr>
          <w:rFonts w:ascii="Times New Roman" w:hAnsi="Times New Roman" w:cs="Times New Roman"/>
        </w:rPr>
      </w:pPr>
      <w:r w:rsidRPr="00080A5D">
        <w:rPr>
          <w:rStyle w:val="FootnoteReference"/>
          <w:rFonts w:ascii="Times New Roman" w:hAnsi="Times New Roman" w:cs="Times New Roman"/>
        </w:rPr>
        <w:footnoteRef/>
      </w:r>
      <w:r w:rsidRPr="00080A5D">
        <w:rPr>
          <w:rFonts w:ascii="Times New Roman" w:hAnsi="Times New Roman" w:cs="Times New Roman"/>
        </w:rPr>
        <w:t xml:space="preserve"> </w:t>
      </w:r>
      <w:r w:rsidRPr="00080A5D">
        <w:rPr>
          <w:rFonts w:ascii="Times New Roman" w:hAnsi="Times New Roman" w:cs="Times New Roman"/>
          <w:i/>
        </w:rPr>
        <w:t xml:space="preserve">Re Hooper </w:t>
      </w:r>
      <w:r w:rsidRPr="00080A5D">
        <w:rPr>
          <w:rFonts w:ascii="Times New Roman" w:hAnsi="Times New Roman" w:cs="Times New Roman"/>
        </w:rPr>
        <w:t>[1932] 1 Ch. 38.</w:t>
      </w:r>
    </w:p>
  </w:footnote>
  <w:footnote w:id="93">
    <w:p w:rsidR="002C5DA6" w:rsidRPr="00080A5D" w:rsidRDefault="002C5DA6" w:rsidP="005507EB">
      <w:pPr>
        <w:pStyle w:val="FootnoteText"/>
        <w:jc w:val="both"/>
        <w:rPr>
          <w:rFonts w:ascii="Times New Roman" w:hAnsi="Times New Roman" w:cs="Times New Roman"/>
        </w:rPr>
      </w:pPr>
      <w:r w:rsidRPr="00080A5D">
        <w:rPr>
          <w:rStyle w:val="FootnoteReference"/>
          <w:rFonts w:ascii="Times New Roman" w:hAnsi="Times New Roman" w:cs="Times New Roman"/>
        </w:rPr>
        <w:footnoteRef/>
      </w:r>
      <w:r w:rsidRPr="00080A5D">
        <w:rPr>
          <w:rFonts w:ascii="Times New Roman" w:hAnsi="Times New Roman" w:cs="Times New Roman"/>
        </w:rPr>
        <w:t xml:space="preserve"> </w:t>
      </w:r>
      <w:r w:rsidRPr="00080A5D">
        <w:rPr>
          <w:rFonts w:ascii="Times New Roman" w:hAnsi="Times New Roman" w:cs="Times New Roman"/>
          <w:i/>
        </w:rPr>
        <w:t xml:space="preserve">Re Dean </w:t>
      </w:r>
      <w:r w:rsidRPr="00080A5D">
        <w:rPr>
          <w:rFonts w:ascii="Times New Roman" w:hAnsi="Times New Roman" w:cs="Times New Roman"/>
        </w:rPr>
        <w:t xml:space="preserve">(1889) 41 </w:t>
      </w:r>
      <w:proofErr w:type="spellStart"/>
      <w:r w:rsidRPr="00080A5D">
        <w:rPr>
          <w:rFonts w:ascii="Times New Roman" w:hAnsi="Times New Roman" w:cs="Times New Roman"/>
        </w:rPr>
        <w:t>Ch.D</w:t>
      </w:r>
      <w:proofErr w:type="spellEnd"/>
      <w:r w:rsidRPr="00080A5D">
        <w:rPr>
          <w:rFonts w:ascii="Times New Roman" w:hAnsi="Times New Roman" w:cs="Times New Roman"/>
        </w:rPr>
        <w:t xml:space="preserve"> 552; </w:t>
      </w:r>
      <w:proofErr w:type="spellStart"/>
      <w:r w:rsidRPr="00080A5D">
        <w:rPr>
          <w:rFonts w:ascii="Times New Roman" w:hAnsi="Times New Roman" w:cs="Times New Roman"/>
          <w:i/>
        </w:rPr>
        <w:t>Pettingall</w:t>
      </w:r>
      <w:proofErr w:type="spellEnd"/>
      <w:r w:rsidRPr="00080A5D">
        <w:rPr>
          <w:rFonts w:ascii="Times New Roman" w:hAnsi="Times New Roman" w:cs="Times New Roman"/>
          <w:i/>
        </w:rPr>
        <w:t xml:space="preserve"> v </w:t>
      </w:r>
      <w:proofErr w:type="spellStart"/>
      <w:r w:rsidRPr="00080A5D">
        <w:rPr>
          <w:rFonts w:ascii="Times New Roman" w:hAnsi="Times New Roman" w:cs="Times New Roman"/>
          <w:i/>
        </w:rPr>
        <w:t>Pettingall</w:t>
      </w:r>
      <w:proofErr w:type="spellEnd"/>
      <w:r w:rsidRPr="00080A5D">
        <w:rPr>
          <w:rFonts w:ascii="Times New Roman" w:hAnsi="Times New Roman" w:cs="Times New Roman"/>
          <w:i/>
        </w:rPr>
        <w:t xml:space="preserve"> </w:t>
      </w:r>
      <w:r w:rsidRPr="00080A5D">
        <w:rPr>
          <w:rFonts w:ascii="Times New Roman" w:hAnsi="Times New Roman" w:cs="Times New Roman"/>
        </w:rPr>
        <w:t>(1842) 11 LJ Ch. 176.</w:t>
      </w:r>
    </w:p>
  </w:footnote>
  <w:footnote w:id="94">
    <w:p w:rsidR="002C5DA6" w:rsidRPr="00080A5D" w:rsidRDefault="002C5DA6" w:rsidP="00080A5D">
      <w:pPr>
        <w:spacing w:after="0"/>
        <w:jc w:val="both"/>
        <w:rPr>
          <w:rFonts w:ascii="Times New Roman" w:hAnsi="Times New Roman" w:cs="Times New Roman"/>
          <w:sz w:val="20"/>
          <w:szCs w:val="20"/>
        </w:rPr>
      </w:pPr>
      <w:r w:rsidRPr="00080A5D">
        <w:rPr>
          <w:rStyle w:val="FootnoteReference"/>
          <w:rFonts w:ascii="Times New Roman" w:hAnsi="Times New Roman" w:cs="Times New Roman"/>
          <w:sz w:val="20"/>
          <w:szCs w:val="20"/>
        </w:rPr>
        <w:footnoteRef/>
      </w:r>
      <w:r w:rsidRPr="00080A5D">
        <w:rPr>
          <w:rFonts w:ascii="Times New Roman" w:hAnsi="Times New Roman" w:cs="Times New Roman"/>
          <w:sz w:val="20"/>
          <w:szCs w:val="20"/>
        </w:rPr>
        <w:t xml:space="preserve"> </w:t>
      </w:r>
      <w:proofErr w:type="spellStart"/>
      <w:r w:rsidRPr="00080A5D">
        <w:rPr>
          <w:rFonts w:ascii="Times New Roman" w:hAnsi="Times New Roman" w:cs="Times New Roman"/>
          <w:sz w:val="20"/>
          <w:szCs w:val="20"/>
        </w:rPr>
        <w:t>P.Matthews</w:t>
      </w:r>
      <w:proofErr w:type="spellEnd"/>
      <w:r w:rsidRPr="00080A5D">
        <w:rPr>
          <w:rFonts w:ascii="Times New Roman" w:hAnsi="Times New Roman" w:cs="Times New Roman"/>
          <w:sz w:val="20"/>
          <w:szCs w:val="20"/>
        </w:rPr>
        <w:t xml:space="preserve">, “The New Trust: Obligations without Rights?” in </w:t>
      </w:r>
      <w:r w:rsidRPr="00080A5D">
        <w:rPr>
          <w:rFonts w:ascii="Times New Roman" w:hAnsi="Times New Roman" w:cs="Times New Roman"/>
          <w:i/>
          <w:sz w:val="20"/>
          <w:szCs w:val="20"/>
        </w:rPr>
        <w:t xml:space="preserve">Trends in Contemporary Trust Law </w:t>
      </w:r>
      <w:r w:rsidRPr="00080A5D">
        <w:rPr>
          <w:rFonts w:ascii="Times New Roman" w:hAnsi="Times New Roman" w:cs="Times New Roman"/>
          <w:sz w:val="20"/>
          <w:szCs w:val="20"/>
        </w:rPr>
        <w:t xml:space="preserve">(1996, </w:t>
      </w:r>
      <w:proofErr w:type="spellStart"/>
      <w:r w:rsidRPr="00080A5D">
        <w:rPr>
          <w:rFonts w:ascii="Times New Roman" w:hAnsi="Times New Roman" w:cs="Times New Roman"/>
          <w:sz w:val="20"/>
          <w:szCs w:val="20"/>
        </w:rPr>
        <w:t>A.J.Oakley</w:t>
      </w:r>
      <w:proofErr w:type="spellEnd"/>
      <w:r w:rsidRPr="00080A5D">
        <w:rPr>
          <w:rFonts w:ascii="Times New Roman" w:hAnsi="Times New Roman" w:cs="Times New Roman"/>
          <w:sz w:val="20"/>
          <w:szCs w:val="20"/>
        </w:rPr>
        <w:t xml:space="preserve"> ed., Clarendon Press, Oxford), p.5.</w:t>
      </w:r>
    </w:p>
  </w:footnote>
  <w:footnote w:id="95">
    <w:p w:rsidR="002C5DA6" w:rsidRPr="00E513B7" w:rsidRDefault="002C5DA6" w:rsidP="00442BB0">
      <w:pPr>
        <w:pStyle w:val="FootnoteText"/>
        <w:jc w:val="both"/>
        <w:rPr>
          <w:rFonts w:ascii="Times New Roman" w:hAnsi="Times New Roman" w:cs="Times New Roman"/>
        </w:rPr>
      </w:pPr>
      <w:r w:rsidRPr="00E513B7">
        <w:rPr>
          <w:rStyle w:val="FootnoteReference"/>
          <w:rFonts w:ascii="Times New Roman" w:hAnsi="Times New Roman" w:cs="Times New Roman"/>
        </w:rPr>
        <w:footnoteRef/>
      </w:r>
      <w:r w:rsidRPr="00E513B7">
        <w:rPr>
          <w:rFonts w:ascii="Times New Roman" w:hAnsi="Times New Roman" w:cs="Times New Roman"/>
        </w:rPr>
        <w:t xml:space="preserve"> [2003] UKPC 26.</w:t>
      </w:r>
    </w:p>
  </w:footnote>
  <w:footnote w:id="96">
    <w:p w:rsidR="002C5DA6" w:rsidRPr="00F726AE" w:rsidRDefault="002C5DA6" w:rsidP="00442BB0">
      <w:pPr>
        <w:pStyle w:val="FootnoteText"/>
        <w:jc w:val="both"/>
        <w:rPr>
          <w:rFonts w:ascii="Times New Roman" w:hAnsi="Times New Roman" w:cs="Times New Roman"/>
        </w:rPr>
      </w:pPr>
      <w:r w:rsidRPr="00F726AE">
        <w:rPr>
          <w:rStyle w:val="FootnoteReference"/>
          <w:rFonts w:ascii="Times New Roman" w:hAnsi="Times New Roman" w:cs="Times New Roman"/>
        </w:rPr>
        <w:footnoteRef/>
      </w:r>
      <w:r w:rsidRPr="00F726AE">
        <w:rPr>
          <w:rFonts w:ascii="Times New Roman" w:hAnsi="Times New Roman" w:cs="Times New Roman"/>
        </w:rPr>
        <w:t xml:space="preserve"> [1920] AC 581.</w:t>
      </w:r>
    </w:p>
  </w:footnote>
  <w:footnote w:id="97">
    <w:p w:rsidR="002C5DA6" w:rsidRPr="00F726AE" w:rsidRDefault="002C5DA6" w:rsidP="00442BB0">
      <w:pPr>
        <w:spacing w:after="0"/>
        <w:jc w:val="both"/>
        <w:rPr>
          <w:rFonts w:ascii="Times New Roman" w:hAnsi="Times New Roman" w:cs="Times New Roman"/>
          <w:sz w:val="20"/>
          <w:szCs w:val="20"/>
        </w:rPr>
      </w:pPr>
      <w:r w:rsidRPr="00F726AE">
        <w:rPr>
          <w:rStyle w:val="FootnoteReference"/>
          <w:rFonts w:ascii="Times New Roman" w:hAnsi="Times New Roman" w:cs="Times New Roman"/>
          <w:sz w:val="20"/>
          <w:szCs w:val="20"/>
        </w:rPr>
        <w:footnoteRef/>
      </w:r>
      <w:r w:rsidRPr="00F726AE">
        <w:rPr>
          <w:rFonts w:ascii="Times New Roman" w:hAnsi="Times New Roman" w:cs="Times New Roman"/>
          <w:sz w:val="20"/>
          <w:szCs w:val="20"/>
        </w:rPr>
        <w:t xml:space="preserve"> [1969] 1 Ch. 373.</w:t>
      </w:r>
    </w:p>
  </w:footnote>
  <w:footnote w:id="98">
    <w:p w:rsidR="002C5DA6" w:rsidRPr="00F11A58" w:rsidRDefault="002C5DA6" w:rsidP="00442BB0">
      <w:pPr>
        <w:spacing w:after="0"/>
        <w:jc w:val="both"/>
        <w:rPr>
          <w:rFonts w:ascii="Times New Roman" w:hAnsi="Times New Roman" w:cs="Times New Roman"/>
          <w:sz w:val="20"/>
          <w:szCs w:val="20"/>
        </w:rPr>
      </w:pPr>
      <w:r w:rsidRPr="00F11A58">
        <w:rPr>
          <w:rStyle w:val="FootnoteReference"/>
          <w:rFonts w:ascii="Times New Roman" w:hAnsi="Times New Roman" w:cs="Times New Roman"/>
          <w:sz w:val="20"/>
          <w:szCs w:val="20"/>
        </w:rPr>
        <w:footnoteRef/>
      </w:r>
      <w:r w:rsidRPr="00F11A58">
        <w:rPr>
          <w:rFonts w:ascii="Times New Roman" w:hAnsi="Times New Roman" w:cs="Times New Roman"/>
          <w:sz w:val="20"/>
          <w:szCs w:val="20"/>
        </w:rPr>
        <w:t xml:space="preserve"> </w:t>
      </w:r>
      <w:r w:rsidR="009E65AB">
        <w:rPr>
          <w:rFonts w:ascii="Times New Roman" w:hAnsi="Times New Roman" w:cs="Times New Roman"/>
          <w:sz w:val="20"/>
          <w:szCs w:val="20"/>
        </w:rPr>
        <w:t xml:space="preserve">Also </w:t>
      </w:r>
      <w:r w:rsidRPr="00F11A58">
        <w:rPr>
          <w:rFonts w:ascii="Times New Roman" w:hAnsi="Times New Roman" w:cs="Times New Roman"/>
          <w:i/>
          <w:sz w:val="20"/>
          <w:szCs w:val="20"/>
        </w:rPr>
        <w:t xml:space="preserve">Re Grant’s Will Trusts </w:t>
      </w:r>
      <w:r w:rsidRPr="00F11A58">
        <w:rPr>
          <w:rFonts w:ascii="Times New Roman" w:hAnsi="Times New Roman" w:cs="Times New Roman"/>
          <w:sz w:val="20"/>
          <w:szCs w:val="20"/>
        </w:rPr>
        <w:t>[1979] 3 All ER 359.</w:t>
      </w:r>
    </w:p>
  </w:footnote>
  <w:footnote w:id="99">
    <w:p w:rsidR="002C5DA6" w:rsidRPr="00DA61DD" w:rsidRDefault="002C5DA6" w:rsidP="00620ECC">
      <w:pPr>
        <w:spacing w:after="0"/>
        <w:jc w:val="both"/>
        <w:rPr>
          <w:rFonts w:ascii="Times New Roman" w:hAnsi="Times New Roman" w:cs="Times New Roman"/>
          <w:sz w:val="20"/>
          <w:szCs w:val="20"/>
        </w:rPr>
      </w:pPr>
      <w:r w:rsidRPr="00DA61DD">
        <w:rPr>
          <w:rStyle w:val="FootnoteReference"/>
          <w:rFonts w:ascii="Times New Roman" w:hAnsi="Times New Roman" w:cs="Times New Roman"/>
          <w:sz w:val="20"/>
          <w:szCs w:val="20"/>
        </w:rPr>
        <w:footnoteRef/>
      </w:r>
      <w:r w:rsidRPr="00DA61DD">
        <w:rPr>
          <w:rFonts w:ascii="Times New Roman" w:hAnsi="Times New Roman" w:cs="Times New Roman"/>
          <w:sz w:val="20"/>
          <w:szCs w:val="20"/>
        </w:rPr>
        <w:t xml:space="preserve"> Interestingly, in the recent case of </w:t>
      </w:r>
      <w:r w:rsidRPr="00DA61DD">
        <w:rPr>
          <w:rFonts w:ascii="Times New Roman" w:hAnsi="Times New Roman" w:cs="Times New Roman"/>
          <w:i/>
          <w:sz w:val="20"/>
          <w:szCs w:val="20"/>
        </w:rPr>
        <w:t>Harper v Apex Trust Company Ltd.</w:t>
      </w:r>
      <w:r w:rsidRPr="00DA61DD">
        <w:rPr>
          <w:rFonts w:ascii="Times New Roman" w:hAnsi="Times New Roman" w:cs="Times New Roman"/>
          <w:sz w:val="20"/>
          <w:szCs w:val="20"/>
        </w:rPr>
        <w:t xml:space="preserve"> [2014] JRC 253 which applied </w:t>
      </w:r>
      <w:r w:rsidRPr="00DA61DD">
        <w:rPr>
          <w:rFonts w:ascii="Times New Roman" w:hAnsi="Times New Roman" w:cs="Times New Roman"/>
          <w:i/>
          <w:sz w:val="20"/>
          <w:szCs w:val="20"/>
        </w:rPr>
        <w:t>The Exeter Settlement</w:t>
      </w:r>
      <w:r w:rsidRPr="00DA61DD">
        <w:rPr>
          <w:rFonts w:ascii="Times New Roman" w:hAnsi="Times New Roman" w:cs="Times New Roman"/>
          <w:sz w:val="20"/>
          <w:szCs w:val="20"/>
        </w:rPr>
        <w:t>, a Jersey non-charitable purpose trust was held void for uncertainty because its intended schedules were</w:t>
      </w:r>
      <w:r w:rsidR="00FA7BFA">
        <w:rPr>
          <w:rFonts w:ascii="Times New Roman" w:hAnsi="Times New Roman" w:cs="Times New Roman"/>
          <w:sz w:val="20"/>
          <w:szCs w:val="20"/>
        </w:rPr>
        <w:t xml:space="preserve"> mistakenly</w:t>
      </w:r>
      <w:r w:rsidRPr="00DA61DD">
        <w:rPr>
          <w:rFonts w:ascii="Times New Roman" w:hAnsi="Times New Roman" w:cs="Times New Roman"/>
          <w:sz w:val="20"/>
          <w:szCs w:val="20"/>
        </w:rPr>
        <w:t xml:space="preserve"> not executed as part of the trust deed. The schedules specified, inter alia, who the enforcer was and what the purposes were. The Royal Court was prepared to assume that with the power to appoint an enforcer at a later date – contained in the trust deed, the trust would still have been valid: Para.23. However, Article 12 of the Trusts (Jersey) Law 1984 specifically provides that a non-charitable purpose trust is valid if it provides “for the appointment of an enforcer”. The trust failed because the purposes were not identified: Para. 26.</w:t>
      </w:r>
    </w:p>
  </w:footnote>
  <w:footnote w:id="100">
    <w:p w:rsidR="002C5DA6" w:rsidRPr="00B73AD3" w:rsidRDefault="002C5DA6" w:rsidP="00490E2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On the basis of the Article 1 definition of “beneficiary”, persons mentioned in the settlor’s letter of wishes do not qualify: </w:t>
      </w:r>
      <w:r>
        <w:rPr>
          <w:rFonts w:ascii="Times New Roman" w:hAnsi="Times New Roman" w:cs="Times New Roman"/>
          <w:i/>
        </w:rPr>
        <w:t>West v Lazard Bros &amp; Co. (Jersey) Ltd.</w:t>
      </w:r>
      <w:r>
        <w:rPr>
          <w:rFonts w:ascii="Times New Roman" w:hAnsi="Times New Roman" w:cs="Times New Roman"/>
        </w:rPr>
        <w:t xml:space="preserve"> 1987-88 JLR N-22.</w:t>
      </w:r>
    </w:p>
  </w:footnote>
  <w:footnote w:id="101">
    <w:p w:rsidR="002C5DA6" w:rsidRPr="00F11A58" w:rsidRDefault="002C5DA6" w:rsidP="00F11A58">
      <w:pPr>
        <w:spacing w:after="0"/>
        <w:jc w:val="both"/>
        <w:rPr>
          <w:rFonts w:ascii="Times New Roman" w:hAnsi="Times New Roman" w:cs="Times New Roman"/>
          <w:sz w:val="20"/>
          <w:szCs w:val="20"/>
        </w:rPr>
      </w:pPr>
      <w:r w:rsidRPr="00F11A58">
        <w:rPr>
          <w:rStyle w:val="FootnoteReference"/>
          <w:rFonts w:ascii="Times New Roman" w:hAnsi="Times New Roman" w:cs="Times New Roman"/>
          <w:sz w:val="20"/>
          <w:szCs w:val="20"/>
        </w:rPr>
        <w:footnoteRef/>
      </w:r>
      <w:r w:rsidRPr="00F11A58">
        <w:rPr>
          <w:rFonts w:ascii="Times New Roman" w:hAnsi="Times New Roman" w:cs="Times New Roman"/>
          <w:sz w:val="20"/>
          <w:szCs w:val="20"/>
        </w:rPr>
        <w:t xml:space="preserve"> The enforcers under a power of appointment, or other powers such as removal, addition or exclusion, would be those interested in default of the power’s exercise, e.g. default beneficiaries who have an interest in the trust property: </w:t>
      </w:r>
      <w:proofErr w:type="spellStart"/>
      <w:r w:rsidRPr="00F11A58">
        <w:rPr>
          <w:rFonts w:ascii="Times New Roman" w:hAnsi="Times New Roman" w:cs="Times New Roman"/>
          <w:sz w:val="20"/>
          <w:szCs w:val="20"/>
        </w:rPr>
        <w:t>D.Hayton</w:t>
      </w:r>
      <w:proofErr w:type="spellEnd"/>
      <w:r w:rsidRPr="00F11A58">
        <w:rPr>
          <w:rFonts w:ascii="Times New Roman" w:hAnsi="Times New Roman" w:cs="Times New Roman"/>
          <w:sz w:val="20"/>
          <w:szCs w:val="20"/>
        </w:rPr>
        <w:t>, “Developing the obligation characteristic of the trust” (2001) 117 LQR</w:t>
      </w:r>
      <w:r w:rsidRPr="00F11A58">
        <w:rPr>
          <w:rFonts w:ascii="Times New Roman" w:hAnsi="Times New Roman" w:cs="Times New Roman"/>
          <w:i/>
          <w:sz w:val="20"/>
          <w:szCs w:val="20"/>
        </w:rPr>
        <w:t xml:space="preserve"> </w:t>
      </w:r>
      <w:r w:rsidRPr="00F11A58">
        <w:rPr>
          <w:rFonts w:ascii="Times New Roman" w:hAnsi="Times New Roman" w:cs="Times New Roman"/>
          <w:sz w:val="20"/>
          <w:szCs w:val="20"/>
        </w:rPr>
        <w:t xml:space="preserve">96, p.104, citing </w:t>
      </w:r>
      <w:r w:rsidRPr="00F11A58">
        <w:rPr>
          <w:rFonts w:ascii="Times New Roman" w:hAnsi="Times New Roman" w:cs="Times New Roman"/>
          <w:i/>
          <w:sz w:val="20"/>
          <w:szCs w:val="20"/>
        </w:rPr>
        <w:t xml:space="preserve">Re Brooks ST </w:t>
      </w:r>
      <w:r w:rsidRPr="00F11A58">
        <w:rPr>
          <w:rFonts w:ascii="Times New Roman" w:hAnsi="Times New Roman" w:cs="Times New Roman"/>
          <w:sz w:val="20"/>
          <w:szCs w:val="20"/>
        </w:rPr>
        <w:t>[1939] 1 Ch. 993</w:t>
      </w:r>
      <w:r>
        <w:rPr>
          <w:rFonts w:ascii="Times New Roman" w:hAnsi="Times New Roman" w:cs="Times New Roman"/>
          <w:sz w:val="20"/>
          <w:szCs w:val="20"/>
        </w:rPr>
        <w:t xml:space="preserve">; </w:t>
      </w:r>
      <w:r w:rsidRPr="00F11A58">
        <w:rPr>
          <w:rFonts w:ascii="Times New Roman" w:hAnsi="Times New Roman" w:cs="Times New Roman"/>
          <w:sz w:val="20"/>
          <w:szCs w:val="20"/>
        </w:rPr>
        <w:t xml:space="preserve">It is those people to whom the trustees owe a duty of due consideration: Hayton, </w:t>
      </w:r>
      <w:r w:rsidRPr="00F11A58">
        <w:rPr>
          <w:rFonts w:ascii="Times New Roman" w:hAnsi="Times New Roman" w:cs="Times New Roman"/>
          <w:i/>
          <w:sz w:val="20"/>
          <w:szCs w:val="20"/>
        </w:rPr>
        <w:t>ibid</w:t>
      </w:r>
      <w:r w:rsidRPr="00F11A58">
        <w:rPr>
          <w:rFonts w:ascii="Times New Roman" w:hAnsi="Times New Roman" w:cs="Times New Roman"/>
          <w:sz w:val="20"/>
          <w:szCs w:val="20"/>
        </w:rPr>
        <w:t xml:space="preserve">, citing </w:t>
      </w:r>
      <w:proofErr w:type="spellStart"/>
      <w:r w:rsidRPr="00F11A58">
        <w:rPr>
          <w:rFonts w:ascii="Times New Roman" w:hAnsi="Times New Roman" w:cs="Times New Roman"/>
          <w:i/>
          <w:sz w:val="20"/>
          <w:szCs w:val="20"/>
        </w:rPr>
        <w:t>Karger</w:t>
      </w:r>
      <w:proofErr w:type="spellEnd"/>
      <w:r w:rsidRPr="00F11A58">
        <w:rPr>
          <w:rFonts w:ascii="Times New Roman" w:hAnsi="Times New Roman" w:cs="Times New Roman"/>
          <w:i/>
          <w:sz w:val="20"/>
          <w:szCs w:val="20"/>
        </w:rPr>
        <w:t xml:space="preserve"> v Paul </w:t>
      </w:r>
      <w:r w:rsidRPr="00F11A58">
        <w:rPr>
          <w:rFonts w:ascii="Times New Roman" w:hAnsi="Times New Roman" w:cs="Times New Roman"/>
          <w:sz w:val="20"/>
          <w:szCs w:val="20"/>
        </w:rPr>
        <w:t>[1984] VR 161.</w:t>
      </w:r>
    </w:p>
  </w:footnote>
  <w:footnote w:id="102">
    <w:p w:rsidR="002C5DA6" w:rsidRPr="000644A7" w:rsidRDefault="002C5DA6" w:rsidP="00D233AF">
      <w:pPr>
        <w:spacing w:after="0"/>
        <w:jc w:val="both"/>
        <w:rPr>
          <w:rFonts w:ascii="Times New Roman" w:hAnsi="Times New Roman" w:cs="Times New Roman"/>
          <w:sz w:val="20"/>
          <w:szCs w:val="20"/>
        </w:rPr>
      </w:pPr>
      <w:r w:rsidRPr="000644A7">
        <w:rPr>
          <w:rStyle w:val="FootnoteReference"/>
          <w:rFonts w:ascii="Times New Roman" w:hAnsi="Times New Roman" w:cs="Times New Roman"/>
          <w:sz w:val="20"/>
          <w:szCs w:val="20"/>
        </w:rPr>
        <w:footnoteRef/>
      </w:r>
      <w:r w:rsidRPr="000644A7">
        <w:rPr>
          <w:rFonts w:ascii="Times New Roman" w:hAnsi="Times New Roman" w:cs="Times New Roman"/>
          <w:sz w:val="20"/>
          <w:szCs w:val="20"/>
        </w:rPr>
        <w:t xml:space="preserve"> </w:t>
      </w:r>
      <w:r w:rsidRPr="000644A7">
        <w:rPr>
          <w:rFonts w:ascii="Times New Roman" w:hAnsi="Times New Roman" w:cs="Times New Roman"/>
          <w:i/>
          <w:sz w:val="20"/>
          <w:szCs w:val="20"/>
        </w:rPr>
        <w:t>The Exeter Settlement</w:t>
      </w:r>
      <w:r>
        <w:rPr>
          <w:rFonts w:ascii="Times New Roman" w:hAnsi="Times New Roman" w:cs="Times New Roman"/>
          <w:sz w:val="20"/>
          <w:szCs w:val="20"/>
        </w:rPr>
        <w:t xml:space="preserve">, paras 29-32, per </w:t>
      </w:r>
      <w:proofErr w:type="spellStart"/>
      <w:r w:rsidRPr="0057504B">
        <w:rPr>
          <w:rFonts w:ascii="Times New Roman" w:hAnsi="Times New Roman" w:cs="Times New Roman"/>
          <w:sz w:val="20"/>
          <w:szCs w:val="20"/>
        </w:rPr>
        <w:t>Birt</w:t>
      </w:r>
      <w:proofErr w:type="spellEnd"/>
      <w:r w:rsidRPr="0057504B">
        <w:rPr>
          <w:rFonts w:ascii="Times New Roman" w:hAnsi="Times New Roman" w:cs="Times New Roman"/>
          <w:sz w:val="20"/>
          <w:szCs w:val="20"/>
        </w:rPr>
        <w:t xml:space="preserve"> (then Bailiff).</w:t>
      </w:r>
      <w:r>
        <w:rPr>
          <w:rFonts w:ascii="Times New Roman" w:hAnsi="Times New Roman" w:cs="Times New Roman"/>
          <w:sz w:val="20"/>
          <w:szCs w:val="20"/>
        </w:rPr>
        <w:t xml:space="preserve"> Article 11 was not referred to, although the trust was set up prior to the enactment of the 1984 legislation.</w:t>
      </w:r>
    </w:p>
  </w:footnote>
  <w:footnote w:id="103">
    <w:p w:rsidR="002C5DA6" w:rsidRPr="00D84946" w:rsidRDefault="002C5DA6" w:rsidP="00213944">
      <w:pPr>
        <w:spacing w:after="0"/>
        <w:jc w:val="both"/>
        <w:rPr>
          <w:rFonts w:ascii="Times New Roman" w:hAnsi="Times New Roman" w:cs="Times New Roman"/>
          <w:sz w:val="20"/>
          <w:szCs w:val="20"/>
        </w:rPr>
      </w:pPr>
      <w:r>
        <w:rPr>
          <w:rStyle w:val="FootnoteReference"/>
        </w:rPr>
        <w:footnoteRef/>
      </w:r>
      <w:r>
        <w:t xml:space="preserve"> </w:t>
      </w:r>
      <w:r w:rsidRPr="00213944">
        <w:rPr>
          <w:rFonts w:ascii="Times New Roman" w:hAnsi="Times New Roman" w:cs="Times New Roman"/>
          <w:i/>
          <w:sz w:val="20"/>
          <w:szCs w:val="20"/>
        </w:rPr>
        <w:t>The Rights of Beneficiaries to Information Regarding a Trust</w:t>
      </w:r>
      <w:r w:rsidRPr="00213944">
        <w:rPr>
          <w:rFonts w:ascii="Times New Roman" w:hAnsi="Times New Roman" w:cs="Times New Roman"/>
          <w:sz w:val="20"/>
          <w:szCs w:val="20"/>
        </w:rPr>
        <w:t xml:space="preserve"> (Consultation Paper No.1 February 1998), para.6.4, in considering whether to allow settlor restrictions</w:t>
      </w:r>
      <w:r w:rsidR="00D84946">
        <w:rPr>
          <w:rFonts w:ascii="Times New Roman" w:hAnsi="Times New Roman" w:cs="Times New Roman"/>
          <w:sz w:val="20"/>
          <w:szCs w:val="20"/>
        </w:rPr>
        <w:t xml:space="preserve"> on access to trust information the Law Commission emphasises the importance of the trust’s being enforceable in </w:t>
      </w:r>
      <w:r w:rsidR="00D84946">
        <w:rPr>
          <w:rFonts w:ascii="Times New Roman" w:hAnsi="Times New Roman" w:cs="Times New Roman"/>
          <w:i/>
          <w:sz w:val="20"/>
          <w:szCs w:val="20"/>
        </w:rPr>
        <w:t>practice</w:t>
      </w:r>
      <w:r w:rsidR="00D84946">
        <w:rPr>
          <w:rFonts w:ascii="Times New Roman" w:hAnsi="Times New Roman" w:cs="Times New Roman"/>
          <w:sz w:val="20"/>
          <w:szCs w:val="20"/>
        </w:rPr>
        <w:t xml:space="preserve">, see also </w:t>
      </w:r>
      <w:proofErr w:type="spellStart"/>
      <w:r w:rsidR="00D84946">
        <w:rPr>
          <w:rFonts w:ascii="Times New Roman" w:hAnsi="Times New Roman" w:cs="Times New Roman"/>
          <w:sz w:val="20"/>
          <w:szCs w:val="20"/>
        </w:rPr>
        <w:t>D.Clarry</w:t>
      </w:r>
      <w:proofErr w:type="spellEnd"/>
      <w:r w:rsidR="00D84946">
        <w:rPr>
          <w:rFonts w:ascii="Times New Roman" w:hAnsi="Times New Roman" w:cs="Times New Roman"/>
          <w:sz w:val="20"/>
          <w:szCs w:val="20"/>
        </w:rPr>
        <w:t xml:space="preserve">, </w:t>
      </w:r>
      <w:proofErr w:type="gramStart"/>
      <w:r w:rsidR="00D84946">
        <w:rPr>
          <w:rFonts w:ascii="Times New Roman" w:hAnsi="Times New Roman" w:cs="Times New Roman"/>
          <w:sz w:val="20"/>
          <w:szCs w:val="20"/>
        </w:rPr>
        <w:t>note</w:t>
      </w:r>
      <w:proofErr w:type="gramEnd"/>
      <w:r w:rsidR="00D84946">
        <w:rPr>
          <w:rFonts w:ascii="Times New Roman" w:hAnsi="Times New Roman" w:cs="Times New Roman"/>
          <w:sz w:val="20"/>
          <w:szCs w:val="20"/>
        </w:rPr>
        <w:t xml:space="preserve"> 89 above.</w:t>
      </w:r>
    </w:p>
  </w:footnote>
  <w:footnote w:id="104">
    <w:p w:rsidR="002C5DA6" w:rsidRPr="000644A7" w:rsidRDefault="002C5DA6" w:rsidP="00DA08F1">
      <w:pPr>
        <w:spacing w:after="0"/>
        <w:jc w:val="both"/>
        <w:rPr>
          <w:rFonts w:ascii="Times New Roman" w:hAnsi="Times New Roman" w:cs="Times New Roman"/>
          <w:sz w:val="20"/>
          <w:szCs w:val="20"/>
        </w:rPr>
      </w:pPr>
      <w:r w:rsidRPr="000644A7">
        <w:rPr>
          <w:rStyle w:val="FootnoteReference"/>
          <w:rFonts w:ascii="Times New Roman" w:hAnsi="Times New Roman" w:cs="Times New Roman"/>
          <w:sz w:val="20"/>
          <w:szCs w:val="20"/>
        </w:rPr>
        <w:footnoteRef/>
      </w:r>
      <w:r w:rsidRPr="000644A7">
        <w:rPr>
          <w:rFonts w:ascii="Times New Roman" w:hAnsi="Times New Roman" w:cs="Times New Roman"/>
          <w:sz w:val="20"/>
          <w:szCs w:val="20"/>
        </w:rPr>
        <w:t xml:space="preserve"> Under English law the Attorney-General or the Charity Commissioner will be the enforcer of charitable trusts: Charities Act 2011.</w:t>
      </w:r>
    </w:p>
  </w:footnote>
  <w:footnote w:id="105">
    <w:p w:rsidR="002C5DA6" w:rsidRDefault="002C5DA6">
      <w:pPr>
        <w:pStyle w:val="FootnoteText"/>
      </w:pPr>
      <w:r>
        <w:rPr>
          <w:rStyle w:val="FootnoteReference"/>
        </w:rPr>
        <w:footnoteRef/>
      </w:r>
      <w:r>
        <w:t xml:space="preserve"> </w:t>
      </w:r>
      <w:r w:rsidRPr="000644A7">
        <w:rPr>
          <w:rFonts w:ascii="Times New Roman" w:hAnsi="Times New Roman" w:cs="Times New Roman"/>
          <w:i/>
        </w:rPr>
        <w:t xml:space="preserve">Re </w:t>
      </w:r>
      <w:proofErr w:type="spellStart"/>
      <w:r w:rsidRPr="000644A7">
        <w:rPr>
          <w:rFonts w:ascii="Times New Roman" w:hAnsi="Times New Roman" w:cs="Times New Roman"/>
          <w:i/>
        </w:rPr>
        <w:t>Gea</w:t>
      </w:r>
      <w:proofErr w:type="spellEnd"/>
      <w:r w:rsidRPr="000644A7">
        <w:rPr>
          <w:rFonts w:ascii="Times New Roman" w:hAnsi="Times New Roman" w:cs="Times New Roman"/>
          <w:i/>
        </w:rPr>
        <w:t xml:space="preserve"> Settlement </w:t>
      </w:r>
      <w:r w:rsidRPr="000644A7">
        <w:rPr>
          <w:rFonts w:ascii="Times New Roman" w:hAnsi="Times New Roman" w:cs="Times New Roman"/>
        </w:rPr>
        <w:t>(1992) 13 TLI 188</w:t>
      </w:r>
      <w:r>
        <w:rPr>
          <w:rFonts w:ascii="Times New Roman" w:hAnsi="Times New Roman" w:cs="Times New Roman"/>
        </w:rPr>
        <w:t xml:space="preserve"> (Jersey case)</w:t>
      </w:r>
      <w:r w:rsidRPr="000644A7">
        <w:rPr>
          <w:rFonts w:ascii="Times New Roman" w:hAnsi="Times New Roman" w:cs="Times New Roman"/>
        </w:rPr>
        <w:t>, cited by Matthews, “Black hole trusts 1”, p.48</w:t>
      </w:r>
      <w:r>
        <w:rPr>
          <w:rFonts w:ascii="Times New Roman" w:hAnsi="Times New Roman" w:cs="Times New Roman"/>
        </w:rPr>
        <w:t>.</w:t>
      </w:r>
    </w:p>
  </w:footnote>
  <w:footnote w:id="106">
    <w:p w:rsidR="002C5DA6" w:rsidRPr="000644A7" w:rsidRDefault="002C5DA6" w:rsidP="0011079F">
      <w:pPr>
        <w:spacing w:after="0"/>
        <w:jc w:val="both"/>
        <w:rPr>
          <w:rFonts w:ascii="Times New Roman" w:hAnsi="Times New Roman" w:cs="Times New Roman"/>
          <w:sz w:val="20"/>
          <w:szCs w:val="20"/>
        </w:rPr>
      </w:pPr>
      <w:r w:rsidRPr="000644A7">
        <w:rPr>
          <w:rStyle w:val="FootnoteReference"/>
          <w:rFonts w:ascii="Times New Roman" w:hAnsi="Times New Roman" w:cs="Times New Roman"/>
          <w:sz w:val="20"/>
          <w:szCs w:val="20"/>
        </w:rPr>
        <w:footnoteRef/>
      </w:r>
      <w:r w:rsidRPr="000644A7">
        <w:rPr>
          <w:rFonts w:ascii="Times New Roman" w:hAnsi="Times New Roman" w:cs="Times New Roman"/>
          <w:sz w:val="20"/>
          <w:szCs w:val="20"/>
        </w:rPr>
        <w:t xml:space="preserve"> It has been assumed on at least one occasion that they have no interest in</w:t>
      </w:r>
      <w:r w:rsidR="00303EDD">
        <w:rPr>
          <w:rFonts w:ascii="Times New Roman" w:hAnsi="Times New Roman" w:cs="Times New Roman"/>
          <w:sz w:val="20"/>
          <w:szCs w:val="20"/>
        </w:rPr>
        <w:t xml:space="preserve"> making representations to the Royal C</w:t>
      </w:r>
      <w:r w:rsidRPr="000644A7">
        <w:rPr>
          <w:rFonts w:ascii="Times New Roman" w:hAnsi="Times New Roman" w:cs="Times New Roman"/>
          <w:sz w:val="20"/>
          <w:szCs w:val="20"/>
        </w:rPr>
        <w:t xml:space="preserve">ourt concerning the trust: </w:t>
      </w:r>
      <w:r w:rsidRPr="000644A7">
        <w:rPr>
          <w:rFonts w:ascii="Times New Roman" w:hAnsi="Times New Roman" w:cs="Times New Roman"/>
          <w:i/>
          <w:sz w:val="20"/>
          <w:szCs w:val="20"/>
        </w:rPr>
        <w:t xml:space="preserve">Re </w:t>
      </w:r>
      <w:proofErr w:type="spellStart"/>
      <w:r w:rsidRPr="000644A7">
        <w:rPr>
          <w:rFonts w:ascii="Times New Roman" w:hAnsi="Times New Roman" w:cs="Times New Roman"/>
          <w:i/>
          <w:sz w:val="20"/>
          <w:szCs w:val="20"/>
        </w:rPr>
        <w:t>Gea</w:t>
      </w:r>
      <w:proofErr w:type="spellEnd"/>
      <w:r w:rsidRPr="000644A7">
        <w:rPr>
          <w:rFonts w:ascii="Times New Roman" w:hAnsi="Times New Roman" w:cs="Times New Roman"/>
          <w:i/>
          <w:sz w:val="20"/>
          <w:szCs w:val="20"/>
        </w:rPr>
        <w:t xml:space="preserve"> Settlement </w:t>
      </w:r>
      <w:r w:rsidRPr="000644A7">
        <w:rPr>
          <w:rFonts w:ascii="Times New Roman" w:hAnsi="Times New Roman" w:cs="Times New Roman"/>
          <w:sz w:val="20"/>
          <w:szCs w:val="20"/>
        </w:rPr>
        <w:t>(1992) 13 TLI 188, cited by Matthews, “Black hole trusts 1”, p.48:</w:t>
      </w:r>
    </w:p>
    <w:p w:rsidR="002C5DA6" w:rsidRPr="000644A7" w:rsidRDefault="002C5DA6" w:rsidP="0011079F">
      <w:pPr>
        <w:spacing w:after="0"/>
        <w:ind w:left="720"/>
        <w:jc w:val="both"/>
        <w:rPr>
          <w:rFonts w:ascii="Times New Roman" w:hAnsi="Times New Roman" w:cs="Times New Roman"/>
          <w:sz w:val="20"/>
          <w:szCs w:val="20"/>
        </w:rPr>
      </w:pPr>
      <w:r w:rsidRPr="000644A7">
        <w:rPr>
          <w:rFonts w:ascii="Times New Roman" w:hAnsi="Times New Roman" w:cs="Times New Roman"/>
          <w:sz w:val="20"/>
          <w:szCs w:val="20"/>
        </w:rPr>
        <w:t xml:space="preserve">“The beneficiaries of the settlement are, by the third schedule to the settlement, stated to be ‘Save the Children, RNLI, </w:t>
      </w:r>
      <w:proofErr w:type="gramStart"/>
      <w:r w:rsidRPr="000644A7">
        <w:rPr>
          <w:rFonts w:ascii="Times New Roman" w:hAnsi="Times New Roman" w:cs="Times New Roman"/>
          <w:sz w:val="20"/>
          <w:szCs w:val="20"/>
        </w:rPr>
        <w:t>RSPCA’</w:t>
      </w:r>
      <w:proofErr w:type="gramEnd"/>
      <w:r w:rsidRPr="000644A7">
        <w:rPr>
          <w:rFonts w:ascii="Times New Roman" w:hAnsi="Times New Roman" w:cs="Times New Roman"/>
          <w:sz w:val="20"/>
          <w:szCs w:val="20"/>
        </w:rPr>
        <w:t>. Of course, these are the ultimate beneficiaries of the trust and, in practice, the charities will receive nothing, because letters of wishes referred to hereafter will be implemented by the trustees for the time being and will dispose of the whole of the trust fund. For this reason the Court has not considered it necessary to convene HM Attorney General to represent the charities.”</w:t>
      </w:r>
    </w:p>
  </w:footnote>
  <w:footnote w:id="107">
    <w:p w:rsidR="002C5DA6" w:rsidRPr="000644A7" w:rsidRDefault="002C5DA6" w:rsidP="000644A7">
      <w:pPr>
        <w:spacing w:after="0"/>
        <w:jc w:val="both"/>
        <w:rPr>
          <w:rFonts w:ascii="Times New Roman" w:hAnsi="Times New Roman" w:cs="Times New Roman"/>
          <w:sz w:val="20"/>
          <w:szCs w:val="20"/>
        </w:rPr>
      </w:pPr>
      <w:r w:rsidRPr="000644A7">
        <w:rPr>
          <w:rStyle w:val="FootnoteReference"/>
          <w:rFonts w:ascii="Times New Roman" w:hAnsi="Times New Roman" w:cs="Times New Roman"/>
          <w:sz w:val="20"/>
          <w:szCs w:val="20"/>
        </w:rPr>
        <w:footnoteRef/>
      </w:r>
      <w:r w:rsidRPr="000644A7">
        <w:rPr>
          <w:rFonts w:ascii="Times New Roman" w:hAnsi="Times New Roman" w:cs="Times New Roman"/>
          <w:sz w:val="20"/>
          <w:szCs w:val="20"/>
        </w:rPr>
        <w:t xml:space="preserve"> For recent recognition by the Jersey Royal Court that the right to trust information is correlative to the trustees’ fundamental accounting obligation see </w:t>
      </w:r>
      <w:r w:rsidRPr="000644A7">
        <w:rPr>
          <w:rFonts w:ascii="Times New Roman" w:hAnsi="Times New Roman" w:cs="Times New Roman"/>
          <w:i/>
          <w:sz w:val="20"/>
          <w:szCs w:val="20"/>
        </w:rPr>
        <w:t xml:space="preserve">In the Matter of the Y Trust, E Trust Company Ltd v B, C, and D </w:t>
      </w:r>
      <w:r w:rsidRPr="000644A7">
        <w:rPr>
          <w:rFonts w:ascii="Times New Roman" w:hAnsi="Times New Roman" w:cs="Times New Roman"/>
          <w:sz w:val="20"/>
          <w:szCs w:val="20"/>
        </w:rPr>
        <w:t>2014(1) JLR 199.</w:t>
      </w:r>
    </w:p>
  </w:footnote>
  <w:footnote w:id="108">
    <w:p w:rsidR="002C5DA6" w:rsidRPr="000644A7" w:rsidRDefault="002C5DA6" w:rsidP="00A5729E">
      <w:pPr>
        <w:spacing w:after="0"/>
        <w:jc w:val="both"/>
        <w:rPr>
          <w:rFonts w:ascii="Times New Roman" w:hAnsi="Times New Roman" w:cs="Times New Roman"/>
          <w:sz w:val="20"/>
          <w:szCs w:val="20"/>
        </w:rPr>
      </w:pPr>
      <w:r w:rsidRPr="000644A7">
        <w:rPr>
          <w:rStyle w:val="FootnoteReference"/>
          <w:rFonts w:ascii="Times New Roman" w:hAnsi="Times New Roman" w:cs="Times New Roman"/>
          <w:sz w:val="20"/>
          <w:szCs w:val="20"/>
        </w:rPr>
        <w:footnoteRef/>
      </w:r>
      <w:r w:rsidRPr="000644A7">
        <w:rPr>
          <w:rFonts w:ascii="Times New Roman" w:hAnsi="Times New Roman" w:cs="Times New Roman"/>
          <w:sz w:val="20"/>
          <w:szCs w:val="20"/>
        </w:rPr>
        <w:t xml:space="preserve"> For example, </w:t>
      </w:r>
      <w:proofErr w:type="spellStart"/>
      <w:r w:rsidRPr="000644A7">
        <w:rPr>
          <w:rFonts w:ascii="Times New Roman" w:hAnsi="Times New Roman" w:cs="Times New Roman"/>
          <w:sz w:val="20"/>
          <w:szCs w:val="20"/>
        </w:rPr>
        <w:t>E.H.Burn</w:t>
      </w:r>
      <w:proofErr w:type="spellEnd"/>
      <w:r w:rsidRPr="000644A7">
        <w:rPr>
          <w:rFonts w:ascii="Times New Roman" w:hAnsi="Times New Roman" w:cs="Times New Roman"/>
          <w:sz w:val="20"/>
          <w:szCs w:val="20"/>
        </w:rPr>
        <w:t xml:space="preserve"> and </w:t>
      </w:r>
      <w:proofErr w:type="spellStart"/>
      <w:r w:rsidRPr="000644A7">
        <w:rPr>
          <w:rFonts w:ascii="Times New Roman" w:hAnsi="Times New Roman" w:cs="Times New Roman"/>
          <w:sz w:val="20"/>
          <w:szCs w:val="20"/>
        </w:rPr>
        <w:t>G.J.Virgo</w:t>
      </w:r>
      <w:proofErr w:type="spellEnd"/>
      <w:r w:rsidRPr="000644A7">
        <w:rPr>
          <w:rFonts w:ascii="Times New Roman" w:hAnsi="Times New Roman" w:cs="Times New Roman"/>
          <w:sz w:val="20"/>
          <w:szCs w:val="20"/>
        </w:rPr>
        <w:t xml:space="preserve">, </w:t>
      </w:r>
      <w:proofErr w:type="spellStart"/>
      <w:r w:rsidRPr="000644A7">
        <w:rPr>
          <w:rFonts w:ascii="Times New Roman" w:hAnsi="Times New Roman" w:cs="Times New Roman"/>
          <w:i/>
          <w:sz w:val="20"/>
          <w:szCs w:val="20"/>
        </w:rPr>
        <w:t>Maudsley</w:t>
      </w:r>
      <w:proofErr w:type="spellEnd"/>
      <w:r w:rsidRPr="000644A7">
        <w:rPr>
          <w:rFonts w:ascii="Times New Roman" w:hAnsi="Times New Roman" w:cs="Times New Roman"/>
          <w:i/>
          <w:sz w:val="20"/>
          <w:szCs w:val="20"/>
        </w:rPr>
        <w:t xml:space="preserve"> &amp; Burn’s Trusts and Trustees Cases and Materials</w:t>
      </w:r>
      <w:r w:rsidRPr="000644A7">
        <w:rPr>
          <w:rFonts w:ascii="Times New Roman" w:hAnsi="Times New Roman" w:cs="Times New Roman"/>
          <w:sz w:val="20"/>
          <w:szCs w:val="20"/>
        </w:rPr>
        <w:t xml:space="preserve"> (7</w:t>
      </w:r>
      <w:r w:rsidRPr="000644A7">
        <w:rPr>
          <w:rFonts w:ascii="Times New Roman" w:hAnsi="Times New Roman" w:cs="Times New Roman"/>
          <w:sz w:val="20"/>
          <w:szCs w:val="20"/>
          <w:vertAlign w:val="superscript"/>
        </w:rPr>
        <w:t>th</w:t>
      </w:r>
      <w:r w:rsidRPr="000644A7">
        <w:rPr>
          <w:rFonts w:ascii="Times New Roman" w:hAnsi="Times New Roman" w:cs="Times New Roman"/>
          <w:sz w:val="20"/>
          <w:szCs w:val="20"/>
        </w:rPr>
        <w:t xml:space="preserve"> ed. 2008); </w:t>
      </w:r>
      <w:proofErr w:type="spellStart"/>
      <w:r w:rsidRPr="000644A7">
        <w:rPr>
          <w:rFonts w:ascii="Times New Roman" w:hAnsi="Times New Roman" w:cs="Times New Roman"/>
          <w:sz w:val="20"/>
          <w:szCs w:val="20"/>
        </w:rPr>
        <w:t>G.Virgo</w:t>
      </w:r>
      <w:proofErr w:type="spellEnd"/>
      <w:r w:rsidRPr="000644A7">
        <w:rPr>
          <w:rFonts w:ascii="Times New Roman" w:hAnsi="Times New Roman" w:cs="Times New Roman"/>
          <w:sz w:val="20"/>
          <w:szCs w:val="20"/>
        </w:rPr>
        <w:t xml:space="preserve">, </w:t>
      </w:r>
      <w:proofErr w:type="gramStart"/>
      <w:r w:rsidRPr="000644A7">
        <w:rPr>
          <w:rFonts w:ascii="Times New Roman" w:hAnsi="Times New Roman" w:cs="Times New Roman"/>
          <w:i/>
          <w:sz w:val="20"/>
          <w:szCs w:val="20"/>
        </w:rPr>
        <w:t>The</w:t>
      </w:r>
      <w:proofErr w:type="gramEnd"/>
      <w:r w:rsidRPr="000644A7">
        <w:rPr>
          <w:rFonts w:ascii="Times New Roman" w:hAnsi="Times New Roman" w:cs="Times New Roman"/>
          <w:i/>
          <w:sz w:val="20"/>
          <w:szCs w:val="20"/>
        </w:rPr>
        <w:t xml:space="preserve"> Principles of Equity and Trusts </w:t>
      </w:r>
      <w:r w:rsidRPr="000644A7">
        <w:rPr>
          <w:rFonts w:ascii="Times New Roman" w:hAnsi="Times New Roman" w:cs="Times New Roman"/>
          <w:sz w:val="20"/>
          <w:szCs w:val="20"/>
        </w:rPr>
        <w:t xml:space="preserve">(2012), p.466; </w:t>
      </w:r>
      <w:proofErr w:type="spellStart"/>
      <w:r w:rsidRPr="000644A7">
        <w:rPr>
          <w:rFonts w:ascii="Times New Roman" w:hAnsi="Times New Roman" w:cs="Times New Roman"/>
          <w:sz w:val="20"/>
          <w:szCs w:val="20"/>
        </w:rPr>
        <w:t>C.Webb</w:t>
      </w:r>
      <w:proofErr w:type="spellEnd"/>
      <w:r w:rsidRPr="000644A7">
        <w:rPr>
          <w:rFonts w:ascii="Times New Roman" w:hAnsi="Times New Roman" w:cs="Times New Roman"/>
          <w:sz w:val="20"/>
          <w:szCs w:val="20"/>
        </w:rPr>
        <w:t xml:space="preserve"> and </w:t>
      </w:r>
      <w:proofErr w:type="spellStart"/>
      <w:r w:rsidRPr="000644A7">
        <w:rPr>
          <w:rFonts w:ascii="Times New Roman" w:hAnsi="Times New Roman" w:cs="Times New Roman"/>
          <w:sz w:val="20"/>
          <w:szCs w:val="20"/>
        </w:rPr>
        <w:t>T.Akkouh</w:t>
      </w:r>
      <w:proofErr w:type="spellEnd"/>
      <w:r w:rsidRPr="000644A7">
        <w:rPr>
          <w:rFonts w:ascii="Times New Roman" w:hAnsi="Times New Roman" w:cs="Times New Roman"/>
          <w:sz w:val="20"/>
          <w:szCs w:val="20"/>
        </w:rPr>
        <w:t xml:space="preserve">, </w:t>
      </w:r>
      <w:r w:rsidRPr="000644A7">
        <w:rPr>
          <w:rFonts w:ascii="Times New Roman" w:hAnsi="Times New Roman" w:cs="Times New Roman"/>
          <w:i/>
          <w:sz w:val="20"/>
          <w:szCs w:val="20"/>
        </w:rPr>
        <w:t>Trusts Law</w:t>
      </w:r>
      <w:r w:rsidRPr="000644A7">
        <w:rPr>
          <w:rFonts w:ascii="Times New Roman" w:hAnsi="Times New Roman" w:cs="Times New Roman"/>
          <w:sz w:val="20"/>
          <w:szCs w:val="20"/>
        </w:rPr>
        <w:t xml:space="preserve"> (2008, Palgrave Macmillan Law Masters Series), p.318.</w:t>
      </w:r>
      <w:r>
        <w:rPr>
          <w:rFonts w:ascii="Times New Roman" w:hAnsi="Times New Roman" w:cs="Times New Roman"/>
          <w:sz w:val="20"/>
          <w:szCs w:val="20"/>
        </w:rPr>
        <w:t xml:space="preserve"> The theory was first advanced by </w:t>
      </w:r>
      <w:proofErr w:type="spellStart"/>
      <w:r w:rsidRPr="00035E1A">
        <w:rPr>
          <w:rFonts w:ascii="Times New Roman" w:hAnsi="Times New Roman" w:cs="Times New Roman"/>
          <w:sz w:val="20"/>
          <w:szCs w:val="20"/>
        </w:rPr>
        <w:t>D.Hayton</w:t>
      </w:r>
      <w:proofErr w:type="spellEnd"/>
      <w:r w:rsidRPr="00035E1A">
        <w:rPr>
          <w:rFonts w:ascii="Times New Roman" w:hAnsi="Times New Roman" w:cs="Times New Roman"/>
          <w:sz w:val="20"/>
          <w:szCs w:val="20"/>
        </w:rPr>
        <w:t xml:space="preserve">, “The Irreducible Core Content of Trusteeship” in </w:t>
      </w:r>
      <w:r w:rsidRPr="00035E1A">
        <w:rPr>
          <w:rFonts w:ascii="Times New Roman" w:hAnsi="Times New Roman" w:cs="Times New Roman"/>
          <w:i/>
          <w:sz w:val="20"/>
          <w:szCs w:val="20"/>
        </w:rPr>
        <w:t xml:space="preserve">Trends in Contemporary Trust Law </w:t>
      </w:r>
      <w:r w:rsidRPr="00035E1A">
        <w:rPr>
          <w:rFonts w:ascii="Times New Roman" w:hAnsi="Times New Roman" w:cs="Times New Roman"/>
          <w:sz w:val="20"/>
          <w:szCs w:val="20"/>
        </w:rPr>
        <w:t xml:space="preserve">(1996, </w:t>
      </w:r>
      <w:proofErr w:type="spellStart"/>
      <w:r w:rsidRPr="00035E1A">
        <w:rPr>
          <w:rFonts w:ascii="Times New Roman" w:hAnsi="Times New Roman" w:cs="Times New Roman"/>
          <w:sz w:val="20"/>
          <w:szCs w:val="20"/>
        </w:rPr>
        <w:t>A.J.Oakley</w:t>
      </w:r>
      <w:proofErr w:type="spellEnd"/>
      <w:r w:rsidRPr="00035E1A">
        <w:rPr>
          <w:rFonts w:ascii="Times New Roman" w:hAnsi="Times New Roman" w:cs="Times New Roman"/>
          <w:sz w:val="20"/>
          <w:szCs w:val="20"/>
        </w:rPr>
        <w:t xml:space="preserve"> e</w:t>
      </w:r>
      <w:r>
        <w:rPr>
          <w:rFonts w:ascii="Times New Roman" w:hAnsi="Times New Roman" w:cs="Times New Roman"/>
          <w:sz w:val="20"/>
          <w:szCs w:val="20"/>
        </w:rPr>
        <w:t>d., Clarendon Press, Oxford), p.</w:t>
      </w:r>
      <w:r w:rsidRPr="00035E1A">
        <w:rPr>
          <w:rFonts w:ascii="Times New Roman" w:hAnsi="Times New Roman" w:cs="Times New Roman"/>
          <w:sz w:val="20"/>
          <w:szCs w:val="20"/>
        </w:rPr>
        <w:t>49</w:t>
      </w:r>
      <w:r>
        <w:rPr>
          <w:rFonts w:ascii="Times New Roman" w:hAnsi="Times New Roman" w:cs="Times New Roman"/>
          <w:sz w:val="20"/>
          <w:szCs w:val="20"/>
        </w:rPr>
        <w:t>.</w:t>
      </w:r>
      <w:r w:rsidRPr="000644A7">
        <w:rPr>
          <w:rFonts w:ascii="Times New Roman" w:hAnsi="Times New Roman" w:cs="Times New Roman"/>
          <w:sz w:val="20"/>
          <w:szCs w:val="20"/>
        </w:rPr>
        <w:t xml:space="preserve"> </w:t>
      </w:r>
      <w:proofErr w:type="spellStart"/>
      <w:r w:rsidRPr="000644A7">
        <w:rPr>
          <w:rFonts w:ascii="Times New Roman" w:hAnsi="Times New Roman" w:cs="Times New Roman"/>
          <w:sz w:val="20"/>
          <w:szCs w:val="20"/>
        </w:rPr>
        <w:t>D.Clarry</w:t>
      </w:r>
      <w:proofErr w:type="spellEnd"/>
      <w:r w:rsidRPr="000644A7">
        <w:rPr>
          <w:rFonts w:ascii="Times New Roman" w:hAnsi="Times New Roman" w:cs="Times New Roman"/>
          <w:sz w:val="20"/>
          <w:szCs w:val="20"/>
        </w:rPr>
        <w:t xml:space="preserve"> makes an i</w:t>
      </w:r>
      <w:r w:rsidR="00B17DD1">
        <w:rPr>
          <w:rFonts w:ascii="Times New Roman" w:hAnsi="Times New Roman" w:cs="Times New Roman"/>
          <w:sz w:val="20"/>
          <w:szCs w:val="20"/>
        </w:rPr>
        <w:t>nteresting similar point in the work referred to in note 89</w:t>
      </w:r>
      <w:r w:rsidRPr="000644A7">
        <w:rPr>
          <w:rFonts w:ascii="Times New Roman" w:hAnsi="Times New Roman" w:cs="Times New Roman"/>
          <w:sz w:val="20"/>
          <w:szCs w:val="20"/>
        </w:rPr>
        <w:t>. The trustee’s duty to account depends on the beneficiary being informed of his status, otherwise this would violate the essential “irreducible core” of the trust.</w:t>
      </w:r>
    </w:p>
  </w:footnote>
  <w:footnote w:id="109">
    <w:p w:rsidR="002C5DA6" w:rsidRPr="000644A7" w:rsidRDefault="002C5DA6" w:rsidP="00A5729E">
      <w:pPr>
        <w:pStyle w:val="FootnoteText"/>
        <w:jc w:val="both"/>
        <w:rPr>
          <w:rFonts w:ascii="Times New Roman" w:hAnsi="Times New Roman" w:cs="Times New Roman"/>
        </w:rPr>
      </w:pPr>
      <w:r w:rsidRPr="000644A7">
        <w:rPr>
          <w:rStyle w:val="FootnoteReference"/>
          <w:rFonts w:ascii="Times New Roman" w:hAnsi="Times New Roman" w:cs="Times New Roman"/>
        </w:rPr>
        <w:footnoteRef/>
      </w:r>
      <w:r w:rsidRPr="000644A7">
        <w:rPr>
          <w:rFonts w:ascii="Times New Roman" w:hAnsi="Times New Roman" w:cs="Times New Roman"/>
        </w:rPr>
        <w:t xml:space="preserve"> </w:t>
      </w:r>
      <w:proofErr w:type="spellStart"/>
      <w:r w:rsidRPr="000644A7">
        <w:rPr>
          <w:rFonts w:ascii="Times New Roman" w:hAnsi="Times New Roman" w:cs="Times New Roman"/>
        </w:rPr>
        <w:t>P.S.Davis</w:t>
      </w:r>
      <w:proofErr w:type="spellEnd"/>
      <w:r w:rsidRPr="000644A7">
        <w:rPr>
          <w:rFonts w:ascii="Times New Roman" w:hAnsi="Times New Roman" w:cs="Times New Roman"/>
        </w:rPr>
        <w:t xml:space="preserve"> and </w:t>
      </w:r>
      <w:proofErr w:type="spellStart"/>
      <w:r w:rsidRPr="000644A7">
        <w:rPr>
          <w:rFonts w:ascii="Times New Roman" w:hAnsi="Times New Roman" w:cs="Times New Roman"/>
        </w:rPr>
        <w:t>G.Virgo</w:t>
      </w:r>
      <w:proofErr w:type="spellEnd"/>
      <w:r w:rsidRPr="000644A7">
        <w:rPr>
          <w:rFonts w:ascii="Times New Roman" w:hAnsi="Times New Roman" w:cs="Times New Roman"/>
        </w:rPr>
        <w:t xml:space="preserve">, </w:t>
      </w:r>
      <w:proofErr w:type="spellStart"/>
      <w:r w:rsidRPr="000644A7">
        <w:rPr>
          <w:rFonts w:ascii="Times New Roman" w:hAnsi="Times New Roman" w:cs="Times New Roman"/>
          <w:i/>
        </w:rPr>
        <w:t>Maudsely</w:t>
      </w:r>
      <w:proofErr w:type="spellEnd"/>
      <w:r w:rsidRPr="000644A7">
        <w:rPr>
          <w:rFonts w:ascii="Times New Roman" w:hAnsi="Times New Roman" w:cs="Times New Roman"/>
          <w:i/>
        </w:rPr>
        <w:t xml:space="preserve"> &amp; Burn’s Equity and Trusts Text, Cases and Materials</w:t>
      </w:r>
      <w:r w:rsidRPr="000644A7">
        <w:rPr>
          <w:rFonts w:ascii="Times New Roman" w:hAnsi="Times New Roman" w:cs="Times New Roman"/>
        </w:rPr>
        <w:t xml:space="preserve"> (2013), p.620, citing Fox, “The Irreducible Core for a Valid Trust (2011) 17 T&amp;T 16.</w:t>
      </w:r>
      <w:r>
        <w:rPr>
          <w:rFonts w:ascii="Times New Roman" w:hAnsi="Times New Roman" w:cs="Times New Roman"/>
        </w:rPr>
        <w:t xml:space="preserve"> </w:t>
      </w:r>
      <w:r w:rsidRPr="00300FF2">
        <w:rPr>
          <w:rFonts w:ascii="Times New Roman" w:hAnsi="Times New Roman" w:cs="Times New Roman"/>
        </w:rPr>
        <w:t xml:space="preserve">Hayton observes that this is “a necessary incident of the trustee-beneficiary relationship at the core of the trust”: </w:t>
      </w:r>
      <w:proofErr w:type="spellStart"/>
      <w:r w:rsidRPr="00300FF2">
        <w:rPr>
          <w:rFonts w:ascii="Times New Roman" w:hAnsi="Times New Roman" w:cs="Times New Roman"/>
        </w:rPr>
        <w:t>D.Hayton</w:t>
      </w:r>
      <w:proofErr w:type="spellEnd"/>
      <w:r w:rsidRPr="00300FF2">
        <w:rPr>
          <w:rFonts w:ascii="Times New Roman" w:hAnsi="Times New Roman" w:cs="Times New Roman"/>
        </w:rPr>
        <w:t xml:space="preserve">, “The Irreducible Core Content of Trusteeship” in </w:t>
      </w:r>
      <w:r w:rsidRPr="00300FF2">
        <w:rPr>
          <w:rFonts w:ascii="Times New Roman" w:hAnsi="Times New Roman" w:cs="Times New Roman"/>
          <w:i/>
        </w:rPr>
        <w:t xml:space="preserve">Trends in Contemporary Trust Law </w:t>
      </w:r>
      <w:r w:rsidRPr="00300FF2">
        <w:rPr>
          <w:rFonts w:ascii="Times New Roman" w:hAnsi="Times New Roman" w:cs="Times New Roman"/>
        </w:rPr>
        <w:t xml:space="preserve">(1996, </w:t>
      </w:r>
      <w:proofErr w:type="spellStart"/>
      <w:r w:rsidRPr="00300FF2">
        <w:rPr>
          <w:rFonts w:ascii="Times New Roman" w:hAnsi="Times New Roman" w:cs="Times New Roman"/>
        </w:rPr>
        <w:t>A.J.Oakley</w:t>
      </w:r>
      <w:proofErr w:type="spellEnd"/>
      <w:r w:rsidRPr="00300FF2">
        <w:rPr>
          <w:rFonts w:ascii="Times New Roman" w:hAnsi="Times New Roman" w:cs="Times New Roman"/>
        </w:rPr>
        <w:t xml:space="preserve"> ed., Clarendon Press, Oxford), p.49</w:t>
      </w:r>
      <w:r>
        <w:rPr>
          <w:rFonts w:ascii="Times New Roman" w:hAnsi="Times New Roman" w:cs="Times New Roman"/>
        </w:rPr>
        <w:t>.</w:t>
      </w:r>
    </w:p>
  </w:footnote>
  <w:footnote w:id="110">
    <w:p w:rsidR="002C5DA6" w:rsidRPr="00035E1A" w:rsidRDefault="002C5DA6" w:rsidP="00A5729E">
      <w:pPr>
        <w:spacing w:after="0"/>
        <w:jc w:val="both"/>
        <w:rPr>
          <w:rFonts w:ascii="Times New Roman" w:hAnsi="Times New Roman" w:cs="Times New Roman"/>
          <w:sz w:val="20"/>
          <w:szCs w:val="20"/>
        </w:rPr>
      </w:pPr>
      <w:r w:rsidRPr="000644A7">
        <w:rPr>
          <w:rStyle w:val="FootnoteReference"/>
          <w:rFonts w:ascii="Times New Roman" w:hAnsi="Times New Roman" w:cs="Times New Roman"/>
          <w:sz w:val="20"/>
          <w:szCs w:val="20"/>
        </w:rPr>
        <w:footnoteRef/>
      </w:r>
      <w:r w:rsidRPr="000644A7">
        <w:rPr>
          <w:rFonts w:ascii="Times New Roman" w:hAnsi="Times New Roman" w:cs="Times New Roman"/>
          <w:sz w:val="20"/>
          <w:szCs w:val="20"/>
        </w:rPr>
        <w:t xml:space="preserve"> In considering the trustees administrative and dispositive duties, and correlative rights: “such rights are meaningful only if beneficiaries or objects have information in relation to the trust, so that they can assess whether</w:t>
      </w:r>
      <w:r w:rsidRPr="00035E1A">
        <w:rPr>
          <w:rFonts w:ascii="Times New Roman" w:hAnsi="Times New Roman" w:cs="Times New Roman"/>
          <w:sz w:val="20"/>
          <w:szCs w:val="20"/>
        </w:rPr>
        <w:t xml:space="preserve"> the trustees have complied with their duties and, if they have not, take appropriate steps to have the trust fund reconstituted, the relevant decision declared invalid, and/or the misbehaving trustee(s) removed from office”: </w:t>
      </w:r>
      <w:proofErr w:type="spellStart"/>
      <w:r w:rsidRPr="00035E1A">
        <w:rPr>
          <w:rFonts w:ascii="Times New Roman" w:hAnsi="Times New Roman" w:cs="Times New Roman"/>
          <w:sz w:val="20"/>
          <w:szCs w:val="20"/>
        </w:rPr>
        <w:t>C.Webb</w:t>
      </w:r>
      <w:proofErr w:type="spellEnd"/>
      <w:r w:rsidRPr="00035E1A">
        <w:rPr>
          <w:rFonts w:ascii="Times New Roman" w:hAnsi="Times New Roman" w:cs="Times New Roman"/>
          <w:sz w:val="20"/>
          <w:szCs w:val="20"/>
        </w:rPr>
        <w:t xml:space="preserve"> and </w:t>
      </w:r>
      <w:proofErr w:type="spellStart"/>
      <w:r w:rsidRPr="00035E1A">
        <w:rPr>
          <w:rFonts w:ascii="Times New Roman" w:hAnsi="Times New Roman" w:cs="Times New Roman"/>
          <w:sz w:val="20"/>
          <w:szCs w:val="20"/>
        </w:rPr>
        <w:t>T.Akkouh</w:t>
      </w:r>
      <w:proofErr w:type="spellEnd"/>
      <w:r w:rsidRPr="00035E1A">
        <w:rPr>
          <w:rFonts w:ascii="Times New Roman" w:hAnsi="Times New Roman" w:cs="Times New Roman"/>
          <w:sz w:val="20"/>
          <w:szCs w:val="20"/>
        </w:rPr>
        <w:t xml:space="preserve">, </w:t>
      </w:r>
      <w:r w:rsidRPr="00035E1A">
        <w:rPr>
          <w:rFonts w:ascii="Times New Roman" w:hAnsi="Times New Roman" w:cs="Times New Roman"/>
          <w:i/>
          <w:sz w:val="20"/>
          <w:szCs w:val="20"/>
        </w:rPr>
        <w:t>Trusts Law</w:t>
      </w:r>
      <w:r w:rsidRPr="00035E1A">
        <w:rPr>
          <w:rFonts w:ascii="Times New Roman" w:hAnsi="Times New Roman" w:cs="Times New Roman"/>
          <w:sz w:val="20"/>
          <w:szCs w:val="20"/>
        </w:rPr>
        <w:t xml:space="preserve"> (2008, Palgrave Macmillan Law Masters Series), p.318.</w:t>
      </w:r>
    </w:p>
  </w:footnote>
  <w:footnote w:id="111">
    <w:p w:rsidR="002C5DA6" w:rsidRPr="00035E1A" w:rsidRDefault="002C5DA6" w:rsidP="00B14AB4">
      <w:pPr>
        <w:spacing w:after="0"/>
        <w:jc w:val="both"/>
        <w:rPr>
          <w:rFonts w:ascii="Times New Roman" w:hAnsi="Times New Roman" w:cs="Times New Roman"/>
          <w:sz w:val="20"/>
          <w:szCs w:val="20"/>
        </w:rPr>
      </w:pPr>
      <w:r w:rsidRPr="00035E1A">
        <w:rPr>
          <w:rStyle w:val="FootnoteReference"/>
          <w:rFonts w:ascii="Times New Roman" w:hAnsi="Times New Roman" w:cs="Times New Roman"/>
          <w:sz w:val="20"/>
          <w:szCs w:val="20"/>
        </w:rPr>
        <w:footnoteRef/>
      </w:r>
      <w:r w:rsidRPr="00035E1A">
        <w:rPr>
          <w:rFonts w:ascii="Times New Roman" w:hAnsi="Times New Roman" w:cs="Times New Roman"/>
          <w:sz w:val="20"/>
          <w:szCs w:val="20"/>
        </w:rPr>
        <w:t xml:space="preserve"> </w:t>
      </w:r>
      <w:proofErr w:type="spellStart"/>
      <w:r w:rsidRPr="00035E1A">
        <w:rPr>
          <w:rFonts w:ascii="Times New Roman" w:hAnsi="Times New Roman" w:cs="Times New Roman"/>
          <w:sz w:val="20"/>
          <w:szCs w:val="20"/>
        </w:rPr>
        <w:t>D.Hayton</w:t>
      </w:r>
      <w:proofErr w:type="spellEnd"/>
      <w:r w:rsidRPr="00035E1A">
        <w:rPr>
          <w:rFonts w:ascii="Times New Roman" w:hAnsi="Times New Roman" w:cs="Times New Roman"/>
          <w:sz w:val="20"/>
          <w:szCs w:val="20"/>
        </w:rPr>
        <w:t xml:space="preserve">, “The Irreducible Core Content of Trusteeship” in </w:t>
      </w:r>
      <w:r w:rsidRPr="00035E1A">
        <w:rPr>
          <w:rFonts w:ascii="Times New Roman" w:hAnsi="Times New Roman" w:cs="Times New Roman"/>
          <w:i/>
          <w:sz w:val="20"/>
          <w:szCs w:val="20"/>
        </w:rPr>
        <w:t xml:space="preserve">Trends in Contemporary Trust Law </w:t>
      </w:r>
      <w:r w:rsidRPr="00035E1A">
        <w:rPr>
          <w:rFonts w:ascii="Times New Roman" w:hAnsi="Times New Roman" w:cs="Times New Roman"/>
          <w:sz w:val="20"/>
          <w:szCs w:val="20"/>
        </w:rPr>
        <w:t xml:space="preserve">(1996, </w:t>
      </w:r>
      <w:proofErr w:type="spellStart"/>
      <w:r w:rsidRPr="00035E1A">
        <w:rPr>
          <w:rFonts w:ascii="Times New Roman" w:hAnsi="Times New Roman" w:cs="Times New Roman"/>
          <w:sz w:val="20"/>
          <w:szCs w:val="20"/>
        </w:rPr>
        <w:t>A.J.Oakley</w:t>
      </w:r>
      <w:proofErr w:type="spellEnd"/>
      <w:r w:rsidRPr="00035E1A">
        <w:rPr>
          <w:rFonts w:ascii="Times New Roman" w:hAnsi="Times New Roman" w:cs="Times New Roman"/>
          <w:sz w:val="20"/>
          <w:szCs w:val="20"/>
        </w:rPr>
        <w:t xml:space="preserve"> ed., Clarendon Press, Oxfor</w:t>
      </w:r>
      <w:r>
        <w:rPr>
          <w:rFonts w:ascii="Times New Roman" w:hAnsi="Times New Roman" w:cs="Times New Roman"/>
          <w:sz w:val="20"/>
          <w:szCs w:val="20"/>
        </w:rPr>
        <w:t xml:space="preserve">d), p.49. </w:t>
      </w:r>
      <w:r w:rsidRPr="00A5729E">
        <w:rPr>
          <w:rFonts w:ascii="Times New Roman" w:hAnsi="Times New Roman" w:cs="Times New Roman"/>
          <w:sz w:val="20"/>
          <w:szCs w:val="20"/>
        </w:rPr>
        <w:t xml:space="preserve">The object of a fiduciary power of appointment does not have a similar right to be informed as to their status: </w:t>
      </w:r>
      <w:r w:rsidRPr="00A5729E">
        <w:rPr>
          <w:rFonts w:ascii="Times New Roman" w:hAnsi="Times New Roman" w:cs="Times New Roman"/>
          <w:i/>
          <w:sz w:val="20"/>
          <w:szCs w:val="20"/>
        </w:rPr>
        <w:t xml:space="preserve">Re </w:t>
      </w:r>
      <w:proofErr w:type="spellStart"/>
      <w:r w:rsidRPr="00A5729E">
        <w:rPr>
          <w:rFonts w:ascii="Times New Roman" w:hAnsi="Times New Roman" w:cs="Times New Roman"/>
          <w:i/>
          <w:sz w:val="20"/>
          <w:szCs w:val="20"/>
        </w:rPr>
        <w:t>Manisty’s</w:t>
      </w:r>
      <w:proofErr w:type="spellEnd"/>
      <w:r w:rsidRPr="00A5729E">
        <w:rPr>
          <w:rFonts w:ascii="Times New Roman" w:hAnsi="Times New Roman" w:cs="Times New Roman"/>
          <w:i/>
          <w:sz w:val="20"/>
          <w:szCs w:val="20"/>
        </w:rPr>
        <w:t xml:space="preserve"> Settlement </w:t>
      </w:r>
      <w:r w:rsidRPr="00A5729E">
        <w:rPr>
          <w:rFonts w:ascii="Times New Roman" w:hAnsi="Times New Roman" w:cs="Times New Roman"/>
          <w:sz w:val="20"/>
          <w:szCs w:val="20"/>
        </w:rPr>
        <w:t>[1974] Ch. 17</w:t>
      </w:r>
      <w:r>
        <w:rPr>
          <w:rFonts w:ascii="Times New Roman" w:hAnsi="Times New Roman" w:cs="Times New Roman"/>
          <w:sz w:val="20"/>
          <w:szCs w:val="20"/>
        </w:rPr>
        <w:t>, p.25</w:t>
      </w:r>
      <w:r w:rsidRPr="00A5729E">
        <w:rPr>
          <w:rFonts w:ascii="Times New Roman" w:hAnsi="Times New Roman" w:cs="Times New Roman"/>
          <w:sz w:val="20"/>
          <w:szCs w:val="20"/>
        </w:rPr>
        <w:t>; cited by Hayton, above, p.50</w:t>
      </w:r>
      <w:r>
        <w:rPr>
          <w:rFonts w:ascii="Times New Roman" w:hAnsi="Times New Roman" w:cs="Times New Roman"/>
          <w:sz w:val="20"/>
          <w:szCs w:val="20"/>
        </w:rPr>
        <w:t>.</w:t>
      </w:r>
    </w:p>
  </w:footnote>
  <w:footnote w:id="112">
    <w:p w:rsidR="002C5DA6" w:rsidRPr="00C43192" w:rsidRDefault="002C5DA6" w:rsidP="00A5729E">
      <w:pPr>
        <w:pStyle w:val="FootnoteText"/>
        <w:jc w:val="both"/>
        <w:rPr>
          <w:rFonts w:ascii="Times New Roman" w:hAnsi="Times New Roman" w:cs="Times New Roman"/>
        </w:rPr>
      </w:pPr>
      <w:r w:rsidRPr="00C43192">
        <w:rPr>
          <w:rStyle w:val="FootnoteReference"/>
          <w:rFonts w:ascii="Times New Roman" w:hAnsi="Times New Roman" w:cs="Times New Roman"/>
        </w:rPr>
        <w:footnoteRef/>
      </w:r>
      <w:r w:rsidRPr="00C43192">
        <w:rPr>
          <w:rFonts w:ascii="Times New Roman" w:hAnsi="Times New Roman" w:cs="Times New Roman"/>
        </w:rPr>
        <w:t xml:space="preserve"> Wesley Newcomb </w:t>
      </w:r>
      <w:proofErr w:type="spellStart"/>
      <w:r w:rsidRPr="00C43192">
        <w:rPr>
          <w:rFonts w:ascii="Times New Roman" w:hAnsi="Times New Roman" w:cs="Times New Roman"/>
        </w:rPr>
        <w:t>Hohfeld</w:t>
      </w:r>
      <w:proofErr w:type="spellEnd"/>
      <w:r w:rsidRPr="00C43192">
        <w:rPr>
          <w:rFonts w:ascii="Times New Roman" w:hAnsi="Times New Roman" w:cs="Times New Roman"/>
        </w:rPr>
        <w:t xml:space="preserve">, “Some Fundamental Legal Conceptions as Applied in Judicial Reasoning” (1913) 23(1) </w:t>
      </w:r>
      <w:r w:rsidRPr="00C43192">
        <w:rPr>
          <w:rFonts w:ascii="Times New Roman" w:hAnsi="Times New Roman" w:cs="Times New Roman"/>
          <w:i/>
        </w:rPr>
        <w:t xml:space="preserve">Yale Law Journal </w:t>
      </w:r>
      <w:r w:rsidRPr="00C43192">
        <w:rPr>
          <w:rFonts w:ascii="Times New Roman" w:hAnsi="Times New Roman" w:cs="Times New Roman"/>
        </w:rPr>
        <w:t>16-59.</w:t>
      </w:r>
    </w:p>
  </w:footnote>
  <w:footnote w:id="113">
    <w:p w:rsidR="002C5DA6" w:rsidRPr="00C43192" w:rsidRDefault="002C5DA6" w:rsidP="00886991">
      <w:pPr>
        <w:spacing w:after="0"/>
        <w:jc w:val="both"/>
        <w:rPr>
          <w:rFonts w:ascii="Times New Roman" w:hAnsi="Times New Roman" w:cs="Times New Roman"/>
          <w:sz w:val="20"/>
          <w:szCs w:val="20"/>
        </w:rPr>
      </w:pPr>
      <w:r w:rsidRPr="00C43192">
        <w:rPr>
          <w:rStyle w:val="FootnoteReference"/>
          <w:rFonts w:ascii="Times New Roman" w:hAnsi="Times New Roman" w:cs="Times New Roman"/>
          <w:sz w:val="20"/>
          <w:szCs w:val="20"/>
        </w:rPr>
        <w:footnoteRef/>
      </w:r>
      <w:r w:rsidRPr="00C43192">
        <w:rPr>
          <w:rFonts w:ascii="Times New Roman" w:hAnsi="Times New Roman" w:cs="Times New Roman"/>
          <w:sz w:val="20"/>
          <w:szCs w:val="20"/>
        </w:rPr>
        <w:t xml:space="preserve"> </w:t>
      </w:r>
      <w:proofErr w:type="spellStart"/>
      <w:r w:rsidRPr="00C43192">
        <w:rPr>
          <w:rFonts w:ascii="Times New Roman" w:hAnsi="Times New Roman" w:cs="Times New Roman"/>
          <w:i/>
          <w:sz w:val="20"/>
          <w:szCs w:val="20"/>
        </w:rPr>
        <w:t>Hawkesley</w:t>
      </w:r>
      <w:proofErr w:type="spellEnd"/>
      <w:r w:rsidRPr="00C43192">
        <w:rPr>
          <w:rFonts w:ascii="Times New Roman" w:hAnsi="Times New Roman" w:cs="Times New Roman"/>
          <w:i/>
          <w:sz w:val="20"/>
          <w:szCs w:val="20"/>
        </w:rPr>
        <w:t xml:space="preserve"> v May</w:t>
      </w:r>
      <w:r w:rsidRPr="00C43192">
        <w:rPr>
          <w:rFonts w:ascii="Times New Roman" w:hAnsi="Times New Roman" w:cs="Times New Roman"/>
          <w:sz w:val="20"/>
          <w:szCs w:val="20"/>
        </w:rPr>
        <w:t xml:space="preserve"> [1956] 1 QB 305, p.322, per Havers J. There is no similar duty on an executor of a will, because a will is a public document: </w:t>
      </w:r>
      <w:proofErr w:type="spellStart"/>
      <w:r w:rsidRPr="00C43192">
        <w:rPr>
          <w:rFonts w:ascii="Times New Roman" w:hAnsi="Times New Roman" w:cs="Times New Roman"/>
          <w:i/>
          <w:sz w:val="20"/>
          <w:szCs w:val="20"/>
        </w:rPr>
        <w:t>Hawkesley</w:t>
      </w:r>
      <w:proofErr w:type="spellEnd"/>
      <w:r w:rsidRPr="00C43192">
        <w:rPr>
          <w:rFonts w:ascii="Times New Roman" w:hAnsi="Times New Roman" w:cs="Times New Roman"/>
          <w:i/>
          <w:sz w:val="20"/>
          <w:szCs w:val="20"/>
        </w:rPr>
        <w:t xml:space="preserve"> v May </w:t>
      </w:r>
      <w:r w:rsidRPr="00C43192">
        <w:rPr>
          <w:rFonts w:ascii="Times New Roman" w:hAnsi="Times New Roman" w:cs="Times New Roman"/>
          <w:sz w:val="20"/>
          <w:szCs w:val="20"/>
        </w:rPr>
        <w:t>[1956] 1 QB 305, p.322.</w:t>
      </w:r>
    </w:p>
  </w:footnote>
  <w:footnote w:id="114">
    <w:p w:rsidR="002C5DA6" w:rsidRPr="00C43192" w:rsidRDefault="002C5DA6" w:rsidP="00A5729E">
      <w:pPr>
        <w:spacing w:after="0"/>
        <w:jc w:val="both"/>
        <w:rPr>
          <w:rFonts w:ascii="Times New Roman" w:hAnsi="Times New Roman" w:cs="Times New Roman"/>
          <w:sz w:val="20"/>
          <w:szCs w:val="20"/>
        </w:rPr>
      </w:pPr>
      <w:r w:rsidRPr="00C43192">
        <w:rPr>
          <w:rStyle w:val="FootnoteReference"/>
          <w:rFonts w:ascii="Times New Roman" w:hAnsi="Times New Roman" w:cs="Times New Roman"/>
          <w:sz w:val="20"/>
          <w:szCs w:val="20"/>
        </w:rPr>
        <w:footnoteRef/>
      </w:r>
      <w:r w:rsidRPr="00C43192">
        <w:rPr>
          <w:rFonts w:ascii="Times New Roman" w:hAnsi="Times New Roman" w:cs="Times New Roman"/>
          <w:sz w:val="20"/>
          <w:szCs w:val="20"/>
        </w:rPr>
        <w:t xml:space="preserve"> Hayton, above, p.49. See also </w:t>
      </w:r>
      <w:proofErr w:type="spellStart"/>
      <w:r w:rsidRPr="00C43192">
        <w:rPr>
          <w:rFonts w:ascii="Times New Roman" w:hAnsi="Times New Roman" w:cs="Times New Roman"/>
          <w:sz w:val="20"/>
          <w:szCs w:val="20"/>
        </w:rPr>
        <w:t>G.Virgo</w:t>
      </w:r>
      <w:proofErr w:type="spellEnd"/>
      <w:r w:rsidRPr="00C43192">
        <w:rPr>
          <w:rFonts w:ascii="Times New Roman" w:hAnsi="Times New Roman" w:cs="Times New Roman"/>
          <w:sz w:val="20"/>
          <w:szCs w:val="20"/>
        </w:rPr>
        <w:t xml:space="preserve">, </w:t>
      </w:r>
      <w:r w:rsidRPr="00C43192">
        <w:rPr>
          <w:rFonts w:ascii="Times New Roman" w:hAnsi="Times New Roman" w:cs="Times New Roman"/>
          <w:i/>
          <w:sz w:val="20"/>
          <w:szCs w:val="20"/>
        </w:rPr>
        <w:t xml:space="preserve">The Principles of Equity and Trusts </w:t>
      </w:r>
      <w:r w:rsidRPr="00C43192">
        <w:rPr>
          <w:rFonts w:ascii="Times New Roman" w:hAnsi="Times New Roman" w:cs="Times New Roman"/>
          <w:sz w:val="20"/>
          <w:szCs w:val="20"/>
        </w:rPr>
        <w:t xml:space="preserve">(2012), p.466, citing </w:t>
      </w:r>
      <w:r w:rsidRPr="00C43192">
        <w:rPr>
          <w:rFonts w:ascii="Times New Roman" w:hAnsi="Times New Roman" w:cs="Times New Roman"/>
          <w:i/>
          <w:sz w:val="20"/>
          <w:szCs w:val="20"/>
        </w:rPr>
        <w:t xml:space="preserve">Murphy v Murphy </w:t>
      </w:r>
      <w:r w:rsidRPr="00C43192">
        <w:rPr>
          <w:rFonts w:ascii="Times New Roman" w:hAnsi="Times New Roman" w:cs="Times New Roman"/>
          <w:sz w:val="20"/>
          <w:szCs w:val="20"/>
        </w:rPr>
        <w:t xml:space="preserve">[1999] 1 WLR 282. Obviously the trustee only has to make reasonable attempts to inform beneficiaries so this will depend upon the size of the trust: Hayton, above, p.49; Virgo, above, p.466, citing </w:t>
      </w:r>
      <w:proofErr w:type="spellStart"/>
      <w:r w:rsidRPr="00C43192">
        <w:rPr>
          <w:rFonts w:ascii="Times New Roman" w:hAnsi="Times New Roman" w:cs="Times New Roman"/>
          <w:i/>
          <w:sz w:val="20"/>
          <w:szCs w:val="20"/>
        </w:rPr>
        <w:t>Hartigan</w:t>
      </w:r>
      <w:proofErr w:type="spellEnd"/>
      <w:r w:rsidRPr="00C43192">
        <w:rPr>
          <w:rFonts w:ascii="Times New Roman" w:hAnsi="Times New Roman" w:cs="Times New Roman"/>
          <w:i/>
          <w:sz w:val="20"/>
          <w:szCs w:val="20"/>
        </w:rPr>
        <w:t xml:space="preserve"> Nominees Pty Ltd. v </w:t>
      </w:r>
      <w:proofErr w:type="spellStart"/>
      <w:r w:rsidRPr="00C43192">
        <w:rPr>
          <w:rFonts w:ascii="Times New Roman" w:hAnsi="Times New Roman" w:cs="Times New Roman"/>
          <w:i/>
          <w:sz w:val="20"/>
          <w:szCs w:val="20"/>
        </w:rPr>
        <w:t>Rydge</w:t>
      </w:r>
      <w:proofErr w:type="spellEnd"/>
      <w:r w:rsidRPr="00C43192">
        <w:rPr>
          <w:rFonts w:ascii="Times New Roman" w:hAnsi="Times New Roman" w:cs="Times New Roman"/>
          <w:i/>
          <w:sz w:val="20"/>
          <w:szCs w:val="20"/>
        </w:rPr>
        <w:t xml:space="preserve"> </w:t>
      </w:r>
      <w:r w:rsidRPr="00C43192">
        <w:rPr>
          <w:rFonts w:ascii="Times New Roman" w:hAnsi="Times New Roman" w:cs="Times New Roman"/>
          <w:sz w:val="20"/>
          <w:szCs w:val="20"/>
        </w:rPr>
        <w:t>(1992) 29 NSWLR 405.</w:t>
      </w:r>
    </w:p>
  </w:footnote>
  <w:footnote w:id="115">
    <w:p w:rsidR="002C5DA6" w:rsidRPr="00C43192" w:rsidRDefault="002C5DA6" w:rsidP="00402FF9">
      <w:pPr>
        <w:spacing w:after="0"/>
        <w:jc w:val="both"/>
        <w:rPr>
          <w:rFonts w:ascii="Times New Roman" w:hAnsi="Times New Roman" w:cs="Times New Roman"/>
          <w:sz w:val="20"/>
          <w:szCs w:val="20"/>
        </w:rPr>
      </w:pPr>
      <w:r w:rsidRPr="00C43192">
        <w:rPr>
          <w:rStyle w:val="FootnoteReference"/>
          <w:rFonts w:ascii="Times New Roman" w:hAnsi="Times New Roman" w:cs="Times New Roman"/>
          <w:sz w:val="20"/>
          <w:szCs w:val="20"/>
        </w:rPr>
        <w:footnoteRef/>
      </w:r>
      <w:r w:rsidRPr="00C43192">
        <w:rPr>
          <w:rFonts w:ascii="Times New Roman" w:hAnsi="Times New Roman" w:cs="Times New Roman"/>
          <w:sz w:val="20"/>
          <w:szCs w:val="20"/>
        </w:rPr>
        <w:t xml:space="preserve"> </w:t>
      </w:r>
      <w:r w:rsidRPr="00C43192">
        <w:rPr>
          <w:rFonts w:ascii="Times New Roman" w:hAnsi="Times New Roman" w:cs="Times New Roman"/>
          <w:i/>
          <w:sz w:val="20"/>
          <w:szCs w:val="20"/>
        </w:rPr>
        <w:t>The Rights of Beneficiaries to Information Regarding a Trust</w:t>
      </w:r>
      <w:r w:rsidRPr="00C43192">
        <w:rPr>
          <w:rFonts w:ascii="Times New Roman" w:hAnsi="Times New Roman" w:cs="Times New Roman"/>
          <w:sz w:val="20"/>
          <w:szCs w:val="20"/>
        </w:rPr>
        <w:t xml:space="preserve"> (Consultation Paper No.1 February 1998), para.4.1.2, footnotes omitted.</w:t>
      </w:r>
    </w:p>
  </w:footnote>
  <w:footnote w:id="116">
    <w:p w:rsidR="002C5DA6" w:rsidRPr="00C43192" w:rsidRDefault="002C5DA6" w:rsidP="003E1AD8">
      <w:pPr>
        <w:spacing w:after="0"/>
        <w:jc w:val="both"/>
        <w:rPr>
          <w:rFonts w:ascii="Times New Roman" w:hAnsi="Times New Roman" w:cs="Times New Roman"/>
          <w:sz w:val="20"/>
          <w:szCs w:val="20"/>
        </w:rPr>
      </w:pPr>
      <w:r w:rsidRPr="00C43192">
        <w:rPr>
          <w:rStyle w:val="FootnoteReference"/>
          <w:rFonts w:ascii="Times New Roman" w:hAnsi="Times New Roman" w:cs="Times New Roman"/>
          <w:sz w:val="20"/>
          <w:szCs w:val="20"/>
        </w:rPr>
        <w:footnoteRef/>
      </w:r>
      <w:r w:rsidRPr="00C43192">
        <w:rPr>
          <w:rFonts w:ascii="Times New Roman" w:hAnsi="Times New Roman" w:cs="Times New Roman"/>
          <w:sz w:val="20"/>
          <w:szCs w:val="20"/>
        </w:rPr>
        <w:t xml:space="preserve"> Potential objects of a power of addition cannot hold the trustees to account. </w:t>
      </w:r>
      <w:r w:rsidR="00AB506A">
        <w:rPr>
          <w:rFonts w:ascii="Times New Roman" w:hAnsi="Times New Roman" w:cs="Times New Roman"/>
          <w:sz w:val="20"/>
          <w:szCs w:val="20"/>
        </w:rPr>
        <w:t>Also, a</w:t>
      </w:r>
      <w:r w:rsidRPr="00C43192">
        <w:rPr>
          <w:rFonts w:ascii="Times New Roman" w:hAnsi="Times New Roman" w:cs="Times New Roman"/>
          <w:sz w:val="20"/>
          <w:szCs w:val="20"/>
        </w:rPr>
        <w:t xml:space="preserve"> person merely mentioned in the settlor’s letter of wishes is not a beneficiary who is prima facie entitled to trust information: </w:t>
      </w:r>
      <w:r w:rsidRPr="00C43192">
        <w:rPr>
          <w:rFonts w:ascii="Times New Roman" w:hAnsi="Times New Roman" w:cs="Times New Roman"/>
          <w:i/>
          <w:sz w:val="20"/>
          <w:szCs w:val="20"/>
        </w:rPr>
        <w:t xml:space="preserve">West v Lazard Bros &amp; Co (Jersey) Ltd. </w:t>
      </w:r>
      <w:r w:rsidRPr="00C43192">
        <w:rPr>
          <w:rFonts w:ascii="Times New Roman" w:hAnsi="Times New Roman" w:cs="Times New Roman"/>
          <w:sz w:val="20"/>
          <w:szCs w:val="20"/>
        </w:rPr>
        <w:t>1987-88 JLR N-22a.</w:t>
      </w:r>
    </w:p>
  </w:footnote>
  <w:footnote w:id="117">
    <w:p w:rsidR="002C5DA6" w:rsidRPr="00C43192" w:rsidRDefault="002C5DA6" w:rsidP="003E1AD8">
      <w:pPr>
        <w:pStyle w:val="FootnoteText"/>
        <w:jc w:val="both"/>
        <w:rPr>
          <w:rFonts w:ascii="Times New Roman" w:hAnsi="Times New Roman" w:cs="Times New Roman"/>
        </w:rPr>
      </w:pPr>
      <w:r w:rsidRPr="00C43192">
        <w:rPr>
          <w:rStyle w:val="FootnoteReference"/>
          <w:rFonts w:ascii="Times New Roman" w:hAnsi="Times New Roman" w:cs="Times New Roman"/>
        </w:rPr>
        <w:footnoteRef/>
      </w:r>
      <w:r w:rsidRPr="00C43192">
        <w:rPr>
          <w:rFonts w:ascii="Times New Roman" w:hAnsi="Times New Roman" w:cs="Times New Roman"/>
        </w:rPr>
        <w:t xml:space="preserve"> With a power of appointment, it is the ultimate default beneficiary that holds the trustee to account: </w:t>
      </w:r>
      <w:r w:rsidRPr="00C43192">
        <w:rPr>
          <w:rFonts w:ascii="Times New Roman" w:hAnsi="Times New Roman" w:cs="Times New Roman"/>
          <w:i/>
        </w:rPr>
        <w:t>McPhail v Doulton</w:t>
      </w:r>
      <w:r w:rsidRPr="00C43192">
        <w:rPr>
          <w:rFonts w:ascii="Times New Roman" w:hAnsi="Times New Roman" w:cs="Times New Roman"/>
        </w:rPr>
        <w:t xml:space="preserve"> [1971] AC 424, p.441 </w:t>
      </w:r>
      <w:r w:rsidRPr="00C43192">
        <w:rPr>
          <w:rFonts w:ascii="Times New Roman" w:hAnsi="Times New Roman" w:cs="Times New Roman"/>
          <w:i/>
        </w:rPr>
        <w:t xml:space="preserve">per </w:t>
      </w:r>
      <w:r w:rsidRPr="00C43192">
        <w:rPr>
          <w:rFonts w:ascii="Times New Roman" w:hAnsi="Times New Roman" w:cs="Times New Roman"/>
        </w:rPr>
        <w:t xml:space="preserve">Lord </w:t>
      </w:r>
      <w:proofErr w:type="spellStart"/>
      <w:r w:rsidRPr="00C43192">
        <w:rPr>
          <w:rFonts w:ascii="Times New Roman" w:hAnsi="Times New Roman" w:cs="Times New Roman"/>
        </w:rPr>
        <w:t>Hodson</w:t>
      </w:r>
      <w:proofErr w:type="spellEnd"/>
      <w:r w:rsidRPr="00C43192">
        <w:rPr>
          <w:rFonts w:ascii="Times New Roman" w:hAnsi="Times New Roman" w:cs="Times New Roman"/>
        </w:rPr>
        <w:t>: “Where there is a mere power entirely different considerations arise. The trust in default controls and he to whom the trust results in default of exercise of the power is in practice the only one competent to object to a wrongful exercise of the power”: cited Hayton, above, p.51.</w:t>
      </w:r>
    </w:p>
  </w:footnote>
  <w:footnote w:id="118">
    <w:p w:rsidR="002C5DA6" w:rsidRPr="00AA406E" w:rsidRDefault="002C5DA6" w:rsidP="00C726DC">
      <w:pPr>
        <w:spacing w:after="0"/>
        <w:jc w:val="both"/>
        <w:rPr>
          <w:rFonts w:ascii="Times New Roman" w:hAnsi="Times New Roman" w:cs="Times New Roman"/>
          <w:sz w:val="20"/>
          <w:szCs w:val="20"/>
        </w:rPr>
      </w:pPr>
      <w:r w:rsidRPr="00AA406E">
        <w:rPr>
          <w:rStyle w:val="FootnoteReference"/>
          <w:rFonts w:ascii="Times New Roman" w:hAnsi="Times New Roman" w:cs="Times New Roman"/>
          <w:sz w:val="20"/>
          <w:szCs w:val="20"/>
        </w:rPr>
        <w:footnoteRef/>
      </w:r>
      <w:r w:rsidRPr="00AA406E">
        <w:rPr>
          <w:rFonts w:ascii="Times New Roman" w:hAnsi="Times New Roman" w:cs="Times New Roman"/>
          <w:sz w:val="20"/>
          <w:szCs w:val="20"/>
        </w:rPr>
        <w:t xml:space="preserve"> Situations “where in practice the trustee after considering the alternatives, does what the settlor suggests”.</w:t>
      </w:r>
    </w:p>
  </w:footnote>
  <w:footnote w:id="119">
    <w:p w:rsidR="002C5DA6" w:rsidRPr="00AA406E" w:rsidRDefault="002C5DA6" w:rsidP="00C726DC">
      <w:pPr>
        <w:pStyle w:val="FootnoteText"/>
        <w:jc w:val="both"/>
        <w:rPr>
          <w:rFonts w:ascii="Times New Roman" w:hAnsi="Times New Roman" w:cs="Times New Roman"/>
        </w:rPr>
      </w:pPr>
      <w:r w:rsidRPr="00AA406E">
        <w:rPr>
          <w:rStyle w:val="FootnoteReference"/>
          <w:rFonts w:ascii="Times New Roman" w:hAnsi="Times New Roman" w:cs="Times New Roman"/>
        </w:rPr>
        <w:footnoteRef/>
      </w:r>
      <w:r w:rsidRPr="00AA406E">
        <w:rPr>
          <w:rFonts w:ascii="Times New Roman" w:hAnsi="Times New Roman" w:cs="Times New Roman"/>
        </w:rPr>
        <w:t xml:space="preserve"> “The black hole trust 2”, p.107.</w:t>
      </w:r>
    </w:p>
  </w:footnote>
  <w:footnote w:id="120">
    <w:p w:rsidR="003F703F" w:rsidRPr="00C43192" w:rsidRDefault="003F703F" w:rsidP="003F703F">
      <w:pPr>
        <w:spacing w:after="0"/>
        <w:jc w:val="both"/>
        <w:rPr>
          <w:rFonts w:ascii="Times New Roman" w:hAnsi="Times New Roman" w:cs="Times New Roman"/>
          <w:sz w:val="20"/>
          <w:szCs w:val="20"/>
        </w:rPr>
      </w:pPr>
      <w:r w:rsidRPr="00C43192">
        <w:rPr>
          <w:rStyle w:val="FootnoteReference"/>
          <w:rFonts w:ascii="Times New Roman" w:hAnsi="Times New Roman" w:cs="Times New Roman"/>
          <w:sz w:val="20"/>
          <w:szCs w:val="20"/>
        </w:rPr>
        <w:footnoteRef/>
      </w:r>
      <w:r w:rsidRPr="00C43192">
        <w:rPr>
          <w:rFonts w:ascii="Times New Roman" w:hAnsi="Times New Roman" w:cs="Times New Roman"/>
          <w:sz w:val="20"/>
          <w:szCs w:val="20"/>
        </w:rPr>
        <w:t xml:space="preserve"> Jersey Law Commission, </w:t>
      </w:r>
      <w:r w:rsidRPr="00C43192">
        <w:rPr>
          <w:rFonts w:ascii="Times New Roman" w:hAnsi="Times New Roman" w:cs="Times New Roman"/>
          <w:i/>
          <w:sz w:val="20"/>
          <w:szCs w:val="20"/>
        </w:rPr>
        <w:t>The Rights of Beneficiaries to Information Regarding a Trust</w:t>
      </w:r>
      <w:r w:rsidRPr="00C43192">
        <w:rPr>
          <w:rFonts w:ascii="Times New Roman" w:hAnsi="Times New Roman" w:cs="Times New Roman"/>
          <w:sz w:val="20"/>
          <w:szCs w:val="20"/>
        </w:rPr>
        <w:t xml:space="preserve"> (Consultation Paper No.1 February 1998), para.7.2.</w:t>
      </w:r>
    </w:p>
  </w:footnote>
  <w:footnote w:id="121">
    <w:p w:rsidR="002C5DA6" w:rsidRPr="00F3690F" w:rsidRDefault="002C5DA6" w:rsidP="005B1A53">
      <w:pPr>
        <w:spacing w:after="0"/>
        <w:jc w:val="both"/>
        <w:rPr>
          <w:rFonts w:ascii="Times New Roman" w:hAnsi="Times New Roman" w:cs="Times New Roman"/>
          <w:sz w:val="20"/>
          <w:szCs w:val="20"/>
        </w:rPr>
      </w:pPr>
      <w:r w:rsidRPr="00F3690F">
        <w:rPr>
          <w:rStyle w:val="FootnoteReference"/>
          <w:rFonts w:ascii="Times New Roman" w:hAnsi="Times New Roman" w:cs="Times New Roman"/>
          <w:sz w:val="20"/>
          <w:szCs w:val="20"/>
        </w:rPr>
        <w:footnoteRef/>
      </w:r>
      <w:r w:rsidRPr="00F3690F">
        <w:rPr>
          <w:rFonts w:ascii="Times New Roman" w:hAnsi="Times New Roman" w:cs="Times New Roman"/>
          <w:sz w:val="20"/>
          <w:szCs w:val="20"/>
        </w:rPr>
        <w:t xml:space="preserve"> As is the case with Jersey non-charitable purpose trusts: Trusts (Jersey) Law 1984, Articles 12 and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15E0A"/>
    <w:multiLevelType w:val="hybridMultilevel"/>
    <w:tmpl w:val="ED5EB788"/>
    <w:lvl w:ilvl="0" w:tplc="902A0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FC"/>
    <w:rsid w:val="0000006B"/>
    <w:rsid w:val="00000850"/>
    <w:rsid w:val="00001F52"/>
    <w:rsid w:val="0000368A"/>
    <w:rsid w:val="00011B52"/>
    <w:rsid w:val="0001286B"/>
    <w:rsid w:val="00013825"/>
    <w:rsid w:val="000168F9"/>
    <w:rsid w:val="00017031"/>
    <w:rsid w:val="00017E56"/>
    <w:rsid w:val="00022AAB"/>
    <w:rsid w:val="00022ADD"/>
    <w:rsid w:val="00022BBA"/>
    <w:rsid w:val="00025571"/>
    <w:rsid w:val="00025B2A"/>
    <w:rsid w:val="00026A45"/>
    <w:rsid w:val="00026A88"/>
    <w:rsid w:val="000274AF"/>
    <w:rsid w:val="00027EE6"/>
    <w:rsid w:val="00034E0F"/>
    <w:rsid w:val="00035E1A"/>
    <w:rsid w:val="00037B1A"/>
    <w:rsid w:val="00037D9E"/>
    <w:rsid w:val="00041CA7"/>
    <w:rsid w:val="00045185"/>
    <w:rsid w:val="00045DB1"/>
    <w:rsid w:val="00045F20"/>
    <w:rsid w:val="00054E2B"/>
    <w:rsid w:val="0005736B"/>
    <w:rsid w:val="00061CDD"/>
    <w:rsid w:val="000644A7"/>
    <w:rsid w:val="000663F7"/>
    <w:rsid w:val="0007198B"/>
    <w:rsid w:val="00071FEC"/>
    <w:rsid w:val="00075B02"/>
    <w:rsid w:val="00076D33"/>
    <w:rsid w:val="00077374"/>
    <w:rsid w:val="00080A5D"/>
    <w:rsid w:val="00083569"/>
    <w:rsid w:val="000866A5"/>
    <w:rsid w:val="000872C8"/>
    <w:rsid w:val="000879D9"/>
    <w:rsid w:val="000918F1"/>
    <w:rsid w:val="0009356C"/>
    <w:rsid w:val="000935C3"/>
    <w:rsid w:val="000A32A9"/>
    <w:rsid w:val="000A36B6"/>
    <w:rsid w:val="000A565B"/>
    <w:rsid w:val="000A7C08"/>
    <w:rsid w:val="000A7C3D"/>
    <w:rsid w:val="000B0150"/>
    <w:rsid w:val="000B10FA"/>
    <w:rsid w:val="000B2E44"/>
    <w:rsid w:val="000B3C59"/>
    <w:rsid w:val="000B4B6C"/>
    <w:rsid w:val="000B72D8"/>
    <w:rsid w:val="000C22B9"/>
    <w:rsid w:val="000C5AB2"/>
    <w:rsid w:val="000C5C7E"/>
    <w:rsid w:val="000C704C"/>
    <w:rsid w:val="000D1705"/>
    <w:rsid w:val="000D2477"/>
    <w:rsid w:val="000D5A74"/>
    <w:rsid w:val="000D5E3D"/>
    <w:rsid w:val="000D714F"/>
    <w:rsid w:val="000E2B3C"/>
    <w:rsid w:val="000E5B45"/>
    <w:rsid w:val="000E7C67"/>
    <w:rsid w:val="000F0B0D"/>
    <w:rsid w:val="000F13F2"/>
    <w:rsid w:val="000F2815"/>
    <w:rsid w:val="000F2F0C"/>
    <w:rsid w:val="000F4662"/>
    <w:rsid w:val="000F52A4"/>
    <w:rsid w:val="00100AE1"/>
    <w:rsid w:val="00100C4A"/>
    <w:rsid w:val="0010193F"/>
    <w:rsid w:val="00102A6A"/>
    <w:rsid w:val="001077B7"/>
    <w:rsid w:val="0011079F"/>
    <w:rsid w:val="00111C65"/>
    <w:rsid w:val="001128DD"/>
    <w:rsid w:val="00112BFD"/>
    <w:rsid w:val="00114511"/>
    <w:rsid w:val="00117562"/>
    <w:rsid w:val="0012066C"/>
    <w:rsid w:val="00120E0A"/>
    <w:rsid w:val="00121379"/>
    <w:rsid w:val="00121A6D"/>
    <w:rsid w:val="0012236E"/>
    <w:rsid w:val="00123554"/>
    <w:rsid w:val="00124D40"/>
    <w:rsid w:val="00124E34"/>
    <w:rsid w:val="00126660"/>
    <w:rsid w:val="00133861"/>
    <w:rsid w:val="00135A36"/>
    <w:rsid w:val="00143713"/>
    <w:rsid w:val="00144BAF"/>
    <w:rsid w:val="00145269"/>
    <w:rsid w:val="00152ACF"/>
    <w:rsid w:val="0015531A"/>
    <w:rsid w:val="001563E9"/>
    <w:rsid w:val="00160D08"/>
    <w:rsid w:val="001630BF"/>
    <w:rsid w:val="001632C6"/>
    <w:rsid w:val="00163F9F"/>
    <w:rsid w:val="00167316"/>
    <w:rsid w:val="00171C40"/>
    <w:rsid w:val="001759D7"/>
    <w:rsid w:val="00181469"/>
    <w:rsid w:val="00181D05"/>
    <w:rsid w:val="00184709"/>
    <w:rsid w:val="00186143"/>
    <w:rsid w:val="00192EFF"/>
    <w:rsid w:val="00193E00"/>
    <w:rsid w:val="001967FE"/>
    <w:rsid w:val="00197D47"/>
    <w:rsid w:val="001A18CF"/>
    <w:rsid w:val="001A1F37"/>
    <w:rsid w:val="001A27BB"/>
    <w:rsid w:val="001A36B7"/>
    <w:rsid w:val="001A6007"/>
    <w:rsid w:val="001A6958"/>
    <w:rsid w:val="001B0180"/>
    <w:rsid w:val="001B199B"/>
    <w:rsid w:val="001B390C"/>
    <w:rsid w:val="001B5AD9"/>
    <w:rsid w:val="001B6622"/>
    <w:rsid w:val="001C2018"/>
    <w:rsid w:val="001C3407"/>
    <w:rsid w:val="001C671F"/>
    <w:rsid w:val="001C779F"/>
    <w:rsid w:val="001C7CA8"/>
    <w:rsid w:val="001D6CA6"/>
    <w:rsid w:val="001E15B0"/>
    <w:rsid w:val="001E3345"/>
    <w:rsid w:val="001E637A"/>
    <w:rsid w:val="001F0C23"/>
    <w:rsid w:val="001F0EC2"/>
    <w:rsid w:val="001F206D"/>
    <w:rsid w:val="001F5F00"/>
    <w:rsid w:val="001F6EA5"/>
    <w:rsid w:val="00203739"/>
    <w:rsid w:val="002069F2"/>
    <w:rsid w:val="002114F8"/>
    <w:rsid w:val="00213421"/>
    <w:rsid w:val="00213944"/>
    <w:rsid w:val="00214639"/>
    <w:rsid w:val="00216982"/>
    <w:rsid w:val="00216B78"/>
    <w:rsid w:val="00217ADA"/>
    <w:rsid w:val="00220A5C"/>
    <w:rsid w:val="00221277"/>
    <w:rsid w:val="0022162B"/>
    <w:rsid w:val="00221711"/>
    <w:rsid w:val="00222BCA"/>
    <w:rsid w:val="0022463F"/>
    <w:rsid w:val="00230025"/>
    <w:rsid w:val="0023427D"/>
    <w:rsid w:val="00235CBE"/>
    <w:rsid w:val="0023761F"/>
    <w:rsid w:val="002377D2"/>
    <w:rsid w:val="00237A94"/>
    <w:rsid w:val="00240AE9"/>
    <w:rsid w:val="00243576"/>
    <w:rsid w:val="00243FEC"/>
    <w:rsid w:val="0024695F"/>
    <w:rsid w:val="0024785A"/>
    <w:rsid w:val="002502E0"/>
    <w:rsid w:val="0025079E"/>
    <w:rsid w:val="0025300B"/>
    <w:rsid w:val="00253C95"/>
    <w:rsid w:val="00255AD6"/>
    <w:rsid w:val="00256005"/>
    <w:rsid w:val="002575A3"/>
    <w:rsid w:val="00260231"/>
    <w:rsid w:val="00260A91"/>
    <w:rsid w:val="00265962"/>
    <w:rsid w:val="0026685A"/>
    <w:rsid w:val="00266BBE"/>
    <w:rsid w:val="00270B60"/>
    <w:rsid w:val="00275732"/>
    <w:rsid w:val="00276BE4"/>
    <w:rsid w:val="002819F8"/>
    <w:rsid w:val="00281D35"/>
    <w:rsid w:val="00282CEA"/>
    <w:rsid w:val="00283A7D"/>
    <w:rsid w:val="00284CCA"/>
    <w:rsid w:val="00285348"/>
    <w:rsid w:val="00285ECA"/>
    <w:rsid w:val="002860D0"/>
    <w:rsid w:val="00286854"/>
    <w:rsid w:val="002933E1"/>
    <w:rsid w:val="002A0CC7"/>
    <w:rsid w:val="002A1CDF"/>
    <w:rsid w:val="002A46FF"/>
    <w:rsid w:val="002A7B96"/>
    <w:rsid w:val="002B1EDF"/>
    <w:rsid w:val="002B26C5"/>
    <w:rsid w:val="002B29F0"/>
    <w:rsid w:val="002B37C5"/>
    <w:rsid w:val="002B4DA1"/>
    <w:rsid w:val="002B5E8A"/>
    <w:rsid w:val="002B7F1C"/>
    <w:rsid w:val="002B7F3E"/>
    <w:rsid w:val="002C2665"/>
    <w:rsid w:val="002C5674"/>
    <w:rsid w:val="002C5DA6"/>
    <w:rsid w:val="002C60FD"/>
    <w:rsid w:val="002C74A6"/>
    <w:rsid w:val="002C786E"/>
    <w:rsid w:val="002D0D42"/>
    <w:rsid w:val="002D0F91"/>
    <w:rsid w:val="002D2203"/>
    <w:rsid w:val="002D3737"/>
    <w:rsid w:val="002D4602"/>
    <w:rsid w:val="002D4793"/>
    <w:rsid w:val="002D5CE5"/>
    <w:rsid w:val="002E2222"/>
    <w:rsid w:val="002E7ABE"/>
    <w:rsid w:val="002E7DDC"/>
    <w:rsid w:val="002F0732"/>
    <w:rsid w:val="002F0DEB"/>
    <w:rsid w:val="002F26C6"/>
    <w:rsid w:val="002F3164"/>
    <w:rsid w:val="002F3FCA"/>
    <w:rsid w:val="002F79F1"/>
    <w:rsid w:val="00300259"/>
    <w:rsid w:val="00300FF2"/>
    <w:rsid w:val="00303EDD"/>
    <w:rsid w:val="00304DE7"/>
    <w:rsid w:val="00307ED9"/>
    <w:rsid w:val="00310FD4"/>
    <w:rsid w:val="0031465A"/>
    <w:rsid w:val="00314780"/>
    <w:rsid w:val="00316D8F"/>
    <w:rsid w:val="003246FE"/>
    <w:rsid w:val="003337F5"/>
    <w:rsid w:val="00341F38"/>
    <w:rsid w:val="0034213E"/>
    <w:rsid w:val="00342884"/>
    <w:rsid w:val="0034639F"/>
    <w:rsid w:val="00347487"/>
    <w:rsid w:val="00347BDA"/>
    <w:rsid w:val="00347D14"/>
    <w:rsid w:val="003541CD"/>
    <w:rsid w:val="003561BC"/>
    <w:rsid w:val="003625DA"/>
    <w:rsid w:val="00365967"/>
    <w:rsid w:val="00366349"/>
    <w:rsid w:val="00366F74"/>
    <w:rsid w:val="003678A1"/>
    <w:rsid w:val="00370A4F"/>
    <w:rsid w:val="00370CC9"/>
    <w:rsid w:val="00373CD3"/>
    <w:rsid w:val="00375EFB"/>
    <w:rsid w:val="00377488"/>
    <w:rsid w:val="00377A61"/>
    <w:rsid w:val="00377EE8"/>
    <w:rsid w:val="00381A33"/>
    <w:rsid w:val="00386E1F"/>
    <w:rsid w:val="00387F7E"/>
    <w:rsid w:val="00393292"/>
    <w:rsid w:val="00393D61"/>
    <w:rsid w:val="00394F77"/>
    <w:rsid w:val="00395B20"/>
    <w:rsid w:val="003A1618"/>
    <w:rsid w:val="003A1B71"/>
    <w:rsid w:val="003A44B0"/>
    <w:rsid w:val="003A4DD9"/>
    <w:rsid w:val="003A6271"/>
    <w:rsid w:val="003B1749"/>
    <w:rsid w:val="003B4912"/>
    <w:rsid w:val="003B54E0"/>
    <w:rsid w:val="003B614B"/>
    <w:rsid w:val="003C0436"/>
    <w:rsid w:val="003C0999"/>
    <w:rsid w:val="003C1636"/>
    <w:rsid w:val="003C37E5"/>
    <w:rsid w:val="003C5C25"/>
    <w:rsid w:val="003C6655"/>
    <w:rsid w:val="003C6B0D"/>
    <w:rsid w:val="003C7441"/>
    <w:rsid w:val="003C7A16"/>
    <w:rsid w:val="003D0C67"/>
    <w:rsid w:val="003D17D0"/>
    <w:rsid w:val="003D3017"/>
    <w:rsid w:val="003E005D"/>
    <w:rsid w:val="003E04AC"/>
    <w:rsid w:val="003E1733"/>
    <w:rsid w:val="003E1AD8"/>
    <w:rsid w:val="003E2BC1"/>
    <w:rsid w:val="003E40E2"/>
    <w:rsid w:val="003E416C"/>
    <w:rsid w:val="003E4FBA"/>
    <w:rsid w:val="003E51F4"/>
    <w:rsid w:val="003F0DAC"/>
    <w:rsid w:val="003F33D8"/>
    <w:rsid w:val="003F5FB6"/>
    <w:rsid w:val="003F703F"/>
    <w:rsid w:val="004015C8"/>
    <w:rsid w:val="004019D4"/>
    <w:rsid w:val="00402BFC"/>
    <w:rsid w:val="00402FF9"/>
    <w:rsid w:val="00403B04"/>
    <w:rsid w:val="00403E6C"/>
    <w:rsid w:val="00406720"/>
    <w:rsid w:val="0041137E"/>
    <w:rsid w:val="00412589"/>
    <w:rsid w:val="0041271F"/>
    <w:rsid w:val="00412ECF"/>
    <w:rsid w:val="0041584B"/>
    <w:rsid w:val="00417A41"/>
    <w:rsid w:val="00424433"/>
    <w:rsid w:val="004249C5"/>
    <w:rsid w:val="0042554D"/>
    <w:rsid w:val="00430638"/>
    <w:rsid w:val="004330F7"/>
    <w:rsid w:val="004355C3"/>
    <w:rsid w:val="004403A2"/>
    <w:rsid w:val="00442BB0"/>
    <w:rsid w:val="00446B13"/>
    <w:rsid w:val="00447CE3"/>
    <w:rsid w:val="0045347E"/>
    <w:rsid w:val="00455A6B"/>
    <w:rsid w:val="00455C4E"/>
    <w:rsid w:val="004563FA"/>
    <w:rsid w:val="00460992"/>
    <w:rsid w:val="0046165E"/>
    <w:rsid w:val="004621E7"/>
    <w:rsid w:val="00463F19"/>
    <w:rsid w:val="00467942"/>
    <w:rsid w:val="00470459"/>
    <w:rsid w:val="00471DAE"/>
    <w:rsid w:val="004723AC"/>
    <w:rsid w:val="00473AA4"/>
    <w:rsid w:val="00475A97"/>
    <w:rsid w:val="00476A51"/>
    <w:rsid w:val="00480FC7"/>
    <w:rsid w:val="00481281"/>
    <w:rsid w:val="0048257A"/>
    <w:rsid w:val="00482FC4"/>
    <w:rsid w:val="00484F7D"/>
    <w:rsid w:val="004859F8"/>
    <w:rsid w:val="00487AE1"/>
    <w:rsid w:val="00487D31"/>
    <w:rsid w:val="00490E2E"/>
    <w:rsid w:val="0049225A"/>
    <w:rsid w:val="004922DB"/>
    <w:rsid w:val="00495A25"/>
    <w:rsid w:val="00495AFB"/>
    <w:rsid w:val="00497678"/>
    <w:rsid w:val="00497D39"/>
    <w:rsid w:val="00497F4C"/>
    <w:rsid w:val="004A021F"/>
    <w:rsid w:val="004A0CF4"/>
    <w:rsid w:val="004A20D0"/>
    <w:rsid w:val="004B1E15"/>
    <w:rsid w:val="004C05DA"/>
    <w:rsid w:val="004C128F"/>
    <w:rsid w:val="004C2237"/>
    <w:rsid w:val="004C70A1"/>
    <w:rsid w:val="004D054A"/>
    <w:rsid w:val="004E1000"/>
    <w:rsid w:val="004E1C21"/>
    <w:rsid w:val="004E65CA"/>
    <w:rsid w:val="004F4274"/>
    <w:rsid w:val="004F4B90"/>
    <w:rsid w:val="004F78DF"/>
    <w:rsid w:val="0050339E"/>
    <w:rsid w:val="005036FB"/>
    <w:rsid w:val="00510D03"/>
    <w:rsid w:val="0051146F"/>
    <w:rsid w:val="00513D13"/>
    <w:rsid w:val="00517CAF"/>
    <w:rsid w:val="0052086A"/>
    <w:rsid w:val="005212D1"/>
    <w:rsid w:val="0052297E"/>
    <w:rsid w:val="005257B0"/>
    <w:rsid w:val="00531AA5"/>
    <w:rsid w:val="005339DB"/>
    <w:rsid w:val="00534515"/>
    <w:rsid w:val="005378A5"/>
    <w:rsid w:val="005378E0"/>
    <w:rsid w:val="00543861"/>
    <w:rsid w:val="005507EB"/>
    <w:rsid w:val="005513B5"/>
    <w:rsid w:val="0056241B"/>
    <w:rsid w:val="005629DF"/>
    <w:rsid w:val="00564DBC"/>
    <w:rsid w:val="00566DB9"/>
    <w:rsid w:val="00566E25"/>
    <w:rsid w:val="00567019"/>
    <w:rsid w:val="0057504B"/>
    <w:rsid w:val="005827F3"/>
    <w:rsid w:val="005849C8"/>
    <w:rsid w:val="0058598B"/>
    <w:rsid w:val="005869A6"/>
    <w:rsid w:val="00590314"/>
    <w:rsid w:val="0059238F"/>
    <w:rsid w:val="00593D61"/>
    <w:rsid w:val="005A0CAB"/>
    <w:rsid w:val="005A29A7"/>
    <w:rsid w:val="005A4873"/>
    <w:rsid w:val="005A4D20"/>
    <w:rsid w:val="005B1A53"/>
    <w:rsid w:val="005B289A"/>
    <w:rsid w:val="005B489F"/>
    <w:rsid w:val="005B662A"/>
    <w:rsid w:val="005B6D7F"/>
    <w:rsid w:val="005C0F51"/>
    <w:rsid w:val="005C1796"/>
    <w:rsid w:val="005C25F9"/>
    <w:rsid w:val="005C3027"/>
    <w:rsid w:val="005C5CE1"/>
    <w:rsid w:val="005C69D9"/>
    <w:rsid w:val="005D0F8A"/>
    <w:rsid w:val="005D2C70"/>
    <w:rsid w:val="005D5128"/>
    <w:rsid w:val="005D53E1"/>
    <w:rsid w:val="005D53E9"/>
    <w:rsid w:val="005D6292"/>
    <w:rsid w:val="005D6940"/>
    <w:rsid w:val="005D7681"/>
    <w:rsid w:val="005E143F"/>
    <w:rsid w:val="005E2B89"/>
    <w:rsid w:val="005E37ED"/>
    <w:rsid w:val="005E553D"/>
    <w:rsid w:val="005E58F4"/>
    <w:rsid w:val="005E6603"/>
    <w:rsid w:val="005E7EF0"/>
    <w:rsid w:val="005F1FAF"/>
    <w:rsid w:val="005F3F39"/>
    <w:rsid w:val="005F605B"/>
    <w:rsid w:val="005F652A"/>
    <w:rsid w:val="005F66AE"/>
    <w:rsid w:val="00602384"/>
    <w:rsid w:val="006101F1"/>
    <w:rsid w:val="00612046"/>
    <w:rsid w:val="006137D7"/>
    <w:rsid w:val="006140EE"/>
    <w:rsid w:val="00614B8C"/>
    <w:rsid w:val="00614E3F"/>
    <w:rsid w:val="006171BC"/>
    <w:rsid w:val="00620ECC"/>
    <w:rsid w:val="00621CDB"/>
    <w:rsid w:val="00625955"/>
    <w:rsid w:val="00626799"/>
    <w:rsid w:val="00630D43"/>
    <w:rsid w:val="00637668"/>
    <w:rsid w:val="00637AF3"/>
    <w:rsid w:val="00641571"/>
    <w:rsid w:val="00645071"/>
    <w:rsid w:val="00645793"/>
    <w:rsid w:val="00645CAB"/>
    <w:rsid w:val="00647F21"/>
    <w:rsid w:val="0065199E"/>
    <w:rsid w:val="00651A04"/>
    <w:rsid w:val="00654F4D"/>
    <w:rsid w:val="00656972"/>
    <w:rsid w:val="00660A60"/>
    <w:rsid w:val="00660EC4"/>
    <w:rsid w:val="00661295"/>
    <w:rsid w:val="00663BC4"/>
    <w:rsid w:val="0066587F"/>
    <w:rsid w:val="00666387"/>
    <w:rsid w:val="00671209"/>
    <w:rsid w:val="006757A1"/>
    <w:rsid w:val="006762CB"/>
    <w:rsid w:val="00676909"/>
    <w:rsid w:val="00676FA4"/>
    <w:rsid w:val="0067740D"/>
    <w:rsid w:val="00680F26"/>
    <w:rsid w:val="00683111"/>
    <w:rsid w:val="006834A9"/>
    <w:rsid w:val="00686493"/>
    <w:rsid w:val="00687563"/>
    <w:rsid w:val="00691B0F"/>
    <w:rsid w:val="00691E75"/>
    <w:rsid w:val="00692685"/>
    <w:rsid w:val="00697972"/>
    <w:rsid w:val="006A19DA"/>
    <w:rsid w:val="006A4397"/>
    <w:rsid w:val="006A6449"/>
    <w:rsid w:val="006A7D96"/>
    <w:rsid w:val="006B0967"/>
    <w:rsid w:val="006B1F63"/>
    <w:rsid w:val="006B37D0"/>
    <w:rsid w:val="006B3C32"/>
    <w:rsid w:val="006B44E2"/>
    <w:rsid w:val="006B5687"/>
    <w:rsid w:val="006B75FC"/>
    <w:rsid w:val="006B7909"/>
    <w:rsid w:val="006C016B"/>
    <w:rsid w:val="006C1177"/>
    <w:rsid w:val="006C63EF"/>
    <w:rsid w:val="006D1864"/>
    <w:rsid w:val="006D1DF2"/>
    <w:rsid w:val="006D4576"/>
    <w:rsid w:val="006D4DD5"/>
    <w:rsid w:val="006D7912"/>
    <w:rsid w:val="006D7B90"/>
    <w:rsid w:val="006E0406"/>
    <w:rsid w:val="006E70BF"/>
    <w:rsid w:val="006F16CA"/>
    <w:rsid w:val="006F1F24"/>
    <w:rsid w:val="006F347E"/>
    <w:rsid w:val="006F3D83"/>
    <w:rsid w:val="006F662F"/>
    <w:rsid w:val="006F6B16"/>
    <w:rsid w:val="0070059D"/>
    <w:rsid w:val="007014A3"/>
    <w:rsid w:val="00702527"/>
    <w:rsid w:val="0070682F"/>
    <w:rsid w:val="007105DF"/>
    <w:rsid w:val="0071450C"/>
    <w:rsid w:val="00714D20"/>
    <w:rsid w:val="00715094"/>
    <w:rsid w:val="00715220"/>
    <w:rsid w:val="0072104F"/>
    <w:rsid w:val="00722E10"/>
    <w:rsid w:val="00724A74"/>
    <w:rsid w:val="007254C2"/>
    <w:rsid w:val="00727C8F"/>
    <w:rsid w:val="0073060E"/>
    <w:rsid w:val="00733CCF"/>
    <w:rsid w:val="0073562D"/>
    <w:rsid w:val="00736785"/>
    <w:rsid w:val="0074280A"/>
    <w:rsid w:val="00750312"/>
    <w:rsid w:val="00751F15"/>
    <w:rsid w:val="00752107"/>
    <w:rsid w:val="007522AC"/>
    <w:rsid w:val="00753488"/>
    <w:rsid w:val="0075383F"/>
    <w:rsid w:val="00753BFB"/>
    <w:rsid w:val="00761FE7"/>
    <w:rsid w:val="00762D3E"/>
    <w:rsid w:val="00765231"/>
    <w:rsid w:val="00765385"/>
    <w:rsid w:val="0076747C"/>
    <w:rsid w:val="0077604E"/>
    <w:rsid w:val="007809B3"/>
    <w:rsid w:val="00781DD9"/>
    <w:rsid w:val="00781F00"/>
    <w:rsid w:val="00782A08"/>
    <w:rsid w:val="00783F23"/>
    <w:rsid w:val="007851D3"/>
    <w:rsid w:val="00786F9D"/>
    <w:rsid w:val="007A052E"/>
    <w:rsid w:val="007A0673"/>
    <w:rsid w:val="007A0D2C"/>
    <w:rsid w:val="007A3338"/>
    <w:rsid w:val="007A4CB8"/>
    <w:rsid w:val="007A68A8"/>
    <w:rsid w:val="007B5C74"/>
    <w:rsid w:val="007C045F"/>
    <w:rsid w:val="007C291B"/>
    <w:rsid w:val="007C4B05"/>
    <w:rsid w:val="007C514B"/>
    <w:rsid w:val="007D2725"/>
    <w:rsid w:val="007D5A03"/>
    <w:rsid w:val="007D7539"/>
    <w:rsid w:val="007E2E24"/>
    <w:rsid w:val="007E371F"/>
    <w:rsid w:val="007E3824"/>
    <w:rsid w:val="007E520F"/>
    <w:rsid w:val="007E6903"/>
    <w:rsid w:val="007E763D"/>
    <w:rsid w:val="007F2A13"/>
    <w:rsid w:val="007F2DF7"/>
    <w:rsid w:val="007F3E73"/>
    <w:rsid w:val="007F47C7"/>
    <w:rsid w:val="007F4912"/>
    <w:rsid w:val="00800322"/>
    <w:rsid w:val="00800B7D"/>
    <w:rsid w:val="00802C24"/>
    <w:rsid w:val="00804CFB"/>
    <w:rsid w:val="00805CCC"/>
    <w:rsid w:val="0080617E"/>
    <w:rsid w:val="0080761C"/>
    <w:rsid w:val="00807ED6"/>
    <w:rsid w:val="00810065"/>
    <w:rsid w:val="008111E1"/>
    <w:rsid w:val="008124F2"/>
    <w:rsid w:val="0081265E"/>
    <w:rsid w:val="008129D4"/>
    <w:rsid w:val="008157AE"/>
    <w:rsid w:val="00816C2D"/>
    <w:rsid w:val="00816F37"/>
    <w:rsid w:val="00820EAF"/>
    <w:rsid w:val="0082122B"/>
    <w:rsid w:val="0082398A"/>
    <w:rsid w:val="00835DDC"/>
    <w:rsid w:val="00843E89"/>
    <w:rsid w:val="008445BB"/>
    <w:rsid w:val="00844A22"/>
    <w:rsid w:val="0085060A"/>
    <w:rsid w:val="0085115B"/>
    <w:rsid w:val="00852834"/>
    <w:rsid w:val="008544A8"/>
    <w:rsid w:val="00864366"/>
    <w:rsid w:val="00865AA9"/>
    <w:rsid w:val="0086677B"/>
    <w:rsid w:val="00875167"/>
    <w:rsid w:val="0087604D"/>
    <w:rsid w:val="00881E23"/>
    <w:rsid w:val="00882B3C"/>
    <w:rsid w:val="00886991"/>
    <w:rsid w:val="00890438"/>
    <w:rsid w:val="00890974"/>
    <w:rsid w:val="00894960"/>
    <w:rsid w:val="008A3D52"/>
    <w:rsid w:val="008A3F71"/>
    <w:rsid w:val="008A42F3"/>
    <w:rsid w:val="008A485A"/>
    <w:rsid w:val="008A6FFF"/>
    <w:rsid w:val="008A7E4B"/>
    <w:rsid w:val="008B0F85"/>
    <w:rsid w:val="008B1F3D"/>
    <w:rsid w:val="008B55E0"/>
    <w:rsid w:val="008B594F"/>
    <w:rsid w:val="008C1453"/>
    <w:rsid w:val="008C490A"/>
    <w:rsid w:val="008C7A67"/>
    <w:rsid w:val="008D0429"/>
    <w:rsid w:val="008D103C"/>
    <w:rsid w:val="008D5FF5"/>
    <w:rsid w:val="008D605B"/>
    <w:rsid w:val="008D70B9"/>
    <w:rsid w:val="008E04B6"/>
    <w:rsid w:val="008E12E3"/>
    <w:rsid w:val="008E1650"/>
    <w:rsid w:val="008E7C5C"/>
    <w:rsid w:val="008F24DA"/>
    <w:rsid w:val="008F2B36"/>
    <w:rsid w:val="008F5DB1"/>
    <w:rsid w:val="008F637C"/>
    <w:rsid w:val="008F6471"/>
    <w:rsid w:val="008F6B63"/>
    <w:rsid w:val="008F7947"/>
    <w:rsid w:val="00900F0F"/>
    <w:rsid w:val="00904BAE"/>
    <w:rsid w:val="0090557B"/>
    <w:rsid w:val="0091270D"/>
    <w:rsid w:val="009142BB"/>
    <w:rsid w:val="00915459"/>
    <w:rsid w:val="00916F22"/>
    <w:rsid w:val="00917856"/>
    <w:rsid w:val="00917985"/>
    <w:rsid w:val="0092050E"/>
    <w:rsid w:val="0092060D"/>
    <w:rsid w:val="0092171E"/>
    <w:rsid w:val="00921D2A"/>
    <w:rsid w:val="00925FEA"/>
    <w:rsid w:val="009264EA"/>
    <w:rsid w:val="009266E1"/>
    <w:rsid w:val="0093383F"/>
    <w:rsid w:val="00934BA1"/>
    <w:rsid w:val="00937D19"/>
    <w:rsid w:val="00937E0C"/>
    <w:rsid w:val="0094051F"/>
    <w:rsid w:val="00944AFE"/>
    <w:rsid w:val="0094520B"/>
    <w:rsid w:val="0095238B"/>
    <w:rsid w:val="009541C0"/>
    <w:rsid w:val="00954841"/>
    <w:rsid w:val="00956B30"/>
    <w:rsid w:val="00957D44"/>
    <w:rsid w:val="00957EEB"/>
    <w:rsid w:val="009614A4"/>
    <w:rsid w:val="00962753"/>
    <w:rsid w:val="00963629"/>
    <w:rsid w:val="00970B1C"/>
    <w:rsid w:val="00972F53"/>
    <w:rsid w:val="009730F5"/>
    <w:rsid w:val="009740E2"/>
    <w:rsid w:val="00975CF5"/>
    <w:rsid w:val="009763CD"/>
    <w:rsid w:val="00976BAD"/>
    <w:rsid w:val="00977CDF"/>
    <w:rsid w:val="00980E86"/>
    <w:rsid w:val="00981645"/>
    <w:rsid w:val="0098174A"/>
    <w:rsid w:val="00981CAD"/>
    <w:rsid w:val="00983A09"/>
    <w:rsid w:val="00985762"/>
    <w:rsid w:val="00986814"/>
    <w:rsid w:val="0098725D"/>
    <w:rsid w:val="0099025B"/>
    <w:rsid w:val="00990403"/>
    <w:rsid w:val="0099193E"/>
    <w:rsid w:val="0099341D"/>
    <w:rsid w:val="00993E59"/>
    <w:rsid w:val="00995515"/>
    <w:rsid w:val="009966DF"/>
    <w:rsid w:val="00996F19"/>
    <w:rsid w:val="00997018"/>
    <w:rsid w:val="009A051F"/>
    <w:rsid w:val="009A11F1"/>
    <w:rsid w:val="009A1C2D"/>
    <w:rsid w:val="009A24C6"/>
    <w:rsid w:val="009A54B9"/>
    <w:rsid w:val="009A6D01"/>
    <w:rsid w:val="009B28B1"/>
    <w:rsid w:val="009B388D"/>
    <w:rsid w:val="009B3E7D"/>
    <w:rsid w:val="009B4C8D"/>
    <w:rsid w:val="009B77EC"/>
    <w:rsid w:val="009B7A09"/>
    <w:rsid w:val="009B7A55"/>
    <w:rsid w:val="009C382A"/>
    <w:rsid w:val="009C4084"/>
    <w:rsid w:val="009C520E"/>
    <w:rsid w:val="009C554E"/>
    <w:rsid w:val="009C576A"/>
    <w:rsid w:val="009C63ED"/>
    <w:rsid w:val="009C6993"/>
    <w:rsid w:val="009D46A0"/>
    <w:rsid w:val="009D617F"/>
    <w:rsid w:val="009D6345"/>
    <w:rsid w:val="009D6C5E"/>
    <w:rsid w:val="009D701B"/>
    <w:rsid w:val="009E187A"/>
    <w:rsid w:val="009E1AC8"/>
    <w:rsid w:val="009E3836"/>
    <w:rsid w:val="009E48C8"/>
    <w:rsid w:val="009E4D9C"/>
    <w:rsid w:val="009E65AB"/>
    <w:rsid w:val="009F1F65"/>
    <w:rsid w:val="009F2F24"/>
    <w:rsid w:val="009F4D63"/>
    <w:rsid w:val="009F69F2"/>
    <w:rsid w:val="009F6B52"/>
    <w:rsid w:val="009F7B28"/>
    <w:rsid w:val="00A03366"/>
    <w:rsid w:val="00A0554F"/>
    <w:rsid w:val="00A10524"/>
    <w:rsid w:val="00A10C4C"/>
    <w:rsid w:val="00A10F24"/>
    <w:rsid w:val="00A11AD3"/>
    <w:rsid w:val="00A11DC7"/>
    <w:rsid w:val="00A13AB9"/>
    <w:rsid w:val="00A20736"/>
    <w:rsid w:val="00A2210E"/>
    <w:rsid w:val="00A24D57"/>
    <w:rsid w:val="00A26CFC"/>
    <w:rsid w:val="00A313E1"/>
    <w:rsid w:val="00A40ECF"/>
    <w:rsid w:val="00A45C76"/>
    <w:rsid w:val="00A46D77"/>
    <w:rsid w:val="00A47E63"/>
    <w:rsid w:val="00A51341"/>
    <w:rsid w:val="00A51CD0"/>
    <w:rsid w:val="00A53059"/>
    <w:rsid w:val="00A54E41"/>
    <w:rsid w:val="00A5729A"/>
    <w:rsid w:val="00A5729E"/>
    <w:rsid w:val="00A578B5"/>
    <w:rsid w:val="00A62E40"/>
    <w:rsid w:val="00A63DA1"/>
    <w:rsid w:val="00A66806"/>
    <w:rsid w:val="00A675E3"/>
    <w:rsid w:val="00A70C6B"/>
    <w:rsid w:val="00A71079"/>
    <w:rsid w:val="00A718A2"/>
    <w:rsid w:val="00A741B7"/>
    <w:rsid w:val="00A75B04"/>
    <w:rsid w:val="00A76804"/>
    <w:rsid w:val="00A76C45"/>
    <w:rsid w:val="00A76DFB"/>
    <w:rsid w:val="00A84C6D"/>
    <w:rsid w:val="00A943CE"/>
    <w:rsid w:val="00A94683"/>
    <w:rsid w:val="00A963DD"/>
    <w:rsid w:val="00AA1674"/>
    <w:rsid w:val="00AA2F9E"/>
    <w:rsid w:val="00AA406E"/>
    <w:rsid w:val="00AA7427"/>
    <w:rsid w:val="00AB0085"/>
    <w:rsid w:val="00AB1EF4"/>
    <w:rsid w:val="00AB506A"/>
    <w:rsid w:val="00AB7DE9"/>
    <w:rsid w:val="00AC2224"/>
    <w:rsid w:val="00AC24BC"/>
    <w:rsid w:val="00AC2853"/>
    <w:rsid w:val="00AC4305"/>
    <w:rsid w:val="00AC6E08"/>
    <w:rsid w:val="00AD046E"/>
    <w:rsid w:val="00AD5345"/>
    <w:rsid w:val="00AD55CA"/>
    <w:rsid w:val="00AD7326"/>
    <w:rsid w:val="00AD7DBE"/>
    <w:rsid w:val="00AE1A04"/>
    <w:rsid w:val="00AE269C"/>
    <w:rsid w:val="00AE3C64"/>
    <w:rsid w:val="00AF0B72"/>
    <w:rsid w:val="00AF52EC"/>
    <w:rsid w:val="00AF5925"/>
    <w:rsid w:val="00AF60DA"/>
    <w:rsid w:val="00B0168D"/>
    <w:rsid w:val="00B0211E"/>
    <w:rsid w:val="00B02939"/>
    <w:rsid w:val="00B02FC2"/>
    <w:rsid w:val="00B04255"/>
    <w:rsid w:val="00B05D36"/>
    <w:rsid w:val="00B06989"/>
    <w:rsid w:val="00B10ED4"/>
    <w:rsid w:val="00B14828"/>
    <w:rsid w:val="00B14AB4"/>
    <w:rsid w:val="00B17DD1"/>
    <w:rsid w:val="00B20E4A"/>
    <w:rsid w:val="00B22119"/>
    <w:rsid w:val="00B24C0B"/>
    <w:rsid w:val="00B2677B"/>
    <w:rsid w:val="00B322E3"/>
    <w:rsid w:val="00B35466"/>
    <w:rsid w:val="00B37ACC"/>
    <w:rsid w:val="00B37FE7"/>
    <w:rsid w:val="00B40647"/>
    <w:rsid w:val="00B4250A"/>
    <w:rsid w:val="00B436DE"/>
    <w:rsid w:val="00B46506"/>
    <w:rsid w:val="00B46EB3"/>
    <w:rsid w:val="00B47F5D"/>
    <w:rsid w:val="00B52498"/>
    <w:rsid w:val="00B53F1D"/>
    <w:rsid w:val="00B54C76"/>
    <w:rsid w:val="00B556CB"/>
    <w:rsid w:val="00B56CE4"/>
    <w:rsid w:val="00B6285C"/>
    <w:rsid w:val="00B62A8D"/>
    <w:rsid w:val="00B636B3"/>
    <w:rsid w:val="00B71A19"/>
    <w:rsid w:val="00B73953"/>
    <w:rsid w:val="00B73AD3"/>
    <w:rsid w:val="00B75CC9"/>
    <w:rsid w:val="00B76AC3"/>
    <w:rsid w:val="00B76C44"/>
    <w:rsid w:val="00B8009C"/>
    <w:rsid w:val="00B80D56"/>
    <w:rsid w:val="00B84F10"/>
    <w:rsid w:val="00B926F6"/>
    <w:rsid w:val="00B94F14"/>
    <w:rsid w:val="00B94F18"/>
    <w:rsid w:val="00B972DF"/>
    <w:rsid w:val="00B97362"/>
    <w:rsid w:val="00BA0C34"/>
    <w:rsid w:val="00BA18AC"/>
    <w:rsid w:val="00BA51CE"/>
    <w:rsid w:val="00BA5562"/>
    <w:rsid w:val="00BA7557"/>
    <w:rsid w:val="00BA7FF9"/>
    <w:rsid w:val="00BB499F"/>
    <w:rsid w:val="00BB4FE0"/>
    <w:rsid w:val="00BC05A9"/>
    <w:rsid w:val="00BC1749"/>
    <w:rsid w:val="00BC3E73"/>
    <w:rsid w:val="00BC5537"/>
    <w:rsid w:val="00BC77FA"/>
    <w:rsid w:val="00BC795C"/>
    <w:rsid w:val="00BD54AA"/>
    <w:rsid w:val="00BD7EDD"/>
    <w:rsid w:val="00BE18B8"/>
    <w:rsid w:val="00BE1ECC"/>
    <w:rsid w:val="00BE3447"/>
    <w:rsid w:val="00BE3492"/>
    <w:rsid w:val="00BE4942"/>
    <w:rsid w:val="00BE5D68"/>
    <w:rsid w:val="00BE7113"/>
    <w:rsid w:val="00BF1157"/>
    <w:rsid w:val="00BF2F28"/>
    <w:rsid w:val="00BF3E5C"/>
    <w:rsid w:val="00BF4402"/>
    <w:rsid w:val="00BF76DC"/>
    <w:rsid w:val="00C006CC"/>
    <w:rsid w:val="00C0178A"/>
    <w:rsid w:val="00C01DF7"/>
    <w:rsid w:val="00C02DB8"/>
    <w:rsid w:val="00C03805"/>
    <w:rsid w:val="00C03A04"/>
    <w:rsid w:val="00C03D84"/>
    <w:rsid w:val="00C05B2C"/>
    <w:rsid w:val="00C0684E"/>
    <w:rsid w:val="00C10225"/>
    <w:rsid w:val="00C10657"/>
    <w:rsid w:val="00C1100A"/>
    <w:rsid w:val="00C12C2A"/>
    <w:rsid w:val="00C168DE"/>
    <w:rsid w:val="00C16DBD"/>
    <w:rsid w:val="00C17669"/>
    <w:rsid w:val="00C32742"/>
    <w:rsid w:val="00C34FA7"/>
    <w:rsid w:val="00C35DF7"/>
    <w:rsid w:val="00C37C8B"/>
    <w:rsid w:val="00C415B8"/>
    <w:rsid w:val="00C43192"/>
    <w:rsid w:val="00C446BA"/>
    <w:rsid w:val="00C5186C"/>
    <w:rsid w:val="00C51E88"/>
    <w:rsid w:val="00C52584"/>
    <w:rsid w:val="00C52A10"/>
    <w:rsid w:val="00C52D34"/>
    <w:rsid w:val="00C53AD1"/>
    <w:rsid w:val="00C541D2"/>
    <w:rsid w:val="00C5585E"/>
    <w:rsid w:val="00C57F10"/>
    <w:rsid w:val="00C657BF"/>
    <w:rsid w:val="00C660AC"/>
    <w:rsid w:val="00C726DC"/>
    <w:rsid w:val="00C731CC"/>
    <w:rsid w:val="00C827C0"/>
    <w:rsid w:val="00C84829"/>
    <w:rsid w:val="00C85D1C"/>
    <w:rsid w:val="00C87654"/>
    <w:rsid w:val="00C919A7"/>
    <w:rsid w:val="00C924D0"/>
    <w:rsid w:val="00C93399"/>
    <w:rsid w:val="00C95F3C"/>
    <w:rsid w:val="00CA56B4"/>
    <w:rsid w:val="00CB04DF"/>
    <w:rsid w:val="00CB0B16"/>
    <w:rsid w:val="00CB786A"/>
    <w:rsid w:val="00CC1670"/>
    <w:rsid w:val="00CC1794"/>
    <w:rsid w:val="00CC22B6"/>
    <w:rsid w:val="00CC3F81"/>
    <w:rsid w:val="00CC5D8F"/>
    <w:rsid w:val="00CD07D5"/>
    <w:rsid w:val="00CD1B8C"/>
    <w:rsid w:val="00CD2835"/>
    <w:rsid w:val="00CD4397"/>
    <w:rsid w:val="00CE0128"/>
    <w:rsid w:val="00CE1D39"/>
    <w:rsid w:val="00CE7289"/>
    <w:rsid w:val="00CE7F2B"/>
    <w:rsid w:val="00CF00CD"/>
    <w:rsid w:val="00CF0622"/>
    <w:rsid w:val="00CF2941"/>
    <w:rsid w:val="00CF56C6"/>
    <w:rsid w:val="00CF7049"/>
    <w:rsid w:val="00D010A4"/>
    <w:rsid w:val="00D01E1A"/>
    <w:rsid w:val="00D03449"/>
    <w:rsid w:val="00D03C24"/>
    <w:rsid w:val="00D03E24"/>
    <w:rsid w:val="00D15821"/>
    <w:rsid w:val="00D15CDB"/>
    <w:rsid w:val="00D15DED"/>
    <w:rsid w:val="00D17C83"/>
    <w:rsid w:val="00D20D60"/>
    <w:rsid w:val="00D20DDB"/>
    <w:rsid w:val="00D233AF"/>
    <w:rsid w:val="00D2633B"/>
    <w:rsid w:val="00D2786A"/>
    <w:rsid w:val="00D318FF"/>
    <w:rsid w:val="00D329D9"/>
    <w:rsid w:val="00D334ED"/>
    <w:rsid w:val="00D3364D"/>
    <w:rsid w:val="00D33D5F"/>
    <w:rsid w:val="00D34813"/>
    <w:rsid w:val="00D35463"/>
    <w:rsid w:val="00D35F32"/>
    <w:rsid w:val="00D36203"/>
    <w:rsid w:val="00D40BD0"/>
    <w:rsid w:val="00D465B1"/>
    <w:rsid w:val="00D47166"/>
    <w:rsid w:val="00D47A82"/>
    <w:rsid w:val="00D53F41"/>
    <w:rsid w:val="00D551EB"/>
    <w:rsid w:val="00D61B4E"/>
    <w:rsid w:val="00D62510"/>
    <w:rsid w:val="00D631AB"/>
    <w:rsid w:val="00D67414"/>
    <w:rsid w:val="00D67ACA"/>
    <w:rsid w:val="00D70B2D"/>
    <w:rsid w:val="00D70E91"/>
    <w:rsid w:val="00D71E03"/>
    <w:rsid w:val="00D7321E"/>
    <w:rsid w:val="00D73414"/>
    <w:rsid w:val="00D75790"/>
    <w:rsid w:val="00D75E30"/>
    <w:rsid w:val="00D76698"/>
    <w:rsid w:val="00D76F64"/>
    <w:rsid w:val="00D81938"/>
    <w:rsid w:val="00D81D00"/>
    <w:rsid w:val="00D839A6"/>
    <w:rsid w:val="00D83C62"/>
    <w:rsid w:val="00D848D7"/>
    <w:rsid w:val="00D84946"/>
    <w:rsid w:val="00D85157"/>
    <w:rsid w:val="00D864A6"/>
    <w:rsid w:val="00D92A70"/>
    <w:rsid w:val="00D93A02"/>
    <w:rsid w:val="00D95317"/>
    <w:rsid w:val="00DA08F1"/>
    <w:rsid w:val="00DA496E"/>
    <w:rsid w:val="00DA509D"/>
    <w:rsid w:val="00DA61DD"/>
    <w:rsid w:val="00DA7ACB"/>
    <w:rsid w:val="00DB22A0"/>
    <w:rsid w:val="00DB4A6D"/>
    <w:rsid w:val="00DB5E47"/>
    <w:rsid w:val="00DB69AB"/>
    <w:rsid w:val="00DB6CB8"/>
    <w:rsid w:val="00DB73C0"/>
    <w:rsid w:val="00DB74F0"/>
    <w:rsid w:val="00DC1D0C"/>
    <w:rsid w:val="00DC2BE5"/>
    <w:rsid w:val="00DD0EDA"/>
    <w:rsid w:val="00DD2906"/>
    <w:rsid w:val="00DD30CD"/>
    <w:rsid w:val="00DD3236"/>
    <w:rsid w:val="00DD40B9"/>
    <w:rsid w:val="00DD7B36"/>
    <w:rsid w:val="00DE0ED6"/>
    <w:rsid w:val="00DE332D"/>
    <w:rsid w:val="00DE5CD2"/>
    <w:rsid w:val="00DE7439"/>
    <w:rsid w:val="00DF1748"/>
    <w:rsid w:val="00DF1DC0"/>
    <w:rsid w:val="00DF602D"/>
    <w:rsid w:val="00DF6727"/>
    <w:rsid w:val="00DF6FA8"/>
    <w:rsid w:val="00DF70A3"/>
    <w:rsid w:val="00DF7810"/>
    <w:rsid w:val="00E022D6"/>
    <w:rsid w:val="00E0343E"/>
    <w:rsid w:val="00E03995"/>
    <w:rsid w:val="00E03A52"/>
    <w:rsid w:val="00E042A8"/>
    <w:rsid w:val="00E05206"/>
    <w:rsid w:val="00E06547"/>
    <w:rsid w:val="00E122AC"/>
    <w:rsid w:val="00E14181"/>
    <w:rsid w:val="00E15424"/>
    <w:rsid w:val="00E15F73"/>
    <w:rsid w:val="00E1749B"/>
    <w:rsid w:val="00E2379E"/>
    <w:rsid w:val="00E23D17"/>
    <w:rsid w:val="00E25ADE"/>
    <w:rsid w:val="00E262BF"/>
    <w:rsid w:val="00E3452C"/>
    <w:rsid w:val="00E35781"/>
    <w:rsid w:val="00E3774B"/>
    <w:rsid w:val="00E40F9C"/>
    <w:rsid w:val="00E41D83"/>
    <w:rsid w:val="00E463D0"/>
    <w:rsid w:val="00E471AF"/>
    <w:rsid w:val="00E504CD"/>
    <w:rsid w:val="00E513B7"/>
    <w:rsid w:val="00E5186F"/>
    <w:rsid w:val="00E51B4F"/>
    <w:rsid w:val="00E552A7"/>
    <w:rsid w:val="00E576C5"/>
    <w:rsid w:val="00E57F26"/>
    <w:rsid w:val="00E61363"/>
    <w:rsid w:val="00E615C9"/>
    <w:rsid w:val="00E618CA"/>
    <w:rsid w:val="00E625C3"/>
    <w:rsid w:val="00E66450"/>
    <w:rsid w:val="00E675BF"/>
    <w:rsid w:val="00E70873"/>
    <w:rsid w:val="00E71CAD"/>
    <w:rsid w:val="00E71FDB"/>
    <w:rsid w:val="00E72A2A"/>
    <w:rsid w:val="00E737C2"/>
    <w:rsid w:val="00E75883"/>
    <w:rsid w:val="00E83FA8"/>
    <w:rsid w:val="00E83FDB"/>
    <w:rsid w:val="00E84817"/>
    <w:rsid w:val="00E8493A"/>
    <w:rsid w:val="00E863A0"/>
    <w:rsid w:val="00E86E46"/>
    <w:rsid w:val="00E92AD3"/>
    <w:rsid w:val="00E93F08"/>
    <w:rsid w:val="00E959B2"/>
    <w:rsid w:val="00E964EE"/>
    <w:rsid w:val="00E9657F"/>
    <w:rsid w:val="00EA037D"/>
    <w:rsid w:val="00EA1515"/>
    <w:rsid w:val="00EA2018"/>
    <w:rsid w:val="00EA50DB"/>
    <w:rsid w:val="00EA7007"/>
    <w:rsid w:val="00EB0BC3"/>
    <w:rsid w:val="00EB0BD7"/>
    <w:rsid w:val="00EB4661"/>
    <w:rsid w:val="00EB529B"/>
    <w:rsid w:val="00EB52C4"/>
    <w:rsid w:val="00EB70CB"/>
    <w:rsid w:val="00EC1E25"/>
    <w:rsid w:val="00EC2699"/>
    <w:rsid w:val="00EC5AAF"/>
    <w:rsid w:val="00EC6DBB"/>
    <w:rsid w:val="00EC6FAA"/>
    <w:rsid w:val="00EC7615"/>
    <w:rsid w:val="00ED05A0"/>
    <w:rsid w:val="00ED14D4"/>
    <w:rsid w:val="00ED4677"/>
    <w:rsid w:val="00ED656C"/>
    <w:rsid w:val="00ED67B4"/>
    <w:rsid w:val="00ED7DCA"/>
    <w:rsid w:val="00EE3197"/>
    <w:rsid w:val="00EE3B61"/>
    <w:rsid w:val="00EE460C"/>
    <w:rsid w:val="00EE4C34"/>
    <w:rsid w:val="00EE5E57"/>
    <w:rsid w:val="00EE612F"/>
    <w:rsid w:val="00EE6BC6"/>
    <w:rsid w:val="00EF04E7"/>
    <w:rsid w:val="00EF1A39"/>
    <w:rsid w:val="00EF4A51"/>
    <w:rsid w:val="00EF543A"/>
    <w:rsid w:val="00EF54DE"/>
    <w:rsid w:val="00F05BE7"/>
    <w:rsid w:val="00F06426"/>
    <w:rsid w:val="00F11A58"/>
    <w:rsid w:val="00F140AF"/>
    <w:rsid w:val="00F15C8F"/>
    <w:rsid w:val="00F17686"/>
    <w:rsid w:val="00F17BBE"/>
    <w:rsid w:val="00F20DC5"/>
    <w:rsid w:val="00F231F2"/>
    <w:rsid w:val="00F30591"/>
    <w:rsid w:val="00F31A9D"/>
    <w:rsid w:val="00F3215B"/>
    <w:rsid w:val="00F334A5"/>
    <w:rsid w:val="00F3374C"/>
    <w:rsid w:val="00F35AFC"/>
    <w:rsid w:val="00F3690F"/>
    <w:rsid w:val="00F40251"/>
    <w:rsid w:val="00F42EEF"/>
    <w:rsid w:val="00F44359"/>
    <w:rsid w:val="00F45B40"/>
    <w:rsid w:val="00F45EDC"/>
    <w:rsid w:val="00F5019A"/>
    <w:rsid w:val="00F50F06"/>
    <w:rsid w:val="00F5103C"/>
    <w:rsid w:val="00F534B2"/>
    <w:rsid w:val="00F54881"/>
    <w:rsid w:val="00F57B7F"/>
    <w:rsid w:val="00F603A8"/>
    <w:rsid w:val="00F61E6B"/>
    <w:rsid w:val="00F63690"/>
    <w:rsid w:val="00F63B98"/>
    <w:rsid w:val="00F65782"/>
    <w:rsid w:val="00F65AB8"/>
    <w:rsid w:val="00F663F6"/>
    <w:rsid w:val="00F70FBD"/>
    <w:rsid w:val="00F71FB8"/>
    <w:rsid w:val="00F726AE"/>
    <w:rsid w:val="00F77B5A"/>
    <w:rsid w:val="00F83502"/>
    <w:rsid w:val="00F843BC"/>
    <w:rsid w:val="00F849DD"/>
    <w:rsid w:val="00F867C5"/>
    <w:rsid w:val="00F902F3"/>
    <w:rsid w:val="00F904D3"/>
    <w:rsid w:val="00F948FB"/>
    <w:rsid w:val="00F9618D"/>
    <w:rsid w:val="00F96C79"/>
    <w:rsid w:val="00F97181"/>
    <w:rsid w:val="00FA1D9F"/>
    <w:rsid w:val="00FA277C"/>
    <w:rsid w:val="00FA376D"/>
    <w:rsid w:val="00FA3A1A"/>
    <w:rsid w:val="00FA4483"/>
    <w:rsid w:val="00FA6035"/>
    <w:rsid w:val="00FA72ED"/>
    <w:rsid w:val="00FA7BFA"/>
    <w:rsid w:val="00FB077D"/>
    <w:rsid w:val="00FB0D16"/>
    <w:rsid w:val="00FB1067"/>
    <w:rsid w:val="00FB5E98"/>
    <w:rsid w:val="00FB6AD0"/>
    <w:rsid w:val="00FB6B08"/>
    <w:rsid w:val="00FC049E"/>
    <w:rsid w:val="00FC060B"/>
    <w:rsid w:val="00FC0DB0"/>
    <w:rsid w:val="00FC5C87"/>
    <w:rsid w:val="00FC61E4"/>
    <w:rsid w:val="00FC733E"/>
    <w:rsid w:val="00FD0089"/>
    <w:rsid w:val="00FD1027"/>
    <w:rsid w:val="00FD46B1"/>
    <w:rsid w:val="00FD4AEB"/>
    <w:rsid w:val="00FD5258"/>
    <w:rsid w:val="00FE17A2"/>
    <w:rsid w:val="00FE38EE"/>
    <w:rsid w:val="00FF1629"/>
    <w:rsid w:val="00FF4C4E"/>
    <w:rsid w:val="00FF524F"/>
    <w:rsid w:val="00FF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6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9D"/>
    <w:rPr>
      <w:sz w:val="20"/>
      <w:szCs w:val="20"/>
    </w:rPr>
  </w:style>
  <w:style w:type="character" w:styleId="FootnoteReference">
    <w:name w:val="footnote reference"/>
    <w:basedOn w:val="DefaultParagraphFont"/>
    <w:uiPriority w:val="99"/>
    <w:semiHidden/>
    <w:unhideWhenUsed/>
    <w:rsid w:val="00786F9D"/>
    <w:rPr>
      <w:vertAlign w:val="superscript"/>
    </w:rPr>
  </w:style>
  <w:style w:type="paragraph" w:styleId="ListParagraph">
    <w:name w:val="List Paragraph"/>
    <w:basedOn w:val="Normal"/>
    <w:uiPriority w:val="34"/>
    <w:qFormat/>
    <w:rsid w:val="00FC733E"/>
    <w:pPr>
      <w:ind w:left="720"/>
      <w:contextualSpacing/>
    </w:pPr>
  </w:style>
  <w:style w:type="paragraph" w:styleId="Header">
    <w:name w:val="header"/>
    <w:basedOn w:val="Normal"/>
    <w:link w:val="HeaderChar"/>
    <w:uiPriority w:val="99"/>
    <w:unhideWhenUsed/>
    <w:rsid w:val="00C02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DB8"/>
  </w:style>
  <w:style w:type="paragraph" w:styleId="Footer">
    <w:name w:val="footer"/>
    <w:basedOn w:val="Normal"/>
    <w:link w:val="FooterChar"/>
    <w:uiPriority w:val="99"/>
    <w:unhideWhenUsed/>
    <w:rsid w:val="00C02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6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9D"/>
    <w:rPr>
      <w:sz w:val="20"/>
      <w:szCs w:val="20"/>
    </w:rPr>
  </w:style>
  <w:style w:type="character" w:styleId="FootnoteReference">
    <w:name w:val="footnote reference"/>
    <w:basedOn w:val="DefaultParagraphFont"/>
    <w:uiPriority w:val="99"/>
    <w:semiHidden/>
    <w:unhideWhenUsed/>
    <w:rsid w:val="00786F9D"/>
    <w:rPr>
      <w:vertAlign w:val="superscript"/>
    </w:rPr>
  </w:style>
  <w:style w:type="paragraph" w:styleId="ListParagraph">
    <w:name w:val="List Paragraph"/>
    <w:basedOn w:val="Normal"/>
    <w:uiPriority w:val="34"/>
    <w:qFormat/>
    <w:rsid w:val="00FC733E"/>
    <w:pPr>
      <w:ind w:left="720"/>
      <w:contextualSpacing/>
    </w:pPr>
  </w:style>
  <w:style w:type="paragraph" w:styleId="Header">
    <w:name w:val="header"/>
    <w:basedOn w:val="Normal"/>
    <w:link w:val="HeaderChar"/>
    <w:uiPriority w:val="99"/>
    <w:unhideWhenUsed/>
    <w:rsid w:val="00C02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DB8"/>
  </w:style>
  <w:style w:type="paragraph" w:styleId="Footer">
    <w:name w:val="footer"/>
    <w:basedOn w:val="Normal"/>
    <w:link w:val="FooterChar"/>
    <w:uiPriority w:val="99"/>
    <w:unhideWhenUsed/>
    <w:rsid w:val="00C02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BB9B-AC16-4DB7-A3C1-3FBC700B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AD0351CD.dotm</Template>
  <TotalTime>0</TotalTime>
  <Pages>15</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Jackson</dc:creator>
  <cp:lastModifiedBy>njj7</cp:lastModifiedBy>
  <cp:revision>2</cp:revision>
  <dcterms:created xsi:type="dcterms:W3CDTF">2015-10-16T08:02:00Z</dcterms:created>
  <dcterms:modified xsi:type="dcterms:W3CDTF">2015-10-16T08:02:00Z</dcterms:modified>
</cp:coreProperties>
</file>