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5302" w14:textId="77777777" w:rsidR="00487EF5" w:rsidRDefault="00487EF5" w:rsidP="00692B7D">
      <w:pPr>
        <w:pStyle w:val="Heading1"/>
      </w:pPr>
      <w:bookmarkStart w:id="0" w:name="_GoBack"/>
      <w:bookmarkEnd w:id="0"/>
    </w:p>
    <w:p w14:paraId="16DD6FBC" w14:textId="77777777" w:rsidR="00D4046B" w:rsidRDefault="00D4046B" w:rsidP="00D4046B">
      <w:pPr>
        <w:pStyle w:val="Heading1"/>
        <w:spacing w:after="120"/>
      </w:pPr>
      <w:r>
        <w:tab/>
      </w:r>
    </w:p>
    <w:p w14:paraId="48144A73" w14:textId="77777777" w:rsidR="00D4046B" w:rsidRDefault="00D4046B" w:rsidP="00D4046B">
      <w:pPr>
        <w:pStyle w:val="Heading1"/>
        <w:spacing w:after="120"/>
      </w:pPr>
    </w:p>
    <w:p w14:paraId="4D78FEBC" w14:textId="77777777" w:rsidR="00D4046B" w:rsidRDefault="00D4046B" w:rsidP="00D4046B">
      <w:pPr>
        <w:pStyle w:val="Heading1"/>
        <w:spacing w:after="120"/>
      </w:pPr>
    </w:p>
    <w:p w14:paraId="35D14DC9" w14:textId="77777777" w:rsidR="00F30726" w:rsidRPr="00A74452" w:rsidRDefault="00F30726" w:rsidP="00F30726">
      <w:pPr>
        <w:pStyle w:val="Heading1"/>
        <w:rPr>
          <w:b w:val="0"/>
        </w:rPr>
      </w:pPr>
      <w:r>
        <w:rPr>
          <w:b w:val="0"/>
        </w:rPr>
        <w:t xml:space="preserve">Understanding the factors that predict </w:t>
      </w:r>
      <w:r w:rsidR="004168EF">
        <w:rPr>
          <w:b w:val="0"/>
        </w:rPr>
        <w:t xml:space="preserve">victim </w:t>
      </w:r>
      <w:r>
        <w:rPr>
          <w:b w:val="0"/>
        </w:rPr>
        <w:t xml:space="preserve">retraction in </w:t>
      </w:r>
      <w:r w:rsidR="00856420">
        <w:rPr>
          <w:b w:val="0"/>
        </w:rPr>
        <w:t>p</w:t>
      </w:r>
      <w:r>
        <w:rPr>
          <w:b w:val="0"/>
        </w:rPr>
        <w:t xml:space="preserve">olice reported </w:t>
      </w:r>
      <w:r w:rsidR="00856420">
        <w:rPr>
          <w:b w:val="0"/>
        </w:rPr>
        <w:t xml:space="preserve">allegations of </w:t>
      </w:r>
      <w:r>
        <w:rPr>
          <w:b w:val="0"/>
        </w:rPr>
        <w:t xml:space="preserve">intimate partner violence.  </w:t>
      </w:r>
      <w:r w:rsidRPr="00A74452">
        <w:rPr>
          <w:b w:val="0"/>
        </w:rPr>
        <w:t xml:space="preserve"> </w:t>
      </w:r>
    </w:p>
    <w:p w14:paraId="39A1E98B" w14:textId="77777777" w:rsidR="006050C6" w:rsidRPr="005C3B58" w:rsidRDefault="00F24AAA" w:rsidP="00F30726">
      <w:pPr>
        <w:pStyle w:val="Heading1"/>
        <w:jc w:val="left"/>
        <w:rPr>
          <w:b w:val="0"/>
        </w:rPr>
      </w:pPr>
      <w:r w:rsidRPr="005C3B58">
        <w:rPr>
          <w:b w:val="0"/>
        </w:rPr>
        <w:t xml:space="preserve">  </w:t>
      </w:r>
    </w:p>
    <w:p w14:paraId="138944F4" w14:textId="77777777" w:rsidR="00D4046B" w:rsidRDefault="00D4046B" w:rsidP="00D4046B">
      <w:pPr>
        <w:jc w:val="center"/>
      </w:pPr>
    </w:p>
    <w:p w14:paraId="1426F4BF" w14:textId="77777777" w:rsidR="00D4046B" w:rsidRDefault="00D4046B" w:rsidP="00D4046B">
      <w:pPr>
        <w:jc w:val="center"/>
      </w:pPr>
    </w:p>
    <w:p w14:paraId="35880E64" w14:textId="77777777" w:rsidR="00D4046B" w:rsidRDefault="00D4046B" w:rsidP="00D4046B">
      <w:pPr>
        <w:jc w:val="center"/>
      </w:pPr>
    </w:p>
    <w:p w14:paraId="3F9CE559" w14:textId="77777777" w:rsidR="00D4046B" w:rsidRDefault="00D4046B" w:rsidP="00D4046B">
      <w:pPr>
        <w:jc w:val="center"/>
      </w:pPr>
    </w:p>
    <w:p w14:paraId="01176B11" w14:textId="77777777" w:rsidR="00A115EF" w:rsidRDefault="00A115EF" w:rsidP="00A115EF">
      <w:pPr>
        <w:jc w:val="center"/>
      </w:pPr>
    </w:p>
    <w:p w14:paraId="7A731595" w14:textId="77777777" w:rsidR="00A115EF" w:rsidRDefault="00A115EF" w:rsidP="00A115EF">
      <w:pPr>
        <w:jc w:val="center"/>
      </w:pPr>
    </w:p>
    <w:p w14:paraId="2C0FEDFE" w14:textId="77777777" w:rsidR="00A115EF" w:rsidRDefault="00A115EF" w:rsidP="00A115EF">
      <w:pPr>
        <w:jc w:val="center"/>
      </w:pPr>
    </w:p>
    <w:p w14:paraId="7A29E7D6" w14:textId="77777777" w:rsidR="00A115EF" w:rsidRDefault="00A115EF" w:rsidP="00A115EF">
      <w:pPr>
        <w:jc w:val="center"/>
      </w:pPr>
    </w:p>
    <w:p w14:paraId="34AFF048" w14:textId="77777777" w:rsidR="00A115EF" w:rsidRDefault="00A115EF" w:rsidP="00A115EF">
      <w:pPr>
        <w:jc w:val="center"/>
      </w:pPr>
    </w:p>
    <w:p w14:paraId="5CA1D797" w14:textId="77777777" w:rsidR="00A115EF" w:rsidRDefault="00A115EF" w:rsidP="00A115EF">
      <w:pPr>
        <w:jc w:val="center"/>
      </w:pPr>
    </w:p>
    <w:p w14:paraId="47D8A91A" w14:textId="77777777" w:rsidR="00102452" w:rsidRDefault="00102452" w:rsidP="00102452">
      <w:pPr>
        <w:ind w:firstLine="0"/>
      </w:pPr>
    </w:p>
    <w:p w14:paraId="5DDC1DD7" w14:textId="77777777" w:rsidR="00102452" w:rsidRDefault="00102452" w:rsidP="00102452">
      <w:pPr>
        <w:ind w:firstLine="0"/>
      </w:pPr>
    </w:p>
    <w:p w14:paraId="6071A150" w14:textId="77777777" w:rsidR="00102452" w:rsidRDefault="00102452" w:rsidP="00102452">
      <w:pPr>
        <w:ind w:firstLine="0"/>
      </w:pPr>
    </w:p>
    <w:p w14:paraId="02465C99" w14:textId="77777777" w:rsidR="00102452" w:rsidRDefault="00102452" w:rsidP="00102452">
      <w:pPr>
        <w:ind w:firstLine="0"/>
      </w:pPr>
    </w:p>
    <w:p w14:paraId="605B0796" w14:textId="77777777" w:rsidR="00102452" w:rsidRDefault="00102452" w:rsidP="00102452">
      <w:pPr>
        <w:ind w:firstLine="0"/>
      </w:pPr>
    </w:p>
    <w:p w14:paraId="1F3EF391" w14:textId="77777777" w:rsidR="00102452" w:rsidRPr="00102452" w:rsidRDefault="00102452" w:rsidP="00102452">
      <w:pPr>
        <w:ind w:firstLine="0"/>
      </w:pPr>
    </w:p>
    <w:p w14:paraId="4D12C5A3" w14:textId="77777777" w:rsidR="00DD3F34" w:rsidRDefault="00DD3F34">
      <w:pPr>
        <w:spacing w:after="200" w:line="276" w:lineRule="auto"/>
        <w:ind w:firstLine="0"/>
        <w:rPr>
          <w:rFonts w:eastAsiaTheme="minorEastAsia"/>
          <w:b/>
          <w:spacing w:val="5"/>
          <w:szCs w:val="44"/>
          <w:lang w:bidi="en-US"/>
        </w:rPr>
      </w:pPr>
      <w:r>
        <w:br w:type="page"/>
      </w:r>
    </w:p>
    <w:p w14:paraId="6434CE63" w14:textId="77777777" w:rsidR="00123A0F" w:rsidRPr="008262BA" w:rsidRDefault="00123A0F" w:rsidP="008262BA">
      <w:pPr>
        <w:pStyle w:val="Heading1"/>
      </w:pPr>
      <w:r w:rsidRPr="008262BA">
        <w:lastRenderedPageBreak/>
        <w:t>Abstract</w:t>
      </w:r>
    </w:p>
    <w:p w14:paraId="58DE9371" w14:textId="77777777" w:rsidR="00E908E0" w:rsidRPr="00E908E0" w:rsidRDefault="00E908E0" w:rsidP="008262BA">
      <w:pPr>
        <w:ind w:firstLine="0"/>
        <w:rPr>
          <w:b/>
          <w:i/>
        </w:rPr>
      </w:pPr>
      <w:r w:rsidRPr="00E908E0">
        <w:rPr>
          <w:b/>
          <w:i/>
        </w:rPr>
        <w:t>Objective</w:t>
      </w:r>
    </w:p>
    <w:p w14:paraId="6DCB29F8" w14:textId="2A2C3414" w:rsidR="00E908E0" w:rsidRDefault="00E908E0" w:rsidP="008262BA">
      <w:pPr>
        <w:ind w:firstLine="0"/>
      </w:pPr>
      <w:r>
        <w:t xml:space="preserve">A large number of victims of intimate partner violence (IPV), who report their victimisation to the police, subsequently either retract or disengage from the police investigation.  </w:t>
      </w:r>
      <w:r w:rsidR="009464CB">
        <w:t>Given that</w:t>
      </w:r>
      <w:r>
        <w:t xml:space="preserve"> we have a very limited understanding of </w:t>
      </w:r>
      <w:r w:rsidR="009464CB">
        <w:t xml:space="preserve">victim retraction/disengagement in IPV cases, </w:t>
      </w:r>
      <w:r w:rsidR="009464CB">
        <w:rPr>
          <w:lang w:bidi="en-US"/>
        </w:rPr>
        <w:t>t</w:t>
      </w:r>
      <w:r>
        <w:rPr>
          <w:lang w:bidi="en-US"/>
        </w:rPr>
        <w:t>his study address</w:t>
      </w:r>
      <w:r w:rsidR="002D65B1">
        <w:rPr>
          <w:lang w:bidi="en-US"/>
        </w:rPr>
        <w:t>es</w:t>
      </w:r>
      <w:r>
        <w:rPr>
          <w:lang w:bidi="en-US"/>
        </w:rPr>
        <w:t xml:space="preserve"> this gap by identifying the victim, perpetrator, and offence characteristics that predict retraction</w:t>
      </w:r>
      <w:r w:rsidR="009464CB">
        <w:rPr>
          <w:lang w:bidi="en-US"/>
        </w:rPr>
        <w:t>/disengagement</w:t>
      </w:r>
      <w:r>
        <w:rPr>
          <w:lang w:bidi="en-US"/>
        </w:rPr>
        <w:t xml:space="preserve">.    </w:t>
      </w:r>
    </w:p>
    <w:p w14:paraId="2615F9B8" w14:textId="77777777" w:rsidR="00E908E0" w:rsidRPr="00E908E0" w:rsidRDefault="00E908E0" w:rsidP="008262BA">
      <w:pPr>
        <w:ind w:firstLine="0"/>
        <w:rPr>
          <w:b/>
          <w:i/>
        </w:rPr>
      </w:pPr>
      <w:r w:rsidRPr="00E908E0">
        <w:rPr>
          <w:b/>
          <w:i/>
        </w:rPr>
        <w:t>Method</w:t>
      </w:r>
    </w:p>
    <w:p w14:paraId="3419CD9A" w14:textId="7B34D960" w:rsidR="00E908E0" w:rsidRDefault="00DC3BEF" w:rsidP="008262BA">
      <w:pPr>
        <w:ind w:firstLine="0"/>
      </w:pPr>
      <w:r>
        <w:t>Five</w:t>
      </w:r>
      <w:r w:rsidR="002C694E">
        <w:t xml:space="preserve"> hundred and </w:t>
      </w:r>
      <w:r>
        <w:t>twenty-four</w:t>
      </w:r>
      <w:r w:rsidR="00E908E0">
        <w:t xml:space="preserve"> cases of police reported IPV were analysed to </w:t>
      </w:r>
      <w:r w:rsidR="00E908E0">
        <w:rPr>
          <w:lang w:bidi="en-US"/>
        </w:rPr>
        <w:t>examine victim, perpetrator, and offence characteristics that may predict retraction</w:t>
      </w:r>
      <w:r w:rsidR="009464CB">
        <w:rPr>
          <w:lang w:bidi="en-US"/>
        </w:rPr>
        <w:t xml:space="preserve"> or disengagement</w:t>
      </w:r>
      <w:r w:rsidR="00E908E0">
        <w:rPr>
          <w:lang w:bidi="en-US"/>
        </w:rPr>
        <w:t xml:space="preserve"> as well as examining the reasons given for retracting/disengaging from the police investigation.  </w:t>
      </w:r>
    </w:p>
    <w:p w14:paraId="5CF16AE7" w14:textId="77777777" w:rsidR="00E908E0" w:rsidRPr="00E908E0" w:rsidRDefault="00E908E0" w:rsidP="008262BA">
      <w:pPr>
        <w:ind w:firstLine="0"/>
        <w:rPr>
          <w:b/>
          <w:i/>
        </w:rPr>
      </w:pPr>
      <w:r w:rsidRPr="00E908E0">
        <w:rPr>
          <w:b/>
          <w:i/>
        </w:rPr>
        <w:t>Results</w:t>
      </w:r>
    </w:p>
    <w:p w14:paraId="349F1794" w14:textId="73A66149" w:rsidR="00E908E0" w:rsidRDefault="00E908E0" w:rsidP="008262BA">
      <w:pPr>
        <w:ind w:firstLine="0"/>
      </w:pPr>
      <w:r>
        <w:rPr>
          <w:lang w:bidi="en-US"/>
        </w:rPr>
        <w:t xml:space="preserve">The results </w:t>
      </w:r>
      <w:r w:rsidR="002D65B1">
        <w:rPr>
          <w:lang w:bidi="en-US"/>
        </w:rPr>
        <w:t>indicated</w:t>
      </w:r>
      <w:r>
        <w:rPr>
          <w:lang w:bidi="en-US"/>
        </w:rPr>
        <w:t xml:space="preserve"> a high level of retraction</w:t>
      </w:r>
      <w:r w:rsidR="009464CB">
        <w:rPr>
          <w:lang w:bidi="en-US"/>
        </w:rPr>
        <w:t xml:space="preserve"> or </w:t>
      </w:r>
      <w:r>
        <w:rPr>
          <w:lang w:bidi="en-US"/>
        </w:rPr>
        <w:t>disengagement from police investigations</w:t>
      </w:r>
      <w:r w:rsidR="009464CB">
        <w:rPr>
          <w:lang w:bidi="en-US"/>
        </w:rPr>
        <w:t xml:space="preserve">. </w:t>
      </w:r>
      <w:r>
        <w:rPr>
          <w:lang w:bidi="en-US"/>
        </w:rPr>
        <w:t>Victim and perpetrator characteristics did not predict retraction or disengagement; however</w:t>
      </w:r>
      <w:r w:rsidR="009464CB">
        <w:rPr>
          <w:lang w:bidi="en-US"/>
        </w:rPr>
        <w:t xml:space="preserve">, in comparison with cases where the victims maintain engagement with the case, </w:t>
      </w:r>
      <w:r>
        <w:rPr>
          <w:lang w:bidi="en-US"/>
        </w:rPr>
        <w:t xml:space="preserve">a number of offence related characteristics </w:t>
      </w:r>
      <w:r w:rsidR="009464CB">
        <w:rPr>
          <w:lang w:bidi="en-US"/>
        </w:rPr>
        <w:t xml:space="preserve">(e.g., </w:t>
      </w:r>
      <w:r>
        <w:rPr>
          <w:lang w:bidi="en-US"/>
        </w:rPr>
        <w:t>risk assessment level</w:t>
      </w:r>
      <w:r w:rsidR="009464CB">
        <w:rPr>
          <w:lang w:bidi="en-US"/>
        </w:rPr>
        <w:t>) did predict retraction and disengagement</w:t>
      </w:r>
      <w:r>
        <w:rPr>
          <w:lang w:bidi="en-US"/>
        </w:rPr>
        <w:t xml:space="preserve">.  </w:t>
      </w:r>
    </w:p>
    <w:p w14:paraId="565865AD" w14:textId="77777777" w:rsidR="00E908E0" w:rsidRPr="00E908E0" w:rsidRDefault="00E908E0" w:rsidP="008262BA">
      <w:pPr>
        <w:ind w:firstLine="0"/>
        <w:rPr>
          <w:b/>
          <w:i/>
        </w:rPr>
      </w:pPr>
      <w:r w:rsidRPr="00E908E0">
        <w:rPr>
          <w:b/>
          <w:i/>
        </w:rPr>
        <w:t>Conclusions</w:t>
      </w:r>
    </w:p>
    <w:p w14:paraId="184180AE" w14:textId="1B7F1B4C" w:rsidR="00D14C67" w:rsidRPr="00D14C67" w:rsidRDefault="009464CB" w:rsidP="008262BA">
      <w:pPr>
        <w:ind w:firstLine="0"/>
      </w:pPr>
      <w:r>
        <w:t>V</w:t>
      </w:r>
      <w:r w:rsidR="008262BA">
        <w:t xml:space="preserve">ictim </w:t>
      </w:r>
      <w:r>
        <w:t xml:space="preserve">retraction and </w:t>
      </w:r>
      <w:r w:rsidR="008262BA">
        <w:t>disengagement is a significant issue in the successful prosecution of IPV cases</w:t>
      </w:r>
      <w:r>
        <w:t xml:space="preserve">, </w:t>
      </w:r>
      <w:r w:rsidR="002D65B1">
        <w:t xml:space="preserve">and </w:t>
      </w:r>
      <w:r>
        <w:t xml:space="preserve">the findings suggest </w:t>
      </w:r>
      <w:r w:rsidR="008262BA">
        <w:t xml:space="preserve">that </w:t>
      </w:r>
      <w:r w:rsidR="00F86B88">
        <w:t xml:space="preserve">certain offence related </w:t>
      </w:r>
      <w:r w:rsidR="00A70CA6">
        <w:t>characteristics</w:t>
      </w:r>
      <w:r w:rsidR="00F86B88">
        <w:t xml:space="preserve"> increase the likelihood of victim </w:t>
      </w:r>
      <w:r>
        <w:t>retraction/</w:t>
      </w:r>
      <w:r w:rsidR="00F86B88">
        <w:t xml:space="preserve">disengagement.  </w:t>
      </w:r>
    </w:p>
    <w:p w14:paraId="23F25D18" w14:textId="77777777" w:rsidR="00D14C67" w:rsidRPr="00487EF5" w:rsidRDefault="00D14C67" w:rsidP="00460809">
      <w:pPr>
        <w:spacing w:line="240" w:lineRule="auto"/>
        <w:ind w:firstLine="0"/>
        <w:rPr>
          <w:lang w:bidi="en-US"/>
        </w:rPr>
      </w:pPr>
    </w:p>
    <w:p w14:paraId="23EA18F1" w14:textId="764701F5" w:rsidR="00123A0F" w:rsidRPr="00B46ADE" w:rsidRDefault="00123A0F" w:rsidP="00692B7D">
      <w:pPr>
        <w:ind w:firstLine="0"/>
        <w:jc w:val="center"/>
        <w:sectPr w:rsidR="00123A0F" w:rsidRPr="00B46ADE" w:rsidSect="00816E3D">
          <w:headerReference w:type="default" r:id="rId8"/>
          <w:footerReference w:type="default" r:id="rId9"/>
          <w:pgSz w:w="11906" w:h="16838"/>
          <w:pgMar w:top="1440" w:right="1440" w:bottom="1440" w:left="1440" w:header="708" w:footer="708" w:gutter="0"/>
          <w:pgNumType w:start="0"/>
          <w:cols w:space="708"/>
          <w:titlePg/>
          <w:docGrid w:linePitch="360"/>
        </w:sectPr>
      </w:pPr>
      <w:r w:rsidRPr="00B46ADE">
        <w:t xml:space="preserve">Key words: </w:t>
      </w:r>
      <w:r w:rsidR="00B46ADE" w:rsidRPr="00B46ADE">
        <w:t xml:space="preserve"> </w:t>
      </w:r>
      <w:r w:rsidR="00B46ADE" w:rsidRPr="00B46ADE">
        <w:rPr>
          <w:i/>
        </w:rPr>
        <w:t xml:space="preserve">Retraction; Withdrawal; Victim; </w:t>
      </w:r>
      <w:r w:rsidR="002C7093">
        <w:rPr>
          <w:i/>
        </w:rPr>
        <w:t>Domestic Violence</w:t>
      </w:r>
      <w:r w:rsidR="00B46ADE" w:rsidRPr="00B46ADE">
        <w:rPr>
          <w:i/>
        </w:rPr>
        <w:t>; Police</w:t>
      </w:r>
      <w:r w:rsidR="00A70CA6">
        <w:rPr>
          <w:i/>
        </w:rPr>
        <w:t>.</w:t>
      </w:r>
      <w:r w:rsidR="00B46ADE" w:rsidRPr="00B46ADE">
        <w:t xml:space="preserve"> </w:t>
      </w:r>
    </w:p>
    <w:p w14:paraId="66CBAA5E" w14:textId="77777777" w:rsidR="006050C6" w:rsidRPr="00A74452" w:rsidRDefault="00F30726">
      <w:pPr>
        <w:pStyle w:val="Heading1"/>
        <w:rPr>
          <w:b w:val="0"/>
        </w:rPr>
      </w:pPr>
      <w:r>
        <w:rPr>
          <w:b w:val="0"/>
        </w:rPr>
        <w:lastRenderedPageBreak/>
        <w:t xml:space="preserve">Understanding the factors that predict </w:t>
      </w:r>
      <w:r w:rsidR="004168EF">
        <w:rPr>
          <w:b w:val="0"/>
        </w:rPr>
        <w:t xml:space="preserve">victim </w:t>
      </w:r>
      <w:r>
        <w:rPr>
          <w:b w:val="0"/>
        </w:rPr>
        <w:t xml:space="preserve">retraction in cases of police reported intimate partner violence.  </w:t>
      </w:r>
      <w:r w:rsidR="00547070" w:rsidRPr="00A74452">
        <w:rPr>
          <w:b w:val="0"/>
        </w:rPr>
        <w:t xml:space="preserve"> </w:t>
      </w:r>
    </w:p>
    <w:p w14:paraId="782DB1C9" w14:textId="61AED069" w:rsidR="0029797E" w:rsidRDefault="007414CC">
      <w:r>
        <w:t xml:space="preserve">Violence within intimate partner relationships remains a significant issue within our society.  Data drawn from victimisation surveys demonstrate that a significant number of men and women </w:t>
      </w:r>
      <w:r w:rsidR="000666AE">
        <w:t xml:space="preserve">are likely to </w:t>
      </w:r>
      <w:r>
        <w:t xml:space="preserve">experience intimate partner violence (IPV).  </w:t>
      </w:r>
      <w:r w:rsidR="004168EF">
        <w:t xml:space="preserve">In </w:t>
      </w:r>
      <w:r w:rsidR="004E46FF">
        <w:t>England and Wales</w:t>
      </w:r>
      <w:r w:rsidR="00F30726" w:rsidRPr="002818FB">
        <w:t xml:space="preserve"> crime statistics have suggested high levels of lifetime victimi</w:t>
      </w:r>
      <w:r w:rsidR="008531CA">
        <w:t>s</w:t>
      </w:r>
      <w:r w:rsidR="00F30726" w:rsidRPr="002818FB">
        <w:t xml:space="preserve">ation with </w:t>
      </w:r>
      <w:r w:rsidR="004E46FF">
        <w:t>Hall and Smith (2011)</w:t>
      </w:r>
      <w:r w:rsidR="00F30726" w:rsidRPr="002818FB">
        <w:rPr>
          <w:color w:val="000000" w:themeColor="text1"/>
        </w:rPr>
        <w:t xml:space="preserve"> estimating that one in four women and one in </w:t>
      </w:r>
      <w:r w:rsidR="004E46FF">
        <w:rPr>
          <w:color w:val="000000" w:themeColor="text1"/>
        </w:rPr>
        <w:t>five</w:t>
      </w:r>
      <w:r w:rsidR="00F30726" w:rsidRPr="002818FB">
        <w:rPr>
          <w:color w:val="000000" w:themeColor="text1"/>
        </w:rPr>
        <w:t xml:space="preserve"> men have experienced IPV since the ag</w:t>
      </w:r>
      <w:r w:rsidR="00856420">
        <w:rPr>
          <w:color w:val="000000" w:themeColor="text1"/>
        </w:rPr>
        <w:t>e of 16.  This level of victimis</w:t>
      </w:r>
      <w:r w:rsidR="00F30726" w:rsidRPr="002818FB">
        <w:rPr>
          <w:color w:val="000000" w:themeColor="text1"/>
        </w:rPr>
        <w:t>ation means that an estimated 4.5 million female victims and 2.6 million male victims of IPV exist in the United Kingdom</w:t>
      </w:r>
      <w:r w:rsidR="004168EF">
        <w:rPr>
          <w:color w:val="000000" w:themeColor="text1"/>
        </w:rPr>
        <w:t xml:space="preserve"> (U.K.)</w:t>
      </w:r>
      <w:r w:rsidR="00F30726" w:rsidRPr="002818FB">
        <w:rPr>
          <w:color w:val="000000" w:themeColor="text1"/>
        </w:rPr>
        <w:t xml:space="preserve">.  </w:t>
      </w:r>
      <w:r w:rsidR="004168EF">
        <w:rPr>
          <w:color w:val="000000" w:themeColor="text1"/>
        </w:rPr>
        <w:t xml:space="preserve">International comparisons of the prevalence of physical assault in dating relationships have shown </w:t>
      </w:r>
      <w:r w:rsidR="00326FA5">
        <w:rPr>
          <w:color w:val="000000" w:themeColor="text1"/>
        </w:rPr>
        <w:t>figures</w:t>
      </w:r>
      <w:r w:rsidR="004168EF">
        <w:rPr>
          <w:color w:val="000000" w:themeColor="text1"/>
        </w:rPr>
        <w:t xml:space="preserve"> between 14-39%, with similar levels shown between the U.K. (32.1%) and the United States (28.3%)</w:t>
      </w:r>
      <w:r w:rsidR="006F13F3">
        <w:rPr>
          <w:color w:val="000000" w:themeColor="text1"/>
        </w:rPr>
        <w:t xml:space="preserve"> </w:t>
      </w:r>
      <w:r w:rsidR="0079544F">
        <w:rPr>
          <w:color w:val="000000" w:themeColor="text1"/>
        </w:rPr>
        <w:t>(Chan, Straus, Brownridge, Tiwari, &amp; Leung, 2008)</w:t>
      </w:r>
      <w:r w:rsidR="004168EF">
        <w:rPr>
          <w:color w:val="000000" w:themeColor="text1"/>
        </w:rPr>
        <w:t xml:space="preserve">.  </w:t>
      </w:r>
      <w:r w:rsidR="00F30726" w:rsidRPr="002818FB">
        <w:rPr>
          <w:color w:val="000000" w:themeColor="text1"/>
        </w:rPr>
        <w:t xml:space="preserve">The </w:t>
      </w:r>
      <w:r w:rsidR="00326FA5">
        <w:rPr>
          <w:color w:val="000000" w:themeColor="text1"/>
        </w:rPr>
        <w:t>magnitude</w:t>
      </w:r>
      <w:r w:rsidR="00326FA5" w:rsidRPr="002818FB">
        <w:rPr>
          <w:color w:val="000000" w:themeColor="text1"/>
        </w:rPr>
        <w:t xml:space="preserve"> </w:t>
      </w:r>
      <w:r w:rsidR="00F30726" w:rsidRPr="002818FB">
        <w:rPr>
          <w:color w:val="000000" w:themeColor="text1"/>
        </w:rPr>
        <w:t>of these statistics highlights this issue to be of signifi</w:t>
      </w:r>
      <w:r w:rsidR="00E908E0">
        <w:rPr>
          <w:color w:val="000000" w:themeColor="text1"/>
        </w:rPr>
        <w:t>cant social policy importance.</w:t>
      </w:r>
      <w:r w:rsidR="006662C0">
        <w:rPr>
          <w:color w:val="000000" w:themeColor="text1"/>
        </w:rPr>
        <w:t xml:space="preserve">  </w:t>
      </w:r>
      <w:r w:rsidR="007D15DD">
        <w:rPr>
          <w:color w:val="000000" w:themeColor="text1"/>
        </w:rPr>
        <w:t>On this basis, researchers have developed a body of knowledge about IPV victimisation.  One strand of this research relates to IPV victims and their engagement with relevant criminal justice agencies.</w:t>
      </w:r>
      <w:r w:rsidR="0029797E">
        <w:rPr>
          <w:color w:val="000000" w:themeColor="text1"/>
        </w:rPr>
        <w:t xml:space="preserve">  </w:t>
      </w:r>
      <w:r w:rsidR="006662C0">
        <w:rPr>
          <w:color w:val="000000" w:themeColor="text1"/>
        </w:rPr>
        <w:t xml:space="preserve">The purpose of this current study is to add to </w:t>
      </w:r>
      <w:r w:rsidR="007D15DD">
        <w:rPr>
          <w:color w:val="000000" w:themeColor="text1"/>
        </w:rPr>
        <w:t xml:space="preserve">our </w:t>
      </w:r>
      <w:r w:rsidR="006662C0">
        <w:rPr>
          <w:color w:val="000000" w:themeColor="text1"/>
        </w:rPr>
        <w:t>knowledge</w:t>
      </w:r>
      <w:r w:rsidR="007D15DD">
        <w:rPr>
          <w:color w:val="000000" w:themeColor="text1"/>
        </w:rPr>
        <w:t xml:space="preserve"> of case drop out during the police investigative stage</w:t>
      </w:r>
      <w:r w:rsidR="006662C0">
        <w:rPr>
          <w:color w:val="000000" w:themeColor="text1"/>
        </w:rPr>
        <w:t xml:space="preserve"> by examining whether cases that proceed through the police investigative stage of criminal justice processing differ to cases where (i) the victim formally retracts their involvement with the case or (ii) where the victim informally disengages from the case.  These differences will be examined in relation to victim, perpetrator, and </w:t>
      </w:r>
      <w:r w:rsidR="00CA22D0">
        <w:rPr>
          <w:color w:val="000000" w:themeColor="text1"/>
        </w:rPr>
        <w:t>offence</w:t>
      </w:r>
      <w:r w:rsidR="006662C0">
        <w:rPr>
          <w:color w:val="000000" w:themeColor="text1"/>
        </w:rPr>
        <w:t xml:space="preserve"> characteristics using police recorded data of IPV cases.</w:t>
      </w:r>
      <w:r w:rsidR="007D15DD">
        <w:rPr>
          <w:color w:val="000000" w:themeColor="text1"/>
        </w:rPr>
        <w:t xml:space="preserve">  </w:t>
      </w:r>
      <w:r w:rsidR="007D15DD">
        <w:t>Furthermore, this study will examine the reasons given by victims for the retraction</w:t>
      </w:r>
      <w:r w:rsidR="00DC3BEF">
        <w:t>/disengagement</w:t>
      </w:r>
      <w:r w:rsidR="007D15DD">
        <w:t xml:space="preserve"> to provide an understanding of the</w:t>
      </w:r>
      <w:r w:rsidR="00DC3BEF">
        <w:t>se processes</w:t>
      </w:r>
      <w:r w:rsidR="007D15DD">
        <w:t xml:space="preserve">. </w:t>
      </w:r>
    </w:p>
    <w:p w14:paraId="58F11489" w14:textId="3197E568" w:rsidR="0029797E" w:rsidRDefault="0029797E" w:rsidP="0029797E">
      <w:r>
        <w:rPr>
          <w:color w:val="000000" w:themeColor="text1"/>
        </w:rPr>
        <w:t>Criminal justice agencies have been significantly criticised in relation to IPV cases,</w:t>
      </w:r>
      <w:r>
        <w:t xml:space="preserve"> in particular in relation to t</w:t>
      </w:r>
      <w:r w:rsidRPr="00415F2F">
        <w:t>he 'justice gap'</w:t>
      </w:r>
      <w:r>
        <w:t xml:space="preserve"> </w:t>
      </w:r>
      <w:r w:rsidRPr="00415F2F">
        <w:t>(Hester, 2005)</w:t>
      </w:r>
      <w:r>
        <w:t xml:space="preserve">.  This refers to the high </w:t>
      </w:r>
      <w:r w:rsidR="002D65B1">
        <w:t>proportion</w:t>
      </w:r>
      <w:r>
        <w:t xml:space="preserve"> of cases reported to the police that drop out at </w:t>
      </w:r>
      <w:r w:rsidRPr="00415F2F">
        <w:t>various point</w:t>
      </w:r>
      <w:r>
        <w:t>s</w:t>
      </w:r>
      <w:r w:rsidRPr="00415F2F">
        <w:t xml:space="preserve"> in the system</w:t>
      </w:r>
      <w:r>
        <w:t xml:space="preserve"> (also known as attrition).  </w:t>
      </w:r>
      <w:r w:rsidRPr="00415F2F">
        <w:t>Commonly</w:t>
      </w:r>
      <w:r w:rsidR="00DC3BEF">
        <w:t>,</w:t>
      </w:r>
      <w:r w:rsidRPr="00415F2F">
        <w:t xml:space="preserve"> attrition data demonstrates that a significant number of reported incidents of </w:t>
      </w:r>
      <w:r>
        <w:t>IPV</w:t>
      </w:r>
      <w:r w:rsidRPr="00415F2F">
        <w:t xml:space="preserve"> drop out of the criminal justice process at the </w:t>
      </w:r>
      <w:r>
        <w:t xml:space="preserve">police investigation </w:t>
      </w:r>
      <w:r w:rsidRPr="00415F2F">
        <w:t>stage</w:t>
      </w:r>
      <w:r>
        <w:t xml:space="preserve"> for </w:t>
      </w:r>
      <w:r>
        <w:lastRenderedPageBreak/>
        <w:t>numerous reasons that relate to both police investigative processes and victim involvement (</w:t>
      </w:r>
      <w:r w:rsidRPr="00DE75DA">
        <w:t xml:space="preserve">Hester, </w:t>
      </w:r>
      <w:r>
        <w:t>W</w:t>
      </w:r>
      <w:r w:rsidRPr="00DE75DA">
        <w:t>estmarland, Pearce, &amp; Williamson</w:t>
      </w:r>
      <w:r>
        <w:t>, 2008)</w:t>
      </w:r>
      <w:r w:rsidRPr="00415F2F">
        <w:t>.</w:t>
      </w:r>
      <w:r>
        <w:t xml:space="preserve">  For example, Robinson</w:t>
      </w:r>
      <w:r w:rsidRPr="00415F2F">
        <w:t xml:space="preserve"> and Cook (2006) identified that 44% of their</w:t>
      </w:r>
      <w:r>
        <w:t xml:space="preserve"> victim</w:t>
      </w:r>
      <w:r w:rsidRPr="00415F2F">
        <w:t xml:space="preserve"> sample retracted </w:t>
      </w:r>
      <w:r>
        <w:t xml:space="preserve">during the police investigation.  </w:t>
      </w:r>
    </w:p>
    <w:p w14:paraId="5F6C5FB7" w14:textId="560CB375" w:rsidR="00816B75" w:rsidRDefault="0029797E">
      <w:r>
        <w:rPr>
          <w:color w:val="000000"/>
        </w:rPr>
        <w:t>W</w:t>
      </w:r>
      <w:r w:rsidRPr="002818FB">
        <w:rPr>
          <w:color w:val="000000"/>
        </w:rPr>
        <w:t xml:space="preserve">ithin </w:t>
      </w:r>
      <w:r>
        <w:rPr>
          <w:color w:val="000000"/>
        </w:rPr>
        <w:t>England and Wales and in many other countries</w:t>
      </w:r>
      <w:r w:rsidRPr="002818FB">
        <w:rPr>
          <w:color w:val="000000"/>
        </w:rPr>
        <w:t>, the victim of IPV remains of central importance to both police and court processes in relation to testimony and as a source of information (</w:t>
      </w:r>
      <w:r w:rsidRPr="002818FB">
        <w:rPr>
          <w:color w:val="000000" w:themeColor="text1"/>
        </w:rPr>
        <w:t>Bell</w:t>
      </w:r>
      <w:r>
        <w:rPr>
          <w:color w:val="000000" w:themeColor="text1"/>
        </w:rPr>
        <w:t>, Perez, Goodman, &amp; Dutton, 2011</w:t>
      </w:r>
      <w:r>
        <w:rPr>
          <w:color w:val="000000"/>
        </w:rPr>
        <w:t xml:space="preserve">).  </w:t>
      </w:r>
      <w:r w:rsidRPr="002818FB">
        <w:rPr>
          <w:color w:val="000000"/>
        </w:rPr>
        <w:t xml:space="preserve">Both police investigations and prosecutions rarely go ahead without the cooperation of the victim (Ellison, 2002), and it is often perceived by criminal justice agencies that victim withdrawal marks the end of a case (Hoyle &amp; Sanders, 2000).  </w:t>
      </w:r>
      <w:r>
        <w:rPr>
          <w:color w:val="000000"/>
        </w:rPr>
        <w:t xml:space="preserve">For example, </w:t>
      </w:r>
      <w:r w:rsidRPr="002818FB">
        <w:t>Klein (2008) in a U.S. study, found that prosecutors’ main reason for cases of IPV not proceeding</w:t>
      </w:r>
      <w:r>
        <w:t xml:space="preserve"> to court</w:t>
      </w:r>
      <w:r w:rsidRPr="002818FB">
        <w:t xml:space="preserve"> </w:t>
      </w:r>
      <w:r w:rsidR="002D65B1">
        <w:t>was</w:t>
      </w:r>
      <w:r w:rsidRPr="002818FB">
        <w:t xml:space="preserve"> a lack of victim cooperation</w:t>
      </w:r>
      <w:r>
        <w:t xml:space="preserve">.  </w:t>
      </w:r>
      <w:r>
        <w:rPr>
          <w:color w:val="000000"/>
        </w:rPr>
        <w:t xml:space="preserve">This is despite a continued emphasis in shifting the focus of investigations away from the victim.  In England and Wales, the </w:t>
      </w:r>
      <w:r w:rsidRPr="002818FB">
        <w:rPr>
          <w:color w:val="000000"/>
        </w:rPr>
        <w:t xml:space="preserve">National Policing Improvement Agency (2008) guidance </w:t>
      </w:r>
      <w:r w:rsidR="002D65B1">
        <w:rPr>
          <w:color w:val="000000"/>
        </w:rPr>
        <w:t>for</w:t>
      </w:r>
      <w:r w:rsidRPr="002818FB">
        <w:rPr>
          <w:color w:val="000000"/>
        </w:rPr>
        <w:t xml:space="preserve"> police investigations of IPV cases</w:t>
      </w:r>
      <w:r>
        <w:rPr>
          <w:color w:val="000000"/>
        </w:rPr>
        <w:t xml:space="preserve"> underlines </w:t>
      </w:r>
      <w:r w:rsidRPr="002818FB">
        <w:rPr>
          <w:color w:val="000000"/>
        </w:rPr>
        <w:t>that strong case building should not focus upon the victim’s support for the prosecution</w:t>
      </w:r>
      <w:r>
        <w:rPr>
          <w:color w:val="000000"/>
        </w:rPr>
        <w:t>,</w:t>
      </w:r>
      <w:r w:rsidRPr="002818FB">
        <w:rPr>
          <w:color w:val="000000"/>
        </w:rPr>
        <w:t xml:space="preserve"> but instead upon other sources of evidence.  This approach mimics the processes of the ‘no-drop’ prosecutions </w:t>
      </w:r>
      <w:r>
        <w:rPr>
          <w:color w:val="000000"/>
        </w:rPr>
        <w:t xml:space="preserve">that </w:t>
      </w:r>
      <w:r w:rsidRPr="002818FB">
        <w:rPr>
          <w:color w:val="000000"/>
        </w:rPr>
        <w:t>occur in a number of U.S. states (Ellison, 2002).</w:t>
      </w:r>
      <w:r>
        <w:t xml:space="preserve">  </w:t>
      </w:r>
    </w:p>
    <w:p w14:paraId="5BA0CAF7" w14:textId="77777777" w:rsidR="00816B75" w:rsidRDefault="00CB0B34" w:rsidP="00A70CA6">
      <w:pPr>
        <w:pStyle w:val="Heading2"/>
      </w:pPr>
      <w:r>
        <w:t>Characteristics</w:t>
      </w:r>
      <w:r w:rsidR="00816B75">
        <w:t xml:space="preserve"> associated with victims of IPV not supporting a prosecution case</w:t>
      </w:r>
    </w:p>
    <w:p w14:paraId="43EF41DA" w14:textId="4A5E164C" w:rsidR="00355C17" w:rsidRPr="00355C17" w:rsidRDefault="00355C17" w:rsidP="00355C17">
      <w:r w:rsidRPr="00355C17">
        <w:t xml:space="preserve">Epstein, Bell, and Goodman (2003) </w:t>
      </w:r>
      <w:r w:rsidR="001830A2">
        <w:t>developed</w:t>
      </w:r>
      <w:r w:rsidRPr="00355C17">
        <w:t xml:space="preserve"> an ecological model </w:t>
      </w:r>
      <w:r w:rsidR="001830A2">
        <w:t xml:space="preserve">with </w:t>
      </w:r>
      <w:r w:rsidRPr="00355C17">
        <w:t xml:space="preserve">five different levels that may influence an IPV victim's engagement or disengagement </w:t>
      </w:r>
      <w:r w:rsidR="00326FA5">
        <w:t>with the</w:t>
      </w:r>
      <w:r w:rsidR="00326FA5" w:rsidRPr="00355C17">
        <w:t xml:space="preserve"> </w:t>
      </w:r>
      <w:r w:rsidRPr="00355C17">
        <w:t>criminal justice process.  The smallest circle at the centre of four concentric circles is the individual level e.g., the victim's mental and physical health.  This is surrounded by level two, which is the relational level, e.g., the victim's relationships with partner, family</w:t>
      </w:r>
      <w:r w:rsidR="00DC3BEF">
        <w:t>,</w:t>
      </w:r>
      <w:r w:rsidRPr="00355C17">
        <w:t xml:space="preserve"> and friends.  Level </w:t>
      </w:r>
      <w:r w:rsidR="008531CA">
        <w:t>three</w:t>
      </w:r>
      <w:r w:rsidRPr="00355C17">
        <w:t xml:space="preserve"> relates to the community level, e.g., work-related, ethnic, religious based communities.  Level four represents institutional factors e.g., interactions and perceptions/experiences with the criminal justice system</w:t>
      </w:r>
      <w:r w:rsidR="00D14C67">
        <w:t>,</w:t>
      </w:r>
      <w:r w:rsidRPr="00355C17">
        <w:t xml:space="preserve"> and finally level five relates to cultural beliefs and identification with those beliefs.  This model represents the individual factors from the micro to macro level, thus explaining the </w:t>
      </w:r>
      <w:r w:rsidR="00326FA5">
        <w:t>complexity of</w:t>
      </w:r>
      <w:r w:rsidR="00326FA5" w:rsidRPr="00355C17">
        <w:t xml:space="preserve"> </w:t>
      </w:r>
      <w:r w:rsidRPr="00355C17">
        <w:t xml:space="preserve">factors that guide a victim's decision to </w:t>
      </w:r>
      <w:r w:rsidR="00326FA5">
        <w:t xml:space="preserve">engage with </w:t>
      </w:r>
      <w:r w:rsidRPr="00355C17">
        <w:t xml:space="preserve">the criminal justice system.  </w:t>
      </w:r>
    </w:p>
    <w:p w14:paraId="4CBE1EAA" w14:textId="30C96DAD" w:rsidR="00587A32" w:rsidRPr="00CD4ED9" w:rsidRDefault="00A00D5F" w:rsidP="00CD4ED9">
      <w:r w:rsidRPr="00CD4ED9">
        <w:t>This model is well supported by the literature</w:t>
      </w:r>
      <w:r w:rsidR="00A70CA6">
        <w:t>,</w:t>
      </w:r>
      <w:r w:rsidRPr="00CD4ED9">
        <w:t xml:space="preserve"> </w:t>
      </w:r>
      <w:r w:rsidR="006F13F3">
        <w:t>which has demonstrated</w:t>
      </w:r>
      <w:r w:rsidRPr="00CD4ED9">
        <w:t xml:space="preserve"> that victims report a </w:t>
      </w:r>
      <w:r w:rsidR="00F221D7">
        <w:t>range</w:t>
      </w:r>
      <w:r w:rsidRPr="00CD4ED9">
        <w:t xml:space="preserve"> of reasons for why they may or may not support </w:t>
      </w:r>
      <w:r w:rsidR="00856420">
        <w:t>the</w:t>
      </w:r>
      <w:r w:rsidRPr="00CD4ED9">
        <w:t xml:space="preserve"> prosecution of the perpetrator. </w:t>
      </w:r>
      <w:r w:rsidR="00587A32" w:rsidRPr="00CD4ED9">
        <w:t xml:space="preserve"> Three </w:t>
      </w:r>
      <w:r w:rsidR="00660C81">
        <w:t>common</w:t>
      </w:r>
      <w:r w:rsidR="00587A32" w:rsidRPr="00CD4ED9">
        <w:t xml:space="preserve"> reasons are often reported within the literature as explaining why </w:t>
      </w:r>
      <w:r w:rsidRPr="00CD4ED9">
        <w:t>victims of IPV oppos</w:t>
      </w:r>
      <w:r w:rsidR="00587A32" w:rsidRPr="00CD4ED9">
        <w:t xml:space="preserve">e </w:t>
      </w:r>
      <w:r w:rsidRPr="00CD4ED9">
        <w:t>the prosecution of the perpetrator</w:t>
      </w:r>
      <w:r w:rsidR="00587A32" w:rsidRPr="00CD4ED9">
        <w:t xml:space="preserve">: </w:t>
      </w:r>
      <w:r w:rsidRPr="00CD4ED9">
        <w:t>fear of the perpetrator, emotional/financial dependence</w:t>
      </w:r>
      <w:r w:rsidR="008531CA">
        <w:t xml:space="preserve"> upon the perpetrator</w:t>
      </w:r>
      <w:r w:rsidRPr="00CD4ED9">
        <w:t>, and dissatisfaction with the criminal justice system</w:t>
      </w:r>
      <w:r w:rsidR="00587A32" w:rsidRPr="00CD4ED9">
        <w:t xml:space="preserve"> (</w:t>
      </w:r>
      <w:r w:rsidR="00701074">
        <w:t xml:space="preserve">e.g., </w:t>
      </w:r>
      <w:r w:rsidR="00587A32" w:rsidRPr="00CD4ED9">
        <w:t>Hare, 2006)</w:t>
      </w:r>
      <w:r w:rsidRPr="00CD4ED9">
        <w:t>.</w:t>
      </w:r>
      <w:r w:rsidR="00587A32" w:rsidRPr="00CD4ED9">
        <w:t xml:space="preserve">  In addition to these main factors</w:t>
      </w:r>
      <w:r w:rsidR="00DC3BEF">
        <w:t>,</w:t>
      </w:r>
      <w:r w:rsidR="00587A32" w:rsidRPr="00CD4ED9">
        <w:t xml:space="preserve"> there are a multitude of other reasons</w:t>
      </w:r>
      <w:r w:rsidR="00816B75">
        <w:t xml:space="preserve"> that victim</w:t>
      </w:r>
      <w:r w:rsidR="006F13F3">
        <w:t>s</w:t>
      </w:r>
      <w:r w:rsidR="00816B75">
        <w:t xml:space="preserve"> report in relation to not supporting the court trial prosecution of their case including: (i) </w:t>
      </w:r>
      <w:r w:rsidR="00587A32" w:rsidRPr="00CD4ED9">
        <w:t>m</w:t>
      </w:r>
      <w:r w:rsidRPr="00CD4ED9">
        <w:t>ental health and psychological reasons</w:t>
      </w:r>
      <w:r w:rsidR="00D26A63">
        <w:t xml:space="preserve"> (Hare, 2010)</w:t>
      </w:r>
      <w:r w:rsidR="00326FA5">
        <w:t>,</w:t>
      </w:r>
      <w:r w:rsidR="00816B75">
        <w:t xml:space="preserve"> (ii) </w:t>
      </w:r>
      <w:r w:rsidRPr="00CD4ED9">
        <w:t>continued emotional attachments to the perpetrator</w:t>
      </w:r>
      <w:r w:rsidR="00816B75">
        <w:t>,</w:t>
      </w:r>
      <w:r w:rsidRPr="00CD4ED9">
        <w:t xml:space="preserve"> </w:t>
      </w:r>
      <w:r w:rsidR="00816B75">
        <w:t xml:space="preserve">(Hare, 2010) </w:t>
      </w:r>
      <w:r w:rsidRPr="00CD4ED9">
        <w:t xml:space="preserve">and </w:t>
      </w:r>
      <w:r w:rsidR="00816B75">
        <w:t xml:space="preserve">(iii) </w:t>
      </w:r>
      <w:r w:rsidRPr="00CD4ED9">
        <w:t>requiring only the immediate response of the police</w:t>
      </w:r>
      <w:r w:rsidR="00816B75">
        <w:t xml:space="preserve"> to stop the violence (H</w:t>
      </w:r>
      <w:r w:rsidR="00CD4ED9" w:rsidRPr="00CD4ED9">
        <w:t xml:space="preserve">oyle </w:t>
      </w:r>
      <w:r w:rsidR="00816B75">
        <w:t xml:space="preserve">&amp; </w:t>
      </w:r>
      <w:r w:rsidR="00CD4ED9" w:rsidRPr="00CD4ED9">
        <w:t>Sanders</w:t>
      </w:r>
      <w:r w:rsidR="00816B75">
        <w:t xml:space="preserve">, </w:t>
      </w:r>
      <w:r w:rsidR="00CD4ED9" w:rsidRPr="00CD4ED9">
        <w:t>2000</w:t>
      </w:r>
      <w:r w:rsidR="00816B75">
        <w:t xml:space="preserve">).  </w:t>
      </w:r>
      <w:r w:rsidR="0098548C">
        <w:t xml:space="preserve">Victims have been found to conduct </w:t>
      </w:r>
      <w:r w:rsidR="00CD4ED9" w:rsidRPr="00CD4ED9">
        <w:t>a cost-benefit analysis where the costs</w:t>
      </w:r>
      <w:r w:rsidR="00D65658">
        <w:t xml:space="preserve"> of supporting the investigation</w:t>
      </w:r>
      <w:r w:rsidR="00CD4ED9" w:rsidRPr="00CD4ED9">
        <w:t xml:space="preserve"> </w:t>
      </w:r>
      <w:r w:rsidR="0098548C">
        <w:t>are</w:t>
      </w:r>
      <w:r w:rsidR="00CD4ED9" w:rsidRPr="00CD4ED9">
        <w:t xml:space="preserve"> </w:t>
      </w:r>
      <w:r w:rsidR="008531CA">
        <w:t xml:space="preserve">often </w:t>
      </w:r>
      <w:r w:rsidR="00CD4ED9" w:rsidRPr="00CD4ED9">
        <w:t xml:space="preserve">considered higher than any potential benefits e.g., the potential </w:t>
      </w:r>
      <w:r w:rsidR="008531CA">
        <w:t xml:space="preserve">future </w:t>
      </w:r>
      <w:r w:rsidR="00CD4ED9" w:rsidRPr="00CD4ED9">
        <w:t xml:space="preserve">increase in </w:t>
      </w:r>
      <w:r w:rsidR="008531CA">
        <w:t xml:space="preserve">the level of </w:t>
      </w:r>
      <w:r w:rsidR="00CD4ED9" w:rsidRPr="00CD4ED9">
        <w:t>violence</w:t>
      </w:r>
      <w:r w:rsidR="00F9607B">
        <w:t xml:space="preserve"> as a result of reporting the crime</w:t>
      </w:r>
      <w:r w:rsidR="00CD4ED9">
        <w:t xml:space="preserve"> (see Hester, 2005; Landau, 2000)</w:t>
      </w:r>
      <w:r w:rsidR="00CD4ED9" w:rsidRPr="00CD4ED9">
        <w:t>.</w:t>
      </w:r>
      <w:r w:rsidR="00D406A6">
        <w:t xml:space="preserve">  </w:t>
      </w:r>
      <w:r w:rsidR="001830A2">
        <w:t>V</w:t>
      </w:r>
      <w:r w:rsidR="00587A32" w:rsidRPr="00CD4ED9">
        <w:t>ictims</w:t>
      </w:r>
      <w:r w:rsidR="001830A2">
        <w:t xml:space="preserve"> have also been found to</w:t>
      </w:r>
      <w:r w:rsidR="00587A32" w:rsidRPr="00CD4ED9">
        <w:t xml:space="preserve"> perceive the crime to be minor and/or unintentional and so</w:t>
      </w:r>
      <w:r w:rsidR="00326FA5">
        <w:t xml:space="preserve"> </w:t>
      </w:r>
      <w:r w:rsidR="001830A2">
        <w:t>believe</w:t>
      </w:r>
      <w:r w:rsidR="00326FA5">
        <w:t xml:space="preserve"> that</w:t>
      </w:r>
      <w:r w:rsidR="00587A32" w:rsidRPr="00CD4ED9">
        <w:t xml:space="preserve"> the perpetrator should not be punished</w:t>
      </w:r>
      <w:r w:rsidR="001830A2">
        <w:t xml:space="preserve"> (Hare, 2006)</w:t>
      </w:r>
      <w:r w:rsidR="00587A32" w:rsidRPr="00CD4ED9">
        <w:t>.</w:t>
      </w:r>
      <w:r w:rsidR="001830A2">
        <w:t xml:space="preserve">  H</w:t>
      </w:r>
      <w:r w:rsidR="00CD4ED9">
        <w:t xml:space="preserve">ester (2005) found that </w:t>
      </w:r>
      <w:r w:rsidR="001830A2">
        <w:t>i</w:t>
      </w:r>
      <w:r w:rsidR="00CD4ED9" w:rsidRPr="00CD4ED9">
        <w:t xml:space="preserve">f a victim had children with the perpetrator, this was often </w:t>
      </w:r>
      <w:r w:rsidR="001830A2">
        <w:t xml:space="preserve">given </w:t>
      </w:r>
      <w:r w:rsidR="00CD4ED9" w:rsidRPr="00CD4ED9">
        <w:t xml:space="preserve">as a reason </w:t>
      </w:r>
      <w:r w:rsidR="001830A2">
        <w:t xml:space="preserve">for </w:t>
      </w:r>
      <w:r w:rsidR="00CD4ED9" w:rsidRPr="00CD4ED9">
        <w:t>why the victim may not wish to pursue charges</w:t>
      </w:r>
      <w:r w:rsidR="00DD1674">
        <w:t xml:space="preserve"> (see also Fanslow &amp; Robinson, 2010)</w:t>
      </w:r>
      <w:r w:rsidR="00CD4ED9" w:rsidRPr="00CD4ED9">
        <w:t>.</w:t>
      </w:r>
      <w:r w:rsidR="00587A32" w:rsidRPr="00CD4ED9">
        <w:t xml:space="preserve">  </w:t>
      </w:r>
    </w:p>
    <w:p w14:paraId="34AB2AC3" w14:textId="68AB3538" w:rsidR="00CD4ED9" w:rsidRDefault="00131C4E" w:rsidP="00CD4ED9">
      <w:r>
        <w:t>These studies provide valuable information with regards to victim decision making, however the</w:t>
      </w:r>
      <w:r w:rsidR="00286B0A">
        <w:t xml:space="preserve"> findings do not help agencies identify whether there are specific types of victims who are </w:t>
      </w:r>
      <w:r w:rsidR="004913A7">
        <w:t xml:space="preserve">more likely to </w:t>
      </w:r>
      <w:r w:rsidR="000573AA">
        <w:t xml:space="preserve">continue to support </w:t>
      </w:r>
      <w:r w:rsidR="004913A7">
        <w:t xml:space="preserve">a prosecution or </w:t>
      </w:r>
      <w:r w:rsidR="00286B0A">
        <w:t>to retract</w:t>
      </w:r>
      <w:r w:rsidR="004913A7">
        <w:t>/</w:t>
      </w:r>
      <w:r w:rsidR="00286B0A">
        <w:t>disengage from the criminal justice process.  Th</w:t>
      </w:r>
      <w:r w:rsidR="004913A7">
        <w:t xml:space="preserve">ere is some limited evidence that shows that some </w:t>
      </w:r>
      <w:r w:rsidR="00587A32" w:rsidRPr="00D31853">
        <w:t>characteristics</w:t>
      </w:r>
      <w:r w:rsidR="00286B0A">
        <w:t xml:space="preserve"> </w:t>
      </w:r>
      <w:r w:rsidR="00587A32" w:rsidRPr="00D31853">
        <w:t xml:space="preserve">of the victim and </w:t>
      </w:r>
      <w:r w:rsidR="00854EAB" w:rsidRPr="00D31853">
        <w:t xml:space="preserve">crime </w:t>
      </w:r>
      <w:r w:rsidR="004913A7">
        <w:t xml:space="preserve">do </w:t>
      </w:r>
      <w:r w:rsidR="00587A32" w:rsidRPr="00CD4ED9">
        <w:t xml:space="preserve">affect the </w:t>
      </w:r>
      <w:r w:rsidR="00854EAB">
        <w:t xml:space="preserve">level of support </w:t>
      </w:r>
      <w:r w:rsidR="00587A32" w:rsidRPr="00CD4ED9">
        <w:t xml:space="preserve">of a prosecution.  Hare (2006) found that </w:t>
      </w:r>
      <w:r w:rsidR="00854EAB">
        <w:t>o</w:t>
      </w:r>
      <w:r w:rsidR="00854EAB" w:rsidRPr="00CD4ED9">
        <w:t>lder victims (e.g., those aged 30 years and older) and victims who were married to the perpetrator at the time of the offence were significantly less likely to want charges to be filed</w:t>
      </w:r>
      <w:r w:rsidR="00854EAB">
        <w:t>.  Ed</w:t>
      </w:r>
      <w:r w:rsidR="00587A32" w:rsidRPr="00CD4ED9">
        <w:t xml:space="preserve">ucational level of the victim, number </w:t>
      </w:r>
      <w:r w:rsidR="00854EAB" w:rsidRPr="00CD4ED9">
        <w:t>of dependent</w:t>
      </w:r>
      <w:r w:rsidR="00587A32" w:rsidRPr="00CD4ED9">
        <w:t xml:space="preserve"> children at home, ethnicity</w:t>
      </w:r>
      <w:r w:rsidR="00854EAB">
        <w:t>,</w:t>
      </w:r>
      <w:r w:rsidR="00587A32" w:rsidRPr="00CD4ED9">
        <w:t xml:space="preserve"> </w:t>
      </w:r>
      <w:r w:rsidR="00854EAB">
        <w:t>l</w:t>
      </w:r>
      <w:r w:rsidR="00854EAB" w:rsidRPr="00CD4ED9">
        <w:t xml:space="preserve">evel of injury and the frequency of prior victimisation </w:t>
      </w:r>
      <w:r w:rsidR="00587A32" w:rsidRPr="00CD4ED9">
        <w:t>had no impact on wh</w:t>
      </w:r>
      <w:r w:rsidR="008531CA">
        <w:t xml:space="preserve">ether </w:t>
      </w:r>
      <w:r w:rsidR="00587A32" w:rsidRPr="00CD4ED9">
        <w:t xml:space="preserve">the victim supported </w:t>
      </w:r>
      <w:r w:rsidR="008531CA">
        <w:t xml:space="preserve">a </w:t>
      </w:r>
      <w:r w:rsidR="00587A32" w:rsidRPr="00CD4ED9">
        <w:t xml:space="preserve">prosecution or not.  </w:t>
      </w:r>
      <w:r w:rsidR="00854EAB">
        <w:t>However, a later study by H</w:t>
      </w:r>
      <w:r w:rsidR="00281132">
        <w:t>are</w:t>
      </w:r>
      <w:r w:rsidR="00587A32" w:rsidRPr="00CD4ED9">
        <w:t xml:space="preserve"> (2010) found that increased injury, prior victimisation</w:t>
      </w:r>
      <w:r w:rsidR="008531CA">
        <w:t>,</w:t>
      </w:r>
      <w:r w:rsidR="00587A32" w:rsidRPr="00CD4ED9">
        <w:t xml:space="preserve"> and being afraid of the perpetrator increased support for going to trial. </w:t>
      </w:r>
      <w:r w:rsidR="00CD4ED9">
        <w:t xml:space="preserve">Weisz (2002) found </w:t>
      </w:r>
      <w:r w:rsidR="00DD1674">
        <w:t>that</w:t>
      </w:r>
      <w:r w:rsidR="00CD4ED9" w:rsidRPr="00CD4ED9">
        <w:t xml:space="preserve"> victims who favoured prosecution </w:t>
      </w:r>
      <w:r w:rsidR="002277C4">
        <w:t>perceived themselves at a higher risk of future IPV</w:t>
      </w:r>
      <w:r w:rsidR="00CD4ED9" w:rsidRPr="00CD4ED9">
        <w:t xml:space="preserve">, </w:t>
      </w:r>
      <w:r w:rsidR="002277C4">
        <w:t xml:space="preserve">had </w:t>
      </w:r>
      <w:r w:rsidR="00CD4ED9" w:rsidRPr="00CD4ED9">
        <w:t xml:space="preserve">higher levels of abuse reported in the previous six months, </w:t>
      </w:r>
      <w:r w:rsidR="002277C4">
        <w:t xml:space="preserve">had called the police more frequently, </w:t>
      </w:r>
      <w:r w:rsidR="00CD4ED9" w:rsidRPr="00CD4ED9">
        <w:t xml:space="preserve">and </w:t>
      </w:r>
      <w:r w:rsidR="002277C4">
        <w:t>had suffered IPV for a longer period of time</w:t>
      </w:r>
      <w:r w:rsidR="00CD4ED9" w:rsidRPr="00CD4ED9">
        <w:t xml:space="preserve">, compared with those who did not favour prosecution.   </w:t>
      </w:r>
    </w:p>
    <w:p w14:paraId="25944DDD" w14:textId="77777777" w:rsidR="0068503D" w:rsidRPr="00CD4ED9" w:rsidRDefault="0068503D" w:rsidP="00A70CA6">
      <w:pPr>
        <w:pStyle w:val="Heading2"/>
      </w:pPr>
      <w:r>
        <w:t>Victim retraction of allegations of IPV</w:t>
      </w:r>
    </w:p>
    <w:p w14:paraId="457BD4A7" w14:textId="3D2A6A98" w:rsidR="008531CA" w:rsidRDefault="00587A32" w:rsidP="00F30726">
      <w:r w:rsidRPr="00FC5BDC">
        <w:t xml:space="preserve">   </w:t>
      </w:r>
      <w:r w:rsidR="00FC5BDC">
        <w:t xml:space="preserve">The </w:t>
      </w:r>
      <w:r w:rsidR="002277C4">
        <w:t>limitation of</w:t>
      </w:r>
      <w:r w:rsidR="00FC5BDC">
        <w:t xml:space="preserve"> the</w:t>
      </w:r>
      <w:r w:rsidR="0028254B">
        <w:t xml:space="preserve"> above</w:t>
      </w:r>
      <w:r w:rsidR="00FC5BDC">
        <w:t xml:space="preserve"> studies is that whilst they provide valuable information as to why a victim may or may not support a prosecution</w:t>
      </w:r>
      <w:r w:rsidR="004913A7">
        <w:t xml:space="preserve"> (e.g., in supporting charges being filed against their perpetrator)</w:t>
      </w:r>
      <w:r w:rsidR="00FC5BDC">
        <w:t xml:space="preserve">, they do not </w:t>
      </w:r>
      <w:r w:rsidR="004913A7">
        <w:t xml:space="preserve">establish </w:t>
      </w:r>
      <w:r w:rsidR="00FC5BDC">
        <w:t>why a victim may</w:t>
      </w:r>
      <w:r w:rsidR="004913A7">
        <w:t xml:space="preserve"> initially report an IPV offence but then subsequently</w:t>
      </w:r>
      <w:r w:rsidR="00FC5BDC">
        <w:t xml:space="preserve"> withdraw from participation in a </w:t>
      </w:r>
      <w:r w:rsidR="00A37117">
        <w:t>police investigation</w:t>
      </w:r>
      <w:r w:rsidR="000573AA">
        <w:t xml:space="preserve"> either </w:t>
      </w:r>
      <w:r w:rsidR="002D65B1">
        <w:t>by</w:t>
      </w:r>
      <w:r w:rsidR="000573AA">
        <w:t xml:space="preserve"> formally retracting their allegation or by informally disengaging from the investigation</w:t>
      </w:r>
      <w:r w:rsidR="00FC5BDC">
        <w:t>.</w:t>
      </w:r>
      <w:r w:rsidR="0098548C">
        <w:t xml:space="preserve">  </w:t>
      </w:r>
      <w:r w:rsidR="00A0760B">
        <w:t>Logically, v</w:t>
      </w:r>
      <w:r w:rsidR="004913A7">
        <w:t xml:space="preserve">ictim retraction </w:t>
      </w:r>
      <w:r w:rsidR="00A0760B">
        <w:t>represents</w:t>
      </w:r>
      <w:r w:rsidR="004913A7">
        <w:t xml:space="preserve"> </w:t>
      </w:r>
      <w:r w:rsidR="00A0760B">
        <w:t xml:space="preserve">a different process </w:t>
      </w:r>
      <w:r w:rsidR="004913A7">
        <w:t>to other victim decision</w:t>
      </w:r>
      <w:r w:rsidR="00A0760B">
        <w:t xml:space="preserve">s that can be made </w:t>
      </w:r>
      <w:r w:rsidR="004913A7">
        <w:t>in relation to criminal justice processes</w:t>
      </w:r>
      <w:r w:rsidR="00A0760B">
        <w:t xml:space="preserve">.  For example, </w:t>
      </w:r>
      <w:r w:rsidR="004913A7">
        <w:t xml:space="preserve">not reporting the offence </w:t>
      </w:r>
      <w:r w:rsidR="00A0760B">
        <w:t xml:space="preserve">suggests a complete lack of engagement with criminal justice processes whereas victim retraction suggests that some value was seen in initially engaging in criminal justice processes.  </w:t>
      </w:r>
      <w:r w:rsidR="00EE40CF" w:rsidRPr="00FC5BDC">
        <w:t xml:space="preserve">Victim retraction occurs in a significant number of cases; for </w:t>
      </w:r>
      <w:r w:rsidR="0011697F">
        <w:t>example, Cretney and Davis (1997</w:t>
      </w:r>
      <w:r w:rsidR="00EE40CF" w:rsidRPr="00FC5BDC">
        <w:t>) reported a 52% discontinuance rate in their sample of IPV cases</w:t>
      </w:r>
      <w:r w:rsidR="0029797E">
        <w:t xml:space="preserve"> due to victim retraction</w:t>
      </w:r>
      <w:r w:rsidR="00EE40CF" w:rsidRPr="00FC5BDC">
        <w:t xml:space="preserve">.  </w:t>
      </w:r>
      <w:r w:rsidR="0068503D">
        <w:t>Furthermore, l</w:t>
      </w:r>
      <w:r w:rsidR="008531CA">
        <w:t>evel</w:t>
      </w:r>
      <w:r w:rsidR="001830A2">
        <w:t>s</w:t>
      </w:r>
      <w:r w:rsidR="008531CA">
        <w:t xml:space="preserve"> of retraction in IPV cases have</w:t>
      </w:r>
      <w:r w:rsidR="00EE40CF" w:rsidRPr="00FC5BDC">
        <w:t xml:space="preserve"> been identified as significantly higher than levels of victim retraction across all other types of cases dealt with </w:t>
      </w:r>
      <w:r w:rsidR="002D65B1">
        <w:t>by</w:t>
      </w:r>
      <w:r w:rsidR="002D65B1" w:rsidRPr="00FC5BDC">
        <w:t xml:space="preserve"> </w:t>
      </w:r>
      <w:r w:rsidR="00EE40CF" w:rsidRPr="00FC5BDC">
        <w:t xml:space="preserve">the Crown Prosecution Service (Home Office Affairs, Sixth Report, 2008).  </w:t>
      </w:r>
      <w:r w:rsidR="008531CA">
        <w:t xml:space="preserve">Therefore, victim retraction </w:t>
      </w:r>
      <w:r w:rsidR="008531CA" w:rsidRPr="00FC5BDC">
        <w:t>presents</w:t>
      </w:r>
      <w:r w:rsidR="00EE40CF" w:rsidRPr="00FC5BDC">
        <w:t xml:space="preserve"> a formidable challenge to both police investigators and also prosecutors in England and Wales (Ellison, 2002) and around the world.</w:t>
      </w:r>
      <w:r w:rsidR="00DD1674" w:rsidRPr="00FC5BDC">
        <w:t xml:space="preserve">  </w:t>
      </w:r>
    </w:p>
    <w:p w14:paraId="13D043A9" w14:textId="77777777" w:rsidR="002D65B1" w:rsidRDefault="0028254B" w:rsidP="00F30726">
      <w:r>
        <w:t xml:space="preserve">Our understanding of this process of victim retraction is currently very limited with only one known published study </w:t>
      </w:r>
      <w:r w:rsidRPr="00FC5BDC">
        <w:t>explicitly examin</w:t>
      </w:r>
      <w:r>
        <w:t>ing</w:t>
      </w:r>
      <w:r w:rsidRPr="00FC5BDC">
        <w:t xml:space="preserve"> victim retraction</w:t>
      </w:r>
      <w:r>
        <w:t xml:space="preserve"> in the police investigation stage</w:t>
      </w:r>
      <w:r w:rsidRPr="00FC5BDC">
        <w:t xml:space="preserve"> (</w:t>
      </w:r>
      <w:r>
        <w:t xml:space="preserve">i.e., </w:t>
      </w:r>
      <w:r w:rsidRPr="00FC5BDC">
        <w:t xml:space="preserve">Robinson &amp; Cook, 2006).  </w:t>
      </w:r>
      <w:r w:rsidR="00415F2F" w:rsidRPr="00FC5BDC">
        <w:t>Robinson and Cook (2006) analysed data gathered in 2</w:t>
      </w:r>
      <w:r w:rsidR="00FC5BDC" w:rsidRPr="00FC5BDC">
        <w:t xml:space="preserve">003, which examined </w:t>
      </w:r>
      <w:r w:rsidR="00D4734E">
        <w:t xml:space="preserve">victim and offence-related </w:t>
      </w:r>
      <w:r w:rsidR="00A70CA6" w:rsidRPr="00FC5BDC">
        <w:t>characteristics</w:t>
      </w:r>
      <w:r w:rsidR="00A70CA6">
        <w:t xml:space="preserve"> </w:t>
      </w:r>
      <w:r w:rsidR="00FC5BDC" w:rsidRPr="00FC5BDC">
        <w:t xml:space="preserve">that may predict retraction.  Fifty per cent of this sample retracted their allegation with 71.3% of these retracting </w:t>
      </w:r>
      <w:r w:rsidR="006E430F">
        <w:t>during the police investigation</w:t>
      </w:r>
      <w:r w:rsidR="00FC5BDC" w:rsidRPr="00FC5BDC">
        <w:t xml:space="preserve">.  In terms of the documentation of those cases, 73% of the retracted cases had retraction statements from the victims.  </w:t>
      </w:r>
      <w:r w:rsidR="006E430F">
        <w:t>Within these statement</w:t>
      </w:r>
      <w:r w:rsidR="00EC5067">
        <w:t>s</w:t>
      </w:r>
      <w:r w:rsidR="006E430F">
        <w:t xml:space="preserve">, a substantial amount contained only the </w:t>
      </w:r>
      <w:r w:rsidR="00FC5BDC" w:rsidRPr="00FC5BDC">
        <w:t>information that the victim does not wish to continue with the case</w:t>
      </w:r>
      <w:r w:rsidR="006E430F">
        <w:t xml:space="preserve">, with other cases including </w:t>
      </w:r>
      <w:r w:rsidR="00FC5BDC" w:rsidRPr="00FC5BDC">
        <w:t>no written documentation</w:t>
      </w:r>
      <w:r w:rsidR="001830A2">
        <w:t>, thus providing us with little understanding of the reasons that guided the retraction decision</w:t>
      </w:r>
      <w:r w:rsidR="00FC5BDC" w:rsidRPr="00FC5BDC">
        <w:t>.</w:t>
      </w:r>
      <w:r w:rsidR="00793FD4">
        <w:t xml:space="preserve">  </w:t>
      </w:r>
      <w:r w:rsidR="00DB1A3E">
        <w:t>V</w:t>
      </w:r>
      <w:r w:rsidR="00201ACC">
        <w:t xml:space="preserve">ictims were more likely to retract when </w:t>
      </w:r>
      <w:r w:rsidR="00D66616">
        <w:t xml:space="preserve">they were in a current relationship with the perpetrator, when </w:t>
      </w:r>
      <w:r w:rsidR="00201ACC">
        <w:t xml:space="preserve">the victim had experienced past violence from the perpetrator, when the offence involved an assault (e.g., classified as Common Assault or Actual Bodily Harm), when the victim was injured from the offence, and when the perpetrator was alcohol intoxicated during the offence.  </w:t>
      </w:r>
      <w:r w:rsidR="00A305C4">
        <w:t>Characteristics t</w:t>
      </w:r>
      <w:r w:rsidR="00201ACC">
        <w:t>hat did not predict retraction were: having children with the pe</w:t>
      </w:r>
      <w:r w:rsidR="00D66616">
        <w:t>rpetrator and being defined as a vulnerable witness</w:t>
      </w:r>
      <w:r>
        <w:t xml:space="preserve"> (</w:t>
      </w:r>
      <w:r w:rsidR="00D4734E">
        <w:t>see section 16 of the Youth Justice and Criminal Evidence Act, 1999, for a definition of vulnerable witnesses)</w:t>
      </w:r>
      <w:r w:rsidR="00D66616">
        <w:t>.</w:t>
      </w:r>
      <w:r w:rsidR="00B8365C">
        <w:t xml:space="preserve">  </w:t>
      </w:r>
    </w:p>
    <w:p w14:paraId="3A99DB71" w14:textId="0FAC556A" w:rsidR="00793FD4" w:rsidRDefault="0028254B" w:rsidP="00F30726">
      <w:r w:rsidRPr="00FC5BDC">
        <w:t>Th</w:t>
      </w:r>
      <w:r>
        <w:t>e limited research in this area leaves</w:t>
      </w:r>
      <w:r w:rsidRPr="00FC5BDC">
        <w:t xml:space="preserve"> a gap in our understanding a</w:t>
      </w:r>
      <w:r>
        <w:t xml:space="preserve">bout victim retraction with regards to </w:t>
      </w:r>
      <w:r w:rsidRPr="00FC5BDC">
        <w:t xml:space="preserve">what characterises a </w:t>
      </w:r>
      <w:r>
        <w:t xml:space="preserve">case where the </w:t>
      </w:r>
      <w:r w:rsidRPr="00FC5BDC">
        <w:t>victim may be at a high risk of retraction</w:t>
      </w:r>
      <w:r>
        <w:t>, or the reasons for retracting participation at this important early stage of the investigation</w:t>
      </w:r>
      <w:r w:rsidR="00DC3BEF">
        <w:t>,</w:t>
      </w:r>
      <w:r w:rsidR="000573AA">
        <w:t xml:space="preserve"> in comparison to cases that progress with victim support.  Given that we have a limited understanding of formal retraction, we have no current understanding of characteristics that may predict informal victim disengagement.  Informal victim di</w:t>
      </w:r>
      <w:r w:rsidR="00B46608">
        <w:t>sengagement occurs when the victim withdraws from involvement in the case by informal methods.  These methods include not maintaining contact with the case (e.g., by not responding to telephone messages, answering the door for police visits), not providing a victim statement when requested, or not providing evidence when requested.  No prior study has examined whether victim, offender</w:t>
      </w:r>
      <w:r w:rsidR="00DC3BEF">
        <w:t>,</w:t>
      </w:r>
      <w:r w:rsidR="00B46608">
        <w:t xml:space="preserve"> or offence characteristics differ between cases where the victim informally disengages compared to cases that progress with victim support. </w:t>
      </w:r>
      <w:r>
        <w:t xml:space="preserve">  </w:t>
      </w:r>
    </w:p>
    <w:p w14:paraId="3B84508C" w14:textId="06536AC0" w:rsidR="00793FD4" w:rsidRDefault="00A50E99" w:rsidP="00F30726">
      <w:r>
        <w:t xml:space="preserve">The current study </w:t>
      </w:r>
      <w:r w:rsidR="00B46608">
        <w:t xml:space="preserve">also </w:t>
      </w:r>
      <w:r>
        <w:t xml:space="preserve">represents an extension of the previous research in this area, by providing </w:t>
      </w:r>
      <w:r w:rsidR="00770EFD">
        <w:t xml:space="preserve">a </w:t>
      </w:r>
      <w:r w:rsidR="002D65B1">
        <w:t xml:space="preserve">more detailed </w:t>
      </w:r>
      <w:r w:rsidR="00770EFD">
        <w:t>examination of the characteristics present within an IPV case.  For example, Robinson and Cook (2006) did not examine perpetrator characteristics and the offence</w:t>
      </w:r>
      <w:r w:rsidR="00994BC9">
        <w:t xml:space="preserve">-related </w:t>
      </w:r>
      <w:r w:rsidR="00770EFD">
        <w:t xml:space="preserve">characteristics were also limited to </w:t>
      </w:r>
      <w:r w:rsidR="006E430F">
        <w:t>three</w:t>
      </w:r>
      <w:r w:rsidR="00770EFD">
        <w:t xml:space="preserve"> variables of: assaultive offence, injury, </w:t>
      </w:r>
      <w:r w:rsidR="00A305C4">
        <w:t xml:space="preserve">and </w:t>
      </w:r>
      <w:r w:rsidR="00770EFD">
        <w:t xml:space="preserve">use of alcohol by defendant.  </w:t>
      </w:r>
      <w:r>
        <w:t>T</w:t>
      </w:r>
      <w:r w:rsidR="00770EFD">
        <w:t>h</w:t>
      </w:r>
      <w:r>
        <w:t>e</w:t>
      </w:r>
      <w:r w:rsidR="00770EFD">
        <w:t xml:space="preserve"> </w:t>
      </w:r>
      <w:r>
        <w:t xml:space="preserve">current </w:t>
      </w:r>
      <w:r w:rsidR="00770EFD">
        <w:t xml:space="preserve">study also examines a measure of seriousness or risk to the victim by using the risk assessment score produced by the </w:t>
      </w:r>
      <w:r w:rsidR="00770EFD" w:rsidRPr="00373787">
        <w:t>Domestic Abuse, Stalking and Honour Based Violence </w:t>
      </w:r>
      <w:r w:rsidR="00770EFD">
        <w:t xml:space="preserve">(DASH, 2009) risk assessment tool.  </w:t>
      </w:r>
      <w:r w:rsidR="00CB51C8">
        <w:t xml:space="preserve">This tool is currently used by all police forces in England and Wales to risk assess IPV cases and is recommended by the Association of Chief Police Officers.  </w:t>
      </w:r>
      <w:r w:rsidR="00770EFD">
        <w:t xml:space="preserve">This </w:t>
      </w:r>
      <w:r w:rsidR="00326FA5">
        <w:t>measure</w:t>
      </w:r>
      <w:r w:rsidR="00770EFD">
        <w:t xml:space="preserve"> uses 15 risk factors that</w:t>
      </w:r>
      <w:r w:rsidR="00D26A63">
        <w:t xml:space="preserve"> according to the DASH (2009)</w:t>
      </w:r>
      <w:r w:rsidR="00770EFD">
        <w:t xml:space="preserve"> have been shown to predict the risk of serious harm to the victim including factors such as victim pregnancy, escalation of offence related behaviour, and perpetrator controlling behaviour.  </w:t>
      </w:r>
      <w:r w:rsidR="00CB51C8">
        <w:t xml:space="preserve">This tool is considered to have good face and content validity, however no evaluation of predictive validity has been carried out at this time (Robinson &amp; Howart, 2012).  </w:t>
      </w:r>
      <w:r w:rsidR="00770EFD">
        <w:t xml:space="preserve">The completion of the </w:t>
      </w:r>
      <w:r w:rsidR="00326FA5">
        <w:t>DASH</w:t>
      </w:r>
      <w:r w:rsidR="00770EFD">
        <w:t xml:space="preserve"> results in the categorisation of the offence into three levels of increasing risk: standard, medium, and high.  This is a factor that has not been studied previously in relation to </w:t>
      </w:r>
      <w:r w:rsidR="00BD4F98">
        <w:t xml:space="preserve">retraction or disengagement in cases of </w:t>
      </w:r>
      <w:r w:rsidR="00EC5067">
        <w:t>IPV</w:t>
      </w:r>
      <w:r w:rsidR="00770EFD">
        <w:t xml:space="preserve">.  However, parallel literature for offenders has shown a relationship between engagement (e.g., in offender rehabilitation treatment programmes) and risk factors (e.g., Schley, Yuen, Fletcher, &amp; Radovini, 2012; Yang et al., 2013) suggesting that this is important to examine in the current study.  </w:t>
      </w:r>
      <w:r w:rsidR="00326FA5">
        <w:t xml:space="preserve">In addition, the current study </w:t>
      </w:r>
      <w:r w:rsidR="008F5263">
        <w:t xml:space="preserve">includes the Index of Multiple Deprivation for the crime location as a variable </w:t>
      </w:r>
      <w:r w:rsidR="003937CF">
        <w:t>that</w:t>
      </w:r>
      <w:r w:rsidR="008F5263">
        <w:t xml:space="preserve"> may be predictive of victim engagement with the police.  This deprivation score is calculated for small geographical areas, and is a composite value based of 38 indicators of deprivation (e.g. </w:t>
      </w:r>
      <w:r w:rsidR="003937CF">
        <w:t>income, employment, education</w:t>
      </w:r>
      <w:r w:rsidR="008F5263">
        <w:t xml:space="preserve">).  This provides a quantitative, relative measure of deprivation for locations </w:t>
      </w:r>
      <w:r w:rsidR="006E430F">
        <w:t>that</w:t>
      </w:r>
      <w:r w:rsidR="008F5263">
        <w:t xml:space="preserve"> acts as a proxy measure for socioeconomic status</w:t>
      </w:r>
      <w:r w:rsidR="003937CF">
        <w:t>,</w:t>
      </w:r>
      <w:r w:rsidR="008F5263">
        <w:t xml:space="preserve"> which has been successfully used in other studies which have analysed police recorded crime data (</w:t>
      </w:r>
      <w:r w:rsidR="00A305C4">
        <w:t xml:space="preserve">Shuttlewood, Bond, &amp; Smith, 2011; </w:t>
      </w:r>
      <w:r w:rsidR="008F5263">
        <w:t>Smith &amp; Bond, 2009)</w:t>
      </w:r>
      <w:r w:rsidR="00A305C4">
        <w:t>.</w:t>
      </w:r>
    </w:p>
    <w:p w14:paraId="5E12E42C" w14:textId="76EDBCA7" w:rsidR="007414CC" w:rsidRDefault="00793FD4" w:rsidP="00F30726">
      <w:r>
        <w:t>Furthermore, n</w:t>
      </w:r>
      <w:r w:rsidR="00B8365C">
        <w:t>umerous changes have occurred in England and Wales since th</w:t>
      </w:r>
      <w:r w:rsidR="006E430F">
        <w:t>e data gathered in 2003 and reported by Robinson and Cook (2006)</w:t>
      </w:r>
      <w:r w:rsidR="00B8365C">
        <w:t>.</w:t>
      </w:r>
      <w:r w:rsidR="00A37117">
        <w:t xml:space="preserve">  </w:t>
      </w:r>
      <w:r w:rsidR="00B8365C">
        <w:t xml:space="preserve">For example, the Domestic Violence, Crime and Victims Act was introduced in 2004.  This act was introduced with a particular focus upon supporting and protecting victims of </w:t>
      </w:r>
      <w:r w:rsidR="00854EAB">
        <w:t>IPV</w:t>
      </w:r>
      <w:r w:rsidR="00B8365C">
        <w:t xml:space="preserve">, as well as having a focus on improving police practice and reducing the ‘justice gap’ (Hester et al., 2008).  </w:t>
      </w:r>
      <w:r w:rsidR="008F5263">
        <w:t>In addition</w:t>
      </w:r>
      <w:r w:rsidR="00446ACB">
        <w:t xml:space="preserve">, the current study represents </w:t>
      </w:r>
      <w:r w:rsidR="00854EAB">
        <w:t xml:space="preserve">police </w:t>
      </w:r>
      <w:r w:rsidR="00D65658">
        <w:t xml:space="preserve">recorded </w:t>
      </w:r>
      <w:r w:rsidR="00854EAB">
        <w:t xml:space="preserve">data rather than Crown Prosecution Service (CPS) case files.  As a significant number of cases may not progress to the point where they are referred to the CPS, </w:t>
      </w:r>
      <w:r w:rsidR="008F5263">
        <w:t xml:space="preserve">the </w:t>
      </w:r>
      <w:r w:rsidR="00854EAB">
        <w:t xml:space="preserve">data </w:t>
      </w:r>
      <w:r w:rsidR="008F5263">
        <w:t xml:space="preserve">described here </w:t>
      </w:r>
      <w:r w:rsidR="00854EAB">
        <w:t>may provide a clearer understanding of victim retraction</w:t>
      </w:r>
      <w:r w:rsidR="00B46608">
        <w:t xml:space="preserve"> </w:t>
      </w:r>
      <w:r w:rsidR="00854EAB">
        <w:t xml:space="preserve">during the police investigative stage than </w:t>
      </w:r>
      <w:r w:rsidR="00446ACB">
        <w:t>Robinson and Cook (2006)</w:t>
      </w:r>
      <w:r w:rsidR="00854EAB">
        <w:t xml:space="preserve"> </w:t>
      </w:r>
      <w:r w:rsidR="00D65658">
        <w:t xml:space="preserve">were </w:t>
      </w:r>
      <w:r w:rsidR="00854EAB">
        <w:t>able to</w:t>
      </w:r>
      <w:r w:rsidR="00446ACB">
        <w:t xml:space="preserve">.  </w:t>
      </w:r>
      <w:r w:rsidR="00B8365C">
        <w:t xml:space="preserve">Therefore, </w:t>
      </w:r>
      <w:r w:rsidR="00854EAB">
        <w:t>the</w:t>
      </w:r>
      <w:r w:rsidR="00B8365C">
        <w:t xml:space="preserve"> more current understanding of the level of victim retraction and the </w:t>
      </w:r>
      <w:r w:rsidR="00A305C4">
        <w:t xml:space="preserve">characteristics </w:t>
      </w:r>
      <w:r w:rsidR="00B8365C">
        <w:t xml:space="preserve">that may predict retraction </w:t>
      </w:r>
      <w:r w:rsidR="00446ACB">
        <w:t xml:space="preserve">as reported in this current study </w:t>
      </w:r>
      <w:r w:rsidR="00B8365C">
        <w:t>will provide a timely and significant contribution to our understanding of retraction within the literature</w:t>
      </w:r>
      <w:r w:rsidR="002D65B1">
        <w:t xml:space="preserve"> as</w:t>
      </w:r>
      <w:r w:rsidR="00B46608">
        <w:t xml:space="preserve"> well as contributing to an undeveloped area of literature in relation to informal victim disengagement from IPV cases. </w:t>
      </w:r>
      <w:r w:rsidR="00B8365C">
        <w:t xml:space="preserve"> </w:t>
      </w:r>
      <w:r w:rsidR="00D66616">
        <w:t xml:space="preserve">  </w:t>
      </w:r>
    </w:p>
    <w:p w14:paraId="15C8599B" w14:textId="77777777" w:rsidR="00DB1A3E" w:rsidRDefault="00DB1A3E" w:rsidP="00890C0A">
      <w:pPr>
        <w:pStyle w:val="Heading2"/>
        <w:rPr>
          <w:color w:val="000000" w:themeColor="text1"/>
        </w:rPr>
      </w:pPr>
      <w:r>
        <w:t>Benefits of engaging in prosecution of IPV cases</w:t>
      </w:r>
    </w:p>
    <w:p w14:paraId="42225F2F" w14:textId="0812F255" w:rsidR="00B8365C" w:rsidRDefault="00F30726" w:rsidP="007856BC">
      <w:r w:rsidRPr="00DD1674">
        <w:t xml:space="preserve">For victims, engagement in the criminal justice process </w:t>
      </w:r>
      <w:r w:rsidR="00B46608">
        <w:t xml:space="preserve">can be </w:t>
      </w:r>
      <w:r w:rsidR="008F5263">
        <w:t>important</w:t>
      </w:r>
      <w:r w:rsidR="008F5263" w:rsidRPr="00DD1674">
        <w:t xml:space="preserve"> </w:t>
      </w:r>
      <w:r w:rsidR="00B46608">
        <w:t>in enabling them to seek justice following victimisation</w:t>
      </w:r>
      <w:r w:rsidRPr="00DD1674">
        <w:t xml:space="preserve">.  </w:t>
      </w:r>
      <w:r w:rsidR="00B46608">
        <w:t>E</w:t>
      </w:r>
      <w:r w:rsidRPr="00DD1674">
        <w:t>ngagement has been shown to be associated with benefits such as the cessation of the abuse, the opportunity to engage in help seeking behavio</w:t>
      </w:r>
      <w:r w:rsidR="00D31853">
        <w:t>u</w:t>
      </w:r>
      <w:r w:rsidRPr="00DD1674">
        <w:t xml:space="preserve">rs, and access to legal resources.  </w:t>
      </w:r>
      <w:r w:rsidR="00B46608">
        <w:t>T</w:t>
      </w:r>
      <w:r w:rsidRPr="00DD1674">
        <w:t xml:space="preserve">hese benefits have been associated with recovery from </w:t>
      </w:r>
      <w:r w:rsidR="00A37117">
        <w:t>the effects of victimis</w:t>
      </w:r>
      <w:r w:rsidRPr="00DD1674">
        <w:t xml:space="preserve">ation, suggesting </w:t>
      </w:r>
      <w:r w:rsidR="00B46608">
        <w:t xml:space="preserve">that there may be advantages to continuing </w:t>
      </w:r>
      <w:r w:rsidRPr="00DD1674">
        <w:t>engagement in criminal justice processes (Beeble</w:t>
      </w:r>
      <w:r w:rsidR="00854EAB">
        <w:t>, Bybee, Sulliva</w:t>
      </w:r>
      <w:r w:rsidR="004810DB">
        <w:t>n</w:t>
      </w:r>
      <w:r w:rsidR="00854EAB">
        <w:t xml:space="preserve">, &amp; Adams, </w:t>
      </w:r>
      <w:r w:rsidRPr="00DD1674">
        <w:t>2009; Bell et al., 2011).  For criminal justice agencies, continued prosecutions of IPV cases have numerous benefits</w:t>
      </w:r>
      <w:r w:rsidR="00DD1674" w:rsidRPr="00DD1674">
        <w:t xml:space="preserve"> e.g., </w:t>
      </w:r>
      <w:r w:rsidRPr="00DD1674">
        <w:t>in reducing the waste of public monies resulting from ended investigations and improved indicators of performance.</w:t>
      </w:r>
      <w:r w:rsidR="00DD1674" w:rsidRPr="00DD1674">
        <w:t xml:space="preserve">  Furthermore</w:t>
      </w:r>
      <w:r w:rsidR="003937CF">
        <w:t>,</w:t>
      </w:r>
      <w:r w:rsidR="00DD1674" w:rsidRPr="00DD1674">
        <w:t xml:space="preserve"> Gauthier (2010) suggests that dropping charges has been associated with negative consequences for criminal justice professionals in addition to those experienced by the victim.  Criminal justice professionals may become discouraged, demotivated and frustrated by dropped charges, which may reflect in their future responses to IPV victims.  </w:t>
      </w:r>
      <w:r w:rsidRPr="00DD1674">
        <w:t xml:space="preserve">These issues suggest that </w:t>
      </w:r>
      <w:r w:rsidR="00983743">
        <w:t xml:space="preserve">where appropriate, it is important that victims are supported to </w:t>
      </w:r>
      <w:r w:rsidRPr="00DD1674">
        <w:t xml:space="preserve">continue to </w:t>
      </w:r>
      <w:r w:rsidR="00983743">
        <w:t xml:space="preserve">engage with the </w:t>
      </w:r>
      <w:r w:rsidRPr="00DD1674">
        <w:t>prosecution of their cases.</w:t>
      </w:r>
    </w:p>
    <w:p w14:paraId="3BAA59AD" w14:textId="77777777" w:rsidR="00DB1A3E" w:rsidRDefault="00DB1A3E" w:rsidP="00890C0A">
      <w:pPr>
        <w:pStyle w:val="Heading2"/>
      </w:pPr>
      <w:r>
        <w:t>Current study</w:t>
      </w:r>
    </w:p>
    <w:p w14:paraId="113F2641" w14:textId="77777777" w:rsidR="005A00BD" w:rsidRDefault="00B8365C" w:rsidP="00DD1674">
      <w:r>
        <w:t>Based upon the previous literature, it is hypothesised that</w:t>
      </w:r>
      <w:r w:rsidR="005A00BD">
        <w:t>:</w:t>
      </w:r>
    </w:p>
    <w:p w14:paraId="3EAB4E60" w14:textId="01FB510E" w:rsidR="005A00BD" w:rsidRDefault="005A00BD" w:rsidP="003338A4">
      <w:pPr>
        <w:pStyle w:val="ListParagraph"/>
        <w:numPr>
          <w:ilvl w:val="0"/>
          <w:numId w:val="19"/>
        </w:numPr>
      </w:pPr>
      <w:r>
        <w:t>V</w:t>
      </w:r>
      <w:r w:rsidR="005F0167">
        <w:t xml:space="preserve">ictim characteristics such as </w:t>
      </w:r>
      <w:r w:rsidR="00673C5B">
        <w:t xml:space="preserve">increased </w:t>
      </w:r>
      <w:r w:rsidR="005F0167">
        <w:t xml:space="preserve">age </w:t>
      </w:r>
      <w:r w:rsidR="00D601C7">
        <w:t xml:space="preserve">and </w:t>
      </w:r>
      <w:r w:rsidR="005F0167">
        <w:t xml:space="preserve">being in a current relationship with the perpetrator will increase the likelihood of </w:t>
      </w:r>
      <w:r w:rsidR="00673C5B">
        <w:t xml:space="preserve">formal </w:t>
      </w:r>
      <w:r w:rsidR="005F0167">
        <w:t>retraction</w:t>
      </w:r>
      <w:r w:rsidR="00673C5B">
        <w:t xml:space="preserve"> and disengagement</w:t>
      </w:r>
      <w:r w:rsidR="005F0167">
        <w:t>.</w:t>
      </w:r>
    </w:p>
    <w:p w14:paraId="4CEA8CA5" w14:textId="77777777" w:rsidR="003338A4" w:rsidRDefault="005A00BD" w:rsidP="003338A4">
      <w:pPr>
        <w:pStyle w:val="ListParagraph"/>
        <w:numPr>
          <w:ilvl w:val="0"/>
          <w:numId w:val="19"/>
        </w:numPr>
      </w:pPr>
      <w:r>
        <w:t>O</w:t>
      </w:r>
      <w:r w:rsidR="005F0167">
        <w:t xml:space="preserve">ffence characteristics such as use of a weapon, the victim sustaining injury, alcohol being involved, and children being present during the offence will also increase the likelihood of </w:t>
      </w:r>
      <w:r w:rsidR="00673C5B">
        <w:t xml:space="preserve">formal </w:t>
      </w:r>
      <w:r w:rsidR="005F0167">
        <w:t>retraction</w:t>
      </w:r>
      <w:r w:rsidR="00673C5B">
        <w:t xml:space="preserve"> and disengagement</w:t>
      </w:r>
      <w:r w:rsidR="005F0167">
        <w:t xml:space="preserve">.  </w:t>
      </w:r>
    </w:p>
    <w:p w14:paraId="5D2272A0" w14:textId="41CF8303" w:rsidR="003338A4" w:rsidRDefault="003338A4" w:rsidP="003338A4">
      <w:pPr>
        <w:pStyle w:val="ListParagraph"/>
        <w:numPr>
          <w:ilvl w:val="0"/>
          <w:numId w:val="19"/>
        </w:numPr>
      </w:pPr>
      <w:r>
        <w:t xml:space="preserve">Although </w:t>
      </w:r>
      <w:r w:rsidR="005F0167">
        <w:t xml:space="preserve">there is no current literature regarding demographic </w:t>
      </w:r>
      <w:r w:rsidR="00784039">
        <w:t xml:space="preserve">characteristics </w:t>
      </w:r>
      <w:r w:rsidR="005F0167">
        <w:t xml:space="preserve">of the perpetrator and how this may predict retraction, based upon the victim literature, it is predicted that age will predict an increased likelihood of </w:t>
      </w:r>
      <w:r w:rsidR="00673C5B">
        <w:t>formal r</w:t>
      </w:r>
      <w:r w:rsidR="005F0167">
        <w:t>etraction</w:t>
      </w:r>
      <w:r w:rsidR="00673C5B">
        <w:t xml:space="preserve"> and disengagement</w:t>
      </w:r>
      <w:r w:rsidR="005F0167">
        <w:t>.</w:t>
      </w:r>
    </w:p>
    <w:p w14:paraId="0D94586B" w14:textId="77777777" w:rsidR="003338A4" w:rsidRDefault="003338A4" w:rsidP="003338A4"/>
    <w:p w14:paraId="0F10B0C1" w14:textId="13BF16A0" w:rsidR="00F30726" w:rsidRDefault="00673C5B" w:rsidP="003338A4">
      <w:r>
        <w:t>In addition to the quantitative data analysis</w:t>
      </w:r>
      <w:r w:rsidR="00983743">
        <w:t>,</w:t>
      </w:r>
      <w:r>
        <w:t xml:space="preserve"> a </w:t>
      </w:r>
      <w:r w:rsidR="00B66166">
        <w:t>qualitative analysis</w:t>
      </w:r>
      <w:r>
        <w:t xml:space="preserve"> of the available victim retraction statements and free text within the police recording database,</w:t>
      </w:r>
      <w:r w:rsidR="00B66166">
        <w:t xml:space="preserve"> will explore the reasons given by victims </w:t>
      </w:r>
      <w:r w:rsidR="002D65B1">
        <w:t xml:space="preserve">in order </w:t>
      </w:r>
      <w:r w:rsidR="00B66166">
        <w:t>to understand the decision making that leads to retraction</w:t>
      </w:r>
      <w:r>
        <w:t xml:space="preserve"> and disengagement</w:t>
      </w:r>
      <w:r w:rsidR="00B66166">
        <w:t>.</w:t>
      </w:r>
    </w:p>
    <w:p w14:paraId="0E599237" w14:textId="77777777" w:rsidR="00446ACB" w:rsidRDefault="00446ACB" w:rsidP="008A2921">
      <w:pPr>
        <w:pStyle w:val="Heading1"/>
      </w:pPr>
    </w:p>
    <w:p w14:paraId="1D4B0101" w14:textId="77777777" w:rsidR="00663B5D" w:rsidRDefault="00663B5D" w:rsidP="008A2921">
      <w:pPr>
        <w:pStyle w:val="Heading1"/>
      </w:pPr>
      <w:r>
        <w:t>Method</w:t>
      </w:r>
    </w:p>
    <w:p w14:paraId="61723F9B" w14:textId="77777777" w:rsidR="00E076EA" w:rsidRDefault="00E076EA" w:rsidP="008A2921">
      <w:pPr>
        <w:pStyle w:val="Heading2"/>
      </w:pPr>
      <w:r>
        <w:t>Design</w:t>
      </w:r>
    </w:p>
    <w:p w14:paraId="76FEF8A5" w14:textId="01E2EC7C" w:rsidR="00E076EA" w:rsidRDefault="00784039" w:rsidP="00890C0A">
      <w:r>
        <w:rPr>
          <w:lang w:bidi="en-US"/>
        </w:rPr>
        <w:t>A mixed methods</w:t>
      </w:r>
      <w:r w:rsidR="000D2E75">
        <w:rPr>
          <w:lang w:bidi="en-US"/>
        </w:rPr>
        <w:t xml:space="preserve"> </w:t>
      </w:r>
      <w:r>
        <w:rPr>
          <w:lang w:bidi="en-US"/>
        </w:rPr>
        <w:t>approach was</w:t>
      </w:r>
      <w:r w:rsidR="00016360">
        <w:rPr>
          <w:lang w:bidi="en-US"/>
        </w:rPr>
        <w:t xml:space="preserve"> used within this study to examine the issue of victim</w:t>
      </w:r>
      <w:r w:rsidR="00673C5B">
        <w:rPr>
          <w:lang w:bidi="en-US"/>
        </w:rPr>
        <w:t xml:space="preserve"> formal</w:t>
      </w:r>
      <w:r w:rsidR="00016360">
        <w:rPr>
          <w:lang w:bidi="en-US"/>
        </w:rPr>
        <w:t xml:space="preserve"> retraction</w:t>
      </w:r>
      <w:r w:rsidR="00673C5B">
        <w:rPr>
          <w:lang w:bidi="en-US"/>
        </w:rPr>
        <w:t xml:space="preserve"> and disengagement</w:t>
      </w:r>
      <w:r w:rsidR="00016360">
        <w:rPr>
          <w:lang w:bidi="en-US"/>
        </w:rPr>
        <w:t>.  For the quantitative data, a</w:t>
      </w:r>
      <w:r w:rsidR="00E076EA">
        <w:rPr>
          <w:lang w:bidi="en-US"/>
        </w:rPr>
        <w:t xml:space="preserve"> cross-sectional correlational design was used to establish whether the identified </w:t>
      </w:r>
      <w:r w:rsidR="00890C0A">
        <w:rPr>
          <w:lang w:bidi="en-US"/>
        </w:rPr>
        <w:t>characteristics</w:t>
      </w:r>
      <w:r w:rsidR="00994BC9">
        <w:rPr>
          <w:lang w:bidi="en-US"/>
        </w:rPr>
        <w:t xml:space="preserve"> </w:t>
      </w:r>
      <w:r w:rsidR="00983743">
        <w:rPr>
          <w:lang w:bidi="en-US"/>
        </w:rPr>
        <w:t xml:space="preserve">could differentiate between cases where (i) </w:t>
      </w:r>
      <w:r w:rsidR="00E076EA">
        <w:rPr>
          <w:lang w:bidi="en-US"/>
        </w:rPr>
        <w:t xml:space="preserve">a victim would formally retract an allegation or </w:t>
      </w:r>
      <w:r w:rsidR="00983743">
        <w:rPr>
          <w:lang w:bidi="en-US"/>
        </w:rPr>
        <w:t xml:space="preserve">(ii) </w:t>
      </w:r>
      <w:r w:rsidR="00673C5B">
        <w:rPr>
          <w:lang w:bidi="en-US"/>
        </w:rPr>
        <w:t>whether the victim disengaged from participating in the investigation</w:t>
      </w:r>
      <w:r w:rsidR="00983743">
        <w:rPr>
          <w:lang w:bidi="en-US"/>
        </w:rPr>
        <w:t xml:space="preserve"> with cases that continued to progress with victim support</w:t>
      </w:r>
      <w:r w:rsidR="00E076EA">
        <w:rPr>
          <w:lang w:bidi="en-US"/>
        </w:rPr>
        <w:t xml:space="preserve">.  Identified </w:t>
      </w:r>
      <w:r w:rsidR="00890C0A">
        <w:rPr>
          <w:lang w:bidi="en-US"/>
        </w:rPr>
        <w:t>characteristics</w:t>
      </w:r>
      <w:r w:rsidR="00E076EA">
        <w:rPr>
          <w:lang w:bidi="en-US"/>
        </w:rPr>
        <w:t xml:space="preserve"> included variables that related to the victi</w:t>
      </w:r>
      <w:r w:rsidR="00016360">
        <w:rPr>
          <w:lang w:bidi="en-US"/>
        </w:rPr>
        <w:t xml:space="preserve">m, </w:t>
      </w:r>
      <w:r w:rsidR="00983743">
        <w:rPr>
          <w:lang w:bidi="en-US"/>
        </w:rPr>
        <w:t>perpetrator</w:t>
      </w:r>
      <w:r w:rsidR="00016360">
        <w:rPr>
          <w:lang w:bidi="en-US"/>
        </w:rPr>
        <w:t xml:space="preserve">, and the offence.  For the qualitative data, where a victim </w:t>
      </w:r>
      <w:r w:rsidR="00673C5B">
        <w:rPr>
          <w:lang w:bidi="en-US"/>
        </w:rPr>
        <w:t>retracted/</w:t>
      </w:r>
      <w:r w:rsidR="00016360">
        <w:rPr>
          <w:lang w:bidi="en-US"/>
        </w:rPr>
        <w:t xml:space="preserve">disengaged, either the </w:t>
      </w:r>
      <w:r w:rsidR="00016360">
        <w:t xml:space="preserve">victim retraction statements and/or the free text completed within the police recording database were examined </w:t>
      </w:r>
      <w:r w:rsidR="000D2E75">
        <w:t xml:space="preserve">for </w:t>
      </w:r>
      <w:r>
        <w:t xml:space="preserve">insight into </w:t>
      </w:r>
      <w:r w:rsidR="000D2E75">
        <w:t>the decision making</w:t>
      </w:r>
      <w:r>
        <w:t xml:space="preserve"> process</w:t>
      </w:r>
      <w:r w:rsidR="000D2E75">
        <w:t xml:space="preserve"> regarding </w:t>
      </w:r>
      <w:r w:rsidR="00673C5B">
        <w:t>these processes</w:t>
      </w:r>
      <w:r w:rsidR="000D2E75">
        <w:t>.</w:t>
      </w:r>
      <w:r w:rsidR="00016360">
        <w:rPr>
          <w:lang w:bidi="en-US"/>
        </w:rPr>
        <w:t xml:space="preserve">  </w:t>
      </w:r>
    </w:p>
    <w:p w14:paraId="2E95BBE4" w14:textId="77777777" w:rsidR="00E076EA" w:rsidRPr="00E076EA" w:rsidRDefault="00E076EA" w:rsidP="00890C0A">
      <w:r>
        <w:rPr>
          <w:lang w:bidi="en-US"/>
        </w:rPr>
        <w:t xml:space="preserve"> </w:t>
      </w:r>
    </w:p>
    <w:p w14:paraId="4155EDAC" w14:textId="77777777" w:rsidR="00663B5D" w:rsidRDefault="00446ACB" w:rsidP="008A2921">
      <w:pPr>
        <w:pStyle w:val="Heading2"/>
      </w:pPr>
      <w:r>
        <w:t>Sample</w:t>
      </w:r>
    </w:p>
    <w:p w14:paraId="568EB5D6" w14:textId="53DDE079" w:rsidR="002D65B1" w:rsidRDefault="00446ACB" w:rsidP="009E0ADB">
      <w:pPr>
        <w:rPr>
          <w:lang w:bidi="en-US"/>
        </w:rPr>
      </w:pPr>
      <w:r>
        <w:rPr>
          <w:lang w:bidi="en-US"/>
        </w:rPr>
        <w:t xml:space="preserve">The data were collected </w:t>
      </w:r>
      <w:r w:rsidR="008F5263">
        <w:rPr>
          <w:lang w:bidi="en-US"/>
        </w:rPr>
        <w:t xml:space="preserve">for </w:t>
      </w:r>
      <w:r>
        <w:rPr>
          <w:lang w:bidi="en-US"/>
        </w:rPr>
        <w:t>a three</w:t>
      </w:r>
      <w:r w:rsidR="00CB51C8">
        <w:rPr>
          <w:lang w:bidi="en-US"/>
        </w:rPr>
        <w:t>-</w:t>
      </w:r>
      <w:r>
        <w:rPr>
          <w:lang w:bidi="en-US"/>
        </w:rPr>
        <w:t>month period between 1</w:t>
      </w:r>
      <w:r w:rsidRPr="00446ACB">
        <w:rPr>
          <w:vertAlign w:val="superscript"/>
          <w:lang w:bidi="en-US"/>
        </w:rPr>
        <w:t>st</w:t>
      </w:r>
      <w:r>
        <w:rPr>
          <w:lang w:bidi="en-US"/>
        </w:rPr>
        <w:t xml:space="preserve"> January and the 31</w:t>
      </w:r>
      <w:r w:rsidRPr="00446ACB">
        <w:rPr>
          <w:vertAlign w:val="superscript"/>
          <w:lang w:bidi="en-US"/>
        </w:rPr>
        <w:t>st</w:t>
      </w:r>
      <w:r>
        <w:rPr>
          <w:lang w:bidi="en-US"/>
        </w:rPr>
        <w:t xml:space="preserve"> March 2011</w:t>
      </w:r>
      <w:r w:rsidR="00E765AF">
        <w:rPr>
          <w:lang w:bidi="en-US"/>
        </w:rPr>
        <w:t xml:space="preserve">, representing crime recorded by one regional police force in </w:t>
      </w:r>
      <w:r w:rsidR="000D2E75">
        <w:rPr>
          <w:lang w:bidi="en-US"/>
        </w:rPr>
        <w:t>England</w:t>
      </w:r>
      <w:r>
        <w:rPr>
          <w:lang w:bidi="en-US"/>
        </w:rPr>
        <w:t>.</w:t>
      </w:r>
      <w:r w:rsidR="00673C5B">
        <w:rPr>
          <w:lang w:bidi="en-US"/>
        </w:rPr>
        <w:t xml:space="preserve">  This region was representative of population size in comparison to surrounding regions, but is characterised from having elevated levels of deprivation and crime levels. No further details can be presented here to maintain the anonymity of the police force.  </w:t>
      </w:r>
      <w:r w:rsidR="0089033F">
        <w:rPr>
          <w:lang w:bidi="en-US"/>
        </w:rPr>
        <w:t xml:space="preserve">The data were gathered from the police recording system, which is where every crime that is reported to the police is recorded in that regional area.  Each reported case is allocated a </w:t>
      </w:r>
      <w:r w:rsidR="00784039">
        <w:rPr>
          <w:lang w:bidi="en-US"/>
        </w:rPr>
        <w:t xml:space="preserve">unique </w:t>
      </w:r>
      <w:r w:rsidR="0089033F">
        <w:rPr>
          <w:lang w:bidi="en-US"/>
        </w:rPr>
        <w:t>crime</w:t>
      </w:r>
      <w:r w:rsidR="00784039">
        <w:rPr>
          <w:lang w:bidi="en-US"/>
        </w:rPr>
        <w:t xml:space="preserve"> reference</w:t>
      </w:r>
      <w:r w:rsidR="0089033F">
        <w:rPr>
          <w:lang w:bidi="en-US"/>
        </w:rPr>
        <w:t xml:space="preserve"> number.  This system is then used as a case tracking database whereby any information relating to each crime</w:t>
      </w:r>
      <w:r w:rsidR="00784039">
        <w:rPr>
          <w:lang w:bidi="en-US"/>
        </w:rPr>
        <w:t xml:space="preserve"> reference</w:t>
      </w:r>
      <w:r w:rsidR="0089033F">
        <w:rPr>
          <w:lang w:bidi="en-US"/>
        </w:rPr>
        <w:t xml:space="preserve"> number </w:t>
      </w:r>
      <w:r w:rsidR="00784039">
        <w:rPr>
          <w:lang w:bidi="en-US"/>
        </w:rPr>
        <w:t>(</w:t>
      </w:r>
      <w:r w:rsidR="0089033F">
        <w:rPr>
          <w:lang w:bidi="en-US"/>
        </w:rPr>
        <w:t>e.g., victim statements</w:t>
      </w:r>
      <w:r w:rsidR="00784039">
        <w:rPr>
          <w:lang w:bidi="en-US"/>
        </w:rPr>
        <w:t>)</w:t>
      </w:r>
      <w:r w:rsidR="0089033F">
        <w:rPr>
          <w:lang w:bidi="en-US"/>
        </w:rPr>
        <w:t xml:space="preserve">, are attached and the progress made on the investigation is recorded in </w:t>
      </w:r>
      <w:r w:rsidR="00784039">
        <w:rPr>
          <w:lang w:bidi="en-US"/>
        </w:rPr>
        <w:t xml:space="preserve">the </w:t>
      </w:r>
      <w:r w:rsidR="0089033F">
        <w:rPr>
          <w:lang w:bidi="en-US"/>
        </w:rPr>
        <w:t xml:space="preserve">free text part of each crime number section.  </w:t>
      </w:r>
    </w:p>
    <w:p w14:paraId="02AA5A4E" w14:textId="77777777" w:rsidR="002D65B1" w:rsidRDefault="00CB7AB7" w:rsidP="009E0ADB">
      <w:r>
        <w:rPr>
          <w:lang w:bidi="en-US"/>
        </w:rPr>
        <w:t xml:space="preserve">Each individual case was examined within the police recording database to ensure that it met the inclusion criteria below.  </w:t>
      </w:r>
      <w:r w:rsidR="00136834">
        <w:rPr>
          <w:lang w:bidi="en-US"/>
        </w:rPr>
        <w:t xml:space="preserve">The case </w:t>
      </w:r>
      <w:r w:rsidR="00AA1622">
        <w:t xml:space="preserve">must have been flagged as </w:t>
      </w:r>
      <w:r w:rsidR="00AA1622" w:rsidRPr="00AA1622">
        <w:t>domestic violence</w:t>
      </w:r>
      <w:r w:rsidR="00AA1622">
        <w:t xml:space="preserve"> within the </w:t>
      </w:r>
      <w:r w:rsidR="00AA1622">
        <w:rPr>
          <w:lang w:bidi="en-US"/>
        </w:rPr>
        <w:t xml:space="preserve">police force crime recording system.  </w:t>
      </w:r>
      <w:r w:rsidR="00AA1622" w:rsidRPr="00AA1622">
        <w:t>Under-flagging has been previously identified as an issue within police forces (Hanmer, Griffiths, &amp; Jerwood, 1999)</w:t>
      </w:r>
      <w:r w:rsidR="00AA1622">
        <w:t xml:space="preserve">, however as there is no specific crime for </w:t>
      </w:r>
      <w:r w:rsidR="00A37117">
        <w:t>IPV</w:t>
      </w:r>
      <w:r w:rsidR="00AA1622">
        <w:t>, this is the only way that IPV cases can be identified without an extensive review of all reported violen</w:t>
      </w:r>
      <w:r w:rsidR="00136834">
        <w:t>t</w:t>
      </w:r>
      <w:r w:rsidR="00AA1622">
        <w:t xml:space="preserve"> offences.  </w:t>
      </w:r>
      <w:r w:rsidR="00136834">
        <w:t>As the focus of this current study was on physical violence towards a person, any offences that did not involve physical offences were removed.  Furthermore, only offences between previous or current partners were</w:t>
      </w:r>
      <w:r w:rsidR="00880225">
        <w:t xml:space="preserve"> retained in the data set</w:t>
      </w:r>
      <w:r w:rsidR="00136834">
        <w:t xml:space="preserve">, </w:t>
      </w:r>
      <w:r w:rsidR="00880225">
        <w:t xml:space="preserve">therefore, </w:t>
      </w:r>
      <w:r w:rsidR="00136834">
        <w:t xml:space="preserve">any </w:t>
      </w:r>
      <w:r w:rsidR="00AA1622">
        <w:t>criminal offences that occu</w:t>
      </w:r>
      <w:r w:rsidR="00136834">
        <w:t>r</w:t>
      </w:r>
      <w:r w:rsidR="00AA1622">
        <w:t>r</w:t>
      </w:r>
      <w:r w:rsidR="00136834">
        <w:t>ed</w:t>
      </w:r>
      <w:r w:rsidR="00AA1622">
        <w:t xml:space="preserve"> between </w:t>
      </w:r>
      <w:r w:rsidR="00784039">
        <w:t xml:space="preserve">other </w:t>
      </w:r>
      <w:r w:rsidR="00AA1622">
        <w:t xml:space="preserve">family members </w:t>
      </w:r>
      <w:r w:rsidR="00784039">
        <w:t>(</w:t>
      </w:r>
      <w:r w:rsidR="00AA1622">
        <w:t>e.g., son attacking father</w:t>
      </w:r>
      <w:r w:rsidR="00784039">
        <w:t>)</w:t>
      </w:r>
      <w:r w:rsidR="00136834">
        <w:t xml:space="preserve"> were removed</w:t>
      </w:r>
      <w:r w:rsidR="00607292">
        <w:t xml:space="preserve">.  </w:t>
      </w:r>
    </w:p>
    <w:p w14:paraId="188BC324" w14:textId="5567FD9E" w:rsidR="00590D6B" w:rsidRDefault="00D62F7C" w:rsidP="009E0ADB">
      <w:r>
        <w:t>In total</w:t>
      </w:r>
      <w:r w:rsidR="00A37117">
        <w:t>,</w:t>
      </w:r>
      <w:r>
        <w:t xml:space="preserve"> there were 1529 offences in the original data </w:t>
      </w:r>
      <w:r w:rsidR="008F5263">
        <w:t>set</w:t>
      </w:r>
      <w:r>
        <w:t>, however once the inclusion criteria w</w:t>
      </w:r>
      <w:r w:rsidR="00A37117">
        <w:t>ere</w:t>
      </w:r>
      <w:r>
        <w:t xml:space="preserve"> </w:t>
      </w:r>
      <w:r w:rsidRPr="00BF2D84">
        <w:t xml:space="preserve">applied a </w:t>
      </w:r>
      <w:r w:rsidR="009E0ADB" w:rsidRPr="00BF2D84">
        <w:t xml:space="preserve">sample of </w:t>
      </w:r>
      <w:r w:rsidR="00BF2D84" w:rsidRPr="00BF2D84">
        <w:t>643</w:t>
      </w:r>
      <w:r w:rsidR="009E0ADB" w:rsidRPr="00BF2D84">
        <w:t xml:space="preserve"> </w:t>
      </w:r>
      <w:r w:rsidR="000D2E75" w:rsidRPr="00BF2D84">
        <w:t xml:space="preserve">police reported cases of </w:t>
      </w:r>
      <w:r w:rsidR="009E0ADB" w:rsidRPr="00BF2D84">
        <w:t>IPV cases w</w:t>
      </w:r>
      <w:r w:rsidR="008A0E76" w:rsidRPr="00BF2D84">
        <w:t>as established</w:t>
      </w:r>
      <w:r w:rsidR="009E0ADB" w:rsidRPr="00BF2D84">
        <w:t>.</w:t>
      </w:r>
      <w:r w:rsidR="00CB7AB7" w:rsidRPr="00BF2D84">
        <w:t xml:space="preserve">  </w:t>
      </w:r>
      <w:r w:rsidR="008A0E76" w:rsidRPr="00BF2D84">
        <w:t xml:space="preserve">This sample was reduced to </w:t>
      </w:r>
      <w:r w:rsidR="00BF2D84" w:rsidRPr="00BF2D84">
        <w:t>524</w:t>
      </w:r>
      <w:r w:rsidR="008A0E76" w:rsidRPr="00BF2D84">
        <w:t xml:space="preserve"> cases </w:t>
      </w:r>
      <w:r w:rsidR="00C05B8D" w:rsidRPr="00BF2D84">
        <w:t>for the</w:t>
      </w:r>
      <w:r w:rsidR="00C05B8D">
        <w:t xml:space="preserve"> statistical analysis </w:t>
      </w:r>
      <w:r w:rsidR="008A0E76">
        <w:t xml:space="preserve">due to the multinomial logistic regression removing cases where there were any missing data.  Each individual case represents an incident </w:t>
      </w:r>
      <w:r w:rsidR="002F3BFA">
        <w:t xml:space="preserve">with a female victim, </w:t>
      </w:r>
      <w:r w:rsidR="008A0E76">
        <w:t xml:space="preserve">of physical violence that has been reported to the police, accurately flagged by the police force as domestic abuse, and that occurred between current or previous intimate partners.  </w:t>
      </w:r>
    </w:p>
    <w:p w14:paraId="155085B9" w14:textId="77777777" w:rsidR="00DD37F6" w:rsidRDefault="00663B5D" w:rsidP="00C60FDB">
      <w:pPr>
        <w:pStyle w:val="Heading2"/>
      </w:pPr>
      <w:r>
        <w:t>M</w:t>
      </w:r>
      <w:r w:rsidR="00730396">
        <w:t>easures</w:t>
      </w:r>
    </w:p>
    <w:p w14:paraId="12882E47" w14:textId="016A2331" w:rsidR="002D65B1" w:rsidRDefault="00730396" w:rsidP="007E2BCA">
      <w:r>
        <w:t>Data were gathered on a range of victim, perpetrator</w:t>
      </w:r>
      <w:r w:rsidR="00A305C4">
        <w:t>,</w:t>
      </w:r>
      <w:r>
        <w:t xml:space="preserve"> and offence characteristics</w:t>
      </w:r>
      <w:r w:rsidR="00A305C4">
        <w:t xml:space="preserve"> as </w:t>
      </w:r>
      <w:r>
        <w:t xml:space="preserve">outlined below.  </w:t>
      </w:r>
      <w:r w:rsidR="00FC24A3">
        <w:t>The outcome variables for the cases were (i) cases that proceeded with the victim supporting/engaging in the investigation, (ii) cases where the victim formally retracted, and (iii) cases where the victim disengaged from the police investigation.  Each of these outcomes were operationalised as below.</w:t>
      </w:r>
      <w:r w:rsidR="002C694E">
        <w:t xml:space="preserve">  For cases where the victim maintained engagement, t</w:t>
      </w:r>
      <w:r w:rsidR="00FC24A3">
        <w:t>his was evidenced by the presence of a victim statement and continued contact with the victim within the police recoding data based.</w:t>
      </w:r>
      <w:r w:rsidR="002C694E">
        <w:t xml:space="preserve">  For cases where the victim formally </w:t>
      </w:r>
      <w:r w:rsidR="00044618">
        <w:t>retracted, this</w:t>
      </w:r>
      <w:r w:rsidR="002C694E">
        <w:t xml:space="preserve"> w</w:t>
      </w:r>
      <w:r w:rsidR="00E458B7">
        <w:t>as</w:t>
      </w:r>
      <w:r w:rsidR="00880225">
        <w:t xml:space="preserve"> </w:t>
      </w:r>
      <w:r w:rsidR="00F321E2">
        <w:t>defined as</w:t>
      </w:r>
      <w:r w:rsidR="00880225">
        <w:t xml:space="preserve"> </w:t>
      </w:r>
      <w:r w:rsidR="00B367EA">
        <w:t>retraction</w:t>
      </w:r>
      <w:r w:rsidR="00880225">
        <w:t xml:space="preserve"> </w:t>
      </w:r>
      <w:r w:rsidR="002C694E">
        <w:t xml:space="preserve">when it was </w:t>
      </w:r>
      <w:r w:rsidR="00880225">
        <w:t>flagged</w:t>
      </w:r>
      <w:r w:rsidR="00B367EA">
        <w:t xml:space="preserve"> (this is formally tracked by the police force)</w:t>
      </w:r>
      <w:r w:rsidR="00880225">
        <w:t xml:space="preserve"> within the </w:t>
      </w:r>
      <w:r w:rsidR="00B367EA">
        <w:t xml:space="preserve">police recording database </w:t>
      </w:r>
      <w:r w:rsidR="00880225">
        <w:t>case</w:t>
      </w:r>
      <w:r w:rsidR="00F321E2">
        <w:t xml:space="preserve">.  Each individual case was </w:t>
      </w:r>
      <w:r w:rsidR="002C694E">
        <w:t xml:space="preserve">further </w:t>
      </w:r>
      <w:r w:rsidR="00F321E2">
        <w:t xml:space="preserve">verified by checking the case file.  Retraction </w:t>
      </w:r>
      <w:r w:rsidR="002C694E">
        <w:t xml:space="preserve">involved </w:t>
      </w:r>
      <w:r w:rsidR="00F321E2">
        <w:t>the victim approach</w:t>
      </w:r>
      <w:r w:rsidR="002C694E">
        <w:t>ing</w:t>
      </w:r>
      <w:r w:rsidR="00F321E2">
        <w:t xml:space="preserve"> the police and </w:t>
      </w:r>
      <w:r w:rsidR="002C694E">
        <w:t>stating</w:t>
      </w:r>
      <w:r w:rsidR="00F321E2">
        <w:t xml:space="preserve"> that they wished to retract their IPV allegation and did not support the investigation of their case</w:t>
      </w:r>
      <w:r w:rsidR="00B367EA">
        <w:t xml:space="preserve">. </w:t>
      </w:r>
      <w:r w:rsidR="002C694E">
        <w:t xml:space="preserve"> </w:t>
      </w:r>
    </w:p>
    <w:p w14:paraId="5BF25CB0" w14:textId="566FA119" w:rsidR="002D65B1" w:rsidRDefault="006719B4" w:rsidP="007E2BCA">
      <w:r>
        <w:t>In total, there were</w:t>
      </w:r>
      <w:r w:rsidR="008A0E76">
        <w:t xml:space="preserve"> </w:t>
      </w:r>
      <w:r w:rsidR="008A0E76">
        <w:rPr>
          <w:lang w:bidi="en-US"/>
        </w:rPr>
        <w:t>11</w:t>
      </w:r>
      <w:r w:rsidR="002F3BFA">
        <w:rPr>
          <w:lang w:bidi="en-US"/>
        </w:rPr>
        <w:t>3</w:t>
      </w:r>
      <w:r w:rsidR="008A0E76">
        <w:rPr>
          <w:lang w:bidi="en-US"/>
        </w:rPr>
        <w:t xml:space="preserve"> (</w:t>
      </w:r>
      <w:r w:rsidR="002F3BFA">
        <w:rPr>
          <w:lang w:bidi="en-US"/>
        </w:rPr>
        <w:t>21.60</w:t>
      </w:r>
      <w:r w:rsidR="008A0E76" w:rsidRPr="008A0E76">
        <w:rPr>
          <w:lang w:bidi="en-US"/>
        </w:rPr>
        <w:t xml:space="preserve">%) </w:t>
      </w:r>
      <w:r w:rsidRPr="004B711E">
        <w:t>cases</w:t>
      </w:r>
      <w:r w:rsidR="00784039" w:rsidRPr="008A0E76">
        <w:t xml:space="preserve"> </w:t>
      </w:r>
      <w:r w:rsidRPr="008A0E76">
        <w:t xml:space="preserve">recorded as </w:t>
      </w:r>
      <w:r w:rsidR="002D65B1">
        <w:t>having</w:t>
      </w:r>
      <w:r w:rsidR="008A0E76">
        <w:t xml:space="preserve"> </w:t>
      </w:r>
      <w:r>
        <w:t>formally retracted their victim statements.</w:t>
      </w:r>
      <w:r w:rsidR="008A0E76">
        <w:t xml:space="preserve">  For the victims who disengaged from the investigation, this</w:t>
      </w:r>
      <w:r w:rsidR="00761226">
        <w:t xml:space="preserve"> was measured by assessing evidence within the police crime recording system t</w:t>
      </w:r>
      <w:r w:rsidR="00730396">
        <w:t>hat the victim was not supporting the investigation</w:t>
      </w:r>
      <w:r w:rsidR="00E458B7">
        <w:t xml:space="preserve">.  Therefore, a case was defined as involving disengagement where the case notes identified that contact with the victim had been </w:t>
      </w:r>
      <w:r w:rsidR="00CD5324">
        <w:t>unsuccessful</w:t>
      </w:r>
      <w:r w:rsidR="00E458B7">
        <w:t xml:space="preserve"> on several occasions using a range of contact </w:t>
      </w:r>
      <w:r w:rsidR="00E458B7" w:rsidRPr="008A0E76">
        <w:t>points e.g., telephone calls, vi</w:t>
      </w:r>
      <w:r w:rsidR="00E458B7" w:rsidRPr="006D5EE7">
        <w:t xml:space="preserve">siting the home address for the victim. </w:t>
      </w:r>
      <w:r w:rsidR="007E2BCA" w:rsidRPr="004B711E">
        <w:t xml:space="preserve">In total, there were </w:t>
      </w:r>
      <w:r w:rsidR="008A0E76" w:rsidRPr="004B711E">
        <w:rPr>
          <w:lang w:bidi="en-US"/>
        </w:rPr>
        <w:t>1</w:t>
      </w:r>
      <w:r w:rsidR="002F3BFA">
        <w:rPr>
          <w:lang w:bidi="en-US"/>
        </w:rPr>
        <w:t>40</w:t>
      </w:r>
      <w:r w:rsidR="008A0E76" w:rsidRPr="004B711E">
        <w:rPr>
          <w:lang w:bidi="en-US"/>
        </w:rPr>
        <w:t xml:space="preserve"> (2</w:t>
      </w:r>
      <w:r w:rsidR="002F3BFA">
        <w:rPr>
          <w:lang w:bidi="en-US"/>
        </w:rPr>
        <w:t>6.70</w:t>
      </w:r>
      <w:r w:rsidR="008A0E76" w:rsidRPr="004B711E">
        <w:rPr>
          <w:lang w:bidi="en-US"/>
        </w:rPr>
        <w:t xml:space="preserve">%) </w:t>
      </w:r>
      <w:r w:rsidR="00DC3BEF">
        <w:rPr>
          <w:lang w:bidi="en-US"/>
        </w:rPr>
        <w:t xml:space="preserve">cases </w:t>
      </w:r>
      <w:r w:rsidR="007E2BCA" w:rsidRPr="008A0E76">
        <w:t>in which the victim disengaged with the investigation.</w:t>
      </w:r>
      <w:r w:rsidR="00327DFA">
        <w:t xml:space="preserve">  </w:t>
      </w:r>
    </w:p>
    <w:p w14:paraId="4D26BCC8" w14:textId="40F5F245" w:rsidR="007E2BCA" w:rsidRDefault="00327DFA" w:rsidP="007E2BCA">
      <w:r>
        <w:t xml:space="preserve">It is acknowledged there are limitations to the data in that it is reliant on police recording accuracy.  For example, if a victim was not offered the opportunity to provide a victim retraction statement by the police officer, this may have resulted in the case being designated as the victim informally disengaging as opposed to formally retracting.  </w:t>
      </w:r>
      <w:r w:rsidR="00B82AAD">
        <w:t xml:space="preserve">Accuracy of the data </w:t>
      </w:r>
      <w:r>
        <w:t>is a limitation that exists for analyses of any secondary data</w:t>
      </w:r>
      <w:r w:rsidR="00B82AAD">
        <w:t>.  H</w:t>
      </w:r>
      <w:r>
        <w:t>owever</w:t>
      </w:r>
      <w:r w:rsidR="00B82AAD">
        <w:t>,</w:t>
      </w:r>
      <w:r>
        <w:t xml:space="preserve"> as all of the available documents for each case were examined in the data collection process, the designation of each case as either progressing, retraction or informal disengagement was as accurate as possible. </w:t>
      </w:r>
    </w:p>
    <w:p w14:paraId="622535CC" w14:textId="77777777" w:rsidR="00730396" w:rsidRPr="00730396" w:rsidRDefault="00730396" w:rsidP="00C60FDB">
      <w:pPr>
        <w:rPr>
          <w:b/>
        </w:rPr>
      </w:pPr>
      <w:r w:rsidRPr="00730396">
        <w:rPr>
          <w:b/>
        </w:rPr>
        <w:t>Victim characteristics.</w:t>
      </w:r>
    </w:p>
    <w:p w14:paraId="488DB797" w14:textId="5E4E33AF" w:rsidR="00730396" w:rsidRDefault="00730396" w:rsidP="00C60FDB">
      <w:r>
        <w:t>In relation to the victim, variables gathered were: age, gender</w:t>
      </w:r>
      <w:r w:rsidR="002F3BFA">
        <w:t xml:space="preserve"> (all victims were female)</w:t>
      </w:r>
      <w:r>
        <w:t xml:space="preserve">, ethnicity, </w:t>
      </w:r>
      <w:r w:rsidR="00761226">
        <w:t>whether the victim</w:t>
      </w:r>
      <w:r w:rsidR="00CD5324">
        <w:t xml:space="preserve"> and perpetrator</w:t>
      </w:r>
      <w:r w:rsidR="00761226">
        <w:t xml:space="preserve"> </w:t>
      </w:r>
      <w:r w:rsidR="00CD5324">
        <w:t xml:space="preserve">were </w:t>
      </w:r>
      <w:r w:rsidR="00761226">
        <w:t xml:space="preserve">currently in a relationship, </w:t>
      </w:r>
      <w:r w:rsidR="00EB4DA8">
        <w:t>number of reports</w:t>
      </w:r>
      <w:r w:rsidR="00CD5324">
        <w:t xml:space="preserve"> made</w:t>
      </w:r>
      <w:r w:rsidR="00EB4DA8">
        <w:t xml:space="preserve"> in the previous six months (including all offence types)</w:t>
      </w:r>
      <w:r w:rsidR="00373787">
        <w:t>,</w:t>
      </w:r>
      <w:r w:rsidR="00EB4DA8">
        <w:t xml:space="preserve"> </w:t>
      </w:r>
      <w:r>
        <w:t xml:space="preserve">and </w:t>
      </w:r>
      <w:r w:rsidR="00761226">
        <w:t xml:space="preserve">the </w:t>
      </w:r>
      <w:r>
        <w:t xml:space="preserve">deprivation score of </w:t>
      </w:r>
      <w:r w:rsidR="00CD5324">
        <w:t xml:space="preserve">their </w:t>
      </w:r>
      <w:r>
        <w:t xml:space="preserve">home address.  </w:t>
      </w:r>
      <w:r w:rsidR="00373787">
        <w:t xml:space="preserve">The deprivation score is calculated via the </w:t>
      </w:r>
      <w:r w:rsidR="00024A3E">
        <w:t xml:space="preserve">Index of Multiple Deprivation </w:t>
      </w:r>
      <w:r w:rsidR="00373787">
        <w:t xml:space="preserve">(2010) dataset.  This is a </w:t>
      </w:r>
      <w:r w:rsidR="00CD5324">
        <w:t xml:space="preserve">composite </w:t>
      </w:r>
      <w:r w:rsidR="00373787">
        <w:t>measure of 3</w:t>
      </w:r>
      <w:r w:rsidR="00770EFD">
        <w:t>8</w:t>
      </w:r>
      <w:r w:rsidR="00373787">
        <w:t xml:space="preserve"> different indicators to calculate a measure of deprivation of an area.</w:t>
      </w:r>
      <w:r w:rsidR="00770EFD">
        <w:t xml:space="preserve">  </w:t>
      </w:r>
      <w:r w:rsidR="004E72F6">
        <w:t xml:space="preserve">The higher </w:t>
      </w:r>
      <w:r w:rsidR="006E430F">
        <w:t>the deprivation</w:t>
      </w:r>
      <w:r w:rsidR="00CD5324">
        <w:t xml:space="preserve"> </w:t>
      </w:r>
      <w:r w:rsidR="004E72F6">
        <w:t xml:space="preserve">score, the greater the level of deprivation within an area.  </w:t>
      </w:r>
      <w:r w:rsidR="00373787">
        <w:t xml:space="preserve">   </w:t>
      </w:r>
      <w:r w:rsidR="00024A3E">
        <w:t xml:space="preserve">  </w:t>
      </w:r>
    </w:p>
    <w:p w14:paraId="7FC8E595" w14:textId="77777777" w:rsidR="00730396" w:rsidRPr="00730396" w:rsidRDefault="00730396" w:rsidP="00730396">
      <w:pPr>
        <w:rPr>
          <w:b/>
        </w:rPr>
      </w:pPr>
      <w:r>
        <w:rPr>
          <w:b/>
        </w:rPr>
        <w:t xml:space="preserve">Perpetrator </w:t>
      </w:r>
      <w:r w:rsidRPr="00730396">
        <w:rPr>
          <w:b/>
        </w:rPr>
        <w:t>characteristics.</w:t>
      </w:r>
    </w:p>
    <w:p w14:paraId="591C7B24" w14:textId="77777777" w:rsidR="00730396" w:rsidRDefault="00730396" w:rsidP="00730396">
      <w:r>
        <w:t xml:space="preserve">Similar to the victim data, perpetrator data variables gathered were: age, gender, ethnicity, and </w:t>
      </w:r>
      <w:r w:rsidR="00761226">
        <w:t xml:space="preserve">the </w:t>
      </w:r>
      <w:r>
        <w:t xml:space="preserve">deprivation score of </w:t>
      </w:r>
      <w:r w:rsidR="00CD5324">
        <w:t xml:space="preserve">their </w:t>
      </w:r>
      <w:r>
        <w:t>home address (calculated as above).</w:t>
      </w:r>
    </w:p>
    <w:p w14:paraId="34ACF137" w14:textId="77777777" w:rsidR="00730396" w:rsidRPr="00730396" w:rsidRDefault="00730396" w:rsidP="00730396">
      <w:pPr>
        <w:rPr>
          <w:b/>
        </w:rPr>
      </w:pPr>
      <w:r>
        <w:rPr>
          <w:b/>
        </w:rPr>
        <w:t>Offence characteristics</w:t>
      </w:r>
      <w:r w:rsidRPr="00730396">
        <w:rPr>
          <w:b/>
        </w:rPr>
        <w:t>.</w:t>
      </w:r>
    </w:p>
    <w:p w14:paraId="69AE9C5A" w14:textId="42418F52" w:rsidR="00730396" w:rsidRPr="00730396" w:rsidRDefault="00730396" w:rsidP="00C60FDB">
      <w:r>
        <w:t>A range of offence characteristics were gathered</w:t>
      </w:r>
      <w:r w:rsidR="00B41FDE">
        <w:t>.  C</w:t>
      </w:r>
      <w:r>
        <w:t>rime type</w:t>
      </w:r>
      <w:r w:rsidR="00B41FDE">
        <w:t>s are outlined in table one and were coded categorically.  A</w:t>
      </w:r>
      <w:r>
        <w:t>lcohol/drug involvement</w:t>
      </w:r>
      <w:r w:rsidR="00675B16" w:rsidRPr="00675B16">
        <w:t xml:space="preserve"> </w:t>
      </w:r>
      <w:r w:rsidR="00675B16">
        <w:t>is flagged by the police force within the police recording database and is coded dichotomously as 1 for the presence of alcohol/drugs, and 0 as the absence of any alcohol/drugs.</w:t>
      </w:r>
      <w:r w:rsidR="003A274E">
        <w:t xml:space="preserve">  As this only codes for the presence of alcohol/drugs, this may refer to either the victim, perpetrator or both.</w:t>
      </w:r>
      <w:r w:rsidR="00675B16">
        <w:t xml:space="preserve">  W</w:t>
      </w:r>
      <w:r w:rsidR="00B41FDE">
        <w:t>hether the offence occurred during the day or night,</w:t>
      </w:r>
      <w:r w:rsidR="00B41FDE" w:rsidRPr="00B41FDE">
        <w:t xml:space="preserve"> </w:t>
      </w:r>
      <w:r w:rsidR="00B41FDE">
        <w:t>whether the offence occurred during the weekend or weekday</w:t>
      </w:r>
      <w:r>
        <w:t xml:space="preserve">, </w:t>
      </w:r>
      <w:r w:rsidR="00B41FDE">
        <w:t xml:space="preserve">whether a weapon was used, whether the victim sustained injury, whether the victim sought medical services, </w:t>
      </w:r>
      <w:r w:rsidR="00675B16">
        <w:t xml:space="preserve">and </w:t>
      </w:r>
      <w:r w:rsidR="00B41FDE">
        <w:t>whether children were present at the time of the offence</w:t>
      </w:r>
      <w:r w:rsidR="00675B16">
        <w:t xml:space="preserve"> were all coded dichotomously with the presence of the behaviour coded as 1, and the absence of the behaviour coded as 0.  This information was gathered from victim and perpetrator statements (where present) and also within the free text within the police crime recording database.  Crime site deprivation score was calculated as </w:t>
      </w:r>
      <w:r w:rsidR="002D65B1">
        <w:t xml:space="preserve">described </w:t>
      </w:r>
      <w:r w:rsidR="00675B16">
        <w:t>above.  Also, w</w:t>
      </w:r>
      <w:r w:rsidR="00B41FDE">
        <w:t>hether the crime was detected or not w</w:t>
      </w:r>
      <w:r w:rsidR="00675B16">
        <w:t>as also</w:t>
      </w:r>
      <w:r w:rsidR="00B41FDE">
        <w:t xml:space="preserve"> coded dichotomously with the </w:t>
      </w:r>
      <w:r w:rsidR="00675B16">
        <w:t>crime being detected c</w:t>
      </w:r>
      <w:r w:rsidR="00B41FDE">
        <w:t xml:space="preserve">oded as 1, and the </w:t>
      </w:r>
      <w:r w:rsidR="00675B16">
        <w:t>crime not being detected</w:t>
      </w:r>
      <w:r w:rsidR="00B41FDE">
        <w:t xml:space="preserve"> coded as 0.  </w:t>
      </w:r>
      <w:r w:rsidR="004E72F6">
        <w:t xml:space="preserve">Crime detection represents a measure used by police for case processing.  A case is considered detected if there is sufficient evidence to identify the perpetrator of the crime.  This does not </w:t>
      </w:r>
      <w:r w:rsidR="00592F4B">
        <w:t>necessarily indicate</w:t>
      </w:r>
      <w:r w:rsidR="004E72F6">
        <w:t xml:space="preserve"> that the perpetrator has been charged and prosecuted for the offence, as many other factors can affect this process.  </w:t>
      </w:r>
      <w:r w:rsidR="00B92BFD">
        <w:t>In relation to weapon use, a very broad definition of this was used within this current study.  This meant that if any object was used in the commission of the violence, this was classified as weapon use.  This means that weapons such as knives are included but also that household items</w:t>
      </w:r>
      <w:r w:rsidR="002D65B1">
        <w:t>,</w:t>
      </w:r>
      <w:r w:rsidR="00B92BFD">
        <w:t xml:space="preserve"> such as saucepans</w:t>
      </w:r>
      <w:r w:rsidR="002D65B1">
        <w:t>,</w:t>
      </w:r>
      <w:r w:rsidR="00B92BFD">
        <w:t xml:space="preserve"> are included in this categorisation of weapon use.  </w:t>
      </w:r>
      <w:r w:rsidR="00373787">
        <w:t xml:space="preserve">The risk assessment level was calculated using the </w:t>
      </w:r>
      <w:r w:rsidR="00373787" w:rsidRPr="00373787">
        <w:t>Domestic Abuse, Stalking and Honour Based Violence </w:t>
      </w:r>
      <w:r w:rsidR="00373787">
        <w:t>(DASH, 2009) risk assessment tool</w:t>
      </w:r>
      <w:r w:rsidR="00CD5324">
        <w:t>, which is completed and recorded as part of the police investigation</w:t>
      </w:r>
      <w:r w:rsidR="00373787">
        <w:t>.</w:t>
      </w:r>
      <w:r w:rsidR="00761226" w:rsidRPr="00373787">
        <w:t xml:space="preserve"> The </w:t>
      </w:r>
      <w:r w:rsidR="00373787">
        <w:t xml:space="preserve">DASH (2009) is approved for use </w:t>
      </w:r>
      <w:r w:rsidR="002D65B1">
        <w:t xml:space="preserve">by </w:t>
      </w:r>
      <w:r w:rsidR="00373787">
        <w:t>police forces in England and Wales</w:t>
      </w:r>
      <w:r w:rsidR="00C73F4C">
        <w:t xml:space="preserve"> </w:t>
      </w:r>
      <w:r w:rsidR="00FA0823">
        <w:t xml:space="preserve">by the Association of Chief Police Officers (ACPO) </w:t>
      </w:r>
      <w:r w:rsidR="00C73F4C">
        <w:t xml:space="preserve">and </w:t>
      </w:r>
      <w:r w:rsidR="00FA0823">
        <w:t xml:space="preserve">therefore </w:t>
      </w:r>
      <w:r w:rsidR="00C73F4C">
        <w:t xml:space="preserve">is the standardised risk assessment tool used within police forces.  </w:t>
      </w:r>
      <w:r w:rsidR="00FA0823">
        <w:t>In this police force, t</w:t>
      </w:r>
      <w:r w:rsidR="00C73F4C">
        <w:t>he DASH (2009) is completed each time</w:t>
      </w:r>
      <w:r w:rsidR="00EC5F73">
        <w:t xml:space="preserve"> the police respond to a domestic violence call.</w:t>
      </w:r>
      <w:r w:rsidR="00FA0823">
        <w:t xml:space="preserve">  As noted by Robinson and Howarth (2012), </w:t>
      </w:r>
      <w:r w:rsidR="00CB51C8">
        <w:t xml:space="preserve">this tool is considered to have good face and content validity, </w:t>
      </w:r>
      <w:r w:rsidR="00FA0823">
        <w:t>but there have been no empirical testing of its convergent or predictive validity</w:t>
      </w:r>
      <w:r w:rsidR="00EC5F73">
        <w:t xml:space="preserve">  </w:t>
      </w:r>
      <w:r w:rsidR="00373787">
        <w:t>The calculation of risk achieves three levels of risk: standard</w:t>
      </w:r>
      <w:r w:rsidR="00B41FDE">
        <w:t xml:space="preserve"> (coded as 0)</w:t>
      </w:r>
      <w:r w:rsidR="00373787">
        <w:t>, medium</w:t>
      </w:r>
      <w:r w:rsidR="00B41FDE">
        <w:t xml:space="preserve"> (coded as 1)</w:t>
      </w:r>
      <w:r w:rsidR="00373787">
        <w:t>, and high</w:t>
      </w:r>
      <w:r w:rsidR="00B41FDE">
        <w:t xml:space="preserve"> (coded as 2)</w:t>
      </w:r>
      <w:r w:rsidR="00373787">
        <w:t xml:space="preserve">. </w:t>
      </w:r>
    </w:p>
    <w:p w14:paraId="253C421D" w14:textId="77777777" w:rsidR="008B1DDD" w:rsidRDefault="00761226" w:rsidP="008B1DDD">
      <w:pPr>
        <w:pStyle w:val="Heading2"/>
      </w:pPr>
      <w:r>
        <w:t>Analytical Strategy</w:t>
      </w:r>
    </w:p>
    <w:p w14:paraId="13C11CCB" w14:textId="769E33E8" w:rsidR="00E765AF" w:rsidRPr="00592F4B" w:rsidRDefault="00761226" w:rsidP="00592F4B">
      <w:r>
        <w:t xml:space="preserve">The data were analysed to determine whether </w:t>
      </w:r>
      <w:r w:rsidR="00592F4B">
        <w:t xml:space="preserve">victim, perpetrator, or offence </w:t>
      </w:r>
      <w:r>
        <w:t>characteristics</w:t>
      </w:r>
      <w:r w:rsidR="00592F4B">
        <w:t xml:space="preserve"> </w:t>
      </w:r>
      <w:r>
        <w:t xml:space="preserve">would predict retraction or disengagement from the police investigation.  </w:t>
      </w:r>
      <w:r w:rsidR="00DA557A">
        <w:t>The combination of categorical and continuous predictor and outcome variables, these data were well suited for multinomial logistic regressions analysis.  Multinomial logistic regression works in the same way as binary logistic regression, by determining the significance of a variety of predictor variables in relation to the outcome variable</w:t>
      </w:r>
      <w:r w:rsidR="00DC3BEF">
        <w:t>.  H</w:t>
      </w:r>
      <w:r w:rsidR="00DA557A">
        <w:t>owever</w:t>
      </w:r>
      <w:r w:rsidR="00DC3BEF">
        <w:t>,</w:t>
      </w:r>
      <w:r w:rsidR="00DA557A">
        <w:t xml:space="preserve"> multinomial logistic regression is suitable for analyses where the outcome variable has more than two categories (Field, 2009). The outcome variable used for the analysis was level of engagement, where three categories were compared: cases where victims maintained engagement (coded as the reference category), cases where victims formally retracted their police statements, and cases where victims disengaged with the police investigation. </w:t>
      </w:r>
      <w:r w:rsidR="007E2BCA">
        <w:t xml:space="preserve">  </w:t>
      </w:r>
    </w:p>
    <w:p w14:paraId="727A4B72" w14:textId="518A9335" w:rsidR="00EB4DA8" w:rsidRPr="0015203E" w:rsidRDefault="006719B4" w:rsidP="0015203E">
      <w:pPr>
        <w:rPr>
          <w:color w:val="000000"/>
        </w:rPr>
      </w:pPr>
      <w:r>
        <w:rPr>
          <w:color w:val="000000"/>
        </w:rPr>
        <w:t>For the qualitative element of the study, w</w:t>
      </w:r>
      <w:r w:rsidR="00EB4DA8">
        <w:t xml:space="preserve">here the victim formally retracted or disengaged, </w:t>
      </w:r>
      <w:r w:rsidR="006B790C">
        <w:t>data w</w:t>
      </w:r>
      <w:r w:rsidR="00775B11">
        <w:t>ere</w:t>
      </w:r>
      <w:r w:rsidR="006B790C">
        <w:t xml:space="preserve"> gathered </w:t>
      </w:r>
      <w:r w:rsidR="00EB4DA8">
        <w:t xml:space="preserve">from the victim retraction statements and also from the free text completed within the police recording database.  This </w:t>
      </w:r>
      <w:r w:rsidR="00E765AF">
        <w:t xml:space="preserve">attempted to establish </w:t>
      </w:r>
      <w:r w:rsidR="00EB4DA8">
        <w:t xml:space="preserve">the reasons for </w:t>
      </w:r>
      <w:r w:rsidR="00825016">
        <w:t xml:space="preserve">retracting </w:t>
      </w:r>
      <w:r w:rsidR="00EB4DA8">
        <w:t xml:space="preserve">or disengaging from the investigative process.  </w:t>
      </w:r>
      <w:r w:rsidR="00CB51C8">
        <w:t xml:space="preserve">Retraction statements ranged in length from three sentences (perfunctory statements) to a page of written data.  The free text data comprised short pieces of text to a maximum of five sentences long.  </w:t>
      </w:r>
      <w:r w:rsidR="00EB4DA8">
        <w:t>Data were gathered in this way to enable as much information</w:t>
      </w:r>
      <w:r w:rsidR="00CD5324">
        <w:t xml:space="preserve"> as possible</w:t>
      </w:r>
      <w:r w:rsidR="00EB4DA8">
        <w:t xml:space="preserve"> about why victims </w:t>
      </w:r>
      <w:r w:rsidR="006D5EE7">
        <w:t xml:space="preserve">ended involvement with </w:t>
      </w:r>
      <w:r w:rsidR="00EB4DA8">
        <w:t xml:space="preserve">the police investigative processes.  However, </w:t>
      </w:r>
      <w:r w:rsidR="006B790C">
        <w:t xml:space="preserve">where data is gathered from the free text within the police recording database, it is acknowledged that this is </w:t>
      </w:r>
      <w:r w:rsidR="00EB4DA8">
        <w:t xml:space="preserve">completed by reporting officers and so may not be a completely representative picture of the reasons that the victim gave.  </w:t>
      </w:r>
      <w:r w:rsidR="006B790C">
        <w:t xml:space="preserve">For example, the police officer may be reporting a summary of a telephone conversation where not all of the reasons for retracting/disengaging are provided by the victim or written down by the police officer. </w:t>
      </w:r>
      <w:r>
        <w:t>This meant that a formal qualitative analytical method was not appropriate on this data</w:t>
      </w:r>
      <w:r w:rsidR="006B790C">
        <w:t xml:space="preserve">, however the principles of Braun and Clarke’s (2006) thematic analysis method were applied to ensure a structured analysis of the data was completed.  </w:t>
      </w:r>
      <w:r w:rsidR="00EB4DA8">
        <w:t>Furthermore, Robinson and Cook (2006) highlight that victim retraction statements may not always represent the full details of why the victims retracted/disengage.  Finally, a significant number of the cases were perfunctory statements (see Robinson &amp; Cook, 2006), which do not provide any insight into the victim’s decision making.</w:t>
      </w:r>
      <w:r w:rsidR="00CB51C8">
        <w:t xml:space="preserve">  Perfunctory statements included only the information that the victim did not wish to proceed supporting the investigation of the case and would not support the prosecution of the case in court.  There was no information provided in these statements as to the reason why the victim had decided to take this course of action.</w:t>
      </w:r>
      <w:r w:rsidR="002530C9">
        <w:t xml:space="preserve">  </w:t>
      </w:r>
    </w:p>
    <w:p w14:paraId="58AD3AFD" w14:textId="77777777" w:rsidR="007D0D95" w:rsidRDefault="007D0D95" w:rsidP="00252912">
      <w:pPr>
        <w:pStyle w:val="Heading1"/>
      </w:pPr>
    </w:p>
    <w:p w14:paraId="08BCEF61" w14:textId="77777777" w:rsidR="001C53C4" w:rsidRDefault="00D11C53" w:rsidP="001C53C4">
      <w:pPr>
        <w:pStyle w:val="Heading1"/>
      </w:pPr>
      <w:r>
        <w:t>Results</w:t>
      </w:r>
      <w:bookmarkStart w:id="1" w:name="_Toc284229234"/>
    </w:p>
    <w:p w14:paraId="32B3EC53" w14:textId="77777777" w:rsidR="002F3BFA" w:rsidRDefault="002F3BFA" w:rsidP="002F3BFA">
      <w:pPr>
        <w:rPr>
          <w:lang w:bidi="en-US"/>
        </w:rPr>
      </w:pPr>
      <w:r>
        <w:rPr>
          <w:lang w:bidi="en-US"/>
        </w:rPr>
        <w:t>Given the focus on physically aggressive offences, it is unsurprising that the majority of the offences are assaultive in nature with actual bodily harm and common assault as the most common offences (see table one).  All of the victims in this sample were female, and they ranged in age from 16 - 86 years (</w:t>
      </w:r>
      <w:r>
        <w:rPr>
          <w:i/>
          <w:lang w:bidi="en-US"/>
        </w:rPr>
        <w:t>M</w:t>
      </w:r>
      <w:r>
        <w:rPr>
          <w:lang w:bidi="en-US"/>
        </w:rPr>
        <w:t xml:space="preserve"> = 33.80, </w:t>
      </w:r>
      <w:r>
        <w:rPr>
          <w:i/>
          <w:lang w:bidi="en-US"/>
        </w:rPr>
        <w:t>S.D.</w:t>
      </w:r>
      <w:r>
        <w:rPr>
          <w:lang w:bidi="en-US"/>
        </w:rPr>
        <w:t xml:space="preserve"> = 10.92) with the majority identified as white ethnicity. Victims’ home address deprivation score ranged from 3.04 – 77.12 (</w:t>
      </w:r>
      <w:r>
        <w:rPr>
          <w:i/>
          <w:lang w:bidi="en-US"/>
        </w:rPr>
        <w:t>M</w:t>
      </w:r>
      <w:r>
        <w:rPr>
          <w:lang w:bidi="en-US"/>
        </w:rPr>
        <w:t xml:space="preserve"> = 33.48, </w:t>
      </w:r>
      <w:r>
        <w:rPr>
          <w:i/>
          <w:lang w:bidi="en-US"/>
        </w:rPr>
        <w:t>S.D.</w:t>
      </w:r>
      <w:r>
        <w:rPr>
          <w:lang w:bidi="en-US"/>
        </w:rPr>
        <w:t xml:space="preserve"> = 15.08).  The number of reports in the previous six months ranged from 0 – 10 (</w:t>
      </w:r>
      <w:r>
        <w:rPr>
          <w:i/>
          <w:lang w:bidi="en-US"/>
        </w:rPr>
        <w:t>M</w:t>
      </w:r>
      <w:r>
        <w:rPr>
          <w:lang w:bidi="en-US"/>
        </w:rPr>
        <w:t xml:space="preserve"> = 1.68, </w:t>
      </w:r>
      <w:r>
        <w:rPr>
          <w:i/>
          <w:lang w:bidi="en-US"/>
        </w:rPr>
        <w:t>S.D.</w:t>
      </w:r>
      <w:r>
        <w:rPr>
          <w:lang w:bidi="en-US"/>
        </w:rPr>
        <w:t xml:space="preserve"> = 1.27).  Victims were most frequently in current relationships with the perpetrator, although 30% of victims were previously in a relationship with the perpetrator.  </w:t>
      </w:r>
    </w:p>
    <w:p w14:paraId="3B7DECE4" w14:textId="28ADDF52" w:rsidR="002F3BFA" w:rsidRPr="00187F5D" w:rsidRDefault="002F3BFA" w:rsidP="002F3BFA">
      <w:pPr>
        <w:rPr>
          <w:lang w:bidi="en-US"/>
        </w:rPr>
      </w:pPr>
      <w:r>
        <w:rPr>
          <w:lang w:bidi="en-US"/>
        </w:rPr>
        <w:t>Perpetrators ranged in age from 19 – 60 year (</w:t>
      </w:r>
      <w:r>
        <w:rPr>
          <w:i/>
          <w:lang w:bidi="en-US"/>
        </w:rPr>
        <w:t>M</w:t>
      </w:r>
      <w:r>
        <w:rPr>
          <w:lang w:bidi="en-US"/>
        </w:rPr>
        <w:t xml:space="preserve"> = 34.42, </w:t>
      </w:r>
      <w:r>
        <w:rPr>
          <w:i/>
          <w:lang w:bidi="en-US"/>
        </w:rPr>
        <w:t>S.D.</w:t>
      </w:r>
      <w:r>
        <w:rPr>
          <w:lang w:bidi="en-US"/>
        </w:rPr>
        <w:t xml:space="preserve"> = 10.29) and the majority were male and identified as white ethnicity.  Perpetrators’ home address deprivation scores ranged from 3.04 – 77.17 (</w:t>
      </w:r>
      <w:r>
        <w:rPr>
          <w:i/>
          <w:lang w:bidi="en-US"/>
        </w:rPr>
        <w:t>M</w:t>
      </w:r>
      <w:r>
        <w:rPr>
          <w:lang w:bidi="en-US"/>
        </w:rPr>
        <w:t xml:space="preserve"> = 33.42, </w:t>
      </w:r>
      <w:r>
        <w:rPr>
          <w:i/>
          <w:lang w:bidi="en-US"/>
        </w:rPr>
        <w:t>S.D.</w:t>
      </w:r>
      <w:r>
        <w:rPr>
          <w:lang w:bidi="en-US"/>
        </w:rPr>
        <w:t xml:space="preserve"> = 15.11).  The crime site deprivation score ranged from 3.04 – 77.17 (</w:t>
      </w:r>
      <w:r>
        <w:rPr>
          <w:i/>
          <w:lang w:bidi="en-US"/>
        </w:rPr>
        <w:t>M</w:t>
      </w:r>
      <w:r>
        <w:rPr>
          <w:lang w:bidi="en-US"/>
        </w:rPr>
        <w:t xml:space="preserve"> = 32.93, </w:t>
      </w:r>
      <w:r>
        <w:rPr>
          <w:i/>
          <w:lang w:bidi="en-US"/>
        </w:rPr>
        <w:t>S.D.</w:t>
      </w:r>
      <w:r>
        <w:rPr>
          <w:lang w:bidi="en-US"/>
        </w:rPr>
        <w:t xml:space="preserve"> = 15.07).  Almost a third of offences involved drugs or alcohol, with 33 cases (6.3%) involving weapon use.  Injury was caused to the victim in 48.1% of the cases, however only 34 victims (6.5%) sought medical services suggesting that in most cases the injury level was relatively minor.  Children were involved or present in 70 of the cases (13.4%).  Nearly half of the victims were risk assessed by the DASH at medium level with 18.9% assessed at standard risk level and 33.0% assessed at high risk level.  Finally, 58% of the offences were detected by the police</w:t>
      </w:r>
      <w:r w:rsidR="00436A25">
        <w:rPr>
          <w:lang w:bidi="en-US"/>
        </w:rPr>
        <w:t xml:space="preserve"> (see t</w:t>
      </w:r>
      <w:r>
        <w:rPr>
          <w:lang w:bidi="en-US"/>
        </w:rPr>
        <w:t xml:space="preserve">able </w:t>
      </w:r>
      <w:r w:rsidR="00436A25">
        <w:rPr>
          <w:lang w:bidi="en-US"/>
        </w:rPr>
        <w:t>one</w:t>
      </w:r>
      <w:r>
        <w:rPr>
          <w:lang w:bidi="en-US"/>
        </w:rPr>
        <w:t xml:space="preserve">).   </w:t>
      </w:r>
    </w:p>
    <w:p w14:paraId="1E0E8DB3" w14:textId="77777777" w:rsidR="006D5EE7" w:rsidRDefault="006D5EE7" w:rsidP="006D5EE7">
      <w:pPr>
        <w:rPr>
          <w:lang w:bidi="en-US"/>
        </w:rPr>
      </w:pPr>
    </w:p>
    <w:p w14:paraId="2F5EC8A5" w14:textId="6D9ADB8F" w:rsidR="006D5EE7" w:rsidRDefault="006D5EE7" w:rsidP="006D5EE7">
      <w:pPr>
        <w:jc w:val="center"/>
        <w:rPr>
          <w:lang w:bidi="en-US"/>
        </w:rPr>
      </w:pPr>
      <w:r>
        <w:rPr>
          <w:lang w:bidi="en-US"/>
        </w:rPr>
        <w:t>INSERT TABLE ONE ABOUT HERE</w:t>
      </w:r>
    </w:p>
    <w:p w14:paraId="624439C1" w14:textId="77777777" w:rsidR="006D5EE7" w:rsidRDefault="006D5EE7" w:rsidP="006D5EE7">
      <w:pPr>
        <w:ind w:firstLine="0"/>
        <w:rPr>
          <w:lang w:bidi="en-US"/>
        </w:rPr>
      </w:pPr>
    </w:p>
    <w:p w14:paraId="6E689CD1" w14:textId="77777777" w:rsidR="006D5EE7" w:rsidRDefault="006D5EE7" w:rsidP="006D5EE7">
      <w:pPr>
        <w:pStyle w:val="Heading2"/>
      </w:pPr>
      <w:r w:rsidRPr="00624454">
        <w:t>Factors predicting victim retraction and disengagement</w:t>
      </w:r>
    </w:p>
    <w:p w14:paraId="3E54F9DC" w14:textId="150D1469" w:rsidR="006D5EE7" w:rsidRPr="00624454" w:rsidRDefault="006D5EE7" w:rsidP="006D5EE7">
      <w:pPr>
        <w:rPr>
          <w:lang w:bidi="en-US"/>
        </w:rPr>
      </w:pPr>
      <w:r>
        <w:rPr>
          <w:lang w:bidi="en-US"/>
        </w:rPr>
        <w:t>Due to the combination of categorical and continuous predictor variables, and an outcome variable with three categories (formal retraction, disengagement, and non-retractors) the most appropriate statistical test is multinomial logistic regression.  The regr</w:t>
      </w:r>
      <w:r w:rsidR="00436A25">
        <w:rPr>
          <w:lang w:bidi="en-US"/>
        </w:rPr>
        <w:t>ession was run with a total of 524</w:t>
      </w:r>
      <w:r>
        <w:rPr>
          <w:lang w:bidi="en-US"/>
        </w:rPr>
        <w:t xml:space="preserve"> cases, with the reference category ‘non-retractors’ </w:t>
      </w:r>
      <w:r w:rsidR="00935BB9">
        <w:rPr>
          <w:lang w:bidi="en-US"/>
        </w:rPr>
        <w:t>that</w:t>
      </w:r>
      <w:r>
        <w:rPr>
          <w:lang w:bidi="en-US"/>
        </w:rPr>
        <w:t xml:space="preserve"> produced comparisons between this reference and the cases labelled as ‘formal retractions’ and ‘disengagement’</w:t>
      </w:r>
      <w:r w:rsidRPr="00DD58B5">
        <w:rPr>
          <w:lang w:bidi="en-US"/>
        </w:rPr>
        <w:t xml:space="preserve">.  </w:t>
      </w:r>
      <w:r w:rsidR="009B2952" w:rsidRPr="00DD58B5">
        <w:rPr>
          <w:lang w:bidi="en-US"/>
        </w:rPr>
        <w:t>Multicollinearity diagnostics were run and all VIF and Tolerance value</w:t>
      </w:r>
      <w:r w:rsidR="00251E49">
        <w:rPr>
          <w:lang w:bidi="en-US"/>
        </w:rPr>
        <w:t>s were in the acceptable range, indicating no issues of multicollinearity in these data.</w:t>
      </w:r>
      <w:r w:rsidR="009B2952" w:rsidRPr="00DD58B5">
        <w:rPr>
          <w:lang w:bidi="en-US"/>
        </w:rPr>
        <w:t xml:space="preserve"> </w:t>
      </w:r>
      <w:r>
        <w:rPr>
          <w:lang w:bidi="en-US"/>
        </w:rPr>
        <w:t>Table</w:t>
      </w:r>
      <w:r w:rsidR="00D21F7D">
        <w:rPr>
          <w:lang w:bidi="en-US"/>
        </w:rPr>
        <w:t xml:space="preserve"> two</w:t>
      </w:r>
      <w:r>
        <w:rPr>
          <w:lang w:bidi="en-US"/>
        </w:rPr>
        <w:t xml:space="preserve"> provide</w:t>
      </w:r>
      <w:r w:rsidR="00DC4DD7">
        <w:rPr>
          <w:lang w:bidi="en-US"/>
        </w:rPr>
        <w:t>s</w:t>
      </w:r>
      <w:r>
        <w:rPr>
          <w:lang w:bidi="en-US"/>
        </w:rPr>
        <w:t xml:space="preserve"> details of the contribution of each predictor variable to this regression model, for both outcome variable comparisons with the reference category.</w:t>
      </w:r>
    </w:p>
    <w:p w14:paraId="5D02312E" w14:textId="77777777" w:rsidR="006D5EE7" w:rsidRDefault="006D5EE7" w:rsidP="006D5EE7">
      <w:pPr>
        <w:jc w:val="center"/>
      </w:pPr>
    </w:p>
    <w:p w14:paraId="38259DC2" w14:textId="77777777" w:rsidR="006D5EE7" w:rsidRDefault="006D5EE7" w:rsidP="006D5EE7">
      <w:pPr>
        <w:jc w:val="center"/>
      </w:pPr>
      <w:r>
        <w:t xml:space="preserve">INSERT TABLE </w:t>
      </w:r>
      <w:r w:rsidR="00D21F7D">
        <w:t xml:space="preserve">TWO </w:t>
      </w:r>
      <w:r>
        <w:t>ABOUT HERE</w:t>
      </w:r>
    </w:p>
    <w:p w14:paraId="1621F279" w14:textId="77777777" w:rsidR="006D5EE7" w:rsidRDefault="006D5EE7" w:rsidP="00670C14"/>
    <w:p w14:paraId="2F5FBB03" w14:textId="317E8398" w:rsidR="00D21F7D" w:rsidRDefault="006D5EE7" w:rsidP="00670C14">
      <w:r>
        <w:t xml:space="preserve">The results demonstrate the different variables </w:t>
      </w:r>
      <w:r w:rsidR="00D21F7D">
        <w:t>that</w:t>
      </w:r>
      <w:r>
        <w:t xml:space="preserve"> are associated with formal retraction and disengagement.</w:t>
      </w:r>
      <w:r w:rsidR="00D21F7D">
        <w:t xml:space="preserve">  </w:t>
      </w:r>
      <w:r w:rsidR="00DC4DD7">
        <w:t>This</w:t>
      </w:r>
      <w:r>
        <w:t xml:space="preserve"> shows that victims who formally retracted, compared to those who progressed with the investigation, were more likely to be from higher deprivation areas (</w:t>
      </w:r>
      <w:r w:rsidR="00AB4F1E">
        <w:rPr>
          <w:i/>
        </w:rPr>
        <w:t>b</w:t>
      </w:r>
      <w:r w:rsidR="00AB4F1E">
        <w:t xml:space="preserve"> = .02, Wald χ</w:t>
      </w:r>
      <w:r w:rsidR="00AB4F1E">
        <w:rPr>
          <w:vertAlign w:val="superscript"/>
        </w:rPr>
        <w:t>2</w:t>
      </w:r>
      <w:r w:rsidR="00AB4F1E">
        <w:t xml:space="preserve"> (1) = 4.60, </w:t>
      </w:r>
      <w:r w:rsidR="00AB4F1E">
        <w:rPr>
          <w:i/>
        </w:rPr>
        <w:t>p</w:t>
      </w:r>
      <w:r w:rsidR="00AB4F1E">
        <w:t>&lt;.05</w:t>
      </w:r>
      <w:r>
        <w:t>) and have higher DASH risk assessment scores (</w:t>
      </w:r>
      <w:r w:rsidR="00AB4F1E">
        <w:rPr>
          <w:i/>
        </w:rPr>
        <w:t>b</w:t>
      </w:r>
      <w:r w:rsidR="00AB4F1E">
        <w:t xml:space="preserve"> = .45, Wald χ</w:t>
      </w:r>
      <w:r w:rsidR="00AB4F1E">
        <w:rPr>
          <w:vertAlign w:val="superscript"/>
        </w:rPr>
        <w:t>2</w:t>
      </w:r>
      <w:r w:rsidR="00AB4F1E">
        <w:t xml:space="preserve"> (1) = 5.11, </w:t>
      </w:r>
      <w:r w:rsidR="00AB4F1E">
        <w:rPr>
          <w:i/>
        </w:rPr>
        <w:t>p</w:t>
      </w:r>
      <w:r w:rsidR="00AB4F1E">
        <w:t>&lt;.05</w:t>
      </w:r>
      <w:r>
        <w:t xml:space="preserve">).  </w:t>
      </w:r>
      <w:r w:rsidR="00DC4DD7">
        <w:t xml:space="preserve">Furthermore, the analysis for comparison between </w:t>
      </w:r>
      <w:r>
        <w:t>victims who disengaged with the investigative process with those who progressed</w:t>
      </w:r>
      <w:r w:rsidR="00DC4DD7">
        <w:t xml:space="preserve"> (non-retractors) </w:t>
      </w:r>
      <w:r>
        <w:t>shows that disengagement was more likely in cases where alcohol or drugs were not involved (</w:t>
      </w:r>
      <w:r w:rsidR="00AB4F1E">
        <w:rPr>
          <w:i/>
        </w:rPr>
        <w:t>b</w:t>
      </w:r>
      <w:r w:rsidR="00AB4F1E">
        <w:t xml:space="preserve"> = -.41, Wald χ</w:t>
      </w:r>
      <w:r w:rsidR="00AB4F1E">
        <w:rPr>
          <w:vertAlign w:val="superscript"/>
        </w:rPr>
        <w:t>2</w:t>
      </w:r>
      <w:r w:rsidR="00AB4F1E">
        <w:t xml:space="preserve"> (1) = 3.02, </w:t>
      </w:r>
      <w:r w:rsidR="00AB4F1E">
        <w:rPr>
          <w:i/>
        </w:rPr>
        <w:t>p</w:t>
      </w:r>
      <w:r w:rsidR="00AB4F1E">
        <w:t>&lt;.05</w:t>
      </w:r>
      <w:r>
        <w:t>), children were involved (</w:t>
      </w:r>
      <w:r w:rsidR="00AB4F1E">
        <w:rPr>
          <w:i/>
        </w:rPr>
        <w:t>b</w:t>
      </w:r>
      <w:r w:rsidR="00AB4F1E">
        <w:t xml:space="preserve"> = 1.45, Wald χ</w:t>
      </w:r>
      <w:r w:rsidR="00AB4F1E">
        <w:rPr>
          <w:vertAlign w:val="superscript"/>
        </w:rPr>
        <w:t>2</w:t>
      </w:r>
      <w:r w:rsidR="00AB4F1E">
        <w:t xml:space="preserve"> (1) = 10.34, </w:t>
      </w:r>
      <w:r w:rsidR="00AB4F1E">
        <w:rPr>
          <w:i/>
        </w:rPr>
        <w:t>p</w:t>
      </w:r>
      <w:r w:rsidR="00AB4F1E">
        <w:t>&lt;.001</w:t>
      </w:r>
      <w:r>
        <w:t>), and the DASH risk assessment score was lower (</w:t>
      </w:r>
      <w:r w:rsidR="00AB4F1E">
        <w:rPr>
          <w:i/>
        </w:rPr>
        <w:t>b</w:t>
      </w:r>
      <w:r w:rsidR="00AB4F1E">
        <w:t xml:space="preserve"> = -.29, Wald χ</w:t>
      </w:r>
      <w:r w:rsidR="00AB4F1E">
        <w:rPr>
          <w:vertAlign w:val="superscript"/>
        </w:rPr>
        <w:t>2</w:t>
      </w:r>
      <w:r w:rsidR="00AB4F1E">
        <w:t xml:space="preserve"> (1) = 3.50, </w:t>
      </w:r>
      <w:r w:rsidR="00AB4F1E">
        <w:rPr>
          <w:i/>
        </w:rPr>
        <w:t>p</w:t>
      </w:r>
      <w:r w:rsidR="00AB4F1E">
        <w:t>&lt;.05</w:t>
      </w:r>
      <w:r>
        <w:t>).</w:t>
      </w:r>
      <w:r w:rsidR="0001169C">
        <w:t xml:space="preserve">  Given these findings hypotheses one and three were not supported by the analysis in that victim and perpetrator characteristics did not differentiate between cases that proceeded and (i) cases where the victim formally retracted or (ii) cases where the victim informally disengaged.  However, hypothesis two was supported in that offence characteristics did differentiate between the cases of IPV. </w:t>
      </w:r>
      <w:r>
        <w:t xml:space="preserve"> </w:t>
      </w:r>
    </w:p>
    <w:bookmarkEnd w:id="1"/>
    <w:p w14:paraId="314F579A" w14:textId="27FA7966" w:rsidR="008B1DDD" w:rsidRDefault="00E67109" w:rsidP="00670C14">
      <w:pPr>
        <w:pStyle w:val="Heading2"/>
      </w:pPr>
      <w:r w:rsidRPr="00E67109">
        <w:t xml:space="preserve">Reasons reported </w:t>
      </w:r>
      <w:r w:rsidR="0012263C">
        <w:t xml:space="preserve">for formal retraction and </w:t>
      </w:r>
      <w:r w:rsidR="00424564">
        <w:t>disengagement</w:t>
      </w:r>
      <w:r w:rsidR="00592F4B">
        <w:t>.</w:t>
      </w:r>
    </w:p>
    <w:p w14:paraId="4BE07D8B" w14:textId="7F155EAE" w:rsidR="0012263C" w:rsidRDefault="00935BB9" w:rsidP="0012263C">
      <w:r>
        <w:t xml:space="preserve">The reasons did not clearly differentiate between cases where the victim retracted compared with cases where the victim disengaged.   </w:t>
      </w:r>
      <w:r w:rsidR="0012263C">
        <w:t xml:space="preserve">One of the main </w:t>
      </w:r>
      <w:r w:rsidR="00424564">
        <w:t>reasons</w:t>
      </w:r>
      <w:r w:rsidR="0012263C">
        <w:t xml:space="preserve"> </w:t>
      </w:r>
      <w:r w:rsidR="00EB4DA8">
        <w:t>for retracting or disengaging was reconciliation, which resulted in</w:t>
      </w:r>
      <w:r w:rsidR="0012263C">
        <w:t xml:space="preserve"> the victim either continuing a relationship with the </w:t>
      </w:r>
      <w:r w:rsidR="00EB4DA8">
        <w:t xml:space="preserve">perpetrator </w:t>
      </w:r>
      <w:r w:rsidR="0012263C">
        <w:t xml:space="preserve">or returning to a relationship with the </w:t>
      </w:r>
      <w:r w:rsidR="00EB4DA8">
        <w:t>perpetrator</w:t>
      </w:r>
      <w:r w:rsidR="0012263C">
        <w:t xml:space="preserve"> following a short period of time.  Reasons for reconciliation were numerous such as the victim being pregnant with the </w:t>
      </w:r>
      <w:r w:rsidR="00EB4DA8">
        <w:t>perpetrator’s</w:t>
      </w:r>
      <w:r w:rsidR="0012263C">
        <w:t xml:space="preserve"> child, that the victim was still in love with the </w:t>
      </w:r>
      <w:r w:rsidR="00EB4DA8">
        <w:t>perpetrator</w:t>
      </w:r>
      <w:r w:rsidR="0012263C">
        <w:t xml:space="preserve">, or that the victim and the </w:t>
      </w:r>
      <w:r w:rsidR="00EB4DA8">
        <w:t>perpetrator</w:t>
      </w:r>
      <w:r w:rsidR="0012263C">
        <w:t xml:space="preserve"> were working on their issues to resolve their current relationship problems.  This </w:t>
      </w:r>
      <w:r w:rsidR="00424564">
        <w:t>reason</w:t>
      </w:r>
      <w:r w:rsidR="0012263C">
        <w:t xml:space="preserve"> was somewhat related to the child related reasons.  This meant that the victim would reconcile with the </w:t>
      </w:r>
      <w:r w:rsidR="00EB4DA8">
        <w:t>perpetrator</w:t>
      </w:r>
      <w:r w:rsidR="0012263C">
        <w:t xml:space="preserve"> for the sake of their child(ren).  However, there were a number of victims within this </w:t>
      </w:r>
      <w:r w:rsidR="00424564">
        <w:t>category</w:t>
      </w:r>
      <w:r w:rsidR="0012263C">
        <w:t xml:space="preserve"> of child related reasons who did not wish to prosecute the </w:t>
      </w:r>
      <w:r w:rsidR="00EB4DA8">
        <w:t>perpetrator</w:t>
      </w:r>
      <w:r w:rsidR="0012263C">
        <w:t xml:space="preserve"> because they did not want their child(ren) upset or distressed by the prosecution of their father or that prosecution of their father would potentially affect the child(ren)’s access to the father at a future point.  </w:t>
      </w:r>
    </w:p>
    <w:p w14:paraId="7E3D2C16" w14:textId="04292ECB" w:rsidR="0012263C" w:rsidRDefault="0012263C" w:rsidP="0012263C">
      <w:r>
        <w:t xml:space="preserve">One of the </w:t>
      </w:r>
      <w:r w:rsidR="00CD5324">
        <w:t xml:space="preserve">most frequent </w:t>
      </w:r>
      <w:r>
        <w:t xml:space="preserve">reasons that victims reported in relation to </w:t>
      </w:r>
      <w:r w:rsidR="00935BB9">
        <w:t>retraction/disengagement</w:t>
      </w:r>
      <w:r>
        <w:t xml:space="preserve"> was that they wished to simply get on with their life.  This reason was often reported in conjunction with the end of the relationship with the </w:t>
      </w:r>
      <w:r w:rsidR="00EB4DA8">
        <w:t>perpetrator</w:t>
      </w:r>
      <w:r>
        <w:t>.</w:t>
      </w:r>
      <w:r w:rsidR="00424564">
        <w:t xml:space="preserve">  The reasons given </w:t>
      </w:r>
      <w:r>
        <w:t xml:space="preserve">were that the victim just wanted to forget the incident and move on, that the victim and/or </w:t>
      </w:r>
      <w:r w:rsidR="00EB4DA8">
        <w:t>perpetrator</w:t>
      </w:r>
      <w:r>
        <w:t xml:space="preserve"> were going to move away to make a fresh start, and that the victim had had no contact and/or issues with the </w:t>
      </w:r>
      <w:r w:rsidR="00EB4DA8">
        <w:t>perpetrator</w:t>
      </w:r>
      <w:r>
        <w:t xml:space="preserve"> since the incident.  In addition to this reason, victims did not </w:t>
      </w:r>
      <w:r w:rsidR="00424564">
        <w:t xml:space="preserve">always </w:t>
      </w:r>
      <w:r>
        <w:t>provide clear reasons for why they did not want to be involved in the police investigation.  These victims denied the offence occurred and/or did not cooperate with the police in any way (e.g., not responding to telephone messages)</w:t>
      </w:r>
      <w:r w:rsidR="00424564">
        <w:t xml:space="preserve"> or provided only perfunctory statements</w:t>
      </w:r>
      <w:r>
        <w:t xml:space="preserve">.  Furthermore, a substantial number of victims reported reasons associated with going to court and supporting the prosecution as an explanation for why they did not wish to pursue the complaint.  This particular </w:t>
      </w:r>
      <w:r w:rsidR="00424564">
        <w:t>reason</w:t>
      </w:r>
      <w:r>
        <w:t xml:space="preserve"> suggested that victims perceive attending court as a ‘hassle’ and as causing further problems.  Going to court was not perceived by these victims as providing them with any positive outcomes.</w:t>
      </w:r>
    </w:p>
    <w:p w14:paraId="0BD14C18" w14:textId="4C3E3923" w:rsidR="00E67109" w:rsidRDefault="0012263C" w:rsidP="0012263C">
      <w:r>
        <w:t xml:space="preserve">Some </w:t>
      </w:r>
      <w:r w:rsidR="00EB4DA8">
        <w:t xml:space="preserve">less reported </w:t>
      </w:r>
      <w:r w:rsidR="00764F90">
        <w:t>reasons were: a</w:t>
      </w:r>
      <w:r>
        <w:t xml:space="preserve"> wish to not punish the </w:t>
      </w:r>
      <w:r w:rsidR="00EB4DA8">
        <w:t>perpetrator</w:t>
      </w:r>
      <w:r>
        <w:t xml:space="preserve">, fear of the </w:t>
      </w:r>
      <w:r w:rsidR="00EB4DA8">
        <w:t>perpetrator</w:t>
      </w:r>
      <w:r>
        <w:t xml:space="preserve"> and substance misuse/mental health issues.  </w:t>
      </w:r>
      <w:r w:rsidR="00764F90">
        <w:t>S</w:t>
      </w:r>
      <w:r>
        <w:t xml:space="preserve">hort-term benefits related to victims who called the police to deal with the short term effects of the IPV behaviour.  In this instance, the victim </w:t>
      </w:r>
      <w:r w:rsidR="00CD5324">
        <w:t xml:space="preserve">reported that they </w:t>
      </w:r>
      <w:r>
        <w:t xml:space="preserve">called the police to remove the </w:t>
      </w:r>
      <w:r w:rsidR="00EB4DA8">
        <w:t>perpetrator</w:t>
      </w:r>
      <w:r>
        <w:t xml:space="preserve"> from the house or that they called the police without thinking it through properly.  </w:t>
      </w:r>
      <w:r w:rsidR="00764F90">
        <w:t>N</w:t>
      </w:r>
      <w:r>
        <w:t xml:space="preserve">ot wishing to punish the </w:t>
      </w:r>
      <w:r w:rsidR="00EB4DA8">
        <w:t>perpetrator</w:t>
      </w:r>
      <w:r>
        <w:t xml:space="preserve"> included reasons such as the victims not wishing to cause trouble for the partner (e.g., loss of job) or that the prosecution of the partner would somehow make the situation worse.  Finally</w:t>
      </w:r>
      <w:r w:rsidR="00CB51C8">
        <w:t>,</w:t>
      </w:r>
      <w:r>
        <w:t xml:space="preserve"> a very small number of victims reported that the reason that they would not pursue the prosecution was because they feared the </w:t>
      </w:r>
      <w:r w:rsidR="00EB4DA8">
        <w:t>perpetrator</w:t>
      </w:r>
      <w:r>
        <w:t xml:space="preserve"> and/or the repercussions of making a statement or pursuing a prosecution.  Similarly, a small number of victims reported associated issues with substance misuse (alcohol and/or drug use) or mental health issues, which meant that they did not feel able to report accurately what happened to them and/or well enough to pursue a prosecution</w:t>
      </w:r>
      <w:r w:rsidR="003E20A9">
        <w:t xml:space="preserve"> (see table </w:t>
      </w:r>
      <w:r w:rsidR="004B711E">
        <w:t>three</w:t>
      </w:r>
      <w:r w:rsidR="003E20A9">
        <w:t>)</w:t>
      </w:r>
      <w:r>
        <w:t>.</w:t>
      </w:r>
    </w:p>
    <w:p w14:paraId="7760F12F" w14:textId="77777777" w:rsidR="00EB4DA8" w:rsidRDefault="00EB4DA8" w:rsidP="0012263C"/>
    <w:p w14:paraId="5D118851" w14:textId="363F6D7D" w:rsidR="00EB4DA8" w:rsidRPr="00E67109" w:rsidRDefault="00EB4DA8" w:rsidP="00EB4DA8">
      <w:pPr>
        <w:jc w:val="center"/>
        <w:rPr>
          <w:iCs/>
          <w:color w:val="000000"/>
        </w:rPr>
      </w:pPr>
      <w:r>
        <w:t xml:space="preserve">INSERT TABLE </w:t>
      </w:r>
      <w:r w:rsidR="004B711E">
        <w:t>THREE</w:t>
      </w:r>
      <w:r>
        <w:t xml:space="preserve"> ABOUT HERE</w:t>
      </w:r>
    </w:p>
    <w:p w14:paraId="04A7692A" w14:textId="77777777" w:rsidR="00E26639" w:rsidRDefault="00E26639" w:rsidP="00E26639">
      <w:pPr>
        <w:pStyle w:val="Heading1"/>
      </w:pPr>
      <w:r>
        <w:t>Discussion</w:t>
      </w:r>
    </w:p>
    <w:p w14:paraId="257A2CA7" w14:textId="0A22C83D" w:rsidR="00332822" w:rsidRDefault="004A2840" w:rsidP="00E26639">
      <w:r>
        <w:t xml:space="preserve"> </w:t>
      </w:r>
      <w:r w:rsidR="003C714F">
        <w:t xml:space="preserve">This study has examined the differences in victim, </w:t>
      </w:r>
      <w:r w:rsidR="00450B9E">
        <w:t>perpetrator</w:t>
      </w:r>
      <w:r w:rsidR="003C714F">
        <w:t xml:space="preserve">, and offence related characteristics between cases that progress through the police investigative stage and (i) cases that are formally retracted by the victim and (ii) cases where the victim informally disengages.  The findings do not provide support for hypotheses one or two in that neither victim nor </w:t>
      </w:r>
      <w:r w:rsidR="00450B9E">
        <w:t>perpetrator</w:t>
      </w:r>
      <w:r w:rsidR="003C714F">
        <w:t xml:space="preserve"> characteristics differentiated between cases where the victim engaged in the police investigation in comparison to those cases where the victim retracted/disengaged.  However</w:t>
      </w:r>
      <w:r w:rsidR="00CB51C8">
        <w:t>,</w:t>
      </w:r>
      <w:r w:rsidR="003C714F">
        <w:t xml:space="preserve"> support was found for hypothesis three in that victims who retracted from the police investigation (in comparison with victims who did not retract) were more likely to be from higher deprivation areas and to have higher DASH risk assessment scores.  A different pattern was found where victims who informally disengaged from the case (in comparison with victim who continued engagement with the case) were more likely in cases where alcohol/drugs were not involved, where children were involved, and where the DASH risk assessment score was lower.      </w:t>
      </w:r>
    </w:p>
    <w:p w14:paraId="5B0FC594" w14:textId="77777777" w:rsidR="00332822" w:rsidRDefault="00332822" w:rsidP="00332822">
      <w:pPr>
        <w:pStyle w:val="Heading2"/>
      </w:pPr>
      <w:r>
        <w:t>Limitations</w:t>
      </w:r>
    </w:p>
    <w:p w14:paraId="67B03C17" w14:textId="037BBEA1" w:rsidR="00E26639" w:rsidRDefault="00450B9E" w:rsidP="00670C14">
      <w:r>
        <w:t xml:space="preserve">Before discussing the research and clinical/policy implications, it is important to acknowledge that this </w:t>
      </w:r>
      <w:r w:rsidR="00332822">
        <w:t xml:space="preserve">research does have some limitations.  </w:t>
      </w:r>
      <w:r w:rsidR="00E67DDE">
        <w:t>T</w:t>
      </w:r>
      <w:r w:rsidR="00BD4F98">
        <w:t xml:space="preserve">his data solely focusses on cases that involve physical violence as opposed to the full range of behaviours that IPV can involve.  </w:t>
      </w:r>
      <w:r w:rsidR="00332822">
        <w:t>As this is police data, the reliability of the coding does rely upon accurate inputting by police forces.</w:t>
      </w:r>
      <w:r w:rsidR="00E67DDE">
        <w:t xml:space="preserve">  There are a number of points where this accuracy may have </w:t>
      </w:r>
      <w:r>
        <w:t xml:space="preserve">affected the </w:t>
      </w:r>
      <w:r w:rsidR="00E67DDE">
        <w:t>data used within this study.  For example, o</w:t>
      </w:r>
      <w:r w:rsidR="00332822">
        <w:t>ne issue is the flagging of cases as IPV</w:t>
      </w:r>
      <w:r w:rsidR="00E67DDE">
        <w:t xml:space="preserve">, </w:t>
      </w:r>
      <w:r w:rsidR="002D65B1">
        <w:t xml:space="preserve">as </w:t>
      </w:r>
      <w:r w:rsidR="00332822">
        <w:t>u</w:t>
      </w:r>
      <w:r w:rsidR="00332822" w:rsidRPr="00AA1622">
        <w:t xml:space="preserve">nder-flagging </w:t>
      </w:r>
      <w:r w:rsidR="00E67DDE">
        <w:t xml:space="preserve">of IPV cases </w:t>
      </w:r>
      <w:r w:rsidR="00332822" w:rsidRPr="00AA1622">
        <w:t>has been identified as an issue within police forces (Hanmer</w:t>
      </w:r>
      <w:r w:rsidR="00332822">
        <w:t xml:space="preserve"> et al., </w:t>
      </w:r>
      <w:r w:rsidR="00332822" w:rsidRPr="00AA1622">
        <w:t>1999)</w:t>
      </w:r>
      <w:r w:rsidR="00E67DDE">
        <w:t>.  This may mean that the</w:t>
      </w:r>
      <w:r w:rsidR="00332822">
        <w:t xml:space="preserve"> cases within the dataset may not represent the full occurrence of </w:t>
      </w:r>
      <w:r w:rsidR="00E67DDE">
        <w:t xml:space="preserve">physically violent </w:t>
      </w:r>
      <w:r w:rsidR="00332822">
        <w:t xml:space="preserve">IPV within the reported time frame.  However, as noted earlier, without an extensive time-laden data search of all violent offences, there is no method of addressing this issue.  </w:t>
      </w:r>
      <w:r w:rsidR="00E67DDE">
        <w:t>Accuracy of the reasons for victim retraction and disengagement may also be affected by police officer recording accuracy.  For example, if a victim was not offered the opportunity to provide a victim retraction statement, this may have resulted in the case being inaccurately designated as a victim disengagement case.  The police force from which the data were gathered has a number of data quality checking procedures in place to ensure that all cases are accurately reported and processe</w:t>
      </w:r>
      <w:r>
        <w:t>d</w:t>
      </w:r>
      <w:r w:rsidR="00E67DDE">
        <w:t xml:space="preserve"> e.g., in relation to flagging of cases.  This should increase the accuracy of the data but it still must be acknowledged that there is the potential for errors within this secondary data.  </w:t>
      </w:r>
      <w:r w:rsidR="00332822">
        <w:t xml:space="preserve">In relation to the reasons for victim withdrawal, it is unfortunate that many of the victims retraction statements and other reporting data sources (e.g., signing of pocket note book), were only perfunctory in nature.  However, as </w:t>
      </w:r>
      <w:r w:rsidR="00E67DDE">
        <w:t>reported below</w:t>
      </w:r>
      <w:r w:rsidR="00332822">
        <w:t xml:space="preserve">, the findings from this study integrate well with the current literature regarding victims of IPV who do not support the prosecution of the perpetrator.  It is unsurprising, given the nature of the offence and that these statement may be read by many criminal justice individuals, that victims only give </w:t>
      </w:r>
      <w:r w:rsidR="00CB51C8">
        <w:t>token</w:t>
      </w:r>
      <w:r w:rsidR="00332822">
        <w:t xml:space="preserve"> reasons for the retraction (Robinson &amp; Cook, 2006).</w:t>
      </w:r>
    </w:p>
    <w:p w14:paraId="6EFE33EA" w14:textId="77777777" w:rsidR="003338A4" w:rsidRDefault="003338A4" w:rsidP="003338A4">
      <w:pPr>
        <w:pStyle w:val="Heading2"/>
      </w:pPr>
      <w:r>
        <w:t>Research implications</w:t>
      </w:r>
    </w:p>
    <w:p w14:paraId="291A97FD" w14:textId="16B5883E" w:rsidR="007913BF" w:rsidRDefault="00B92BFD" w:rsidP="00537705">
      <w:r>
        <w:t xml:space="preserve">The </w:t>
      </w:r>
      <w:r w:rsidR="009320BE">
        <w:t xml:space="preserve">initial </w:t>
      </w:r>
      <w:r>
        <w:t xml:space="preserve">basis of this study was to </w:t>
      </w:r>
      <w:r w:rsidR="007524E3">
        <w:t>understand the predictive factors that relate to victim</w:t>
      </w:r>
      <w:r w:rsidR="00E90799">
        <w:t>s</w:t>
      </w:r>
      <w:r w:rsidR="007524E3">
        <w:t xml:space="preserve"> formally retracting their allegation</w:t>
      </w:r>
      <w:r w:rsidR="00E90799">
        <w:t>s in relation to IPV offences</w:t>
      </w:r>
      <w:r w:rsidR="007524E3">
        <w:t xml:space="preserve">.  In developing this study, it became apparent that in addition to victims who </w:t>
      </w:r>
      <w:r w:rsidR="002D65B1">
        <w:t xml:space="preserve">had </w:t>
      </w:r>
      <w:r w:rsidR="007524E3">
        <w:t xml:space="preserve">formally </w:t>
      </w:r>
      <w:r w:rsidR="002D65B1">
        <w:t xml:space="preserve">retracted </w:t>
      </w:r>
      <w:r w:rsidR="007524E3">
        <w:t xml:space="preserve">(which was </w:t>
      </w:r>
      <w:r w:rsidR="00583CC6">
        <w:t>approximately 19%</w:t>
      </w:r>
      <w:r w:rsidR="007524E3">
        <w:t xml:space="preserve"> within the current study), </w:t>
      </w:r>
      <w:r w:rsidR="00583CC6">
        <w:t xml:space="preserve">a larger number of </w:t>
      </w:r>
      <w:r w:rsidR="007524E3">
        <w:t xml:space="preserve">victims </w:t>
      </w:r>
      <w:r w:rsidR="002D65B1">
        <w:t xml:space="preserve">had </w:t>
      </w:r>
      <w:r w:rsidR="007524E3">
        <w:t xml:space="preserve">also informally </w:t>
      </w:r>
      <w:r w:rsidR="002D65B1">
        <w:t xml:space="preserve">disengaged </w:t>
      </w:r>
      <w:r w:rsidR="007524E3">
        <w:t>from the investigative process.  The result of both forms of withdrawal from the criminal justice process meant that cases often did not progress any further in terms of either cautioning or charging the perpetrator with an offence.</w:t>
      </w:r>
      <w:r w:rsidR="00E90799">
        <w:t xml:space="preserve">  This high level of victim withdrawal has been confirmed within the one earlier study that explicitly examined retraction</w:t>
      </w:r>
      <w:r w:rsidR="00E67DDE">
        <w:t xml:space="preserve"> e.g., </w:t>
      </w:r>
      <w:r w:rsidR="00E90799">
        <w:t xml:space="preserve">  Robinson and Cook (2006) found, in data gathered in 2003, that 44% of their sample </w:t>
      </w:r>
      <w:r>
        <w:t xml:space="preserve">formally </w:t>
      </w:r>
      <w:r w:rsidR="00E90799">
        <w:t xml:space="preserve">retracted before trial.  This is a level that is almost exactly the same amount as is </w:t>
      </w:r>
      <w:r w:rsidR="00537705">
        <w:t xml:space="preserve">found within </w:t>
      </w:r>
      <w:r w:rsidR="00E90799">
        <w:t xml:space="preserve">the current study.  </w:t>
      </w:r>
      <w:r w:rsidR="007913BF">
        <w:t xml:space="preserve">  </w:t>
      </w:r>
    </w:p>
    <w:p w14:paraId="11052BA4" w14:textId="5541E59A" w:rsidR="002D65B1" w:rsidRDefault="006230FC" w:rsidP="00161EDA">
      <w:r>
        <w:t>In gaining an understanding of the factors that predict victim withdrawal, th</w:t>
      </w:r>
      <w:r w:rsidR="00347F67">
        <w:t>is current study has extended our knowledge by differentiating between cases where the victim formally retracts and cases where the victim informally disengages.  In comparing these two forms of victim withdrawal with cases that continued with victim involvement, the data suggests that there are different factors that predict these two forms of victim withdrawal.  This has important implication</w:t>
      </w:r>
      <w:r w:rsidR="002D65B1">
        <w:t>s</w:t>
      </w:r>
      <w:r w:rsidR="00347F67">
        <w:t xml:space="preserve"> for the research in this area, particularly as we develop our understanding of victim withdrawal.</w:t>
      </w:r>
      <w:r w:rsidR="007041DD">
        <w:t xml:space="preserve">  For example, t</w:t>
      </w:r>
      <w:r w:rsidR="00161EDA">
        <w:t xml:space="preserve">he DASH risk assessment level was a significant predictor for both victim retraction and also victim disengagement, but with opposite </w:t>
      </w:r>
      <w:r w:rsidR="002D65B1">
        <w:t xml:space="preserve">directional </w:t>
      </w:r>
      <w:r w:rsidR="00161EDA">
        <w:t>relationships.  Victim retraction was more likely to occur in higher risk cases, whereas victim disengagement was more likely to occur in lower risk cases.  Weisz (2002) found that victims who favoured prosecution had higher levels of risk prediction and a higher number of times that the police had been called, compared to those victims who did not support prosecution.  The</w:t>
      </w:r>
      <w:r w:rsidR="007041DD">
        <w:t xml:space="preserve"> findings from the Weisz study would fit with the current study in relation to victim disengagement, however it does not align </w:t>
      </w:r>
      <w:r w:rsidR="00161EDA">
        <w:t xml:space="preserve">in relation to </w:t>
      </w:r>
      <w:r w:rsidR="007041DD">
        <w:t>the findings for victim retraction.</w:t>
      </w:r>
      <w:r w:rsidR="00CB51C8">
        <w:t xml:space="preserve">  This may be due to the different ways in which risk has been assessed in the current study and in the Weisz (2002) study.  The Weisz (2002) methodology did not involve a risk assessment tool but instead asked victims to predict the likelihood of their perpetrator revictimising them in the next six months using physical, psychological or financial IPV.  This approach has clear challenges in relation to validity and reliability, however similarly it has been highlighted that the DASH risk assessment tool has no predictive validity evidence at this time (Robinson &amp; Howarth, 2012).  Given this, there is a need to be somewhat cautious about drawing firm conclusions from the current study findings in relation to risk, until there is clear evidence of predictive validity of the DASH.  </w:t>
      </w:r>
      <w:r w:rsidR="007041DD">
        <w:t xml:space="preserve">  </w:t>
      </w:r>
    </w:p>
    <w:p w14:paraId="6027A14A" w14:textId="00C2EF09" w:rsidR="00161EDA" w:rsidRDefault="00161EDA" w:rsidP="00161EDA">
      <w:r>
        <w:t xml:space="preserve">These findings may be explained by the different types of risk assessments being used in each of the studies.  Furthermore, this may reflect the different outcome measures of not supporting a prosecution in comparison with victim </w:t>
      </w:r>
      <w:r w:rsidR="009320BE">
        <w:t>retraction/disengagement</w:t>
      </w:r>
      <w:r>
        <w:t xml:space="preserve"> from a reported case of IPV.</w:t>
      </w:r>
      <w:r w:rsidR="007041DD">
        <w:t xml:space="preserve">  Given that this study has found differing effects in relation to victim retraction and disengagement, this suggests that this is a logical explanation.</w:t>
      </w:r>
      <w:r>
        <w:t xml:space="preserve">  However further research is needed in this area to develop an understanding of how risk level may be related to victim retraction</w:t>
      </w:r>
      <w:r w:rsidR="007041DD">
        <w:t>, particularly given the importance of understanding why a victim who is at an increased risk of being victimised would be more likely to formally retract their case</w:t>
      </w:r>
      <w:r>
        <w:t xml:space="preserve">.    </w:t>
      </w:r>
    </w:p>
    <w:p w14:paraId="4CFC4B67" w14:textId="5C122B5F" w:rsidR="00161EDA" w:rsidRDefault="00161EDA" w:rsidP="00CA3824">
      <w:r>
        <w:t xml:space="preserve"> </w:t>
      </w:r>
      <w:r w:rsidR="00DA0D4A">
        <w:t xml:space="preserve">The role of alcohol and/or drug involvement also needs to be examined further on the basis of the findings of this study.  This current study found no predictive relationship for victim retraction, however, victim disengagement was more likely (compared to cases that progressed) where no alcohol/drugs were involved.  This is counter to the findings of Robinson and Cook (2006) who found that when the perpetrator was intoxicated during the offence, an IPV victim was more likely to retract.  Given that this prior study examined retraction as opposed to victim disengagement, this may underline the point that victim withdrawal is more complicated and that future studies in this area need to differentiate the reasons for victim withdrawal from IPV cases.  Alcohol intoxication has frequently been associated with aggression (Stappenbeck &amp; Fromme, 2013) and alcohol and/or drugs have been frequently found to </w:t>
      </w:r>
      <w:r w:rsidR="00573F3D">
        <w:t>play</w:t>
      </w:r>
      <w:r w:rsidR="00DA0D4A">
        <w:t xml:space="preserve"> a significant role in IPV offences.  Therefore</w:t>
      </w:r>
      <w:r w:rsidR="00CB51C8">
        <w:t>,</w:t>
      </w:r>
      <w:r w:rsidR="00DA0D4A">
        <w:t xml:space="preserve"> any findings in relation to alcohol/drug involvement (or lack </w:t>
      </w:r>
      <w:r w:rsidR="00573F3D">
        <w:t>there</w:t>
      </w:r>
      <w:r w:rsidR="00DA0D4A">
        <w:t>of) need to be examined further.</w:t>
      </w:r>
    </w:p>
    <w:p w14:paraId="4F100922" w14:textId="5158DFE5" w:rsidR="00AD056C" w:rsidRDefault="007913BF" w:rsidP="00AD056C">
      <w:r w:rsidRPr="00330551">
        <w:t>Many of the reasons that were reported by the victims as underpinning their withdrawal from the case fit very well within the ecological model suggested by Epstein et al. (2003).</w:t>
      </w:r>
      <w:r w:rsidR="00B36B88">
        <w:t xml:space="preserve">  There did not appear to be any clear differences in the role of different reasons between victim retraction or victim disengagement.</w:t>
      </w:r>
      <w:r w:rsidRPr="00330551">
        <w:t xml:space="preserve">  </w:t>
      </w:r>
      <w:r w:rsidR="00CD5324">
        <w:t>With reference to this model, l</w:t>
      </w:r>
      <w:r w:rsidRPr="00330551">
        <w:t>evel one, two</w:t>
      </w:r>
      <w:r w:rsidR="00330551" w:rsidRPr="00330551">
        <w:t>,</w:t>
      </w:r>
      <w:r w:rsidRPr="00330551">
        <w:t xml:space="preserve"> and four reasons were reported by victims.  In particular, level two </w:t>
      </w:r>
      <w:r w:rsidR="00CD5324">
        <w:t>(</w:t>
      </w:r>
      <w:r w:rsidRPr="00330551">
        <w:t>the relationship level</w:t>
      </w:r>
      <w:r w:rsidR="00CD5324">
        <w:t>)</w:t>
      </w:r>
      <w:r w:rsidRPr="00330551">
        <w:t xml:space="preserve"> demonstrated particular relevance for victims</w:t>
      </w:r>
      <w:r w:rsidR="00CD5324">
        <w:t xml:space="preserve"> in</w:t>
      </w:r>
      <w:r w:rsidR="00330551" w:rsidRPr="00330551">
        <w:t xml:space="preserve"> that</w:t>
      </w:r>
      <w:r w:rsidR="00330551">
        <w:t xml:space="preserve"> many victims reported wanting to either return to the relationship or had already continued to be in </w:t>
      </w:r>
      <w:r w:rsidR="00583CC6">
        <w:t xml:space="preserve">a </w:t>
      </w:r>
      <w:r w:rsidR="00330551">
        <w:t>relationship following the report to the police.  This clearly demonstrates the strongly inter-related nature of many of the reasons that explain why victims continue to retract</w:t>
      </w:r>
      <w:r w:rsidR="009320BE">
        <w:t xml:space="preserve"> or disengage from</w:t>
      </w:r>
      <w:r w:rsidR="00330551">
        <w:t xml:space="preserve"> allegations of IPV.  This demonstrates the challenges that remain within the investigation and prosecution of IPV cases where victim decision making is multi-faceted and intertwined with their daily lives</w:t>
      </w:r>
      <w:r w:rsidR="00C719EB">
        <w:t xml:space="preserve"> (see also Dutton, 1996)</w:t>
      </w:r>
      <w:r w:rsidR="00330551">
        <w:t>.</w:t>
      </w:r>
    </w:p>
    <w:p w14:paraId="02B51CCF" w14:textId="582DE320" w:rsidR="003338A4" w:rsidRDefault="003338A4" w:rsidP="003338A4">
      <w:pPr>
        <w:pStyle w:val="Heading2"/>
      </w:pPr>
      <w:r>
        <w:t>Clinical and policy implications</w:t>
      </w:r>
    </w:p>
    <w:p w14:paraId="418D602E" w14:textId="357462F9" w:rsidR="00347F67" w:rsidRDefault="00347F67" w:rsidP="003B4D9D">
      <w:r>
        <w:t>The high level of victim retraction and disengagement suggests that the current focus on improving the level of attrition within IPV cases is not having any significant effect at the police investigation stage of such cases (e.g., introduction of the Domestic Violence, Crime and Victims Act, 2004).  A previous evaluation of other aspects of the introduction of this act drew similar conclusions with findings suggesting that the impact was limited (Hester et al., 2008).  However, this is not to say that more success may be being achieved at other attrition points e.g., in the initial reporting or court trial prosecution of IPV cases.  This does remain a significant issue that still needs to be addressed as a number of studies have demonstrated that the highest level of attrition is found during the police investigation stage of the criminal justice process (Hester et al., 2008).  A finding that has been confirmed with the substantial level of victim withdrawal found within this study.  This suggests that the ‘justice gap’ is still a significant issue for victims of IPV during the police investigation of their case and as such, more needs to be done to address the level of victim withdrawal from IPV cases.</w:t>
      </w:r>
    </w:p>
    <w:p w14:paraId="791EDAC8" w14:textId="7EEB14F5" w:rsidR="0072186D" w:rsidRDefault="0046672E" w:rsidP="003B4D9D">
      <w:r>
        <w:t xml:space="preserve">This research contributes to the existing body of literature focusing on better understanding </w:t>
      </w:r>
      <w:r w:rsidR="00C87090">
        <w:t>of IPV</w:t>
      </w:r>
      <w:r>
        <w:t xml:space="preserve"> perpetrators and victims.  In particular, this study has demonstrated the high proportion of victims who withdraw from the criminal justice process during the police investigation of IPV offences, and the difficulties that police agencies have with pursuing victimless prosecutions in these cases.  It is therefore imperative that </w:t>
      </w:r>
      <w:r w:rsidR="00F15B05">
        <w:t>where it is appropriate for the victims, that support is provided t</w:t>
      </w:r>
      <w:r>
        <w:t xml:space="preserve">hroughout the investigative process, in order to maximise opportunities for </w:t>
      </w:r>
      <w:r w:rsidR="003B4D9D">
        <w:t xml:space="preserve">the </w:t>
      </w:r>
      <w:r>
        <w:t xml:space="preserve">detection of IPV offences.  This research has indicated some </w:t>
      </w:r>
      <w:r w:rsidR="008D1D0A">
        <w:t>offence characteristics</w:t>
      </w:r>
      <w:r>
        <w:t xml:space="preserve"> </w:t>
      </w:r>
      <w:r w:rsidR="00B36B88">
        <w:t xml:space="preserve">are important in differentiating between cases that progress and cases where the victim withdraws.  </w:t>
      </w:r>
      <w:r w:rsidR="00C87090">
        <w:t>Such findings may be used to identify particular types of IPV cases where there is a high risk of victim withdrawal.  Police forces may be able to develop strategies or a process to provide additional support to victims in these types of cases</w:t>
      </w:r>
      <w:r w:rsidR="00BC3FEA">
        <w:t xml:space="preserve"> to ensure that they maintain engagement with the investigation</w:t>
      </w:r>
      <w:r w:rsidR="00C87090">
        <w:t>.  This is particularly important given the link between victim engagement and case processing (Ellison, 2002)</w:t>
      </w:r>
      <w:r w:rsidR="00BC3FEA">
        <w:t xml:space="preserve"> and </w:t>
      </w:r>
      <w:r w:rsidR="00303BE2">
        <w:t xml:space="preserve">may offer </w:t>
      </w:r>
      <w:r w:rsidR="00BC3FEA">
        <w:t>benefit</w:t>
      </w:r>
      <w:r w:rsidR="00303BE2">
        <w:t>s</w:t>
      </w:r>
      <w:r w:rsidR="00BC3FEA">
        <w:t xml:space="preserve"> to both victims (e.g., Beeble et al, 2009) and to police forces in increased successful case processing.</w:t>
      </w:r>
      <w:r w:rsidR="00303BE2">
        <w:t xml:space="preserve">  However, it is acknowledged that victim involvement may not always be </w:t>
      </w:r>
      <w:r w:rsidR="00F15B05">
        <w:t>in the best interests of the victim</w:t>
      </w:r>
      <w:r w:rsidR="00303BE2">
        <w:t xml:space="preserve">, so any such strategy must be victim centred as opposed to solely </w:t>
      </w:r>
      <w:r w:rsidR="00573F3D">
        <w:t xml:space="preserve">focused on </w:t>
      </w:r>
      <w:r w:rsidR="00303BE2">
        <w:t xml:space="preserve">enabling police forces to increase the level of prosecutions.  </w:t>
      </w:r>
      <w:r w:rsidR="00C87090">
        <w:t>To our knowledge, no such strategy currently exists in police forces within England and Wales, so these findings may be used to build an evidence base</w:t>
      </w:r>
      <w:r w:rsidR="00BC3FEA">
        <w:t xml:space="preserve"> to </w:t>
      </w:r>
      <w:r w:rsidR="00303BE2">
        <w:t xml:space="preserve">consider the most appropriate way in which to </w:t>
      </w:r>
      <w:r w:rsidR="00BC3FEA">
        <w:t>develop such a process</w:t>
      </w:r>
      <w:r w:rsidR="00F15B05">
        <w:t>/strategy</w:t>
      </w:r>
      <w:r w:rsidR="00BC3FEA">
        <w:t xml:space="preserve">.  However, the current literature regarding victim withdrawal is very limited so further research is needed </w:t>
      </w:r>
      <w:r w:rsidR="003B3C07">
        <w:t>before this</w:t>
      </w:r>
      <w:r w:rsidR="00BC3FEA">
        <w:t xml:space="preserve"> </w:t>
      </w:r>
      <w:r w:rsidR="006F44E9">
        <w:t xml:space="preserve">type of research can contribute to </w:t>
      </w:r>
      <w:r w:rsidR="00BC3FEA">
        <w:t xml:space="preserve">the </w:t>
      </w:r>
      <w:r w:rsidR="006F44E9">
        <w:t>development of evidence-based victim support practices.</w:t>
      </w:r>
      <w:r w:rsidR="0072186D">
        <w:br w:type="page"/>
      </w:r>
    </w:p>
    <w:p w14:paraId="2FBC2398" w14:textId="77777777" w:rsidR="004A6877" w:rsidRDefault="004A6877" w:rsidP="00890800">
      <w:pPr>
        <w:pStyle w:val="Heading1"/>
      </w:pPr>
      <w:r>
        <w:t>References</w:t>
      </w:r>
    </w:p>
    <w:p w14:paraId="5FAE4F37" w14:textId="77777777" w:rsidR="002B7540" w:rsidRPr="002818FB" w:rsidRDefault="002B7540" w:rsidP="002B7540">
      <w:pPr>
        <w:ind w:left="709" w:hanging="709"/>
        <w:rPr>
          <w:color w:val="000000" w:themeColor="text1"/>
        </w:rPr>
      </w:pPr>
      <w:r w:rsidRPr="002818FB">
        <w:rPr>
          <w:color w:val="000000" w:themeColor="text1"/>
        </w:rPr>
        <w:t>Beeble, M.L., Bybee, D., Sullivan, C.M.</w:t>
      </w:r>
      <w:r w:rsidR="00BC3FEA">
        <w:rPr>
          <w:color w:val="000000" w:themeColor="text1"/>
        </w:rPr>
        <w:t>,</w:t>
      </w:r>
      <w:r w:rsidRPr="002818FB">
        <w:rPr>
          <w:color w:val="000000" w:themeColor="text1"/>
        </w:rPr>
        <w:t xml:space="preserve"> &amp; Adams, A.E. (2009). Main, mediating, and moderating effects of social support on the wellbeing of survivors of intimate partner violence across 2 years. </w:t>
      </w:r>
      <w:r w:rsidRPr="002818FB">
        <w:rPr>
          <w:i/>
          <w:iCs/>
          <w:color w:val="000000" w:themeColor="text1"/>
        </w:rPr>
        <w:t xml:space="preserve">Journal of Consulting and Clinical Psychology, 77, </w:t>
      </w:r>
      <w:r w:rsidRPr="002818FB">
        <w:rPr>
          <w:color w:val="000000" w:themeColor="text1"/>
        </w:rPr>
        <w:t>718–729.</w:t>
      </w:r>
      <w:r w:rsidR="00DE75DA">
        <w:rPr>
          <w:color w:val="000000" w:themeColor="text1"/>
        </w:rPr>
        <w:t xml:space="preserve"> </w:t>
      </w:r>
      <w:r w:rsidR="00DE75DA" w:rsidRPr="0011697F">
        <w:t xml:space="preserve">doi: </w:t>
      </w:r>
      <w:r w:rsidR="0011697F" w:rsidRPr="0011697F">
        <w:t>10.1037/a0016140.</w:t>
      </w:r>
    </w:p>
    <w:p w14:paraId="3D21D862" w14:textId="77777777" w:rsidR="002B7540" w:rsidRPr="002818FB" w:rsidRDefault="002B7540" w:rsidP="002B7540">
      <w:pPr>
        <w:ind w:left="709" w:hanging="709"/>
        <w:rPr>
          <w:color w:val="000000" w:themeColor="text1"/>
        </w:rPr>
      </w:pPr>
      <w:r w:rsidRPr="002818FB">
        <w:rPr>
          <w:color w:val="000000" w:themeColor="text1"/>
        </w:rPr>
        <w:t>Bell, M.E., Perez, S., Goodman, L.A.</w:t>
      </w:r>
      <w:r w:rsidR="00BC3FEA">
        <w:rPr>
          <w:color w:val="000000" w:themeColor="text1"/>
        </w:rPr>
        <w:t>,</w:t>
      </w:r>
      <w:r w:rsidRPr="002818FB">
        <w:rPr>
          <w:color w:val="000000" w:themeColor="text1"/>
        </w:rPr>
        <w:t xml:space="preserve"> &amp; Dutton, M.A. (2011). Battered women’s perceptions of civil and criminal court helpfulness: The role of court outcome and process. </w:t>
      </w:r>
      <w:r w:rsidRPr="002818FB">
        <w:rPr>
          <w:i/>
          <w:iCs/>
          <w:color w:val="000000" w:themeColor="text1"/>
        </w:rPr>
        <w:t xml:space="preserve">Violence against Women, 17, </w:t>
      </w:r>
      <w:r w:rsidRPr="002818FB">
        <w:rPr>
          <w:color w:val="000000" w:themeColor="text1"/>
        </w:rPr>
        <w:t>71–88.</w:t>
      </w:r>
      <w:r w:rsidR="00DE75DA">
        <w:rPr>
          <w:color w:val="000000" w:themeColor="text1"/>
        </w:rPr>
        <w:t xml:space="preserve"> </w:t>
      </w:r>
      <w:r w:rsidR="00DE75DA" w:rsidRPr="00DE75DA">
        <w:t>doi: 10.1177/1077801210393924.</w:t>
      </w:r>
    </w:p>
    <w:p w14:paraId="3E355AC5" w14:textId="36AFBC31" w:rsidR="00775B11" w:rsidRDefault="00775B11" w:rsidP="002B7540">
      <w:pPr>
        <w:ind w:left="709" w:hanging="709"/>
        <w:rPr>
          <w:color w:val="000000" w:themeColor="text1"/>
        </w:rPr>
      </w:pPr>
      <w:r w:rsidRPr="00775B11">
        <w:rPr>
          <w:color w:val="000000" w:themeColor="text1"/>
        </w:rPr>
        <w:t>Braun, V., &amp; Clarke, V. (20</w:t>
      </w:r>
      <w:r>
        <w:rPr>
          <w:color w:val="000000" w:themeColor="text1"/>
        </w:rPr>
        <w:t>06) Using Thematic Analysis in P</w:t>
      </w:r>
      <w:r w:rsidRPr="00775B11">
        <w:rPr>
          <w:color w:val="000000" w:themeColor="text1"/>
        </w:rPr>
        <w:t xml:space="preserve">sychology. </w:t>
      </w:r>
      <w:r w:rsidRPr="00775B11">
        <w:rPr>
          <w:i/>
          <w:iCs/>
          <w:color w:val="000000" w:themeColor="text1"/>
        </w:rPr>
        <w:t>Qualitative Research in Psychology</w:t>
      </w:r>
      <w:r w:rsidRPr="00775B11">
        <w:rPr>
          <w:color w:val="000000" w:themeColor="text1"/>
        </w:rPr>
        <w:t>, 3, 77-101</w:t>
      </w:r>
      <w:r>
        <w:rPr>
          <w:color w:val="000000" w:themeColor="text1"/>
        </w:rPr>
        <w:t>.</w:t>
      </w:r>
    </w:p>
    <w:p w14:paraId="5676F48D" w14:textId="77777777" w:rsidR="002B7540" w:rsidRDefault="002B7540" w:rsidP="002B7540">
      <w:pPr>
        <w:ind w:left="709" w:hanging="709"/>
        <w:rPr>
          <w:rStyle w:val="Hyperlink"/>
        </w:rPr>
      </w:pPr>
      <w:r w:rsidRPr="002818FB">
        <w:rPr>
          <w:color w:val="000000" w:themeColor="text1"/>
        </w:rPr>
        <w:t>C</w:t>
      </w:r>
      <w:r w:rsidR="0079544F">
        <w:rPr>
          <w:color w:val="000000" w:themeColor="text1"/>
        </w:rPr>
        <w:t xml:space="preserve">han, K. L., Straus, M.A., Brownridge, D.A., Tiwari, A., &amp; Leung, W.C. (2008). Prevalence of dating partner violence and suicide ideation among male and female university students worldwide. </w:t>
      </w:r>
      <w:r w:rsidR="00797908">
        <w:rPr>
          <w:i/>
          <w:color w:val="000000" w:themeColor="text1"/>
        </w:rPr>
        <w:t xml:space="preserve">Journal of Midwifery and Women’s Health, </w:t>
      </w:r>
      <w:r w:rsidR="0079544F" w:rsidRPr="00D73FD3">
        <w:rPr>
          <w:i/>
          <w:color w:val="000000" w:themeColor="text1"/>
        </w:rPr>
        <w:t>53</w:t>
      </w:r>
      <w:r w:rsidR="0079544F">
        <w:rPr>
          <w:color w:val="000000" w:themeColor="text1"/>
        </w:rPr>
        <w:t xml:space="preserve">, 529-537. </w:t>
      </w:r>
      <w:r w:rsidR="0079544F" w:rsidRPr="0079544F">
        <w:rPr>
          <w:color w:val="000000" w:themeColor="text1"/>
        </w:rPr>
        <w:t>doi:10.1016/j.jmwh.2008.04.016</w:t>
      </w:r>
    </w:p>
    <w:p w14:paraId="2C90B3F8" w14:textId="77777777" w:rsidR="002B7540" w:rsidRDefault="002B7540" w:rsidP="00960B90">
      <w:pPr>
        <w:ind w:left="720" w:hanging="720"/>
      </w:pPr>
      <w:r w:rsidRPr="00960B90">
        <w:t>Cretney, A., &amp; Davis,</w:t>
      </w:r>
      <w:r w:rsidR="0011697F" w:rsidRPr="00960B90">
        <w:t xml:space="preserve"> G. (1996). Prosecuting ‘domestic’ a</w:t>
      </w:r>
      <w:r w:rsidRPr="00960B90">
        <w:t>ssault</w:t>
      </w:r>
      <w:r w:rsidR="00960B90" w:rsidRPr="00960B90">
        <w:t>: Victims failing courts, or courts failing victims?</w:t>
      </w:r>
      <w:r w:rsidRPr="00960B90">
        <w:t xml:space="preserve"> </w:t>
      </w:r>
      <w:r w:rsidR="00960B90" w:rsidRPr="00960B90">
        <w:rPr>
          <w:i/>
        </w:rPr>
        <w:t>The Howard Journal of Criminal Justice, 36</w:t>
      </w:r>
      <w:r w:rsidR="00960B90" w:rsidRPr="00960B90">
        <w:t>, 146–157</w:t>
      </w:r>
      <w:r w:rsidR="00960B90">
        <w:t>. doi: 10.1111/1468-2311.00045</w:t>
      </w:r>
    </w:p>
    <w:p w14:paraId="16BFDE37" w14:textId="102CE90A" w:rsidR="00327DFA" w:rsidRDefault="00327DFA" w:rsidP="00960B90">
      <w:pPr>
        <w:ind w:left="720" w:hanging="720"/>
      </w:pPr>
      <w:r w:rsidRPr="00373787">
        <w:t>Domestic Abuse, Stalking and Honour Based Violence </w:t>
      </w:r>
      <w:r>
        <w:t xml:space="preserve">(DASH, 2009). Downloaded from </w:t>
      </w:r>
      <w:r w:rsidRPr="00D26A63">
        <w:t>http://www.dashriskchecklist.co.uk/index.php?page=dash-2009-model-for-practitioners</w:t>
      </w:r>
    </w:p>
    <w:p w14:paraId="4654F667" w14:textId="24AC83B7" w:rsidR="00C719EB" w:rsidRPr="00960B90" w:rsidRDefault="00C719EB" w:rsidP="00C719EB">
      <w:pPr>
        <w:ind w:left="720" w:hanging="720"/>
      </w:pPr>
      <w:r>
        <w:t xml:space="preserve">Dutton, M.A. (1996). Battered women’s strategic response to violence: the role of context. In J.L. Edelson amd Z.C. Eiskovits (Eds.), </w:t>
      </w:r>
      <w:r w:rsidRPr="00C719EB">
        <w:rPr>
          <w:i/>
        </w:rPr>
        <w:t>Future interventions with battered women and their families</w:t>
      </w:r>
      <w:r>
        <w:t xml:space="preserve"> (pp. 105-124). Thousand Oaks, U.S. Sage.</w:t>
      </w:r>
    </w:p>
    <w:p w14:paraId="447DA7EE" w14:textId="77777777" w:rsidR="002B7540" w:rsidRPr="00DE75DA" w:rsidRDefault="002B7540" w:rsidP="002B7540">
      <w:pPr>
        <w:ind w:left="709" w:hanging="709"/>
        <w:rPr>
          <w:color w:val="000000" w:themeColor="text1"/>
        </w:rPr>
      </w:pPr>
      <w:r w:rsidRPr="002818FB">
        <w:rPr>
          <w:color w:val="000000" w:themeColor="text1"/>
        </w:rPr>
        <w:t xml:space="preserve">Ellison, L. (2002). Prosecuting domestic violence without victim participation. </w:t>
      </w:r>
      <w:r w:rsidRPr="002818FB">
        <w:rPr>
          <w:i/>
          <w:color w:val="000000" w:themeColor="text1"/>
        </w:rPr>
        <w:t>Modern Law Review, 65</w:t>
      </w:r>
      <w:r w:rsidRPr="002818FB">
        <w:rPr>
          <w:color w:val="000000" w:themeColor="text1"/>
        </w:rPr>
        <w:t>, 837-858.</w:t>
      </w:r>
      <w:r w:rsidRPr="002818FB">
        <w:rPr>
          <w:i/>
          <w:color w:val="000000" w:themeColor="text1"/>
        </w:rPr>
        <w:t xml:space="preserve"> </w:t>
      </w:r>
      <w:r w:rsidR="00DE75DA" w:rsidRPr="00960B90">
        <w:t>doi:</w:t>
      </w:r>
      <w:r w:rsidR="00960B90" w:rsidRPr="00960B90">
        <w:t xml:space="preserve"> 10.1111/1468-2230.00412</w:t>
      </w:r>
    </w:p>
    <w:p w14:paraId="23A03F7D" w14:textId="77777777" w:rsidR="00DE75DA" w:rsidRPr="00DE75DA" w:rsidRDefault="00DE75DA" w:rsidP="00DE75DA">
      <w:pPr>
        <w:ind w:left="720" w:hanging="720"/>
      </w:pPr>
      <w:r w:rsidRPr="00DE75DA">
        <w:t xml:space="preserve">Epstein, D., Bell, M.E., &amp; Goodman, L.A. (2003). Transforming aggressive policies: Prioritising victims' long-term safety in the prosecution of domestic violence case. </w:t>
      </w:r>
      <w:r w:rsidRPr="00DE75DA">
        <w:rPr>
          <w:i/>
        </w:rPr>
        <w:t>Journal of Gender, Social Policy, and the Law, 11</w:t>
      </w:r>
      <w:r w:rsidR="00960B90">
        <w:t>, 465-498.</w:t>
      </w:r>
    </w:p>
    <w:p w14:paraId="55B052B6" w14:textId="77777777" w:rsidR="00DE75DA" w:rsidRDefault="00DE75DA" w:rsidP="00DE75DA">
      <w:pPr>
        <w:ind w:left="720" w:hanging="720"/>
      </w:pPr>
      <w:r w:rsidRPr="00DE75DA">
        <w:t xml:space="preserve">Fanslow, J.L., &amp; Robinson, E.M. (2010). Help-seeking behaviors and reasons for help seeking reported by a representative sample of women victims of intimate partner violence in New Zealand. </w:t>
      </w:r>
      <w:r w:rsidRPr="00DE75DA">
        <w:rPr>
          <w:i/>
        </w:rPr>
        <w:t>Journal of Interpersonal Violence, 25</w:t>
      </w:r>
      <w:r w:rsidRPr="00DE75DA">
        <w:t>, 929-951. doi: 10.1177/0886260509336963</w:t>
      </w:r>
    </w:p>
    <w:p w14:paraId="27F5C1E5" w14:textId="2E0A1F17" w:rsidR="0006237A" w:rsidRPr="0006237A" w:rsidRDefault="0006237A" w:rsidP="00DE75DA">
      <w:pPr>
        <w:ind w:left="720" w:hanging="720"/>
      </w:pPr>
      <w:r>
        <w:t xml:space="preserve">Field, A. (2009). </w:t>
      </w:r>
      <w:r>
        <w:rPr>
          <w:i/>
        </w:rPr>
        <w:t xml:space="preserve">Discovering statistics using SPSS </w:t>
      </w:r>
      <w:r>
        <w:t>(3</w:t>
      </w:r>
      <w:r w:rsidRPr="00D26A63">
        <w:rPr>
          <w:vertAlign w:val="superscript"/>
        </w:rPr>
        <w:t>rd</w:t>
      </w:r>
      <w:r>
        <w:t xml:space="preserve"> Ed.). London: Sage</w:t>
      </w:r>
    </w:p>
    <w:p w14:paraId="6861E1B6" w14:textId="77777777" w:rsidR="00DE75DA" w:rsidRDefault="00DE75DA" w:rsidP="00960B90">
      <w:pPr>
        <w:ind w:left="720" w:hanging="720"/>
      </w:pPr>
      <w:r w:rsidRPr="00DE75DA">
        <w:t xml:space="preserve">Gauthier, S. (2010). The perception of judicial and psychosocial interveners of the consequences of dropped charges in domestic violence cases. </w:t>
      </w:r>
      <w:r w:rsidRPr="00DE75DA">
        <w:rPr>
          <w:i/>
        </w:rPr>
        <w:t>Violence Against Women, 16,</w:t>
      </w:r>
      <w:r w:rsidRPr="00DE75DA">
        <w:t xml:space="preserve"> 1375-1395.</w:t>
      </w:r>
      <w:r>
        <w:t xml:space="preserve"> </w:t>
      </w:r>
      <w:r w:rsidRPr="00960B90">
        <w:t xml:space="preserve">doi: </w:t>
      </w:r>
      <w:r w:rsidR="00960B90" w:rsidRPr="00960B90">
        <w:t>10.1177/1077801210389163</w:t>
      </w:r>
    </w:p>
    <w:p w14:paraId="0E1CFBE8" w14:textId="77777777" w:rsidR="004E46FF" w:rsidRDefault="004E46FF" w:rsidP="00960B90">
      <w:pPr>
        <w:ind w:left="720" w:hanging="720"/>
      </w:pPr>
      <w:r>
        <w:t xml:space="preserve">Hall, P., &amp; Smith, K. (2011). Analysis of the 2010/11 British Crime Survey intimate personal violence split-sample experiement. Downloaded from </w:t>
      </w:r>
      <w:r w:rsidRPr="004E46FF">
        <w:rPr>
          <w:u w:val="single"/>
        </w:rPr>
        <w:t>https://www.gov.uk/government/uploads/system/uploads/attachment_data/file/116718/analysis-bcs-ipv-2011.pdf</w:t>
      </w:r>
    </w:p>
    <w:p w14:paraId="08F89F45" w14:textId="77777777" w:rsidR="00607292" w:rsidRPr="00607292" w:rsidRDefault="00607292" w:rsidP="00DE75DA">
      <w:pPr>
        <w:ind w:left="720" w:hanging="720"/>
        <w:rPr>
          <w:rFonts w:cs="Times New Roman"/>
        </w:rPr>
      </w:pPr>
      <w:r w:rsidRPr="00607292">
        <w:rPr>
          <w:rFonts w:cs="Times New Roman"/>
          <w:color w:val="000000"/>
        </w:rPr>
        <w:t xml:space="preserve">Hanmer, J., Griffiths, S., &amp; Jerwood, D. (1999). Arresting evidence: Domestic violence and repeat victimisation. </w:t>
      </w:r>
      <w:r w:rsidRPr="00607292">
        <w:rPr>
          <w:rFonts w:cs="Times New Roman"/>
          <w:i/>
          <w:iCs/>
          <w:color w:val="000000"/>
        </w:rPr>
        <w:t>Police Research Series Paper 104.</w:t>
      </w:r>
      <w:r w:rsidRPr="00607292">
        <w:rPr>
          <w:rFonts w:cs="Times New Roman"/>
          <w:color w:val="000000"/>
        </w:rPr>
        <w:t xml:space="preserve"> London: Home Office.  </w:t>
      </w:r>
    </w:p>
    <w:p w14:paraId="4502BF15" w14:textId="77777777" w:rsidR="00DE75DA" w:rsidRPr="00DE75DA" w:rsidRDefault="00DE75DA" w:rsidP="00DE75DA">
      <w:pPr>
        <w:ind w:left="720" w:hanging="720"/>
      </w:pPr>
      <w:r w:rsidRPr="00DE75DA">
        <w:t xml:space="preserve">Hare, S.C. (2006). What do battered women want? Victims' opinions on prosecution. </w:t>
      </w:r>
      <w:r w:rsidRPr="00DE75DA">
        <w:rPr>
          <w:i/>
        </w:rPr>
        <w:t>Violence and Victims, 21,</w:t>
      </w:r>
      <w:r w:rsidRPr="00DE75DA">
        <w:t xml:space="preserve"> 611-628.</w:t>
      </w:r>
      <w:r>
        <w:t xml:space="preserve"> </w:t>
      </w:r>
      <w:r w:rsidRPr="00960B90">
        <w:t xml:space="preserve">doi: </w:t>
      </w:r>
      <w:r w:rsidR="00960B90" w:rsidRPr="00960B90">
        <w:t>10.1891/0886-6708.21.5.611</w:t>
      </w:r>
    </w:p>
    <w:p w14:paraId="15695821" w14:textId="77777777" w:rsidR="002B7540" w:rsidRPr="002818FB" w:rsidRDefault="002B7540" w:rsidP="002B7540">
      <w:pPr>
        <w:ind w:left="709" w:hanging="709"/>
        <w:rPr>
          <w:color w:val="000000" w:themeColor="text1"/>
        </w:rPr>
      </w:pPr>
      <w:r w:rsidRPr="002818FB">
        <w:rPr>
          <w:color w:val="000000" w:themeColor="text1"/>
        </w:rPr>
        <w:t xml:space="preserve">Hare, S. (2010). Intimate partner violence: Victims' opinions about going to trial. </w:t>
      </w:r>
      <w:r w:rsidRPr="002818FB">
        <w:rPr>
          <w:i/>
          <w:color w:val="000000" w:themeColor="text1"/>
        </w:rPr>
        <w:t>Journal of Family Violence, 25,</w:t>
      </w:r>
      <w:r w:rsidRPr="002818FB">
        <w:rPr>
          <w:color w:val="000000" w:themeColor="text1"/>
        </w:rPr>
        <w:t xml:space="preserve"> 765-776.</w:t>
      </w:r>
      <w:r w:rsidR="00DE75DA">
        <w:rPr>
          <w:color w:val="000000" w:themeColor="text1"/>
        </w:rPr>
        <w:t xml:space="preserve"> </w:t>
      </w:r>
      <w:r w:rsidR="00DE75DA" w:rsidRPr="00DE75DA">
        <w:t>doi: 10.1007/s10896-010-9334-4</w:t>
      </w:r>
    </w:p>
    <w:p w14:paraId="0566B91E" w14:textId="77777777" w:rsidR="002B7540" w:rsidRPr="002818FB" w:rsidRDefault="002B7540" w:rsidP="002B7540">
      <w:pPr>
        <w:ind w:left="709" w:hanging="709"/>
        <w:rPr>
          <w:color w:val="000000" w:themeColor="text1"/>
        </w:rPr>
      </w:pPr>
      <w:r w:rsidRPr="002818FB">
        <w:rPr>
          <w:color w:val="000000" w:themeColor="text1"/>
        </w:rPr>
        <w:t xml:space="preserve">Hester, M. (2005). Making it through the criminal justice system: Attrition and domestic violence. </w:t>
      </w:r>
      <w:r w:rsidRPr="002818FB">
        <w:rPr>
          <w:i/>
          <w:color w:val="000000" w:themeColor="text1"/>
        </w:rPr>
        <w:t>Social Policy &amp; Society, 5</w:t>
      </w:r>
      <w:r w:rsidRPr="002818FB">
        <w:rPr>
          <w:color w:val="000000" w:themeColor="text1"/>
        </w:rPr>
        <w:t>, 79–90.</w:t>
      </w:r>
      <w:r w:rsidR="00DE75DA">
        <w:rPr>
          <w:color w:val="000000" w:themeColor="text1"/>
        </w:rPr>
        <w:t xml:space="preserve"> </w:t>
      </w:r>
      <w:r w:rsidR="00DE75DA" w:rsidRPr="00E004CB">
        <w:t xml:space="preserve">doi: </w:t>
      </w:r>
      <w:r w:rsidR="00E004CB" w:rsidRPr="00E004CB">
        <w:t>10.1017/S1474746405002769</w:t>
      </w:r>
    </w:p>
    <w:p w14:paraId="50D8602E" w14:textId="77777777" w:rsidR="00DE75DA" w:rsidRPr="00DE75DA" w:rsidRDefault="00DE75DA" w:rsidP="00DE75DA">
      <w:pPr>
        <w:ind w:left="720" w:hanging="720"/>
      </w:pPr>
      <w:r w:rsidRPr="00DE75DA">
        <w:t>Hester, M., Westmarland, N., Pearce, J.</w:t>
      </w:r>
      <w:r w:rsidR="00BC3FEA">
        <w:t>,</w:t>
      </w:r>
      <w:r w:rsidRPr="00DE75DA">
        <w:t xml:space="preserve"> &amp; Williamson, E. (2008). </w:t>
      </w:r>
      <w:r w:rsidRPr="00DE75DA">
        <w:rPr>
          <w:i/>
        </w:rPr>
        <w:t xml:space="preserve">Early evaluation of the Domestic Violence, Crime and Victims Act 2004. </w:t>
      </w:r>
      <w:r w:rsidRPr="00DE75DA">
        <w:t>Project Report. London: Home Office.</w:t>
      </w:r>
    </w:p>
    <w:p w14:paraId="17EEABF7" w14:textId="77777777" w:rsidR="002B7540" w:rsidRPr="002818FB" w:rsidRDefault="002B7540" w:rsidP="002B7540">
      <w:pPr>
        <w:ind w:left="709" w:hanging="709"/>
        <w:rPr>
          <w:color w:val="000000" w:themeColor="text1"/>
        </w:rPr>
      </w:pPr>
      <w:r w:rsidRPr="002818FB">
        <w:rPr>
          <w:color w:val="000000" w:themeColor="text1"/>
        </w:rPr>
        <w:t xml:space="preserve">Home Office Affairs. (2008). </w:t>
      </w:r>
      <w:r w:rsidRPr="002818FB">
        <w:rPr>
          <w:i/>
          <w:color w:val="000000" w:themeColor="text1"/>
        </w:rPr>
        <w:t>Sixth Report</w:t>
      </w:r>
      <w:r w:rsidRPr="002818FB">
        <w:rPr>
          <w:color w:val="000000" w:themeColor="text1"/>
        </w:rPr>
        <w:t xml:space="preserve">. Downloaded from </w:t>
      </w:r>
      <w:hyperlink r:id="rId10" w:anchor="n278" w:history="1">
        <w:r w:rsidRPr="002818FB">
          <w:rPr>
            <w:rStyle w:val="Hyperlink"/>
            <w:color w:val="000000" w:themeColor="text1"/>
          </w:rPr>
          <w:t>http://www.publications.parliament.uk/pa/cm200708/cmselect/cmhaff/263/26312.htm#n278</w:t>
        </w:r>
      </w:hyperlink>
    </w:p>
    <w:p w14:paraId="3A47E1BF" w14:textId="77777777" w:rsidR="002B7540" w:rsidRPr="002818FB" w:rsidRDefault="002B7540" w:rsidP="002B7540">
      <w:pPr>
        <w:ind w:left="709" w:hanging="709"/>
        <w:rPr>
          <w:color w:val="000000" w:themeColor="text1"/>
        </w:rPr>
      </w:pPr>
      <w:r w:rsidRPr="002818FB">
        <w:rPr>
          <w:color w:val="000000" w:themeColor="text1"/>
        </w:rPr>
        <w:t xml:space="preserve">Hoyle, C., &amp; Sanders, A. (2000). Police response to domestic violence: From victim choice to victim empowerment? </w:t>
      </w:r>
      <w:r w:rsidRPr="002818FB">
        <w:rPr>
          <w:i/>
          <w:color w:val="000000" w:themeColor="text1"/>
        </w:rPr>
        <w:t>British Journal of Criminology, 40,</w:t>
      </w:r>
      <w:r w:rsidRPr="002818FB">
        <w:rPr>
          <w:color w:val="000000" w:themeColor="text1"/>
        </w:rPr>
        <w:t xml:space="preserve"> 14-36</w:t>
      </w:r>
      <w:r w:rsidR="00DE75DA">
        <w:rPr>
          <w:color w:val="000000" w:themeColor="text1"/>
        </w:rPr>
        <w:t xml:space="preserve">. </w:t>
      </w:r>
      <w:r w:rsidR="00DE75DA" w:rsidRPr="00281132">
        <w:t xml:space="preserve">doi: </w:t>
      </w:r>
      <w:r w:rsidR="00281132" w:rsidRPr="00281132">
        <w:t>10.1093/bjc/40.1.14</w:t>
      </w:r>
    </w:p>
    <w:p w14:paraId="72AC2D02" w14:textId="772930A2" w:rsidR="002B7540" w:rsidRDefault="002B7540" w:rsidP="002B7540">
      <w:pPr>
        <w:ind w:left="709" w:hanging="709"/>
        <w:rPr>
          <w:u w:val="single"/>
        </w:rPr>
      </w:pPr>
      <w:r w:rsidRPr="002818FB">
        <w:rPr>
          <w:color w:val="000000" w:themeColor="text1"/>
        </w:rPr>
        <w:t xml:space="preserve">Klein, A. (2008). Practical implications of current domestic violence research. U.S. Department of Justice. Downloaded from </w:t>
      </w:r>
      <w:hyperlink r:id="rId11" w:history="1">
        <w:r w:rsidR="00BB357A" w:rsidRPr="00544B47">
          <w:rPr>
            <w:rStyle w:val="Hyperlink"/>
          </w:rPr>
          <w:t>https://www.ncjrs.gov/pdffiles1/nij/grants/222320.pdf</w:t>
        </w:r>
      </w:hyperlink>
    </w:p>
    <w:p w14:paraId="289E98B6" w14:textId="69ABA804" w:rsidR="00BB357A" w:rsidRPr="002818FB" w:rsidRDefault="00BB357A" w:rsidP="002B7540">
      <w:pPr>
        <w:ind w:left="709" w:hanging="709"/>
        <w:rPr>
          <w:color w:val="000000" w:themeColor="text1"/>
        </w:rPr>
      </w:pPr>
      <w:r>
        <w:rPr>
          <w:u w:val="single"/>
        </w:rPr>
        <w:t xml:space="preserve">Kutner, M., Nachtsheim, C., Neter, J., &amp; Li, W. (2004). </w:t>
      </w:r>
      <w:r w:rsidRPr="00D26A63">
        <w:rPr>
          <w:i/>
          <w:u w:val="single"/>
        </w:rPr>
        <w:t>Applied linear statistical models</w:t>
      </w:r>
      <w:r>
        <w:rPr>
          <w:u w:val="single"/>
        </w:rPr>
        <w:t xml:space="preserve"> (5</w:t>
      </w:r>
      <w:r w:rsidRPr="00D26A63">
        <w:rPr>
          <w:u w:val="single"/>
          <w:vertAlign w:val="superscript"/>
        </w:rPr>
        <w:t>th</w:t>
      </w:r>
      <w:r>
        <w:rPr>
          <w:u w:val="single"/>
        </w:rPr>
        <w:t xml:space="preserve"> Ed). New York: McGraw-Hill </w:t>
      </w:r>
    </w:p>
    <w:p w14:paraId="524790A6" w14:textId="77777777" w:rsidR="00DE75DA" w:rsidRPr="00DE75DA" w:rsidRDefault="00DE75DA" w:rsidP="00DE75DA">
      <w:pPr>
        <w:ind w:left="720" w:hanging="720"/>
      </w:pPr>
      <w:r w:rsidRPr="00DE75DA">
        <w:t xml:space="preserve">Landau, T.C. (2000). Women's experiences with mandatory charging for wife assault in Ontario, Canada: A case against the prosecution. </w:t>
      </w:r>
      <w:r w:rsidRPr="00DE75DA">
        <w:rPr>
          <w:i/>
        </w:rPr>
        <w:t>International Review of Victimology, 7,</w:t>
      </w:r>
      <w:r w:rsidRPr="00DE75DA">
        <w:t xml:space="preserve"> 141-157. doi: 10.1177/026975800000700308</w:t>
      </w:r>
    </w:p>
    <w:p w14:paraId="1E8511F0" w14:textId="77777777" w:rsidR="002B7540" w:rsidRPr="002818FB" w:rsidRDefault="002B7540" w:rsidP="002B7540">
      <w:pPr>
        <w:ind w:left="709" w:hanging="709"/>
        <w:rPr>
          <w:rStyle w:val="Hyperlink"/>
          <w:color w:val="000000" w:themeColor="text1"/>
        </w:rPr>
      </w:pPr>
      <w:r w:rsidRPr="002818FB">
        <w:rPr>
          <w:color w:val="000000" w:themeColor="text1"/>
        </w:rPr>
        <w:t>National Policing Improvement Agency</w:t>
      </w:r>
      <w:r w:rsidR="00DE75DA">
        <w:rPr>
          <w:color w:val="000000" w:themeColor="text1"/>
        </w:rPr>
        <w:t>.</w:t>
      </w:r>
      <w:r w:rsidRPr="002818FB">
        <w:rPr>
          <w:color w:val="000000" w:themeColor="text1"/>
        </w:rPr>
        <w:t xml:space="preserve"> (2008). </w:t>
      </w:r>
      <w:r w:rsidRPr="002818FB">
        <w:rPr>
          <w:i/>
          <w:color w:val="000000" w:themeColor="text1"/>
        </w:rPr>
        <w:t xml:space="preserve">Guidance on investigating domestic abuse.  </w:t>
      </w:r>
      <w:r w:rsidRPr="002818FB">
        <w:rPr>
          <w:color w:val="000000" w:themeColor="text1"/>
        </w:rPr>
        <w:t xml:space="preserve">Downloaded from </w:t>
      </w:r>
      <w:hyperlink r:id="rId12" w:history="1">
        <w:r w:rsidRPr="002818FB">
          <w:rPr>
            <w:rStyle w:val="Hyperlink"/>
            <w:color w:val="000000" w:themeColor="text1"/>
          </w:rPr>
          <w:t>http://www.npia.police.uk/en/docs/Domestic_Abuse_Guidance_2008.pdf</w:t>
        </w:r>
      </w:hyperlink>
    </w:p>
    <w:p w14:paraId="720DF1A9" w14:textId="77777777" w:rsidR="00446ACB" w:rsidRDefault="00446ACB" w:rsidP="00446ACB">
      <w:pPr>
        <w:ind w:left="720" w:hanging="720"/>
      </w:pPr>
      <w:r w:rsidRPr="00446ACB">
        <w:t xml:space="preserve">Robinson, A., &amp; Cook, D. (2006). Understanding victim retraction in cases of domestic violence: Specialist courts, government policy, and victim-centred justice. </w:t>
      </w:r>
      <w:r w:rsidRPr="00446ACB">
        <w:rPr>
          <w:i/>
        </w:rPr>
        <w:t>Contemporary Law Review, 9,</w:t>
      </w:r>
      <w:r w:rsidRPr="00446ACB">
        <w:t xml:space="preserve"> 189-213. doi: 10.1080/10282580600785017</w:t>
      </w:r>
    </w:p>
    <w:p w14:paraId="1BFCD98E" w14:textId="77777777" w:rsidR="00FA0823" w:rsidRPr="008A0E76" w:rsidRDefault="00FA0823" w:rsidP="00446ACB">
      <w:pPr>
        <w:ind w:left="720" w:hanging="720"/>
      </w:pPr>
      <w:r>
        <w:t xml:space="preserve">Robinson, A.L., &amp; Howarth, E. (2012). Judging risk: Key determinants in British domestic violence cases. </w:t>
      </w:r>
      <w:r>
        <w:rPr>
          <w:i/>
        </w:rPr>
        <w:t xml:space="preserve">Journal of Interpersonal Violence, 27, </w:t>
      </w:r>
      <w:r>
        <w:t>1489-1518. doi: 10.1177/0886260511425792.</w:t>
      </w:r>
    </w:p>
    <w:p w14:paraId="4E32EB7C" w14:textId="77777777" w:rsidR="00C96613" w:rsidRDefault="00C96613" w:rsidP="00BC3FEA">
      <w:pPr>
        <w:ind w:left="720" w:hanging="720"/>
        <w:textAlignment w:val="baseline"/>
        <w:rPr>
          <w:rFonts w:eastAsia="Times New Roman" w:cs="Times New Roman"/>
          <w:color w:val="333333"/>
          <w:lang w:eastAsia="en-GB"/>
        </w:rPr>
      </w:pPr>
      <w:r w:rsidRPr="00C96613">
        <w:rPr>
          <w:rFonts w:eastAsia="Times New Roman" w:cs="Times New Roman"/>
          <w:color w:val="333333"/>
          <w:lang w:eastAsia="en-GB"/>
        </w:rPr>
        <w:t>Schley, C., Yuen, K., Fletcher, K., &amp; Radovini, A. (2012). Does engagement with an intensive outreach service predict better treatment outcomes in ‘high</w:t>
      </w:r>
      <w:r w:rsidRPr="00C96613">
        <w:rPr>
          <w:rFonts w:ascii="Cambria Math" w:eastAsia="Times New Roman" w:hAnsi="Cambria Math" w:cs="Cambria Math"/>
          <w:color w:val="333333"/>
          <w:lang w:eastAsia="en-GB"/>
        </w:rPr>
        <w:t>‐</w:t>
      </w:r>
      <w:r w:rsidRPr="00C96613">
        <w:rPr>
          <w:rFonts w:eastAsia="Times New Roman" w:cs="Times New Roman"/>
          <w:color w:val="333333"/>
          <w:lang w:eastAsia="en-GB"/>
        </w:rPr>
        <w:t>risk’ youth?. </w:t>
      </w:r>
      <w:r w:rsidRPr="00C96613">
        <w:rPr>
          <w:rFonts w:eastAsia="Times New Roman" w:cs="Times New Roman"/>
          <w:i/>
          <w:iCs/>
          <w:color w:val="333333"/>
          <w:bdr w:val="none" w:sz="0" w:space="0" w:color="auto" w:frame="1"/>
          <w:lang w:eastAsia="en-GB"/>
        </w:rPr>
        <w:t xml:space="preserve">Early Intervention </w:t>
      </w:r>
      <w:r w:rsidR="00BC3FEA">
        <w:rPr>
          <w:rFonts w:eastAsia="Times New Roman" w:cs="Times New Roman"/>
          <w:i/>
          <w:iCs/>
          <w:color w:val="333333"/>
          <w:bdr w:val="none" w:sz="0" w:space="0" w:color="auto" w:frame="1"/>
          <w:lang w:eastAsia="en-GB"/>
        </w:rPr>
        <w:t>i</w:t>
      </w:r>
      <w:r w:rsidRPr="00C96613">
        <w:rPr>
          <w:rFonts w:eastAsia="Times New Roman" w:cs="Times New Roman"/>
          <w:i/>
          <w:iCs/>
          <w:color w:val="333333"/>
          <w:bdr w:val="none" w:sz="0" w:space="0" w:color="auto" w:frame="1"/>
          <w:lang w:eastAsia="en-GB"/>
        </w:rPr>
        <w:t>n Psychiatry</w:t>
      </w:r>
      <w:r w:rsidRPr="00C96613">
        <w:rPr>
          <w:rFonts w:eastAsia="Times New Roman" w:cs="Times New Roman"/>
          <w:color w:val="333333"/>
          <w:lang w:eastAsia="en-GB"/>
        </w:rPr>
        <w:t>, </w:t>
      </w:r>
      <w:r w:rsidRPr="00C96613">
        <w:rPr>
          <w:rFonts w:eastAsia="Times New Roman" w:cs="Times New Roman"/>
          <w:i/>
          <w:iCs/>
          <w:color w:val="333333"/>
          <w:bdr w:val="none" w:sz="0" w:space="0" w:color="auto" w:frame="1"/>
          <w:lang w:eastAsia="en-GB"/>
        </w:rPr>
        <w:t>6</w:t>
      </w:r>
      <w:r w:rsidRPr="00C96613">
        <w:rPr>
          <w:rFonts w:eastAsia="Times New Roman" w:cs="Times New Roman"/>
          <w:color w:val="333333"/>
          <w:lang w:eastAsia="en-GB"/>
        </w:rPr>
        <w:t>, 176-184. doi:10.1111/j.1751-7893.2011.00338.x</w:t>
      </w:r>
    </w:p>
    <w:p w14:paraId="1280D827" w14:textId="77777777" w:rsidR="000F4062" w:rsidRPr="000F4062" w:rsidRDefault="000F4062" w:rsidP="000F4062">
      <w:pPr>
        <w:pStyle w:val="NormalWeb"/>
        <w:spacing w:line="480" w:lineRule="auto"/>
        <w:ind w:left="720" w:hanging="720"/>
        <w:rPr>
          <w:sz w:val="22"/>
          <w:szCs w:val="22"/>
        </w:rPr>
      </w:pPr>
      <w:r w:rsidRPr="000F4062">
        <w:rPr>
          <w:sz w:val="22"/>
          <w:szCs w:val="22"/>
        </w:rPr>
        <w:t>Shuttlewood, A., Bond</w:t>
      </w:r>
      <w:r w:rsidR="003937CF">
        <w:rPr>
          <w:sz w:val="22"/>
          <w:szCs w:val="22"/>
        </w:rPr>
        <w:t xml:space="preserve">, J.W., </w:t>
      </w:r>
      <w:r w:rsidR="00BC3FEA">
        <w:rPr>
          <w:sz w:val="22"/>
          <w:szCs w:val="22"/>
        </w:rPr>
        <w:t>&amp;</w:t>
      </w:r>
      <w:r w:rsidR="003937CF">
        <w:rPr>
          <w:sz w:val="22"/>
          <w:szCs w:val="22"/>
        </w:rPr>
        <w:t xml:space="preserve"> Smith, L.L. (2011) </w:t>
      </w:r>
      <w:r w:rsidRPr="000F4062">
        <w:rPr>
          <w:sz w:val="22"/>
          <w:szCs w:val="22"/>
        </w:rPr>
        <w:t>Examining the relationship between deprivation and forensic evidence recovered from stolen vehicles:  Is it affected b</w:t>
      </w:r>
      <w:r w:rsidR="003937CF">
        <w:rPr>
          <w:sz w:val="22"/>
          <w:szCs w:val="22"/>
        </w:rPr>
        <w:t>y the condition of the vehicle?</w:t>
      </w:r>
      <w:r w:rsidRPr="000F4062">
        <w:rPr>
          <w:sz w:val="22"/>
          <w:szCs w:val="22"/>
        </w:rPr>
        <w:t xml:space="preserve">  </w:t>
      </w:r>
      <w:r w:rsidRPr="000F4062">
        <w:rPr>
          <w:rStyle w:val="Emphasis"/>
          <w:b w:val="0"/>
          <w:sz w:val="22"/>
          <w:szCs w:val="22"/>
        </w:rPr>
        <w:t>Journal of Forensic Sciences</w:t>
      </w:r>
      <w:r w:rsidR="003937CF">
        <w:rPr>
          <w:rStyle w:val="Emphasis"/>
          <w:b w:val="0"/>
          <w:sz w:val="22"/>
          <w:szCs w:val="22"/>
        </w:rPr>
        <w:t>,</w:t>
      </w:r>
      <w:r w:rsidRPr="000F4062">
        <w:rPr>
          <w:sz w:val="22"/>
          <w:szCs w:val="22"/>
        </w:rPr>
        <w:t xml:space="preserve"> </w:t>
      </w:r>
      <w:r w:rsidRPr="003937CF">
        <w:rPr>
          <w:rStyle w:val="Strong"/>
          <w:b w:val="0"/>
          <w:i/>
          <w:sz w:val="22"/>
          <w:szCs w:val="22"/>
        </w:rPr>
        <w:t>56</w:t>
      </w:r>
      <w:r w:rsidR="003937CF">
        <w:rPr>
          <w:rStyle w:val="Strong"/>
          <w:b w:val="0"/>
          <w:i/>
          <w:sz w:val="22"/>
          <w:szCs w:val="22"/>
        </w:rPr>
        <w:t>,</w:t>
      </w:r>
      <w:r w:rsidRPr="000F4062">
        <w:rPr>
          <w:sz w:val="22"/>
          <w:szCs w:val="22"/>
        </w:rPr>
        <w:t xml:space="preserve"> 510-513.</w:t>
      </w:r>
    </w:p>
    <w:p w14:paraId="73F11D6B" w14:textId="77777777" w:rsidR="000F4062" w:rsidRPr="000F4062" w:rsidRDefault="000F4062" w:rsidP="000F4062">
      <w:pPr>
        <w:pStyle w:val="NormalWeb"/>
        <w:spacing w:line="480" w:lineRule="auto"/>
        <w:ind w:left="720" w:hanging="720"/>
        <w:rPr>
          <w:sz w:val="22"/>
          <w:szCs w:val="22"/>
        </w:rPr>
      </w:pPr>
      <w:r w:rsidRPr="000F4062">
        <w:rPr>
          <w:sz w:val="22"/>
          <w:szCs w:val="22"/>
        </w:rPr>
        <w:t>Smith, L.L.</w:t>
      </w:r>
      <w:r w:rsidR="003937CF">
        <w:rPr>
          <w:sz w:val="22"/>
          <w:szCs w:val="22"/>
        </w:rPr>
        <w:t xml:space="preserve">, </w:t>
      </w:r>
      <w:r w:rsidR="00BC3FEA">
        <w:rPr>
          <w:sz w:val="22"/>
          <w:szCs w:val="22"/>
        </w:rPr>
        <w:t>&amp;</w:t>
      </w:r>
      <w:r w:rsidR="003937CF">
        <w:rPr>
          <w:sz w:val="22"/>
          <w:szCs w:val="22"/>
        </w:rPr>
        <w:t xml:space="preserve"> Bond, J.W. (2009) </w:t>
      </w:r>
      <w:r w:rsidRPr="000F4062">
        <w:rPr>
          <w:sz w:val="22"/>
          <w:szCs w:val="22"/>
        </w:rPr>
        <w:t>The relationship between deprivation and forensic opp</w:t>
      </w:r>
      <w:r w:rsidR="003937CF">
        <w:rPr>
          <w:sz w:val="22"/>
          <w:szCs w:val="22"/>
        </w:rPr>
        <w:t>ortunities with stolen vehicles</w:t>
      </w:r>
      <w:r w:rsidRPr="000F4062">
        <w:rPr>
          <w:sz w:val="22"/>
          <w:szCs w:val="22"/>
        </w:rPr>
        <w:t xml:space="preserve">, </w:t>
      </w:r>
      <w:r w:rsidRPr="000F4062">
        <w:rPr>
          <w:rStyle w:val="Emphasis"/>
          <w:b w:val="0"/>
          <w:sz w:val="22"/>
          <w:szCs w:val="22"/>
        </w:rPr>
        <w:t>Journal of Forensic Sciences</w:t>
      </w:r>
      <w:r w:rsidRPr="000F4062">
        <w:rPr>
          <w:sz w:val="22"/>
          <w:szCs w:val="22"/>
        </w:rPr>
        <w:t xml:space="preserve">, </w:t>
      </w:r>
      <w:r w:rsidRPr="003937CF">
        <w:rPr>
          <w:rStyle w:val="Strong"/>
          <w:b w:val="0"/>
          <w:i/>
          <w:sz w:val="22"/>
          <w:szCs w:val="22"/>
        </w:rPr>
        <w:t>54</w:t>
      </w:r>
      <w:r w:rsidR="003937CF">
        <w:rPr>
          <w:sz w:val="22"/>
          <w:szCs w:val="22"/>
        </w:rPr>
        <w:t>,</w:t>
      </w:r>
      <w:r w:rsidRPr="000F4062">
        <w:rPr>
          <w:sz w:val="22"/>
          <w:szCs w:val="22"/>
        </w:rPr>
        <w:t xml:space="preserve"> 1077-1080.</w:t>
      </w:r>
    </w:p>
    <w:p w14:paraId="04027621" w14:textId="77777777" w:rsidR="00CA0A74" w:rsidRPr="00CA0A74" w:rsidRDefault="00CA0A74" w:rsidP="000977F3">
      <w:pPr>
        <w:ind w:left="720" w:hanging="720"/>
      </w:pPr>
      <w:r>
        <w:t xml:space="preserve">Stappenbeck, C.A., &amp; Fromme, K. (2013). </w:t>
      </w:r>
      <w:r w:rsidRPr="00CA0A74">
        <w:t>The effects of alcohol, emotion regulation, and emotional arousal on the dating aggression intentions of men and women.</w:t>
      </w:r>
      <w:r>
        <w:t xml:space="preserve"> </w:t>
      </w:r>
      <w:r>
        <w:rPr>
          <w:i/>
        </w:rPr>
        <w:t>Psychology of Addictive Behaviors</w:t>
      </w:r>
      <w:r w:rsidR="00D4734E">
        <w:rPr>
          <w:i/>
        </w:rPr>
        <w:t>, 28,</w:t>
      </w:r>
      <w:r w:rsidR="00D4734E">
        <w:t xml:space="preserve"> 10-19.</w:t>
      </w:r>
      <w:r>
        <w:t xml:space="preserve"> doi: </w:t>
      </w:r>
      <w:r w:rsidRPr="00CA0A74">
        <w:t>10.1037/a0032204</w:t>
      </w:r>
    </w:p>
    <w:p w14:paraId="6D7A84F6" w14:textId="77777777" w:rsidR="00446ACB" w:rsidRDefault="00446ACB">
      <w:pPr>
        <w:ind w:left="720" w:hanging="720"/>
      </w:pPr>
      <w:r w:rsidRPr="00446ACB">
        <w:t xml:space="preserve">Weisz, A.N. (2002). Prosecution of batterers: Views of African-American battered women.  </w:t>
      </w:r>
      <w:r w:rsidRPr="00446ACB">
        <w:rPr>
          <w:i/>
        </w:rPr>
        <w:t>Violence and Victims, 17,</w:t>
      </w:r>
      <w:r w:rsidRPr="00446ACB">
        <w:t xml:space="preserve"> 19-34.</w:t>
      </w:r>
    </w:p>
    <w:p w14:paraId="104BBB52" w14:textId="77777777" w:rsidR="00C96613" w:rsidRDefault="00C96613" w:rsidP="008D1D0A">
      <w:pPr>
        <w:ind w:left="720" w:hanging="720"/>
        <w:textAlignment w:val="baseline"/>
        <w:rPr>
          <w:rFonts w:eastAsia="Times New Roman" w:cs="Times New Roman"/>
          <w:color w:val="333333"/>
          <w:lang w:eastAsia="en-GB"/>
        </w:rPr>
      </w:pPr>
      <w:r w:rsidRPr="00C96613">
        <w:rPr>
          <w:rFonts w:eastAsia="Times New Roman" w:cs="Times New Roman"/>
          <w:color w:val="333333"/>
          <w:lang w:eastAsia="en-GB"/>
        </w:rPr>
        <w:t>Yang, Y., Knight, K., Joe, G. W., Rowan-Szal, G. A., Lehman, W. K., &amp; Flynn, P. M. (2013). The influence of client risks and treatment engagement on recidivism. </w:t>
      </w:r>
      <w:r w:rsidRPr="00C96613">
        <w:rPr>
          <w:rFonts w:eastAsia="Times New Roman" w:cs="Times New Roman"/>
          <w:i/>
          <w:iCs/>
          <w:color w:val="333333"/>
          <w:bdr w:val="none" w:sz="0" w:space="0" w:color="auto" w:frame="1"/>
          <w:lang w:eastAsia="en-GB"/>
        </w:rPr>
        <w:t xml:space="preserve">Journal </w:t>
      </w:r>
      <w:r w:rsidR="00D4734E">
        <w:rPr>
          <w:rFonts w:eastAsia="Times New Roman" w:cs="Times New Roman"/>
          <w:i/>
          <w:iCs/>
          <w:color w:val="333333"/>
          <w:bdr w:val="none" w:sz="0" w:space="0" w:color="auto" w:frame="1"/>
          <w:lang w:eastAsia="en-GB"/>
        </w:rPr>
        <w:t>o</w:t>
      </w:r>
      <w:r w:rsidRPr="00C96613">
        <w:rPr>
          <w:rFonts w:eastAsia="Times New Roman" w:cs="Times New Roman"/>
          <w:i/>
          <w:iCs/>
          <w:color w:val="333333"/>
          <w:bdr w:val="none" w:sz="0" w:space="0" w:color="auto" w:frame="1"/>
          <w:lang w:eastAsia="en-GB"/>
        </w:rPr>
        <w:t>f Offender Rehabilitation</w:t>
      </w:r>
      <w:r w:rsidRPr="00C96613">
        <w:rPr>
          <w:rFonts w:eastAsia="Times New Roman" w:cs="Times New Roman"/>
          <w:color w:val="333333"/>
          <w:lang w:eastAsia="en-GB"/>
        </w:rPr>
        <w:t>, </w:t>
      </w:r>
      <w:r w:rsidRPr="00C96613">
        <w:rPr>
          <w:rFonts w:eastAsia="Times New Roman" w:cs="Times New Roman"/>
          <w:i/>
          <w:iCs/>
          <w:color w:val="333333"/>
          <w:bdr w:val="none" w:sz="0" w:space="0" w:color="auto" w:frame="1"/>
          <w:lang w:eastAsia="en-GB"/>
        </w:rPr>
        <w:t>52</w:t>
      </w:r>
      <w:r w:rsidRPr="00C96613">
        <w:rPr>
          <w:rFonts w:eastAsia="Times New Roman" w:cs="Times New Roman"/>
          <w:color w:val="333333"/>
          <w:lang w:eastAsia="en-GB"/>
        </w:rPr>
        <w:t>, 544-564. doi:10.1080/10509674.2013.840353</w:t>
      </w:r>
    </w:p>
    <w:p w14:paraId="445DE645" w14:textId="77777777" w:rsidR="00D4734E" w:rsidRDefault="00D4734E" w:rsidP="008D1D0A">
      <w:pPr>
        <w:ind w:left="720" w:hanging="720"/>
        <w:textAlignment w:val="baseline"/>
        <w:rPr>
          <w:rFonts w:eastAsia="Times New Roman" w:cs="Times New Roman"/>
          <w:color w:val="333333"/>
          <w:lang w:eastAsia="en-GB"/>
        </w:rPr>
      </w:pPr>
      <w:r>
        <w:rPr>
          <w:rFonts w:eastAsia="Times New Roman" w:cs="Times New Roman"/>
          <w:color w:val="333333"/>
          <w:lang w:eastAsia="en-GB"/>
        </w:rPr>
        <w:t xml:space="preserve">Youth Justice and Criminal Evidence Act (1999). Downloaded from </w:t>
      </w:r>
      <w:hyperlink r:id="rId13" w:history="1">
        <w:r w:rsidRPr="004422F2">
          <w:rPr>
            <w:rStyle w:val="Hyperlink"/>
            <w:rFonts w:eastAsia="Times New Roman" w:cs="Times New Roman"/>
            <w:lang w:eastAsia="en-GB"/>
          </w:rPr>
          <w:t>http://www.legislation.gov.uk/ukpga/1999/23/contents</w:t>
        </w:r>
      </w:hyperlink>
    </w:p>
    <w:p w14:paraId="6157C8B8" w14:textId="77777777" w:rsidR="006D5EE7" w:rsidRDefault="006D5EE7">
      <w:pPr>
        <w:spacing w:after="200" w:line="276" w:lineRule="auto"/>
        <w:ind w:firstLine="0"/>
        <w:rPr>
          <w:lang w:bidi="en-US"/>
        </w:rPr>
      </w:pPr>
      <w:r>
        <w:rPr>
          <w:lang w:bidi="en-US"/>
        </w:rPr>
        <w:br w:type="page"/>
      </w:r>
    </w:p>
    <w:p w14:paraId="7FBC2B02" w14:textId="77777777" w:rsidR="006D5EE7" w:rsidRDefault="006D5EE7" w:rsidP="00D26A63">
      <w:pPr>
        <w:ind w:firstLine="0"/>
        <w:rPr>
          <w:lang w:bidi="en-US"/>
        </w:rPr>
      </w:pPr>
      <w:r>
        <w:rPr>
          <w:lang w:bidi="en-US"/>
        </w:rPr>
        <w:t>Table 1</w:t>
      </w:r>
    </w:p>
    <w:p w14:paraId="70CAE8B4" w14:textId="77777777" w:rsidR="006D5EE7" w:rsidRPr="00440D20" w:rsidRDefault="006D5EE7" w:rsidP="00D26A63">
      <w:pPr>
        <w:ind w:firstLine="0"/>
        <w:rPr>
          <w:i/>
          <w:lang w:bidi="en-US"/>
        </w:rPr>
      </w:pPr>
      <w:r w:rsidRPr="00440D20">
        <w:rPr>
          <w:i/>
          <w:lang w:bidi="en-US"/>
        </w:rPr>
        <w:t>Descriptive Statistics relating to</w:t>
      </w:r>
      <w:r w:rsidR="000A2F91">
        <w:rPr>
          <w:i/>
          <w:lang w:bidi="en-US"/>
        </w:rPr>
        <w:t xml:space="preserve"> the</w:t>
      </w:r>
      <w:r w:rsidRPr="00440D20">
        <w:rPr>
          <w:i/>
          <w:lang w:bidi="en-US"/>
        </w:rPr>
        <w:t xml:space="preserve"> </w:t>
      </w:r>
      <w:r w:rsidR="000A2F91">
        <w:rPr>
          <w:i/>
          <w:lang w:bidi="en-US"/>
        </w:rPr>
        <w:t>IPV Police Reported Cases</w:t>
      </w:r>
      <w:r w:rsidRPr="00440D20">
        <w:rPr>
          <w:i/>
          <w:lang w:bidi="en-US"/>
        </w:rPr>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2068"/>
        <w:gridCol w:w="1660"/>
        <w:gridCol w:w="1449"/>
      </w:tblGrid>
      <w:tr w:rsidR="000A2F91" w14:paraId="725E3B90" w14:textId="77777777" w:rsidTr="002F3BFA">
        <w:tc>
          <w:tcPr>
            <w:tcW w:w="3129" w:type="dxa"/>
            <w:tcBorders>
              <w:top w:val="single" w:sz="4" w:space="0" w:color="auto"/>
              <w:bottom w:val="single" w:sz="4" w:space="0" w:color="auto"/>
            </w:tcBorders>
          </w:tcPr>
          <w:p w14:paraId="334E40B2" w14:textId="77777777" w:rsidR="000A2F91" w:rsidRPr="00B80AF5" w:rsidRDefault="000A2F91" w:rsidP="006D5EE7">
            <w:pPr>
              <w:spacing w:line="300" w:lineRule="auto"/>
              <w:ind w:firstLine="0"/>
              <w:rPr>
                <w:i/>
              </w:rPr>
            </w:pPr>
            <w:r>
              <w:rPr>
                <w:i/>
              </w:rPr>
              <w:t>Offence type</w:t>
            </w:r>
          </w:p>
        </w:tc>
        <w:tc>
          <w:tcPr>
            <w:tcW w:w="2068" w:type="dxa"/>
            <w:tcBorders>
              <w:top w:val="single" w:sz="4" w:space="0" w:color="auto"/>
              <w:bottom w:val="single" w:sz="4" w:space="0" w:color="auto"/>
            </w:tcBorders>
          </w:tcPr>
          <w:p w14:paraId="5C14B784" w14:textId="77777777" w:rsidR="000A2F91" w:rsidRPr="00B80AF5" w:rsidRDefault="000A2F91" w:rsidP="006D5EE7">
            <w:pPr>
              <w:spacing w:line="300" w:lineRule="auto"/>
              <w:ind w:firstLine="0"/>
              <w:rPr>
                <w:i/>
              </w:rPr>
            </w:pPr>
          </w:p>
        </w:tc>
        <w:tc>
          <w:tcPr>
            <w:tcW w:w="1660" w:type="dxa"/>
            <w:tcBorders>
              <w:top w:val="single" w:sz="4" w:space="0" w:color="auto"/>
              <w:bottom w:val="single" w:sz="4" w:space="0" w:color="auto"/>
            </w:tcBorders>
          </w:tcPr>
          <w:p w14:paraId="21D12E67" w14:textId="77777777" w:rsidR="000A2F91" w:rsidRPr="00B80AF5" w:rsidRDefault="000A2F91" w:rsidP="006D5EE7">
            <w:pPr>
              <w:spacing w:line="300" w:lineRule="auto"/>
              <w:ind w:firstLine="0"/>
              <w:rPr>
                <w:i/>
              </w:rPr>
            </w:pPr>
            <w:r w:rsidRPr="00B80AF5">
              <w:rPr>
                <w:i/>
              </w:rPr>
              <w:t>Frequency</w:t>
            </w:r>
          </w:p>
        </w:tc>
        <w:tc>
          <w:tcPr>
            <w:tcW w:w="1449" w:type="dxa"/>
            <w:tcBorders>
              <w:top w:val="single" w:sz="4" w:space="0" w:color="auto"/>
              <w:bottom w:val="single" w:sz="4" w:space="0" w:color="auto"/>
            </w:tcBorders>
          </w:tcPr>
          <w:p w14:paraId="70EDEB06" w14:textId="77777777" w:rsidR="000A2F91" w:rsidRPr="00B80AF5" w:rsidRDefault="000A2F91" w:rsidP="006D5EE7">
            <w:pPr>
              <w:spacing w:line="300" w:lineRule="auto"/>
              <w:ind w:firstLine="0"/>
              <w:rPr>
                <w:i/>
              </w:rPr>
            </w:pPr>
            <w:r w:rsidRPr="00B80AF5">
              <w:rPr>
                <w:i/>
              </w:rPr>
              <w:t>Percentage</w:t>
            </w:r>
          </w:p>
        </w:tc>
      </w:tr>
      <w:tr w:rsidR="002F3BFA" w14:paraId="7B2FFBEE" w14:textId="77777777" w:rsidTr="002F3BFA">
        <w:tc>
          <w:tcPr>
            <w:tcW w:w="3129" w:type="dxa"/>
            <w:tcBorders>
              <w:top w:val="single" w:sz="4" w:space="0" w:color="auto"/>
              <w:bottom w:val="nil"/>
            </w:tcBorders>
          </w:tcPr>
          <w:p w14:paraId="24200338" w14:textId="77777777" w:rsidR="002F3BFA" w:rsidRPr="00B80AF5" w:rsidRDefault="002F3BFA" w:rsidP="002F3BFA">
            <w:pPr>
              <w:spacing w:line="300" w:lineRule="auto"/>
              <w:ind w:firstLine="0"/>
              <w:rPr>
                <w:i/>
              </w:rPr>
            </w:pPr>
            <w:r>
              <w:t>Actual bodily harm</w:t>
            </w:r>
          </w:p>
        </w:tc>
        <w:tc>
          <w:tcPr>
            <w:tcW w:w="2068" w:type="dxa"/>
            <w:tcBorders>
              <w:top w:val="single" w:sz="4" w:space="0" w:color="auto"/>
              <w:bottom w:val="nil"/>
            </w:tcBorders>
          </w:tcPr>
          <w:p w14:paraId="7B283137" w14:textId="77777777" w:rsidR="002F3BFA" w:rsidRPr="00B80AF5" w:rsidRDefault="002F3BFA" w:rsidP="002F3BFA">
            <w:pPr>
              <w:spacing w:line="300" w:lineRule="auto"/>
              <w:ind w:firstLine="0"/>
              <w:rPr>
                <w:i/>
              </w:rPr>
            </w:pPr>
          </w:p>
        </w:tc>
        <w:tc>
          <w:tcPr>
            <w:tcW w:w="1660" w:type="dxa"/>
            <w:tcBorders>
              <w:top w:val="single" w:sz="4" w:space="0" w:color="auto"/>
              <w:bottom w:val="nil"/>
            </w:tcBorders>
          </w:tcPr>
          <w:p w14:paraId="4FF4FBD2" w14:textId="2C19EA7F" w:rsidR="002F3BFA" w:rsidRPr="00B80AF5" w:rsidRDefault="002F3BFA" w:rsidP="002F3BFA">
            <w:pPr>
              <w:spacing w:line="300" w:lineRule="auto"/>
              <w:ind w:firstLine="0"/>
              <w:rPr>
                <w:i/>
              </w:rPr>
            </w:pPr>
            <w:r>
              <w:t>325</w:t>
            </w:r>
          </w:p>
        </w:tc>
        <w:tc>
          <w:tcPr>
            <w:tcW w:w="1449" w:type="dxa"/>
            <w:tcBorders>
              <w:top w:val="single" w:sz="4" w:space="0" w:color="auto"/>
              <w:bottom w:val="nil"/>
            </w:tcBorders>
          </w:tcPr>
          <w:p w14:paraId="046D9669" w14:textId="6E7539DC" w:rsidR="002F3BFA" w:rsidRPr="00B80AF5" w:rsidRDefault="002F3BFA" w:rsidP="002F3BFA">
            <w:pPr>
              <w:spacing w:line="300" w:lineRule="auto"/>
              <w:ind w:firstLine="0"/>
              <w:rPr>
                <w:i/>
              </w:rPr>
            </w:pPr>
            <w:r>
              <w:t>62.02</w:t>
            </w:r>
          </w:p>
        </w:tc>
      </w:tr>
      <w:tr w:rsidR="002F3BFA" w14:paraId="722C5A6D" w14:textId="77777777" w:rsidTr="002F3BFA">
        <w:tc>
          <w:tcPr>
            <w:tcW w:w="3129" w:type="dxa"/>
            <w:tcBorders>
              <w:top w:val="nil"/>
              <w:bottom w:val="nil"/>
            </w:tcBorders>
          </w:tcPr>
          <w:p w14:paraId="7AE0C5BB" w14:textId="77777777" w:rsidR="002F3BFA" w:rsidRPr="00B80AF5" w:rsidRDefault="002F3BFA" w:rsidP="002F3BFA">
            <w:pPr>
              <w:spacing w:line="300" w:lineRule="auto"/>
              <w:ind w:firstLine="0"/>
              <w:rPr>
                <w:i/>
              </w:rPr>
            </w:pPr>
            <w:r>
              <w:t xml:space="preserve">Common assault </w:t>
            </w:r>
          </w:p>
        </w:tc>
        <w:tc>
          <w:tcPr>
            <w:tcW w:w="2068" w:type="dxa"/>
            <w:tcBorders>
              <w:top w:val="nil"/>
              <w:bottom w:val="nil"/>
            </w:tcBorders>
          </w:tcPr>
          <w:p w14:paraId="1C0E82E8" w14:textId="77777777" w:rsidR="002F3BFA" w:rsidRPr="00B80AF5" w:rsidRDefault="002F3BFA" w:rsidP="002F3BFA">
            <w:pPr>
              <w:spacing w:line="300" w:lineRule="auto"/>
              <w:ind w:firstLine="0"/>
              <w:rPr>
                <w:i/>
              </w:rPr>
            </w:pPr>
          </w:p>
        </w:tc>
        <w:tc>
          <w:tcPr>
            <w:tcW w:w="1660" w:type="dxa"/>
            <w:tcBorders>
              <w:top w:val="nil"/>
              <w:bottom w:val="nil"/>
            </w:tcBorders>
          </w:tcPr>
          <w:p w14:paraId="73C0CE60" w14:textId="26DD0145" w:rsidR="002F3BFA" w:rsidRPr="00B80AF5" w:rsidRDefault="002F3BFA" w:rsidP="002F3BFA">
            <w:pPr>
              <w:spacing w:line="300" w:lineRule="auto"/>
              <w:ind w:firstLine="0"/>
              <w:rPr>
                <w:i/>
              </w:rPr>
            </w:pPr>
            <w:r>
              <w:t>186</w:t>
            </w:r>
          </w:p>
        </w:tc>
        <w:tc>
          <w:tcPr>
            <w:tcW w:w="1449" w:type="dxa"/>
            <w:tcBorders>
              <w:top w:val="nil"/>
              <w:bottom w:val="nil"/>
            </w:tcBorders>
          </w:tcPr>
          <w:p w14:paraId="46BA3FBF" w14:textId="1E249F90" w:rsidR="002F3BFA" w:rsidRPr="00B80AF5" w:rsidRDefault="002F3BFA" w:rsidP="002F3BFA">
            <w:pPr>
              <w:spacing w:line="300" w:lineRule="auto"/>
              <w:ind w:firstLine="0"/>
              <w:rPr>
                <w:i/>
              </w:rPr>
            </w:pPr>
            <w:r>
              <w:t>35.50</w:t>
            </w:r>
          </w:p>
        </w:tc>
      </w:tr>
      <w:tr w:rsidR="002F3BFA" w14:paraId="4A96495A" w14:textId="77777777" w:rsidTr="002F3BFA">
        <w:tc>
          <w:tcPr>
            <w:tcW w:w="3129" w:type="dxa"/>
            <w:tcBorders>
              <w:top w:val="nil"/>
              <w:bottom w:val="nil"/>
            </w:tcBorders>
          </w:tcPr>
          <w:p w14:paraId="2A95F1D9" w14:textId="77777777" w:rsidR="002F3BFA" w:rsidRPr="00B80AF5" w:rsidRDefault="002F3BFA" w:rsidP="002F3BFA">
            <w:pPr>
              <w:spacing w:line="300" w:lineRule="auto"/>
              <w:ind w:firstLine="0"/>
              <w:rPr>
                <w:i/>
              </w:rPr>
            </w:pPr>
            <w:r>
              <w:t xml:space="preserve">Sexual offences </w:t>
            </w:r>
          </w:p>
        </w:tc>
        <w:tc>
          <w:tcPr>
            <w:tcW w:w="2068" w:type="dxa"/>
            <w:tcBorders>
              <w:top w:val="nil"/>
              <w:bottom w:val="nil"/>
            </w:tcBorders>
          </w:tcPr>
          <w:p w14:paraId="556BDB30" w14:textId="77777777" w:rsidR="002F3BFA" w:rsidRPr="00B80AF5" w:rsidRDefault="002F3BFA" w:rsidP="002F3BFA">
            <w:pPr>
              <w:spacing w:line="300" w:lineRule="auto"/>
              <w:ind w:firstLine="0"/>
              <w:rPr>
                <w:i/>
              </w:rPr>
            </w:pPr>
          </w:p>
        </w:tc>
        <w:tc>
          <w:tcPr>
            <w:tcW w:w="1660" w:type="dxa"/>
            <w:tcBorders>
              <w:top w:val="nil"/>
              <w:bottom w:val="nil"/>
            </w:tcBorders>
          </w:tcPr>
          <w:p w14:paraId="25C4939C" w14:textId="7E0A0E9B" w:rsidR="002F3BFA" w:rsidRPr="00B80AF5" w:rsidRDefault="002F3BFA" w:rsidP="002F3BFA">
            <w:pPr>
              <w:spacing w:line="300" w:lineRule="auto"/>
              <w:ind w:firstLine="0"/>
              <w:rPr>
                <w:i/>
              </w:rPr>
            </w:pPr>
            <w:r>
              <w:t>7</w:t>
            </w:r>
          </w:p>
        </w:tc>
        <w:tc>
          <w:tcPr>
            <w:tcW w:w="1449" w:type="dxa"/>
            <w:tcBorders>
              <w:top w:val="nil"/>
              <w:bottom w:val="nil"/>
            </w:tcBorders>
          </w:tcPr>
          <w:p w14:paraId="015F92FB" w14:textId="62DF5275" w:rsidR="002F3BFA" w:rsidRPr="00B80AF5" w:rsidRDefault="002F3BFA" w:rsidP="002F3BFA">
            <w:pPr>
              <w:spacing w:line="300" w:lineRule="auto"/>
              <w:ind w:firstLine="0"/>
              <w:rPr>
                <w:i/>
              </w:rPr>
            </w:pPr>
            <w:r>
              <w:t>1.34</w:t>
            </w:r>
          </w:p>
        </w:tc>
      </w:tr>
      <w:tr w:rsidR="002F3BFA" w14:paraId="04C80766" w14:textId="77777777" w:rsidTr="002F3BFA">
        <w:tc>
          <w:tcPr>
            <w:tcW w:w="3129" w:type="dxa"/>
            <w:tcBorders>
              <w:top w:val="nil"/>
              <w:bottom w:val="nil"/>
            </w:tcBorders>
          </w:tcPr>
          <w:p w14:paraId="0288D4F2" w14:textId="77777777" w:rsidR="002F3BFA" w:rsidRPr="00B80AF5" w:rsidRDefault="002F3BFA" w:rsidP="002F3BFA">
            <w:pPr>
              <w:spacing w:line="300" w:lineRule="auto"/>
              <w:ind w:firstLine="0"/>
              <w:rPr>
                <w:i/>
              </w:rPr>
            </w:pPr>
            <w:r>
              <w:t xml:space="preserve">Wounding with intent </w:t>
            </w:r>
          </w:p>
        </w:tc>
        <w:tc>
          <w:tcPr>
            <w:tcW w:w="2068" w:type="dxa"/>
            <w:tcBorders>
              <w:top w:val="nil"/>
              <w:bottom w:val="nil"/>
            </w:tcBorders>
          </w:tcPr>
          <w:p w14:paraId="565DFF49" w14:textId="77777777" w:rsidR="002F3BFA" w:rsidRPr="00B80AF5" w:rsidRDefault="002F3BFA" w:rsidP="002F3BFA">
            <w:pPr>
              <w:spacing w:line="300" w:lineRule="auto"/>
              <w:ind w:firstLine="0"/>
              <w:rPr>
                <w:i/>
              </w:rPr>
            </w:pPr>
          </w:p>
        </w:tc>
        <w:tc>
          <w:tcPr>
            <w:tcW w:w="1660" w:type="dxa"/>
            <w:tcBorders>
              <w:top w:val="nil"/>
              <w:bottom w:val="nil"/>
            </w:tcBorders>
          </w:tcPr>
          <w:p w14:paraId="6F177646" w14:textId="2C6B3FFA" w:rsidR="002F3BFA" w:rsidRPr="00B80AF5" w:rsidRDefault="002F3BFA" w:rsidP="002F3BFA">
            <w:pPr>
              <w:spacing w:line="300" w:lineRule="auto"/>
              <w:ind w:firstLine="0"/>
              <w:rPr>
                <w:i/>
              </w:rPr>
            </w:pPr>
            <w:r>
              <w:t>2</w:t>
            </w:r>
          </w:p>
        </w:tc>
        <w:tc>
          <w:tcPr>
            <w:tcW w:w="1449" w:type="dxa"/>
            <w:tcBorders>
              <w:top w:val="nil"/>
              <w:bottom w:val="nil"/>
            </w:tcBorders>
          </w:tcPr>
          <w:p w14:paraId="72215BB4" w14:textId="29821BC2" w:rsidR="002F3BFA" w:rsidRPr="00B80AF5" w:rsidRDefault="002F3BFA" w:rsidP="002F3BFA">
            <w:pPr>
              <w:spacing w:line="300" w:lineRule="auto"/>
              <w:ind w:firstLine="0"/>
              <w:rPr>
                <w:i/>
              </w:rPr>
            </w:pPr>
            <w:r>
              <w:t>0.38</w:t>
            </w:r>
          </w:p>
        </w:tc>
      </w:tr>
      <w:tr w:rsidR="002F3BFA" w14:paraId="20683297" w14:textId="77777777" w:rsidTr="002F3BFA">
        <w:tc>
          <w:tcPr>
            <w:tcW w:w="3129" w:type="dxa"/>
            <w:tcBorders>
              <w:top w:val="nil"/>
              <w:bottom w:val="nil"/>
            </w:tcBorders>
          </w:tcPr>
          <w:p w14:paraId="08D0830A" w14:textId="77777777" w:rsidR="002F3BFA" w:rsidRPr="00B80AF5" w:rsidRDefault="002F3BFA" w:rsidP="002F3BFA">
            <w:pPr>
              <w:spacing w:line="300" w:lineRule="auto"/>
              <w:ind w:firstLine="0"/>
              <w:rPr>
                <w:i/>
              </w:rPr>
            </w:pPr>
            <w:r>
              <w:t>Grievous bodily harm</w:t>
            </w:r>
          </w:p>
        </w:tc>
        <w:tc>
          <w:tcPr>
            <w:tcW w:w="2068" w:type="dxa"/>
            <w:tcBorders>
              <w:top w:val="nil"/>
              <w:bottom w:val="nil"/>
            </w:tcBorders>
          </w:tcPr>
          <w:p w14:paraId="423FC5D6" w14:textId="77777777" w:rsidR="002F3BFA" w:rsidRPr="00B80AF5" w:rsidRDefault="002F3BFA" w:rsidP="002F3BFA">
            <w:pPr>
              <w:spacing w:line="300" w:lineRule="auto"/>
              <w:ind w:firstLine="0"/>
              <w:rPr>
                <w:i/>
              </w:rPr>
            </w:pPr>
          </w:p>
        </w:tc>
        <w:tc>
          <w:tcPr>
            <w:tcW w:w="1660" w:type="dxa"/>
            <w:tcBorders>
              <w:top w:val="nil"/>
              <w:bottom w:val="nil"/>
            </w:tcBorders>
          </w:tcPr>
          <w:p w14:paraId="23958D38" w14:textId="7F6FB551" w:rsidR="002F3BFA" w:rsidRPr="00B80AF5" w:rsidRDefault="002F3BFA" w:rsidP="002F3BFA">
            <w:pPr>
              <w:spacing w:line="300" w:lineRule="auto"/>
              <w:ind w:firstLine="0"/>
              <w:rPr>
                <w:i/>
              </w:rPr>
            </w:pPr>
            <w:r>
              <w:t>2</w:t>
            </w:r>
          </w:p>
        </w:tc>
        <w:tc>
          <w:tcPr>
            <w:tcW w:w="1449" w:type="dxa"/>
            <w:tcBorders>
              <w:top w:val="nil"/>
              <w:bottom w:val="nil"/>
            </w:tcBorders>
          </w:tcPr>
          <w:p w14:paraId="3B575517" w14:textId="7B8BEE71" w:rsidR="002F3BFA" w:rsidRPr="00B80AF5" w:rsidRDefault="002F3BFA" w:rsidP="002F3BFA">
            <w:pPr>
              <w:spacing w:line="300" w:lineRule="auto"/>
              <w:ind w:firstLine="0"/>
              <w:rPr>
                <w:i/>
              </w:rPr>
            </w:pPr>
            <w:r>
              <w:t>0.38</w:t>
            </w:r>
          </w:p>
        </w:tc>
      </w:tr>
      <w:tr w:rsidR="002F3BFA" w14:paraId="25BD558F" w14:textId="77777777" w:rsidTr="002F3BFA">
        <w:tc>
          <w:tcPr>
            <w:tcW w:w="3129" w:type="dxa"/>
            <w:tcBorders>
              <w:top w:val="nil"/>
              <w:bottom w:val="nil"/>
            </w:tcBorders>
          </w:tcPr>
          <w:p w14:paraId="58699F86" w14:textId="77777777" w:rsidR="002F3BFA" w:rsidRPr="00B80AF5" w:rsidRDefault="002F3BFA" w:rsidP="002F3BFA">
            <w:pPr>
              <w:spacing w:line="300" w:lineRule="auto"/>
              <w:ind w:firstLine="0"/>
              <w:rPr>
                <w:i/>
              </w:rPr>
            </w:pPr>
            <w:r>
              <w:t>Indecent assault</w:t>
            </w:r>
          </w:p>
        </w:tc>
        <w:tc>
          <w:tcPr>
            <w:tcW w:w="2068" w:type="dxa"/>
            <w:tcBorders>
              <w:top w:val="nil"/>
              <w:bottom w:val="nil"/>
            </w:tcBorders>
          </w:tcPr>
          <w:p w14:paraId="6719BB42" w14:textId="77777777" w:rsidR="002F3BFA" w:rsidRPr="00B80AF5" w:rsidRDefault="002F3BFA" w:rsidP="002F3BFA">
            <w:pPr>
              <w:spacing w:line="300" w:lineRule="auto"/>
              <w:ind w:firstLine="0"/>
              <w:rPr>
                <w:i/>
              </w:rPr>
            </w:pPr>
          </w:p>
        </w:tc>
        <w:tc>
          <w:tcPr>
            <w:tcW w:w="1660" w:type="dxa"/>
            <w:tcBorders>
              <w:top w:val="nil"/>
              <w:bottom w:val="nil"/>
            </w:tcBorders>
          </w:tcPr>
          <w:p w14:paraId="6131BC2D" w14:textId="4247555E" w:rsidR="002F3BFA" w:rsidRPr="00B80AF5" w:rsidRDefault="002F3BFA" w:rsidP="002F3BFA">
            <w:pPr>
              <w:spacing w:line="300" w:lineRule="auto"/>
              <w:ind w:firstLine="0"/>
              <w:rPr>
                <w:i/>
              </w:rPr>
            </w:pPr>
            <w:r>
              <w:t>1</w:t>
            </w:r>
          </w:p>
        </w:tc>
        <w:tc>
          <w:tcPr>
            <w:tcW w:w="1449" w:type="dxa"/>
            <w:tcBorders>
              <w:top w:val="nil"/>
              <w:bottom w:val="nil"/>
            </w:tcBorders>
          </w:tcPr>
          <w:p w14:paraId="4C0CE516" w14:textId="45A2DBC7" w:rsidR="002F3BFA" w:rsidRPr="00B80AF5" w:rsidRDefault="002F3BFA" w:rsidP="002F3BFA">
            <w:pPr>
              <w:spacing w:line="300" w:lineRule="auto"/>
              <w:ind w:firstLine="0"/>
              <w:rPr>
                <w:i/>
              </w:rPr>
            </w:pPr>
            <w:r>
              <w:t>0.19</w:t>
            </w:r>
          </w:p>
        </w:tc>
      </w:tr>
      <w:tr w:rsidR="002F3BFA" w14:paraId="246552CA" w14:textId="77777777" w:rsidTr="002F3BFA">
        <w:tc>
          <w:tcPr>
            <w:tcW w:w="3129" w:type="dxa"/>
            <w:tcBorders>
              <w:top w:val="nil"/>
              <w:bottom w:val="single" w:sz="4" w:space="0" w:color="auto"/>
            </w:tcBorders>
          </w:tcPr>
          <w:p w14:paraId="6B881D3F" w14:textId="77777777" w:rsidR="002F3BFA" w:rsidRPr="00B80AF5" w:rsidRDefault="002F3BFA" w:rsidP="002F3BFA">
            <w:pPr>
              <w:spacing w:line="300" w:lineRule="auto"/>
              <w:ind w:firstLine="0"/>
              <w:rPr>
                <w:i/>
              </w:rPr>
            </w:pPr>
            <w:r>
              <w:t>Other criminal offences</w:t>
            </w:r>
          </w:p>
        </w:tc>
        <w:tc>
          <w:tcPr>
            <w:tcW w:w="2068" w:type="dxa"/>
            <w:tcBorders>
              <w:top w:val="nil"/>
              <w:bottom w:val="single" w:sz="4" w:space="0" w:color="auto"/>
            </w:tcBorders>
          </w:tcPr>
          <w:p w14:paraId="5FD6F2F8" w14:textId="77777777" w:rsidR="002F3BFA" w:rsidRPr="00B80AF5" w:rsidRDefault="002F3BFA" w:rsidP="002F3BFA">
            <w:pPr>
              <w:spacing w:line="300" w:lineRule="auto"/>
              <w:ind w:firstLine="0"/>
              <w:rPr>
                <w:i/>
              </w:rPr>
            </w:pPr>
          </w:p>
        </w:tc>
        <w:tc>
          <w:tcPr>
            <w:tcW w:w="1660" w:type="dxa"/>
            <w:tcBorders>
              <w:top w:val="nil"/>
              <w:bottom w:val="single" w:sz="4" w:space="0" w:color="auto"/>
            </w:tcBorders>
          </w:tcPr>
          <w:p w14:paraId="54340250" w14:textId="13D638F6" w:rsidR="002F3BFA" w:rsidRPr="00B80AF5" w:rsidRDefault="002F3BFA" w:rsidP="002F3BFA">
            <w:pPr>
              <w:spacing w:line="300" w:lineRule="auto"/>
              <w:ind w:firstLine="0"/>
              <w:rPr>
                <w:i/>
              </w:rPr>
            </w:pPr>
            <w:r>
              <w:t>1</w:t>
            </w:r>
          </w:p>
        </w:tc>
        <w:tc>
          <w:tcPr>
            <w:tcW w:w="1449" w:type="dxa"/>
            <w:tcBorders>
              <w:top w:val="nil"/>
              <w:bottom w:val="single" w:sz="4" w:space="0" w:color="auto"/>
            </w:tcBorders>
          </w:tcPr>
          <w:p w14:paraId="6A499851" w14:textId="1C53FCC7" w:rsidR="002F3BFA" w:rsidRPr="00B80AF5" w:rsidRDefault="002F3BFA" w:rsidP="002F3BFA">
            <w:pPr>
              <w:spacing w:line="300" w:lineRule="auto"/>
              <w:ind w:firstLine="0"/>
              <w:rPr>
                <w:i/>
              </w:rPr>
            </w:pPr>
            <w:r>
              <w:t>0.19</w:t>
            </w:r>
          </w:p>
        </w:tc>
      </w:tr>
      <w:tr w:rsidR="000A2F91" w14:paraId="47CCEDD6" w14:textId="77777777" w:rsidTr="002F3BFA">
        <w:tc>
          <w:tcPr>
            <w:tcW w:w="3129" w:type="dxa"/>
            <w:tcBorders>
              <w:top w:val="single" w:sz="4" w:space="0" w:color="auto"/>
              <w:bottom w:val="single" w:sz="4" w:space="0" w:color="auto"/>
            </w:tcBorders>
          </w:tcPr>
          <w:p w14:paraId="5E25D06B" w14:textId="77777777" w:rsidR="000A2F91" w:rsidRPr="00B80AF5" w:rsidRDefault="000A2F91" w:rsidP="00D26A63">
            <w:pPr>
              <w:spacing w:line="300" w:lineRule="auto"/>
              <w:ind w:firstLine="0"/>
              <w:rPr>
                <w:i/>
              </w:rPr>
            </w:pPr>
            <w:r w:rsidRPr="00B80AF5">
              <w:rPr>
                <w:i/>
              </w:rPr>
              <w:t>Victim characteristics</w:t>
            </w:r>
          </w:p>
        </w:tc>
        <w:tc>
          <w:tcPr>
            <w:tcW w:w="2068" w:type="dxa"/>
            <w:tcBorders>
              <w:top w:val="single" w:sz="4" w:space="0" w:color="auto"/>
              <w:bottom w:val="single" w:sz="4" w:space="0" w:color="auto"/>
            </w:tcBorders>
          </w:tcPr>
          <w:p w14:paraId="6BB98C2F" w14:textId="77777777" w:rsidR="000A2F91" w:rsidRPr="00B80AF5" w:rsidRDefault="000A2F91" w:rsidP="00D26A63">
            <w:pPr>
              <w:spacing w:line="300" w:lineRule="auto"/>
              <w:ind w:firstLine="0"/>
              <w:rPr>
                <w:i/>
              </w:rPr>
            </w:pPr>
          </w:p>
        </w:tc>
        <w:tc>
          <w:tcPr>
            <w:tcW w:w="1660" w:type="dxa"/>
            <w:tcBorders>
              <w:top w:val="single" w:sz="4" w:space="0" w:color="auto"/>
              <w:bottom w:val="single" w:sz="4" w:space="0" w:color="auto"/>
            </w:tcBorders>
          </w:tcPr>
          <w:p w14:paraId="4843D5D1" w14:textId="77777777" w:rsidR="000A2F91" w:rsidRPr="00B80AF5" w:rsidRDefault="000A2F91" w:rsidP="00D26A63">
            <w:pPr>
              <w:spacing w:line="300" w:lineRule="auto"/>
              <w:ind w:firstLine="0"/>
              <w:rPr>
                <w:i/>
              </w:rPr>
            </w:pPr>
          </w:p>
        </w:tc>
        <w:tc>
          <w:tcPr>
            <w:tcW w:w="1449" w:type="dxa"/>
            <w:tcBorders>
              <w:top w:val="single" w:sz="4" w:space="0" w:color="auto"/>
              <w:bottom w:val="single" w:sz="4" w:space="0" w:color="auto"/>
            </w:tcBorders>
          </w:tcPr>
          <w:p w14:paraId="6D6E9EBF" w14:textId="77777777" w:rsidR="000A2F91" w:rsidRPr="00B80AF5" w:rsidRDefault="000A2F91" w:rsidP="00D26A63">
            <w:pPr>
              <w:spacing w:line="300" w:lineRule="auto"/>
              <w:ind w:firstLine="0"/>
              <w:rPr>
                <w:i/>
              </w:rPr>
            </w:pPr>
          </w:p>
        </w:tc>
      </w:tr>
      <w:tr w:rsidR="002F3BFA" w14:paraId="1E448A98" w14:textId="77777777" w:rsidTr="002F3BFA">
        <w:tc>
          <w:tcPr>
            <w:tcW w:w="3129" w:type="dxa"/>
          </w:tcPr>
          <w:p w14:paraId="332EA291" w14:textId="77777777" w:rsidR="002F3BFA" w:rsidRDefault="002F3BFA" w:rsidP="002F3BFA">
            <w:pPr>
              <w:spacing w:line="300" w:lineRule="auto"/>
              <w:ind w:firstLine="0"/>
            </w:pPr>
            <w:r>
              <w:t>Ethnicity</w:t>
            </w:r>
          </w:p>
        </w:tc>
        <w:tc>
          <w:tcPr>
            <w:tcW w:w="2068" w:type="dxa"/>
          </w:tcPr>
          <w:p w14:paraId="1F1F593D" w14:textId="77777777" w:rsidR="002F3BFA" w:rsidRDefault="002F3BFA" w:rsidP="002F3BFA">
            <w:pPr>
              <w:spacing w:line="300" w:lineRule="auto"/>
              <w:ind w:firstLine="0"/>
            </w:pPr>
            <w:r>
              <w:t>White</w:t>
            </w:r>
          </w:p>
        </w:tc>
        <w:tc>
          <w:tcPr>
            <w:tcW w:w="1660" w:type="dxa"/>
          </w:tcPr>
          <w:p w14:paraId="10AF345B" w14:textId="18E1851D" w:rsidR="002F3BFA" w:rsidRDefault="002F3BFA" w:rsidP="002F3BFA">
            <w:pPr>
              <w:spacing w:line="300" w:lineRule="auto"/>
              <w:ind w:firstLine="0"/>
            </w:pPr>
            <w:r>
              <w:t>470</w:t>
            </w:r>
          </w:p>
        </w:tc>
        <w:tc>
          <w:tcPr>
            <w:tcW w:w="1449" w:type="dxa"/>
          </w:tcPr>
          <w:p w14:paraId="2C784D91" w14:textId="3CB61D56" w:rsidR="002F3BFA" w:rsidRDefault="002F3BFA" w:rsidP="002F3BFA">
            <w:pPr>
              <w:spacing w:line="300" w:lineRule="auto"/>
              <w:ind w:firstLine="0"/>
            </w:pPr>
            <w:r>
              <w:t>89.70</w:t>
            </w:r>
          </w:p>
        </w:tc>
      </w:tr>
      <w:tr w:rsidR="002F3BFA" w14:paraId="66E3B6DB" w14:textId="77777777" w:rsidTr="002F3BFA">
        <w:tc>
          <w:tcPr>
            <w:tcW w:w="3129" w:type="dxa"/>
          </w:tcPr>
          <w:p w14:paraId="4685B7AB" w14:textId="77777777" w:rsidR="002F3BFA" w:rsidRDefault="002F3BFA" w:rsidP="002F3BFA">
            <w:pPr>
              <w:spacing w:line="300" w:lineRule="auto"/>
              <w:ind w:firstLine="0"/>
            </w:pPr>
          </w:p>
        </w:tc>
        <w:tc>
          <w:tcPr>
            <w:tcW w:w="2068" w:type="dxa"/>
          </w:tcPr>
          <w:p w14:paraId="12E3FBC8" w14:textId="77777777" w:rsidR="002F3BFA" w:rsidRDefault="002F3BFA" w:rsidP="002F3BFA">
            <w:pPr>
              <w:spacing w:line="300" w:lineRule="auto"/>
              <w:ind w:firstLine="0"/>
            </w:pPr>
            <w:r>
              <w:t>Indian/Asian</w:t>
            </w:r>
          </w:p>
        </w:tc>
        <w:tc>
          <w:tcPr>
            <w:tcW w:w="1660" w:type="dxa"/>
          </w:tcPr>
          <w:p w14:paraId="4F3EE745" w14:textId="08DA2E6A" w:rsidR="002F3BFA" w:rsidRDefault="002F3BFA" w:rsidP="002F3BFA">
            <w:pPr>
              <w:spacing w:line="300" w:lineRule="auto"/>
              <w:ind w:firstLine="0"/>
            </w:pPr>
            <w:r>
              <w:t>18</w:t>
            </w:r>
          </w:p>
        </w:tc>
        <w:tc>
          <w:tcPr>
            <w:tcW w:w="1449" w:type="dxa"/>
          </w:tcPr>
          <w:p w14:paraId="3B3B2413" w14:textId="0BD175E7" w:rsidR="002F3BFA" w:rsidRDefault="002F3BFA" w:rsidP="002F3BFA">
            <w:pPr>
              <w:spacing w:line="300" w:lineRule="auto"/>
              <w:ind w:firstLine="0"/>
            </w:pPr>
            <w:r>
              <w:t>3.40</w:t>
            </w:r>
          </w:p>
        </w:tc>
      </w:tr>
      <w:tr w:rsidR="002F3BFA" w14:paraId="42A312BD" w14:textId="77777777" w:rsidTr="002F3BFA">
        <w:tc>
          <w:tcPr>
            <w:tcW w:w="3129" w:type="dxa"/>
          </w:tcPr>
          <w:p w14:paraId="48EAD41D" w14:textId="77777777" w:rsidR="002F3BFA" w:rsidRDefault="002F3BFA" w:rsidP="002F3BFA">
            <w:pPr>
              <w:spacing w:line="300" w:lineRule="auto"/>
              <w:ind w:firstLine="0"/>
            </w:pPr>
          </w:p>
        </w:tc>
        <w:tc>
          <w:tcPr>
            <w:tcW w:w="2068" w:type="dxa"/>
          </w:tcPr>
          <w:p w14:paraId="73D82D3B" w14:textId="77777777" w:rsidR="002F3BFA" w:rsidRDefault="002F3BFA" w:rsidP="002F3BFA">
            <w:pPr>
              <w:spacing w:line="300" w:lineRule="auto"/>
              <w:ind w:firstLine="0"/>
            </w:pPr>
            <w:r>
              <w:t>Black</w:t>
            </w:r>
          </w:p>
        </w:tc>
        <w:tc>
          <w:tcPr>
            <w:tcW w:w="1660" w:type="dxa"/>
          </w:tcPr>
          <w:p w14:paraId="474C2253" w14:textId="395E84E3" w:rsidR="002F3BFA" w:rsidRDefault="002F3BFA" w:rsidP="002F3BFA">
            <w:pPr>
              <w:spacing w:line="300" w:lineRule="auto"/>
              <w:ind w:firstLine="0"/>
            </w:pPr>
            <w:r>
              <w:t>26</w:t>
            </w:r>
          </w:p>
        </w:tc>
        <w:tc>
          <w:tcPr>
            <w:tcW w:w="1449" w:type="dxa"/>
          </w:tcPr>
          <w:p w14:paraId="4ECDA796" w14:textId="3DBFD764" w:rsidR="002F3BFA" w:rsidRDefault="002F3BFA" w:rsidP="002F3BFA">
            <w:pPr>
              <w:spacing w:line="300" w:lineRule="auto"/>
              <w:ind w:firstLine="0"/>
            </w:pPr>
            <w:r>
              <w:t>5.00</w:t>
            </w:r>
          </w:p>
        </w:tc>
      </w:tr>
      <w:tr w:rsidR="002F3BFA" w14:paraId="22007377" w14:textId="77777777" w:rsidTr="002F3BFA">
        <w:tc>
          <w:tcPr>
            <w:tcW w:w="3129" w:type="dxa"/>
          </w:tcPr>
          <w:p w14:paraId="0512B00F" w14:textId="77777777" w:rsidR="002F3BFA" w:rsidRDefault="002F3BFA" w:rsidP="002F3BFA">
            <w:pPr>
              <w:spacing w:line="300" w:lineRule="auto"/>
              <w:ind w:firstLine="0"/>
            </w:pPr>
          </w:p>
        </w:tc>
        <w:tc>
          <w:tcPr>
            <w:tcW w:w="2068" w:type="dxa"/>
          </w:tcPr>
          <w:p w14:paraId="38F8E94B" w14:textId="77777777" w:rsidR="002F3BFA" w:rsidRDefault="002F3BFA" w:rsidP="002F3BFA">
            <w:pPr>
              <w:spacing w:line="300" w:lineRule="auto"/>
              <w:ind w:firstLine="0"/>
            </w:pPr>
            <w:r>
              <w:t>Other</w:t>
            </w:r>
          </w:p>
        </w:tc>
        <w:tc>
          <w:tcPr>
            <w:tcW w:w="1660" w:type="dxa"/>
          </w:tcPr>
          <w:p w14:paraId="401AC4C7" w14:textId="191E7506" w:rsidR="002F3BFA" w:rsidRDefault="002F3BFA" w:rsidP="002F3BFA">
            <w:pPr>
              <w:spacing w:line="300" w:lineRule="auto"/>
              <w:ind w:firstLine="0"/>
            </w:pPr>
            <w:r>
              <w:t>7</w:t>
            </w:r>
          </w:p>
        </w:tc>
        <w:tc>
          <w:tcPr>
            <w:tcW w:w="1449" w:type="dxa"/>
          </w:tcPr>
          <w:p w14:paraId="5DFBDAA9" w14:textId="76F18FDA" w:rsidR="002F3BFA" w:rsidRDefault="002F3BFA" w:rsidP="002F3BFA">
            <w:pPr>
              <w:spacing w:line="300" w:lineRule="auto"/>
              <w:ind w:firstLine="0"/>
            </w:pPr>
            <w:r>
              <w:t>1.30</w:t>
            </w:r>
          </w:p>
        </w:tc>
      </w:tr>
      <w:tr w:rsidR="002F3BFA" w14:paraId="7046C04A" w14:textId="77777777" w:rsidTr="002F3BFA">
        <w:tc>
          <w:tcPr>
            <w:tcW w:w="3129" w:type="dxa"/>
          </w:tcPr>
          <w:p w14:paraId="065A6F8E" w14:textId="77777777" w:rsidR="002F3BFA" w:rsidRPr="00440D20" w:rsidRDefault="002F3BFA" w:rsidP="002F3BFA">
            <w:pPr>
              <w:spacing w:line="300" w:lineRule="auto"/>
              <w:ind w:firstLine="0"/>
            </w:pPr>
            <w:r w:rsidRPr="00440D20">
              <w:t>Relationship to perpetrator</w:t>
            </w:r>
          </w:p>
        </w:tc>
        <w:tc>
          <w:tcPr>
            <w:tcW w:w="2068" w:type="dxa"/>
          </w:tcPr>
          <w:p w14:paraId="56764D76" w14:textId="77777777" w:rsidR="002F3BFA" w:rsidRDefault="002F3BFA" w:rsidP="002F3BFA">
            <w:pPr>
              <w:spacing w:line="300" w:lineRule="auto"/>
              <w:ind w:firstLine="0"/>
            </w:pPr>
            <w:r>
              <w:t>Current partner</w:t>
            </w:r>
          </w:p>
        </w:tc>
        <w:tc>
          <w:tcPr>
            <w:tcW w:w="1660" w:type="dxa"/>
          </w:tcPr>
          <w:p w14:paraId="13868E86" w14:textId="2B9C9476" w:rsidR="002F3BFA" w:rsidRPr="00440D20" w:rsidRDefault="002F3BFA" w:rsidP="002F3BFA">
            <w:pPr>
              <w:spacing w:line="300" w:lineRule="auto"/>
              <w:ind w:firstLine="0"/>
            </w:pPr>
            <w:r>
              <w:t>367</w:t>
            </w:r>
          </w:p>
        </w:tc>
        <w:tc>
          <w:tcPr>
            <w:tcW w:w="1449" w:type="dxa"/>
          </w:tcPr>
          <w:p w14:paraId="2C165850" w14:textId="3DC0CEAA" w:rsidR="002F3BFA" w:rsidRPr="00440D20" w:rsidRDefault="002F3BFA" w:rsidP="002F3BFA">
            <w:pPr>
              <w:spacing w:line="300" w:lineRule="auto"/>
              <w:ind w:firstLine="0"/>
            </w:pPr>
            <w:r>
              <w:t>70.00</w:t>
            </w:r>
          </w:p>
        </w:tc>
      </w:tr>
      <w:tr w:rsidR="002F3BFA" w14:paraId="74447E4E" w14:textId="77777777" w:rsidTr="002F3BFA">
        <w:tc>
          <w:tcPr>
            <w:tcW w:w="3129" w:type="dxa"/>
            <w:tcBorders>
              <w:bottom w:val="single" w:sz="4" w:space="0" w:color="auto"/>
            </w:tcBorders>
          </w:tcPr>
          <w:p w14:paraId="654BBECE" w14:textId="77777777" w:rsidR="002F3BFA" w:rsidRPr="00187F5D" w:rsidRDefault="002F3BFA" w:rsidP="002F3BFA">
            <w:pPr>
              <w:spacing w:line="300" w:lineRule="auto"/>
              <w:ind w:firstLine="0"/>
              <w:rPr>
                <w:i/>
              </w:rPr>
            </w:pPr>
          </w:p>
        </w:tc>
        <w:tc>
          <w:tcPr>
            <w:tcW w:w="2068" w:type="dxa"/>
            <w:tcBorders>
              <w:bottom w:val="single" w:sz="4" w:space="0" w:color="auto"/>
            </w:tcBorders>
          </w:tcPr>
          <w:p w14:paraId="25E3E2A4" w14:textId="77777777" w:rsidR="002F3BFA" w:rsidRDefault="002F3BFA" w:rsidP="002F3BFA">
            <w:pPr>
              <w:spacing w:line="300" w:lineRule="auto"/>
              <w:ind w:firstLine="0"/>
            </w:pPr>
            <w:r>
              <w:t>Ex-partner</w:t>
            </w:r>
          </w:p>
        </w:tc>
        <w:tc>
          <w:tcPr>
            <w:tcW w:w="1660" w:type="dxa"/>
            <w:tcBorders>
              <w:bottom w:val="single" w:sz="4" w:space="0" w:color="auto"/>
            </w:tcBorders>
          </w:tcPr>
          <w:p w14:paraId="327A8672" w14:textId="2C869F07" w:rsidR="002F3BFA" w:rsidRPr="00440D20" w:rsidRDefault="002F3BFA" w:rsidP="002F3BFA">
            <w:pPr>
              <w:spacing w:line="300" w:lineRule="auto"/>
              <w:ind w:firstLine="0"/>
            </w:pPr>
            <w:r>
              <w:t>157</w:t>
            </w:r>
          </w:p>
        </w:tc>
        <w:tc>
          <w:tcPr>
            <w:tcW w:w="1449" w:type="dxa"/>
            <w:tcBorders>
              <w:bottom w:val="single" w:sz="4" w:space="0" w:color="auto"/>
            </w:tcBorders>
          </w:tcPr>
          <w:p w14:paraId="2184873A" w14:textId="74ECB99D" w:rsidR="002F3BFA" w:rsidRPr="00440D20" w:rsidRDefault="002F3BFA" w:rsidP="002F3BFA">
            <w:pPr>
              <w:spacing w:line="300" w:lineRule="auto"/>
              <w:ind w:firstLine="0"/>
            </w:pPr>
            <w:r>
              <w:t>30.00</w:t>
            </w:r>
          </w:p>
        </w:tc>
      </w:tr>
      <w:tr w:rsidR="000A2F91" w14:paraId="5D3D2E8D" w14:textId="77777777" w:rsidTr="002F3BFA">
        <w:tc>
          <w:tcPr>
            <w:tcW w:w="3129" w:type="dxa"/>
            <w:tcBorders>
              <w:top w:val="single" w:sz="4" w:space="0" w:color="auto"/>
              <w:bottom w:val="single" w:sz="4" w:space="0" w:color="auto"/>
            </w:tcBorders>
          </w:tcPr>
          <w:p w14:paraId="02AE660F" w14:textId="77777777" w:rsidR="000A2F91" w:rsidRPr="00187F5D" w:rsidRDefault="000A2F91" w:rsidP="00D26A63">
            <w:pPr>
              <w:spacing w:line="300" w:lineRule="auto"/>
              <w:ind w:firstLine="0"/>
              <w:rPr>
                <w:i/>
              </w:rPr>
            </w:pPr>
            <w:r w:rsidRPr="00187F5D">
              <w:rPr>
                <w:i/>
              </w:rPr>
              <w:t>Perpetrator characteristics</w:t>
            </w:r>
          </w:p>
        </w:tc>
        <w:tc>
          <w:tcPr>
            <w:tcW w:w="2068" w:type="dxa"/>
            <w:tcBorders>
              <w:top w:val="single" w:sz="4" w:space="0" w:color="auto"/>
              <w:bottom w:val="single" w:sz="4" w:space="0" w:color="auto"/>
            </w:tcBorders>
          </w:tcPr>
          <w:p w14:paraId="778DFA54" w14:textId="77777777" w:rsidR="000A2F91" w:rsidRDefault="000A2F91" w:rsidP="00D26A63">
            <w:pPr>
              <w:spacing w:line="300" w:lineRule="auto"/>
              <w:ind w:firstLine="0"/>
            </w:pPr>
          </w:p>
        </w:tc>
        <w:tc>
          <w:tcPr>
            <w:tcW w:w="1660" w:type="dxa"/>
            <w:tcBorders>
              <w:top w:val="single" w:sz="4" w:space="0" w:color="auto"/>
              <w:bottom w:val="single" w:sz="4" w:space="0" w:color="auto"/>
            </w:tcBorders>
          </w:tcPr>
          <w:p w14:paraId="1CC96128" w14:textId="77777777" w:rsidR="000A2F91" w:rsidRDefault="000A2F91" w:rsidP="00D26A63">
            <w:pPr>
              <w:spacing w:line="300" w:lineRule="auto"/>
              <w:ind w:firstLine="0"/>
            </w:pPr>
          </w:p>
        </w:tc>
        <w:tc>
          <w:tcPr>
            <w:tcW w:w="1449" w:type="dxa"/>
            <w:tcBorders>
              <w:top w:val="single" w:sz="4" w:space="0" w:color="auto"/>
              <w:bottom w:val="single" w:sz="4" w:space="0" w:color="auto"/>
            </w:tcBorders>
          </w:tcPr>
          <w:p w14:paraId="74A0F0A7" w14:textId="77777777" w:rsidR="000A2F91" w:rsidRDefault="000A2F91" w:rsidP="00D26A63">
            <w:pPr>
              <w:spacing w:line="300" w:lineRule="auto"/>
              <w:ind w:firstLine="0"/>
            </w:pPr>
          </w:p>
        </w:tc>
      </w:tr>
      <w:tr w:rsidR="002F3BFA" w14:paraId="298E82D7" w14:textId="77777777" w:rsidTr="002F3BFA">
        <w:tc>
          <w:tcPr>
            <w:tcW w:w="3129" w:type="dxa"/>
            <w:tcBorders>
              <w:top w:val="single" w:sz="4" w:space="0" w:color="auto"/>
            </w:tcBorders>
          </w:tcPr>
          <w:p w14:paraId="0F2FC90B" w14:textId="77777777" w:rsidR="002F3BFA" w:rsidRDefault="002F3BFA" w:rsidP="002F3BFA">
            <w:pPr>
              <w:spacing w:line="300" w:lineRule="auto"/>
              <w:ind w:firstLine="0"/>
            </w:pPr>
            <w:r>
              <w:t>Gender</w:t>
            </w:r>
          </w:p>
        </w:tc>
        <w:tc>
          <w:tcPr>
            <w:tcW w:w="2068" w:type="dxa"/>
            <w:tcBorders>
              <w:top w:val="single" w:sz="4" w:space="0" w:color="auto"/>
            </w:tcBorders>
          </w:tcPr>
          <w:p w14:paraId="37405B1A" w14:textId="77777777" w:rsidR="002F3BFA" w:rsidRDefault="002F3BFA" w:rsidP="002F3BFA">
            <w:pPr>
              <w:spacing w:line="300" w:lineRule="auto"/>
              <w:ind w:firstLine="0"/>
            </w:pPr>
            <w:r>
              <w:t>Female</w:t>
            </w:r>
          </w:p>
        </w:tc>
        <w:tc>
          <w:tcPr>
            <w:tcW w:w="1660" w:type="dxa"/>
            <w:tcBorders>
              <w:top w:val="single" w:sz="4" w:space="0" w:color="auto"/>
            </w:tcBorders>
          </w:tcPr>
          <w:p w14:paraId="3AF3BF73" w14:textId="76ED34EE" w:rsidR="002F3BFA" w:rsidRDefault="002F3BFA" w:rsidP="002F3BFA">
            <w:pPr>
              <w:spacing w:line="300" w:lineRule="auto"/>
              <w:ind w:firstLine="0"/>
            </w:pPr>
            <w:r>
              <w:t>4</w:t>
            </w:r>
          </w:p>
        </w:tc>
        <w:tc>
          <w:tcPr>
            <w:tcW w:w="1449" w:type="dxa"/>
            <w:tcBorders>
              <w:top w:val="single" w:sz="4" w:space="0" w:color="auto"/>
            </w:tcBorders>
          </w:tcPr>
          <w:p w14:paraId="340471CD" w14:textId="7E47DD3B" w:rsidR="002F3BFA" w:rsidRDefault="002F3BFA" w:rsidP="002F3BFA">
            <w:pPr>
              <w:spacing w:line="300" w:lineRule="auto"/>
              <w:ind w:firstLine="0"/>
            </w:pPr>
            <w:r>
              <w:t>0.80</w:t>
            </w:r>
          </w:p>
        </w:tc>
      </w:tr>
      <w:tr w:rsidR="002F3BFA" w14:paraId="33F8E19F" w14:textId="77777777" w:rsidTr="002F3BFA">
        <w:tc>
          <w:tcPr>
            <w:tcW w:w="3129" w:type="dxa"/>
          </w:tcPr>
          <w:p w14:paraId="5B3E42E0" w14:textId="77777777" w:rsidR="002F3BFA" w:rsidRDefault="002F3BFA" w:rsidP="002F3BFA">
            <w:pPr>
              <w:spacing w:line="300" w:lineRule="auto"/>
              <w:ind w:firstLine="0"/>
            </w:pPr>
          </w:p>
        </w:tc>
        <w:tc>
          <w:tcPr>
            <w:tcW w:w="2068" w:type="dxa"/>
          </w:tcPr>
          <w:p w14:paraId="7E98843B" w14:textId="77777777" w:rsidR="002F3BFA" w:rsidRDefault="002F3BFA" w:rsidP="002F3BFA">
            <w:pPr>
              <w:spacing w:line="300" w:lineRule="auto"/>
              <w:ind w:firstLine="0"/>
            </w:pPr>
            <w:r>
              <w:t>Male</w:t>
            </w:r>
          </w:p>
        </w:tc>
        <w:tc>
          <w:tcPr>
            <w:tcW w:w="1660" w:type="dxa"/>
          </w:tcPr>
          <w:p w14:paraId="3C15CB1D" w14:textId="480F797A" w:rsidR="002F3BFA" w:rsidRDefault="002F3BFA" w:rsidP="002F3BFA">
            <w:pPr>
              <w:spacing w:line="300" w:lineRule="auto"/>
              <w:ind w:firstLine="0"/>
            </w:pPr>
            <w:r>
              <w:t>302</w:t>
            </w:r>
          </w:p>
        </w:tc>
        <w:tc>
          <w:tcPr>
            <w:tcW w:w="1449" w:type="dxa"/>
          </w:tcPr>
          <w:p w14:paraId="2B1DDECB" w14:textId="5A5F8348" w:rsidR="002F3BFA" w:rsidRDefault="002F3BFA" w:rsidP="002F3BFA">
            <w:pPr>
              <w:spacing w:line="300" w:lineRule="auto"/>
              <w:ind w:firstLine="0"/>
            </w:pPr>
            <w:r>
              <w:t>57.60</w:t>
            </w:r>
          </w:p>
        </w:tc>
      </w:tr>
      <w:tr w:rsidR="002F3BFA" w14:paraId="60A37450" w14:textId="77777777" w:rsidTr="002F3BFA">
        <w:tc>
          <w:tcPr>
            <w:tcW w:w="3129" w:type="dxa"/>
          </w:tcPr>
          <w:p w14:paraId="6DF45C5D" w14:textId="77777777" w:rsidR="002F3BFA" w:rsidRDefault="002F3BFA" w:rsidP="002F3BFA">
            <w:pPr>
              <w:spacing w:line="300" w:lineRule="auto"/>
              <w:ind w:firstLine="0"/>
            </w:pPr>
            <w:r>
              <w:t>Ethnicity</w:t>
            </w:r>
          </w:p>
        </w:tc>
        <w:tc>
          <w:tcPr>
            <w:tcW w:w="2068" w:type="dxa"/>
          </w:tcPr>
          <w:p w14:paraId="52884030" w14:textId="77777777" w:rsidR="002F3BFA" w:rsidRDefault="002F3BFA" w:rsidP="002F3BFA">
            <w:pPr>
              <w:spacing w:line="300" w:lineRule="auto"/>
              <w:ind w:firstLine="0"/>
            </w:pPr>
            <w:r>
              <w:t>White</w:t>
            </w:r>
          </w:p>
        </w:tc>
        <w:tc>
          <w:tcPr>
            <w:tcW w:w="1660" w:type="dxa"/>
          </w:tcPr>
          <w:p w14:paraId="50135A90" w14:textId="2EBDCBA0" w:rsidR="002F3BFA" w:rsidRDefault="002F3BFA" w:rsidP="002F3BFA">
            <w:pPr>
              <w:spacing w:line="300" w:lineRule="auto"/>
              <w:ind w:firstLine="0"/>
            </w:pPr>
            <w:r>
              <w:t>255</w:t>
            </w:r>
          </w:p>
        </w:tc>
        <w:tc>
          <w:tcPr>
            <w:tcW w:w="1449" w:type="dxa"/>
          </w:tcPr>
          <w:p w14:paraId="11861A16" w14:textId="313BB3C8" w:rsidR="002F3BFA" w:rsidRDefault="002F3BFA" w:rsidP="002F3BFA">
            <w:pPr>
              <w:spacing w:line="300" w:lineRule="auto"/>
              <w:ind w:firstLine="0"/>
            </w:pPr>
            <w:r>
              <w:t>48.70</w:t>
            </w:r>
          </w:p>
        </w:tc>
      </w:tr>
      <w:tr w:rsidR="002F3BFA" w14:paraId="21047970" w14:textId="77777777" w:rsidTr="002F3BFA">
        <w:tc>
          <w:tcPr>
            <w:tcW w:w="3129" w:type="dxa"/>
          </w:tcPr>
          <w:p w14:paraId="79B21559" w14:textId="77777777" w:rsidR="002F3BFA" w:rsidRDefault="002F3BFA" w:rsidP="002F3BFA">
            <w:pPr>
              <w:spacing w:line="300" w:lineRule="auto"/>
              <w:ind w:firstLine="0"/>
            </w:pPr>
          </w:p>
        </w:tc>
        <w:tc>
          <w:tcPr>
            <w:tcW w:w="2068" w:type="dxa"/>
          </w:tcPr>
          <w:p w14:paraId="3FE9F3F0" w14:textId="77777777" w:rsidR="002F3BFA" w:rsidRDefault="002F3BFA" w:rsidP="002F3BFA">
            <w:pPr>
              <w:spacing w:line="300" w:lineRule="auto"/>
              <w:ind w:firstLine="0"/>
            </w:pPr>
            <w:r>
              <w:t>Indian/Asian</w:t>
            </w:r>
          </w:p>
        </w:tc>
        <w:tc>
          <w:tcPr>
            <w:tcW w:w="1660" w:type="dxa"/>
          </w:tcPr>
          <w:p w14:paraId="0D401ABA" w14:textId="19F8304E" w:rsidR="002F3BFA" w:rsidRDefault="002F3BFA" w:rsidP="002F3BFA">
            <w:pPr>
              <w:spacing w:line="300" w:lineRule="auto"/>
              <w:ind w:firstLine="0"/>
            </w:pPr>
            <w:r>
              <w:t>14</w:t>
            </w:r>
          </w:p>
        </w:tc>
        <w:tc>
          <w:tcPr>
            <w:tcW w:w="1449" w:type="dxa"/>
          </w:tcPr>
          <w:p w14:paraId="6F4E118E" w14:textId="05B08E91" w:rsidR="002F3BFA" w:rsidRDefault="002F3BFA" w:rsidP="002F3BFA">
            <w:pPr>
              <w:spacing w:line="300" w:lineRule="auto"/>
              <w:ind w:firstLine="0"/>
            </w:pPr>
            <w:r>
              <w:t>2.70</w:t>
            </w:r>
          </w:p>
        </w:tc>
      </w:tr>
      <w:tr w:rsidR="002F3BFA" w14:paraId="6EF177BA" w14:textId="77777777" w:rsidTr="002F3BFA">
        <w:tc>
          <w:tcPr>
            <w:tcW w:w="3129" w:type="dxa"/>
            <w:tcBorders>
              <w:bottom w:val="single" w:sz="4" w:space="0" w:color="auto"/>
            </w:tcBorders>
          </w:tcPr>
          <w:p w14:paraId="43B3731D" w14:textId="77777777" w:rsidR="002F3BFA" w:rsidRDefault="002F3BFA" w:rsidP="002F3BFA">
            <w:pPr>
              <w:spacing w:line="300" w:lineRule="auto"/>
              <w:ind w:firstLine="0"/>
            </w:pPr>
          </w:p>
        </w:tc>
        <w:tc>
          <w:tcPr>
            <w:tcW w:w="2068" w:type="dxa"/>
            <w:tcBorders>
              <w:bottom w:val="single" w:sz="4" w:space="0" w:color="auto"/>
            </w:tcBorders>
          </w:tcPr>
          <w:p w14:paraId="5653E691" w14:textId="77777777" w:rsidR="002F3BFA" w:rsidRDefault="002F3BFA" w:rsidP="002F3BFA">
            <w:pPr>
              <w:spacing w:line="300" w:lineRule="auto"/>
              <w:ind w:firstLine="0"/>
            </w:pPr>
            <w:r>
              <w:t>Black</w:t>
            </w:r>
          </w:p>
        </w:tc>
        <w:tc>
          <w:tcPr>
            <w:tcW w:w="1660" w:type="dxa"/>
            <w:tcBorders>
              <w:bottom w:val="single" w:sz="4" w:space="0" w:color="auto"/>
            </w:tcBorders>
          </w:tcPr>
          <w:p w14:paraId="6BC12A01" w14:textId="57B6E2CF" w:rsidR="002F3BFA" w:rsidRDefault="002F3BFA" w:rsidP="002F3BFA">
            <w:pPr>
              <w:spacing w:line="300" w:lineRule="auto"/>
              <w:ind w:firstLine="0"/>
            </w:pPr>
            <w:r>
              <w:t>33</w:t>
            </w:r>
          </w:p>
        </w:tc>
        <w:tc>
          <w:tcPr>
            <w:tcW w:w="1449" w:type="dxa"/>
            <w:tcBorders>
              <w:bottom w:val="single" w:sz="4" w:space="0" w:color="auto"/>
            </w:tcBorders>
          </w:tcPr>
          <w:p w14:paraId="6C7566B1" w14:textId="01A042BF" w:rsidR="002F3BFA" w:rsidRDefault="002F3BFA" w:rsidP="002F3BFA">
            <w:pPr>
              <w:spacing w:line="300" w:lineRule="auto"/>
              <w:ind w:firstLine="0"/>
            </w:pPr>
            <w:r>
              <w:t>6.30</w:t>
            </w:r>
          </w:p>
        </w:tc>
      </w:tr>
      <w:tr w:rsidR="000A2F91" w14:paraId="1D47F7EE" w14:textId="77777777" w:rsidTr="008F4721">
        <w:tc>
          <w:tcPr>
            <w:tcW w:w="3129" w:type="dxa"/>
            <w:tcBorders>
              <w:top w:val="single" w:sz="4" w:space="0" w:color="auto"/>
              <w:bottom w:val="single" w:sz="4" w:space="0" w:color="auto"/>
            </w:tcBorders>
          </w:tcPr>
          <w:p w14:paraId="408B1C45" w14:textId="77777777" w:rsidR="000A2F91" w:rsidRPr="00E343B1" w:rsidRDefault="000A2F91" w:rsidP="00D26A63">
            <w:pPr>
              <w:spacing w:line="300" w:lineRule="auto"/>
              <w:ind w:firstLine="0"/>
              <w:rPr>
                <w:i/>
              </w:rPr>
            </w:pPr>
            <w:r w:rsidRPr="00E343B1">
              <w:rPr>
                <w:i/>
              </w:rPr>
              <w:t>Offence characteristics</w:t>
            </w:r>
          </w:p>
        </w:tc>
        <w:tc>
          <w:tcPr>
            <w:tcW w:w="2068" w:type="dxa"/>
            <w:tcBorders>
              <w:top w:val="single" w:sz="4" w:space="0" w:color="auto"/>
              <w:bottom w:val="single" w:sz="4" w:space="0" w:color="auto"/>
            </w:tcBorders>
          </w:tcPr>
          <w:p w14:paraId="33C86D17" w14:textId="77777777" w:rsidR="000A2F91" w:rsidRDefault="000A2F91" w:rsidP="00D26A63">
            <w:pPr>
              <w:spacing w:line="300" w:lineRule="auto"/>
              <w:ind w:firstLine="0"/>
            </w:pPr>
          </w:p>
        </w:tc>
        <w:tc>
          <w:tcPr>
            <w:tcW w:w="1660" w:type="dxa"/>
            <w:tcBorders>
              <w:top w:val="single" w:sz="4" w:space="0" w:color="auto"/>
              <w:bottom w:val="single" w:sz="4" w:space="0" w:color="auto"/>
            </w:tcBorders>
          </w:tcPr>
          <w:p w14:paraId="2B0DE605" w14:textId="77777777" w:rsidR="000A2F91" w:rsidRDefault="000A2F91" w:rsidP="00D26A63">
            <w:pPr>
              <w:spacing w:line="300" w:lineRule="auto"/>
              <w:ind w:firstLine="0"/>
            </w:pPr>
          </w:p>
        </w:tc>
        <w:tc>
          <w:tcPr>
            <w:tcW w:w="1449" w:type="dxa"/>
            <w:tcBorders>
              <w:top w:val="single" w:sz="4" w:space="0" w:color="auto"/>
              <w:bottom w:val="single" w:sz="4" w:space="0" w:color="auto"/>
            </w:tcBorders>
          </w:tcPr>
          <w:p w14:paraId="4F3E1F6A" w14:textId="77777777" w:rsidR="000A2F91" w:rsidRDefault="000A2F91" w:rsidP="00D26A63">
            <w:pPr>
              <w:spacing w:line="300" w:lineRule="auto"/>
              <w:ind w:firstLine="0"/>
            </w:pPr>
          </w:p>
        </w:tc>
      </w:tr>
      <w:tr w:rsidR="008F4721" w14:paraId="5D07AA71" w14:textId="77777777" w:rsidTr="008F4721">
        <w:tc>
          <w:tcPr>
            <w:tcW w:w="3129" w:type="dxa"/>
            <w:tcBorders>
              <w:top w:val="single" w:sz="4" w:space="0" w:color="auto"/>
              <w:bottom w:val="nil"/>
            </w:tcBorders>
          </w:tcPr>
          <w:p w14:paraId="6CFF37CE" w14:textId="45D8074B" w:rsidR="008F4721" w:rsidRDefault="008F4721" w:rsidP="008F4721">
            <w:pPr>
              <w:spacing w:line="300" w:lineRule="auto"/>
              <w:ind w:firstLine="0"/>
            </w:pPr>
            <w:r>
              <w:t>Alcohol/Drug involved</w:t>
            </w:r>
          </w:p>
        </w:tc>
        <w:tc>
          <w:tcPr>
            <w:tcW w:w="2068" w:type="dxa"/>
            <w:tcBorders>
              <w:top w:val="single" w:sz="4" w:space="0" w:color="auto"/>
              <w:bottom w:val="nil"/>
            </w:tcBorders>
          </w:tcPr>
          <w:p w14:paraId="160CCB94" w14:textId="14420950" w:rsidR="008F4721" w:rsidRDefault="008F4721" w:rsidP="008F4721">
            <w:pPr>
              <w:spacing w:line="300" w:lineRule="auto"/>
              <w:ind w:firstLine="0"/>
            </w:pPr>
            <w:r>
              <w:t>No</w:t>
            </w:r>
          </w:p>
        </w:tc>
        <w:tc>
          <w:tcPr>
            <w:tcW w:w="1660" w:type="dxa"/>
            <w:tcBorders>
              <w:top w:val="single" w:sz="4" w:space="0" w:color="auto"/>
              <w:bottom w:val="nil"/>
            </w:tcBorders>
          </w:tcPr>
          <w:p w14:paraId="03EABC6B" w14:textId="7D165C89" w:rsidR="008F4721" w:rsidRPr="00060198" w:rsidRDefault="008F4721" w:rsidP="008F4721">
            <w:pPr>
              <w:spacing w:line="300" w:lineRule="auto"/>
              <w:ind w:firstLine="0"/>
            </w:pPr>
            <w:r>
              <w:t>374</w:t>
            </w:r>
          </w:p>
        </w:tc>
        <w:tc>
          <w:tcPr>
            <w:tcW w:w="1449" w:type="dxa"/>
            <w:tcBorders>
              <w:top w:val="single" w:sz="4" w:space="0" w:color="auto"/>
              <w:bottom w:val="nil"/>
            </w:tcBorders>
          </w:tcPr>
          <w:p w14:paraId="5F4B0B91" w14:textId="49B12E23" w:rsidR="008F4721" w:rsidRPr="00060198" w:rsidRDefault="008F4721" w:rsidP="008F4721">
            <w:pPr>
              <w:spacing w:line="300" w:lineRule="auto"/>
              <w:ind w:firstLine="0"/>
            </w:pPr>
            <w:r>
              <w:t>71.40</w:t>
            </w:r>
          </w:p>
        </w:tc>
      </w:tr>
      <w:tr w:rsidR="008F4721" w14:paraId="3A0610A4" w14:textId="77777777" w:rsidTr="008F4721">
        <w:tc>
          <w:tcPr>
            <w:tcW w:w="3129" w:type="dxa"/>
            <w:tcBorders>
              <w:top w:val="nil"/>
            </w:tcBorders>
          </w:tcPr>
          <w:p w14:paraId="03C6138C" w14:textId="77777777" w:rsidR="008F4721" w:rsidRDefault="008F4721" w:rsidP="008F4721">
            <w:pPr>
              <w:spacing w:line="300" w:lineRule="auto"/>
              <w:ind w:firstLine="0"/>
            </w:pPr>
          </w:p>
        </w:tc>
        <w:tc>
          <w:tcPr>
            <w:tcW w:w="2068" w:type="dxa"/>
            <w:tcBorders>
              <w:top w:val="nil"/>
            </w:tcBorders>
          </w:tcPr>
          <w:p w14:paraId="60E89F13" w14:textId="1D271175" w:rsidR="008F4721" w:rsidRDefault="008F4721" w:rsidP="008F4721">
            <w:pPr>
              <w:spacing w:line="300" w:lineRule="auto"/>
              <w:ind w:firstLine="0"/>
            </w:pPr>
            <w:r>
              <w:t>Yes</w:t>
            </w:r>
          </w:p>
        </w:tc>
        <w:tc>
          <w:tcPr>
            <w:tcW w:w="1660" w:type="dxa"/>
            <w:tcBorders>
              <w:top w:val="nil"/>
            </w:tcBorders>
          </w:tcPr>
          <w:p w14:paraId="572B851A" w14:textId="7ED58839" w:rsidR="008F4721" w:rsidRDefault="008F4721" w:rsidP="008F4721">
            <w:pPr>
              <w:spacing w:line="300" w:lineRule="auto"/>
              <w:ind w:firstLine="0"/>
            </w:pPr>
            <w:r>
              <w:t>150</w:t>
            </w:r>
          </w:p>
        </w:tc>
        <w:tc>
          <w:tcPr>
            <w:tcW w:w="1449" w:type="dxa"/>
            <w:tcBorders>
              <w:top w:val="nil"/>
            </w:tcBorders>
          </w:tcPr>
          <w:p w14:paraId="3B9E112F" w14:textId="60D7E0ED" w:rsidR="008F4721" w:rsidRDefault="008F4721" w:rsidP="008F4721">
            <w:pPr>
              <w:spacing w:line="300" w:lineRule="auto"/>
              <w:ind w:firstLine="0"/>
            </w:pPr>
            <w:r>
              <w:t>28.60</w:t>
            </w:r>
          </w:p>
        </w:tc>
      </w:tr>
      <w:tr w:rsidR="008F4721" w14:paraId="5FAE2F52" w14:textId="77777777" w:rsidTr="002F3BFA">
        <w:tc>
          <w:tcPr>
            <w:tcW w:w="3129" w:type="dxa"/>
          </w:tcPr>
          <w:p w14:paraId="0A22990E" w14:textId="348EE4EE" w:rsidR="008F4721" w:rsidRDefault="008F4721" w:rsidP="008F4721">
            <w:pPr>
              <w:spacing w:line="300" w:lineRule="auto"/>
              <w:ind w:firstLine="0"/>
            </w:pPr>
            <w:r>
              <w:t>Part of week where offence occurred</w:t>
            </w:r>
          </w:p>
        </w:tc>
        <w:tc>
          <w:tcPr>
            <w:tcW w:w="2068" w:type="dxa"/>
          </w:tcPr>
          <w:p w14:paraId="6C56660E" w14:textId="097FC591" w:rsidR="008F4721" w:rsidRDefault="008F4721" w:rsidP="008F4721">
            <w:pPr>
              <w:spacing w:line="300" w:lineRule="auto"/>
              <w:ind w:firstLine="0"/>
            </w:pPr>
            <w:r>
              <w:t>Weekday</w:t>
            </w:r>
          </w:p>
        </w:tc>
        <w:tc>
          <w:tcPr>
            <w:tcW w:w="1660" w:type="dxa"/>
          </w:tcPr>
          <w:p w14:paraId="49961B39" w14:textId="5A462ED6" w:rsidR="008F4721" w:rsidRPr="00060198" w:rsidRDefault="008F4721" w:rsidP="008F4721">
            <w:pPr>
              <w:spacing w:line="300" w:lineRule="auto"/>
              <w:ind w:firstLine="0"/>
            </w:pPr>
            <w:r>
              <w:t>283</w:t>
            </w:r>
          </w:p>
        </w:tc>
        <w:tc>
          <w:tcPr>
            <w:tcW w:w="1449" w:type="dxa"/>
          </w:tcPr>
          <w:p w14:paraId="1E9F4887" w14:textId="28C85E68" w:rsidR="008F4721" w:rsidRPr="00060198" w:rsidRDefault="008F4721" w:rsidP="008F4721">
            <w:pPr>
              <w:spacing w:line="300" w:lineRule="auto"/>
              <w:ind w:firstLine="0"/>
            </w:pPr>
            <w:r>
              <w:t>54.00</w:t>
            </w:r>
          </w:p>
        </w:tc>
      </w:tr>
      <w:tr w:rsidR="008F4721" w14:paraId="79B1DC08" w14:textId="77777777" w:rsidTr="002F3BFA">
        <w:tc>
          <w:tcPr>
            <w:tcW w:w="3129" w:type="dxa"/>
          </w:tcPr>
          <w:p w14:paraId="385A332F" w14:textId="77777777" w:rsidR="008F4721" w:rsidRDefault="008F4721" w:rsidP="008F4721">
            <w:pPr>
              <w:spacing w:line="300" w:lineRule="auto"/>
              <w:ind w:firstLine="0"/>
            </w:pPr>
          </w:p>
        </w:tc>
        <w:tc>
          <w:tcPr>
            <w:tcW w:w="2068" w:type="dxa"/>
          </w:tcPr>
          <w:p w14:paraId="776A561B" w14:textId="3DD97268" w:rsidR="008F4721" w:rsidRDefault="008F4721" w:rsidP="008F4721">
            <w:pPr>
              <w:spacing w:line="300" w:lineRule="auto"/>
              <w:ind w:firstLine="0"/>
            </w:pPr>
            <w:r>
              <w:t>Weekend</w:t>
            </w:r>
          </w:p>
        </w:tc>
        <w:tc>
          <w:tcPr>
            <w:tcW w:w="1660" w:type="dxa"/>
          </w:tcPr>
          <w:p w14:paraId="45764750" w14:textId="5108DAC4" w:rsidR="008F4721" w:rsidRPr="00060198" w:rsidRDefault="008F4721" w:rsidP="008F4721">
            <w:pPr>
              <w:spacing w:line="300" w:lineRule="auto"/>
              <w:ind w:firstLine="0"/>
            </w:pPr>
            <w:r>
              <w:t>241</w:t>
            </w:r>
          </w:p>
        </w:tc>
        <w:tc>
          <w:tcPr>
            <w:tcW w:w="1449" w:type="dxa"/>
          </w:tcPr>
          <w:p w14:paraId="659AAB7E" w14:textId="0BDA6104" w:rsidR="008F4721" w:rsidRPr="00060198" w:rsidRDefault="008F4721" w:rsidP="008F4721">
            <w:pPr>
              <w:spacing w:line="300" w:lineRule="auto"/>
              <w:ind w:firstLine="0"/>
            </w:pPr>
            <w:r>
              <w:t>46.00</w:t>
            </w:r>
          </w:p>
        </w:tc>
      </w:tr>
      <w:tr w:rsidR="008F4721" w14:paraId="7A27EBD9" w14:textId="77777777" w:rsidTr="002F3BFA">
        <w:tc>
          <w:tcPr>
            <w:tcW w:w="3129" w:type="dxa"/>
          </w:tcPr>
          <w:p w14:paraId="37532840" w14:textId="52B8DA98" w:rsidR="008F4721" w:rsidRDefault="008F4721" w:rsidP="008F4721">
            <w:pPr>
              <w:spacing w:line="300" w:lineRule="auto"/>
              <w:ind w:firstLine="0"/>
            </w:pPr>
            <w:r>
              <w:t>Time of the day</w:t>
            </w:r>
          </w:p>
        </w:tc>
        <w:tc>
          <w:tcPr>
            <w:tcW w:w="2068" w:type="dxa"/>
          </w:tcPr>
          <w:p w14:paraId="0C3BF725" w14:textId="52D939AC" w:rsidR="008F4721" w:rsidRDefault="008F4721" w:rsidP="008F4721">
            <w:pPr>
              <w:spacing w:line="300" w:lineRule="auto"/>
              <w:ind w:firstLine="0"/>
            </w:pPr>
            <w:r>
              <w:t>Day</w:t>
            </w:r>
          </w:p>
        </w:tc>
        <w:tc>
          <w:tcPr>
            <w:tcW w:w="1660" w:type="dxa"/>
          </w:tcPr>
          <w:p w14:paraId="7384FC63" w14:textId="281C5076" w:rsidR="008F4721" w:rsidRPr="00060198" w:rsidRDefault="008F4721" w:rsidP="008F4721">
            <w:pPr>
              <w:spacing w:line="300" w:lineRule="auto"/>
              <w:ind w:firstLine="0"/>
            </w:pPr>
            <w:r>
              <w:t>203</w:t>
            </w:r>
          </w:p>
        </w:tc>
        <w:tc>
          <w:tcPr>
            <w:tcW w:w="1449" w:type="dxa"/>
          </w:tcPr>
          <w:p w14:paraId="4FD359C6" w14:textId="11333B04" w:rsidR="008F4721" w:rsidRPr="00060198" w:rsidRDefault="008F4721" w:rsidP="008F4721">
            <w:pPr>
              <w:spacing w:line="300" w:lineRule="auto"/>
              <w:ind w:firstLine="0"/>
            </w:pPr>
            <w:r>
              <w:t>38.70</w:t>
            </w:r>
          </w:p>
        </w:tc>
      </w:tr>
      <w:tr w:rsidR="008F4721" w14:paraId="71822032" w14:textId="77777777" w:rsidTr="002F3BFA">
        <w:tc>
          <w:tcPr>
            <w:tcW w:w="3129" w:type="dxa"/>
          </w:tcPr>
          <w:p w14:paraId="688FEBC0" w14:textId="77777777" w:rsidR="008F4721" w:rsidRDefault="008F4721" w:rsidP="008F4721">
            <w:pPr>
              <w:spacing w:line="300" w:lineRule="auto"/>
              <w:ind w:firstLine="0"/>
            </w:pPr>
          </w:p>
        </w:tc>
        <w:tc>
          <w:tcPr>
            <w:tcW w:w="2068" w:type="dxa"/>
          </w:tcPr>
          <w:p w14:paraId="745411C5" w14:textId="4485038F" w:rsidR="008F4721" w:rsidRDefault="008F4721" w:rsidP="008F4721">
            <w:pPr>
              <w:spacing w:line="300" w:lineRule="auto"/>
              <w:ind w:firstLine="0"/>
            </w:pPr>
            <w:r>
              <w:t>Night</w:t>
            </w:r>
          </w:p>
        </w:tc>
        <w:tc>
          <w:tcPr>
            <w:tcW w:w="1660" w:type="dxa"/>
          </w:tcPr>
          <w:p w14:paraId="583A976B" w14:textId="4A7BB54B" w:rsidR="008F4721" w:rsidRPr="00060198" w:rsidRDefault="008F4721" w:rsidP="008F4721">
            <w:pPr>
              <w:spacing w:line="300" w:lineRule="auto"/>
              <w:ind w:firstLine="0"/>
            </w:pPr>
            <w:r>
              <w:t>321</w:t>
            </w:r>
          </w:p>
        </w:tc>
        <w:tc>
          <w:tcPr>
            <w:tcW w:w="1449" w:type="dxa"/>
          </w:tcPr>
          <w:p w14:paraId="5ACFD097" w14:textId="641BB1B6" w:rsidR="008F4721" w:rsidRPr="00060198" w:rsidRDefault="008F4721" w:rsidP="008F4721">
            <w:pPr>
              <w:spacing w:line="300" w:lineRule="auto"/>
              <w:ind w:firstLine="0"/>
            </w:pPr>
            <w:r>
              <w:t>61.30</w:t>
            </w:r>
          </w:p>
        </w:tc>
      </w:tr>
      <w:tr w:rsidR="008F4721" w14:paraId="1787E626" w14:textId="77777777" w:rsidTr="002F3BFA">
        <w:tc>
          <w:tcPr>
            <w:tcW w:w="3129" w:type="dxa"/>
          </w:tcPr>
          <w:p w14:paraId="281A1B39" w14:textId="0881BC67" w:rsidR="008F4721" w:rsidRDefault="008F4721" w:rsidP="008F4721">
            <w:pPr>
              <w:spacing w:line="300" w:lineRule="auto"/>
              <w:ind w:firstLine="0"/>
            </w:pPr>
            <w:r>
              <w:t>Weapon used</w:t>
            </w:r>
          </w:p>
        </w:tc>
        <w:tc>
          <w:tcPr>
            <w:tcW w:w="2068" w:type="dxa"/>
          </w:tcPr>
          <w:p w14:paraId="0C931355" w14:textId="5BC2D15C" w:rsidR="008F4721" w:rsidRDefault="008F4721" w:rsidP="008F4721">
            <w:pPr>
              <w:spacing w:line="300" w:lineRule="auto"/>
              <w:ind w:firstLine="0"/>
            </w:pPr>
            <w:r>
              <w:t>No</w:t>
            </w:r>
          </w:p>
        </w:tc>
        <w:tc>
          <w:tcPr>
            <w:tcW w:w="1660" w:type="dxa"/>
          </w:tcPr>
          <w:p w14:paraId="01594B25" w14:textId="3B9479D5" w:rsidR="008F4721" w:rsidRPr="00060198" w:rsidRDefault="008F4721" w:rsidP="008F4721">
            <w:pPr>
              <w:spacing w:line="300" w:lineRule="auto"/>
              <w:ind w:firstLine="0"/>
            </w:pPr>
            <w:r>
              <w:t>491</w:t>
            </w:r>
          </w:p>
        </w:tc>
        <w:tc>
          <w:tcPr>
            <w:tcW w:w="1449" w:type="dxa"/>
          </w:tcPr>
          <w:p w14:paraId="59A484CF" w14:textId="4D44F395" w:rsidR="008F4721" w:rsidRPr="00060198" w:rsidRDefault="008F4721" w:rsidP="008F4721">
            <w:pPr>
              <w:spacing w:line="300" w:lineRule="auto"/>
              <w:ind w:firstLine="0"/>
            </w:pPr>
            <w:r>
              <w:t>93.70</w:t>
            </w:r>
          </w:p>
        </w:tc>
      </w:tr>
      <w:tr w:rsidR="008F4721" w14:paraId="0A8C6D7A" w14:textId="77777777" w:rsidTr="002F3BFA">
        <w:tc>
          <w:tcPr>
            <w:tcW w:w="3129" w:type="dxa"/>
          </w:tcPr>
          <w:p w14:paraId="30D1BE1B" w14:textId="77777777" w:rsidR="008F4721" w:rsidRDefault="008F4721" w:rsidP="008F4721">
            <w:pPr>
              <w:spacing w:line="300" w:lineRule="auto"/>
              <w:ind w:firstLine="0"/>
            </w:pPr>
          </w:p>
        </w:tc>
        <w:tc>
          <w:tcPr>
            <w:tcW w:w="2068" w:type="dxa"/>
          </w:tcPr>
          <w:p w14:paraId="7976D6D0" w14:textId="0F481EBC" w:rsidR="008F4721" w:rsidRDefault="008F4721" w:rsidP="008F4721">
            <w:pPr>
              <w:spacing w:line="300" w:lineRule="auto"/>
              <w:ind w:firstLine="0"/>
            </w:pPr>
            <w:r>
              <w:t>Yes</w:t>
            </w:r>
          </w:p>
        </w:tc>
        <w:tc>
          <w:tcPr>
            <w:tcW w:w="1660" w:type="dxa"/>
          </w:tcPr>
          <w:p w14:paraId="5F1BF4ED" w14:textId="2AA0C611" w:rsidR="008F4721" w:rsidRDefault="008F4721" w:rsidP="008F4721">
            <w:pPr>
              <w:spacing w:line="300" w:lineRule="auto"/>
              <w:ind w:firstLine="0"/>
            </w:pPr>
            <w:r>
              <w:t>33</w:t>
            </w:r>
          </w:p>
        </w:tc>
        <w:tc>
          <w:tcPr>
            <w:tcW w:w="1449" w:type="dxa"/>
          </w:tcPr>
          <w:p w14:paraId="4E90229B" w14:textId="1C9D75DA" w:rsidR="008F4721" w:rsidRDefault="008F4721" w:rsidP="008F4721">
            <w:pPr>
              <w:spacing w:line="300" w:lineRule="auto"/>
              <w:ind w:firstLine="0"/>
            </w:pPr>
            <w:r>
              <w:t>6.30</w:t>
            </w:r>
          </w:p>
        </w:tc>
      </w:tr>
      <w:tr w:rsidR="008F4721" w14:paraId="73DF09DC" w14:textId="77777777" w:rsidTr="002F3BFA">
        <w:tc>
          <w:tcPr>
            <w:tcW w:w="3129" w:type="dxa"/>
          </w:tcPr>
          <w:p w14:paraId="539502CA" w14:textId="74767503" w:rsidR="008F4721" w:rsidRDefault="008F4721" w:rsidP="008F4721">
            <w:pPr>
              <w:spacing w:line="300" w:lineRule="auto"/>
              <w:ind w:firstLine="0"/>
            </w:pPr>
            <w:r>
              <w:t>Injury caused to the victim</w:t>
            </w:r>
          </w:p>
        </w:tc>
        <w:tc>
          <w:tcPr>
            <w:tcW w:w="2068" w:type="dxa"/>
          </w:tcPr>
          <w:p w14:paraId="1698E80F" w14:textId="7F73F616" w:rsidR="008F4721" w:rsidRDefault="008F4721" w:rsidP="008F4721">
            <w:pPr>
              <w:spacing w:line="300" w:lineRule="auto"/>
              <w:ind w:firstLine="0"/>
            </w:pPr>
            <w:r>
              <w:t>No</w:t>
            </w:r>
          </w:p>
        </w:tc>
        <w:tc>
          <w:tcPr>
            <w:tcW w:w="1660" w:type="dxa"/>
          </w:tcPr>
          <w:p w14:paraId="030B57C7" w14:textId="1EB4AFE4" w:rsidR="008F4721" w:rsidRPr="00060198" w:rsidRDefault="008F4721" w:rsidP="008F4721">
            <w:pPr>
              <w:spacing w:line="300" w:lineRule="auto"/>
              <w:ind w:firstLine="0"/>
            </w:pPr>
            <w:r>
              <w:t>272</w:t>
            </w:r>
          </w:p>
        </w:tc>
        <w:tc>
          <w:tcPr>
            <w:tcW w:w="1449" w:type="dxa"/>
          </w:tcPr>
          <w:p w14:paraId="653315FA" w14:textId="14CC8816" w:rsidR="008F4721" w:rsidRPr="00060198" w:rsidRDefault="008F4721" w:rsidP="008F4721">
            <w:pPr>
              <w:spacing w:line="300" w:lineRule="auto"/>
              <w:ind w:firstLine="0"/>
            </w:pPr>
            <w:r>
              <w:t>51.90</w:t>
            </w:r>
          </w:p>
        </w:tc>
      </w:tr>
      <w:tr w:rsidR="008F4721" w14:paraId="3FC1723B" w14:textId="77777777" w:rsidTr="002F3BFA">
        <w:tc>
          <w:tcPr>
            <w:tcW w:w="3129" w:type="dxa"/>
          </w:tcPr>
          <w:p w14:paraId="48E17A05" w14:textId="77777777" w:rsidR="008F4721" w:rsidRDefault="008F4721" w:rsidP="008F4721">
            <w:pPr>
              <w:spacing w:line="300" w:lineRule="auto"/>
              <w:ind w:firstLine="0"/>
            </w:pPr>
          </w:p>
        </w:tc>
        <w:tc>
          <w:tcPr>
            <w:tcW w:w="2068" w:type="dxa"/>
          </w:tcPr>
          <w:p w14:paraId="0D12EA4F" w14:textId="058D67B2" w:rsidR="008F4721" w:rsidRDefault="008F4721" w:rsidP="008F4721">
            <w:pPr>
              <w:spacing w:line="300" w:lineRule="auto"/>
              <w:ind w:firstLine="0"/>
            </w:pPr>
            <w:r>
              <w:t>Yes</w:t>
            </w:r>
          </w:p>
        </w:tc>
        <w:tc>
          <w:tcPr>
            <w:tcW w:w="1660" w:type="dxa"/>
          </w:tcPr>
          <w:p w14:paraId="29B3A008" w14:textId="1CCFD7E1" w:rsidR="008F4721" w:rsidRDefault="008F4721" w:rsidP="008F4721">
            <w:pPr>
              <w:spacing w:line="300" w:lineRule="auto"/>
              <w:ind w:firstLine="0"/>
            </w:pPr>
            <w:r>
              <w:t>252</w:t>
            </w:r>
          </w:p>
        </w:tc>
        <w:tc>
          <w:tcPr>
            <w:tcW w:w="1449" w:type="dxa"/>
          </w:tcPr>
          <w:p w14:paraId="6B0F29BF" w14:textId="6C999FC3" w:rsidR="008F4721" w:rsidRDefault="008F4721" w:rsidP="008F4721">
            <w:pPr>
              <w:spacing w:line="300" w:lineRule="auto"/>
              <w:ind w:firstLine="0"/>
            </w:pPr>
            <w:r>
              <w:t>48.10</w:t>
            </w:r>
          </w:p>
        </w:tc>
      </w:tr>
      <w:tr w:rsidR="008F4721" w14:paraId="52007B86" w14:textId="77777777" w:rsidTr="002F3BFA">
        <w:tc>
          <w:tcPr>
            <w:tcW w:w="3129" w:type="dxa"/>
          </w:tcPr>
          <w:p w14:paraId="4E8A3F4C" w14:textId="5C92F18D" w:rsidR="008F4721" w:rsidRDefault="008F4721" w:rsidP="008F4721">
            <w:pPr>
              <w:spacing w:line="300" w:lineRule="auto"/>
              <w:ind w:firstLine="0"/>
            </w:pPr>
            <w:r>
              <w:t>Victim sought medical services</w:t>
            </w:r>
          </w:p>
        </w:tc>
        <w:tc>
          <w:tcPr>
            <w:tcW w:w="2068" w:type="dxa"/>
          </w:tcPr>
          <w:p w14:paraId="28AB228C" w14:textId="0C4995DA" w:rsidR="008F4721" w:rsidRDefault="008F4721" w:rsidP="008F4721">
            <w:pPr>
              <w:spacing w:line="300" w:lineRule="auto"/>
              <w:ind w:firstLine="0"/>
            </w:pPr>
            <w:r>
              <w:t>No</w:t>
            </w:r>
          </w:p>
        </w:tc>
        <w:tc>
          <w:tcPr>
            <w:tcW w:w="1660" w:type="dxa"/>
          </w:tcPr>
          <w:p w14:paraId="485929D4" w14:textId="7E0687AF" w:rsidR="008F4721" w:rsidRPr="00060198" w:rsidRDefault="008F4721" w:rsidP="008F4721">
            <w:pPr>
              <w:spacing w:line="300" w:lineRule="auto"/>
              <w:ind w:firstLine="0"/>
            </w:pPr>
            <w:r>
              <w:t>490</w:t>
            </w:r>
          </w:p>
        </w:tc>
        <w:tc>
          <w:tcPr>
            <w:tcW w:w="1449" w:type="dxa"/>
          </w:tcPr>
          <w:p w14:paraId="1FA6831C" w14:textId="5B904D51" w:rsidR="008F4721" w:rsidRPr="00060198" w:rsidRDefault="008F4721" w:rsidP="008F4721">
            <w:pPr>
              <w:spacing w:line="300" w:lineRule="auto"/>
              <w:ind w:firstLine="0"/>
            </w:pPr>
            <w:r>
              <w:t>93.50</w:t>
            </w:r>
          </w:p>
        </w:tc>
      </w:tr>
      <w:tr w:rsidR="008F4721" w14:paraId="15C3E155" w14:textId="77777777" w:rsidTr="002F3BFA">
        <w:tc>
          <w:tcPr>
            <w:tcW w:w="3129" w:type="dxa"/>
          </w:tcPr>
          <w:p w14:paraId="3A9A0795" w14:textId="77777777" w:rsidR="008F4721" w:rsidRDefault="008F4721" w:rsidP="008F4721">
            <w:pPr>
              <w:spacing w:line="300" w:lineRule="auto"/>
              <w:ind w:firstLine="0"/>
            </w:pPr>
          </w:p>
        </w:tc>
        <w:tc>
          <w:tcPr>
            <w:tcW w:w="2068" w:type="dxa"/>
          </w:tcPr>
          <w:p w14:paraId="4221B06D" w14:textId="49F3094C" w:rsidR="008F4721" w:rsidRDefault="008F4721" w:rsidP="008F4721">
            <w:pPr>
              <w:spacing w:line="300" w:lineRule="auto"/>
              <w:ind w:firstLine="0"/>
            </w:pPr>
            <w:r>
              <w:t>Yes</w:t>
            </w:r>
          </w:p>
        </w:tc>
        <w:tc>
          <w:tcPr>
            <w:tcW w:w="1660" w:type="dxa"/>
          </w:tcPr>
          <w:p w14:paraId="217A2283" w14:textId="0BB87F88" w:rsidR="008F4721" w:rsidRDefault="008F4721" w:rsidP="008F4721">
            <w:pPr>
              <w:spacing w:line="300" w:lineRule="auto"/>
              <w:ind w:firstLine="0"/>
            </w:pPr>
            <w:r>
              <w:t>34</w:t>
            </w:r>
          </w:p>
        </w:tc>
        <w:tc>
          <w:tcPr>
            <w:tcW w:w="1449" w:type="dxa"/>
          </w:tcPr>
          <w:p w14:paraId="658AB80E" w14:textId="40012C7E" w:rsidR="008F4721" w:rsidRDefault="008F4721" w:rsidP="008F4721">
            <w:pPr>
              <w:spacing w:line="300" w:lineRule="auto"/>
              <w:ind w:firstLine="0"/>
            </w:pPr>
            <w:r>
              <w:t>6.50</w:t>
            </w:r>
          </w:p>
        </w:tc>
      </w:tr>
      <w:tr w:rsidR="008F4721" w14:paraId="20BC2ADF" w14:textId="77777777" w:rsidTr="002F3BFA">
        <w:tc>
          <w:tcPr>
            <w:tcW w:w="3129" w:type="dxa"/>
          </w:tcPr>
          <w:p w14:paraId="778F9FEA" w14:textId="0814BE6F" w:rsidR="008F4721" w:rsidRDefault="008F4721" w:rsidP="008F4721">
            <w:pPr>
              <w:spacing w:line="300" w:lineRule="auto"/>
              <w:ind w:firstLine="0"/>
            </w:pPr>
            <w:r>
              <w:t>Children witnessed/involved</w:t>
            </w:r>
          </w:p>
        </w:tc>
        <w:tc>
          <w:tcPr>
            <w:tcW w:w="2068" w:type="dxa"/>
          </w:tcPr>
          <w:p w14:paraId="5BF6C4D9" w14:textId="1EDA67F1" w:rsidR="008F4721" w:rsidRDefault="008F4721" w:rsidP="008F4721">
            <w:pPr>
              <w:spacing w:line="300" w:lineRule="auto"/>
              <w:ind w:firstLine="0"/>
            </w:pPr>
            <w:r>
              <w:t>No</w:t>
            </w:r>
          </w:p>
        </w:tc>
        <w:tc>
          <w:tcPr>
            <w:tcW w:w="1660" w:type="dxa"/>
          </w:tcPr>
          <w:p w14:paraId="24EAA7F4" w14:textId="3BD24432" w:rsidR="008F4721" w:rsidRPr="00060198" w:rsidRDefault="008F4721" w:rsidP="008F4721">
            <w:pPr>
              <w:spacing w:line="300" w:lineRule="auto"/>
              <w:ind w:firstLine="0"/>
            </w:pPr>
            <w:r>
              <w:t>454</w:t>
            </w:r>
          </w:p>
        </w:tc>
        <w:tc>
          <w:tcPr>
            <w:tcW w:w="1449" w:type="dxa"/>
          </w:tcPr>
          <w:p w14:paraId="5939FD6D" w14:textId="0C8EFC1F" w:rsidR="008F4721" w:rsidRPr="00060198" w:rsidRDefault="008F4721" w:rsidP="008F4721">
            <w:pPr>
              <w:spacing w:line="300" w:lineRule="auto"/>
              <w:ind w:firstLine="0"/>
            </w:pPr>
            <w:r>
              <w:t>86.60</w:t>
            </w:r>
          </w:p>
        </w:tc>
      </w:tr>
      <w:tr w:rsidR="008F4721" w14:paraId="20A1FCFE" w14:textId="77777777" w:rsidTr="002F3BFA">
        <w:tc>
          <w:tcPr>
            <w:tcW w:w="3129" w:type="dxa"/>
          </w:tcPr>
          <w:p w14:paraId="7075D8DA" w14:textId="77777777" w:rsidR="008F4721" w:rsidRDefault="008F4721" w:rsidP="008F4721">
            <w:pPr>
              <w:spacing w:line="300" w:lineRule="auto"/>
              <w:ind w:firstLine="0"/>
            </w:pPr>
          </w:p>
        </w:tc>
        <w:tc>
          <w:tcPr>
            <w:tcW w:w="2068" w:type="dxa"/>
          </w:tcPr>
          <w:p w14:paraId="740D141C" w14:textId="646AEF73" w:rsidR="008F4721" w:rsidRDefault="008F4721" w:rsidP="008F4721">
            <w:pPr>
              <w:spacing w:line="300" w:lineRule="auto"/>
              <w:ind w:firstLine="0"/>
            </w:pPr>
            <w:r>
              <w:t>Yes</w:t>
            </w:r>
          </w:p>
        </w:tc>
        <w:tc>
          <w:tcPr>
            <w:tcW w:w="1660" w:type="dxa"/>
          </w:tcPr>
          <w:p w14:paraId="34C96C2F" w14:textId="757105D6" w:rsidR="008F4721" w:rsidRDefault="008F4721" w:rsidP="008F4721">
            <w:pPr>
              <w:spacing w:line="300" w:lineRule="auto"/>
              <w:ind w:firstLine="0"/>
            </w:pPr>
            <w:r>
              <w:t>70</w:t>
            </w:r>
          </w:p>
        </w:tc>
        <w:tc>
          <w:tcPr>
            <w:tcW w:w="1449" w:type="dxa"/>
          </w:tcPr>
          <w:p w14:paraId="2E482436" w14:textId="0BF9D4A3" w:rsidR="008F4721" w:rsidRDefault="008F4721" w:rsidP="008F4721">
            <w:pPr>
              <w:spacing w:line="300" w:lineRule="auto"/>
              <w:ind w:firstLine="0"/>
            </w:pPr>
            <w:r>
              <w:t>13.40</w:t>
            </w:r>
          </w:p>
        </w:tc>
      </w:tr>
      <w:tr w:rsidR="008F4721" w14:paraId="5DC9D83D" w14:textId="77777777" w:rsidTr="002F3BFA">
        <w:tc>
          <w:tcPr>
            <w:tcW w:w="3129" w:type="dxa"/>
          </w:tcPr>
          <w:p w14:paraId="5015D5E9" w14:textId="0A5F284A" w:rsidR="008F4721" w:rsidRDefault="008F4721" w:rsidP="008F4721">
            <w:pPr>
              <w:spacing w:line="300" w:lineRule="auto"/>
              <w:ind w:firstLine="0"/>
            </w:pPr>
            <w:r>
              <w:t>DASH risk assessment level</w:t>
            </w:r>
          </w:p>
        </w:tc>
        <w:tc>
          <w:tcPr>
            <w:tcW w:w="2068" w:type="dxa"/>
          </w:tcPr>
          <w:p w14:paraId="70BC37B0" w14:textId="7F9965C3" w:rsidR="008F4721" w:rsidRDefault="008F4721" w:rsidP="008F4721">
            <w:pPr>
              <w:spacing w:line="300" w:lineRule="auto"/>
              <w:ind w:firstLine="0"/>
            </w:pPr>
            <w:r>
              <w:t>Standard</w:t>
            </w:r>
          </w:p>
        </w:tc>
        <w:tc>
          <w:tcPr>
            <w:tcW w:w="1660" w:type="dxa"/>
          </w:tcPr>
          <w:p w14:paraId="7FB1584A" w14:textId="3AE1E399" w:rsidR="008F4721" w:rsidRDefault="008F4721" w:rsidP="008F4721">
            <w:pPr>
              <w:spacing w:line="300" w:lineRule="auto"/>
              <w:ind w:firstLine="0"/>
            </w:pPr>
            <w:r>
              <w:t>99</w:t>
            </w:r>
          </w:p>
        </w:tc>
        <w:tc>
          <w:tcPr>
            <w:tcW w:w="1449" w:type="dxa"/>
          </w:tcPr>
          <w:p w14:paraId="51950ABD" w14:textId="06E544DE" w:rsidR="008F4721" w:rsidRDefault="008F4721" w:rsidP="008F4721">
            <w:pPr>
              <w:spacing w:line="300" w:lineRule="auto"/>
              <w:ind w:firstLine="0"/>
            </w:pPr>
            <w:r>
              <w:t>18.90</w:t>
            </w:r>
          </w:p>
        </w:tc>
      </w:tr>
      <w:tr w:rsidR="008F4721" w14:paraId="03C41B59" w14:textId="77777777" w:rsidTr="002F3BFA">
        <w:tc>
          <w:tcPr>
            <w:tcW w:w="3129" w:type="dxa"/>
          </w:tcPr>
          <w:p w14:paraId="2379855D" w14:textId="77777777" w:rsidR="008F4721" w:rsidRDefault="008F4721" w:rsidP="008F4721">
            <w:pPr>
              <w:spacing w:line="300" w:lineRule="auto"/>
              <w:ind w:firstLine="0"/>
            </w:pPr>
          </w:p>
        </w:tc>
        <w:tc>
          <w:tcPr>
            <w:tcW w:w="2068" w:type="dxa"/>
          </w:tcPr>
          <w:p w14:paraId="07FDF52A" w14:textId="248FBBC9" w:rsidR="008F4721" w:rsidRDefault="008F4721" w:rsidP="008F4721">
            <w:pPr>
              <w:spacing w:line="300" w:lineRule="auto"/>
              <w:ind w:firstLine="0"/>
            </w:pPr>
            <w:r>
              <w:t>Medium</w:t>
            </w:r>
          </w:p>
        </w:tc>
        <w:tc>
          <w:tcPr>
            <w:tcW w:w="1660" w:type="dxa"/>
          </w:tcPr>
          <w:p w14:paraId="34B2FE76" w14:textId="3923DE45" w:rsidR="008F4721" w:rsidRDefault="008F4721" w:rsidP="008F4721">
            <w:pPr>
              <w:spacing w:line="300" w:lineRule="auto"/>
              <w:ind w:firstLine="0"/>
            </w:pPr>
            <w:r>
              <w:t>252</w:t>
            </w:r>
          </w:p>
        </w:tc>
        <w:tc>
          <w:tcPr>
            <w:tcW w:w="1449" w:type="dxa"/>
          </w:tcPr>
          <w:p w14:paraId="51D8C32B" w14:textId="3012C526" w:rsidR="008F4721" w:rsidRDefault="008F4721" w:rsidP="008F4721">
            <w:pPr>
              <w:spacing w:line="300" w:lineRule="auto"/>
              <w:ind w:firstLine="0"/>
            </w:pPr>
            <w:r>
              <w:t>48.10</w:t>
            </w:r>
          </w:p>
        </w:tc>
      </w:tr>
      <w:tr w:rsidR="008F4721" w14:paraId="677FB022" w14:textId="77777777" w:rsidTr="002F3BFA">
        <w:tc>
          <w:tcPr>
            <w:tcW w:w="3129" w:type="dxa"/>
          </w:tcPr>
          <w:p w14:paraId="1559C6D4" w14:textId="77777777" w:rsidR="008F4721" w:rsidRDefault="008F4721" w:rsidP="008F4721">
            <w:pPr>
              <w:spacing w:line="300" w:lineRule="auto"/>
              <w:ind w:firstLine="0"/>
            </w:pPr>
          </w:p>
        </w:tc>
        <w:tc>
          <w:tcPr>
            <w:tcW w:w="2068" w:type="dxa"/>
          </w:tcPr>
          <w:p w14:paraId="302D6DE9" w14:textId="5B22129A" w:rsidR="008F4721" w:rsidRDefault="008F4721" w:rsidP="008F4721">
            <w:pPr>
              <w:spacing w:line="300" w:lineRule="auto"/>
              <w:ind w:firstLine="0"/>
            </w:pPr>
            <w:r>
              <w:t>High</w:t>
            </w:r>
          </w:p>
        </w:tc>
        <w:tc>
          <w:tcPr>
            <w:tcW w:w="1660" w:type="dxa"/>
          </w:tcPr>
          <w:p w14:paraId="59DE54A4" w14:textId="453088F1" w:rsidR="008F4721" w:rsidRDefault="008F4721" w:rsidP="008F4721">
            <w:pPr>
              <w:spacing w:line="300" w:lineRule="auto"/>
              <w:ind w:firstLine="0"/>
            </w:pPr>
            <w:r>
              <w:t>173</w:t>
            </w:r>
          </w:p>
        </w:tc>
        <w:tc>
          <w:tcPr>
            <w:tcW w:w="1449" w:type="dxa"/>
          </w:tcPr>
          <w:p w14:paraId="4161FEFB" w14:textId="72026E13" w:rsidR="008F4721" w:rsidRDefault="008F4721" w:rsidP="008F4721">
            <w:pPr>
              <w:spacing w:line="300" w:lineRule="auto"/>
              <w:ind w:firstLine="0"/>
            </w:pPr>
            <w:r>
              <w:t>33.00</w:t>
            </w:r>
          </w:p>
        </w:tc>
      </w:tr>
      <w:tr w:rsidR="008F4721" w14:paraId="58CD67A6" w14:textId="77777777" w:rsidTr="002F3BFA">
        <w:tc>
          <w:tcPr>
            <w:tcW w:w="3129" w:type="dxa"/>
          </w:tcPr>
          <w:p w14:paraId="2894F719" w14:textId="6245B7A6" w:rsidR="008F4721" w:rsidRDefault="008F4721" w:rsidP="008F4721">
            <w:pPr>
              <w:spacing w:line="300" w:lineRule="auto"/>
              <w:ind w:firstLine="0"/>
            </w:pPr>
            <w:r>
              <w:t>Crime was detected</w:t>
            </w:r>
          </w:p>
        </w:tc>
        <w:tc>
          <w:tcPr>
            <w:tcW w:w="2068" w:type="dxa"/>
          </w:tcPr>
          <w:p w14:paraId="75D83F63" w14:textId="27A3591C" w:rsidR="008F4721" w:rsidRDefault="008F4721" w:rsidP="008F4721">
            <w:pPr>
              <w:spacing w:line="300" w:lineRule="auto"/>
              <w:ind w:firstLine="0"/>
            </w:pPr>
            <w:r>
              <w:t>No</w:t>
            </w:r>
          </w:p>
        </w:tc>
        <w:tc>
          <w:tcPr>
            <w:tcW w:w="1660" w:type="dxa"/>
          </w:tcPr>
          <w:p w14:paraId="0404B9D8" w14:textId="409E600A" w:rsidR="008F4721" w:rsidRDefault="008F4721" w:rsidP="008F4721">
            <w:pPr>
              <w:spacing w:line="300" w:lineRule="auto"/>
              <w:ind w:firstLine="0"/>
            </w:pPr>
            <w:r>
              <w:t>220</w:t>
            </w:r>
          </w:p>
        </w:tc>
        <w:tc>
          <w:tcPr>
            <w:tcW w:w="1449" w:type="dxa"/>
          </w:tcPr>
          <w:p w14:paraId="445A5721" w14:textId="16D72372" w:rsidR="008F4721" w:rsidRDefault="008F4721" w:rsidP="008F4721">
            <w:pPr>
              <w:spacing w:line="300" w:lineRule="auto"/>
              <w:ind w:firstLine="0"/>
            </w:pPr>
            <w:r>
              <w:t>42.00</w:t>
            </w:r>
          </w:p>
        </w:tc>
      </w:tr>
      <w:tr w:rsidR="008F4721" w14:paraId="3F84B73E" w14:textId="77777777" w:rsidTr="002F3BFA">
        <w:tc>
          <w:tcPr>
            <w:tcW w:w="3129" w:type="dxa"/>
          </w:tcPr>
          <w:p w14:paraId="5B0E4343" w14:textId="77777777" w:rsidR="008F4721" w:rsidRDefault="008F4721" w:rsidP="008F4721">
            <w:pPr>
              <w:spacing w:line="300" w:lineRule="auto"/>
              <w:ind w:firstLine="0"/>
            </w:pPr>
          </w:p>
        </w:tc>
        <w:tc>
          <w:tcPr>
            <w:tcW w:w="2068" w:type="dxa"/>
          </w:tcPr>
          <w:p w14:paraId="4D375A20" w14:textId="56778EA6" w:rsidR="008F4721" w:rsidRDefault="008F4721" w:rsidP="008F4721">
            <w:pPr>
              <w:spacing w:line="300" w:lineRule="auto"/>
              <w:ind w:firstLine="0"/>
            </w:pPr>
            <w:r>
              <w:t>Yes</w:t>
            </w:r>
          </w:p>
        </w:tc>
        <w:tc>
          <w:tcPr>
            <w:tcW w:w="1660" w:type="dxa"/>
          </w:tcPr>
          <w:p w14:paraId="5F894FF8" w14:textId="43A86606" w:rsidR="008F4721" w:rsidRDefault="008F4721" w:rsidP="008F4721">
            <w:pPr>
              <w:spacing w:line="300" w:lineRule="auto"/>
              <w:ind w:firstLine="0"/>
            </w:pPr>
            <w:r>
              <w:t>304</w:t>
            </w:r>
          </w:p>
        </w:tc>
        <w:tc>
          <w:tcPr>
            <w:tcW w:w="1449" w:type="dxa"/>
          </w:tcPr>
          <w:p w14:paraId="31CDCED6" w14:textId="2E5EC75A" w:rsidR="008F4721" w:rsidRDefault="008F4721" w:rsidP="008F4721">
            <w:pPr>
              <w:spacing w:line="300" w:lineRule="auto"/>
              <w:ind w:firstLine="0"/>
            </w:pPr>
            <w:r>
              <w:t>58.00</w:t>
            </w:r>
          </w:p>
        </w:tc>
      </w:tr>
      <w:tr w:rsidR="008F4721" w14:paraId="0A9286DC" w14:textId="77777777" w:rsidTr="002F3BFA">
        <w:tc>
          <w:tcPr>
            <w:tcW w:w="3129" w:type="dxa"/>
          </w:tcPr>
          <w:p w14:paraId="617694A5" w14:textId="05129301" w:rsidR="008F4721" w:rsidRDefault="008F4721" w:rsidP="008F4721">
            <w:pPr>
              <w:spacing w:line="300" w:lineRule="auto"/>
              <w:ind w:firstLine="0"/>
            </w:pPr>
            <w:r>
              <w:t>Location of offence</w:t>
            </w:r>
          </w:p>
        </w:tc>
        <w:tc>
          <w:tcPr>
            <w:tcW w:w="2068" w:type="dxa"/>
          </w:tcPr>
          <w:p w14:paraId="1D3176F4" w14:textId="349E2F88" w:rsidR="008F4721" w:rsidRDefault="008F4721" w:rsidP="008F4721">
            <w:pPr>
              <w:spacing w:line="300" w:lineRule="auto"/>
              <w:ind w:firstLine="0"/>
            </w:pPr>
            <w:r>
              <w:t>Shared home</w:t>
            </w:r>
          </w:p>
        </w:tc>
        <w:tc>
          <w:tcPr>
            <w:tcW w:w="1660" w:type="dxa"/>
          </w:tcPr>
          <w:p w14:paraId="0DAD2F88" w14:textId="339247A7" w:rsidR="008F4721" w:rsidRDefault="008F4721" w:rsidP="008F4721">
            <w:pPr>
              <w:spacing w:line="300" w:lineRule="auto"/>
              <w:ind w:firstLine="0"/>
            </w:pPr>
            <w:r>
              <w:t>132</w:t>
            </w:r>
          </w:p>
        </w:tc>
        <w:tc>
          <w:tcPr>
            <w:tcW w:w="1449" w:type="dxa"/>
          </w:tcPr>
          <w:p w14:paraId="4805336C" w14:textId="0DD3A3F1" w:rsidR="008F4721" w:rsidRDefault="008F4721" w:rsidP="008F4721">
            <w:pPr>
              <w:spacing w:line="300" w:lineRule="auto"/>
              <w:ind w:firstLine="0"/>
            </w:pPr>
            <w:r>
              <w:t>25.20</w:t>
            </w:r>
          </w:p>
        </w:tc>
      </w:tr>
      <w:tr w:rsidR="008F4721" w14:paraId="5A1B89B7" w14:textId="77777777" w:rsidTr="002F3BFA">
        <w:tc>
          <w:tcPr>
            <w:tcW w:w="3129" w:type="dxa"/>
          </w:tcPr>
          <w:p w14:paraId="6DC5728B" w14:textId="38A8E1A8" w:rsidR="008F4721" w:rsidRDefault="008F4721" w:rsidP="008F4721">
            <w:pPr>
              <w:spacing w:line="300" w:lineRule="auto"/>
              <w:ind w:firstLine="0"/>
            </w:pPr>
          </w:p>
        </w:tc>
        <w:tc>
          <w:tcPr>
            <w:tcW w:w="2068" w:type="dxa"/>
          </w:tcPr>
          <w:p w14:paraId="4AC82DEA" w14:textId="0B4518F7" w:rsidR="008F4721" w:rsidRDefault="008F4721" w:rsidP="008F4721">
            <w:pPr>
              <w:spacing w:line="300" w:lineRule="auto"/>
              <w:ind w:firstLine="0"/>
            </w:pPr>
            <w:r>
              <w:t>Perpetrator’s address</w:t>
            </w:r>
          </w:p>
        </w:tc>
        <w:tc>
          <w:tcPr>
            <w:tcW w:w="1660" w:type="dxa"/>
          </w:tcPr>
          <w:p w14:paraId="7C9647BD" w14:textId="74DB68FC" w:rsidR="008F4721" w:rsidRPr="00060198" w:rsidRDefault="008F4721" w:rsidP="008F4721">
            <w:pPr>
              <w:spacing w:line="300" w:lineRule="auto"/>
              <w:ind w:firstLine="0"/>
            </w:pPr>
            <w:r>
              <w:t>36</w:t>
            </w:r>
          </w:p>
        </w:tc>
        <w:tc>
          <w:tcPr>
            <w:tcW w:w="1449" w:type="dxa"/>
          </w:tcPr>
          <w:p w14:paraId="2C4B26C8" w14:textId="205780A9" w:rsidR="008F4721" w:rsidRPr="00060198" w:rsidRDefault="008F4721" w:rsidP="008F4721">
            <w:pPr>
              <w:spacing w:line="300" w:lineRule="auto"/>
              <w:ind w:firstLine="0"/>
            </w:pPr>
            <w:r>
              <w:t>6.90</w:t>
            </w:r>
          </w:p>
        </w:tc>
      </w:tr>
      <w:tr w:rsidR="008F4721" w14:paraId="5CF5C4E9" w14:textId="77777777" w:rsidTr="002F3BFA">
        <w:tc>
          <w:tcPr>
            <w:tcW w:w="3129" w:type="dxa"/>
          </w:tcPr>
          <w:p w14:paraId="6D7F211F" w14:textId="77777777" w:rsidR="008F4721" w:rsidRDefault="008F4721" w:rsidP="008F4721">
            <w:pPr>
              <w:spacing w:line="300" w:lineRule="auto"/>
              <w:ind w:firstLine="0"/>
            </w:pPr>
          </w:p>
        </w:tc>
        <w:tc>
          <w:tcPr>
            <w:tcW w:w="2068" w:type="dxa"/>
          </w:tcPr>
          <w:p w14:paraId="412694D4" w14:textId="57EFA9A3" w:rsidR="008F4721" w:rsidRDefault="008F4721" w:rsidP="008F4721">
            <w:pPr>
              <w:spacing w:line="300" w:lineRule="auto"/>
              <w:ind w:firstLine="0"/>
            </w:pPr>
            <w:r>
              <w:t>Victim’s address</w:t>
            </w:r>
          </w:p>
        </w:tc>
        <w:tc>
          <w:tcPr>
            <w:tcW w:w="1660" w:type="dxa"/>
          </w:tcPr>
          <w:p w14:paraId="00285885" w14:textId="204BAEAE" w:rsidR="008F4721" w:rsidRPr="00060198" w:rsidRDefault="008F4721" w:rsidP="008F4721">
            <w:pPr>
              <w:spacing w:line="300" w:lineRule="auto"/>
              <w:ind w:firstLine="0"/>
            </w:pPr>
            <w:r>
              <w:t>99</w:t>
            </w:r>
          </w:p>
        </w:tc>
        <w:tc>
          <w:tcPr>
            <w:tcW w:w="1449" w:type="dxa"/>
          </w:tcPr>
          <w:p w14:paraId="26D88F14" w14:textId="1279023C" w:rsidR="008F4721" w:rsidRPr="00060198" w:rsidRDefault="008F4721" w:rsidP="008F4721">
            <w:pPr>
              <w:spacing w:line="300" w:lineRule="auto"/>
              <w:ind w:firstLine="0"/>
            </w:pPr>
            <w:r>
              <w:t>18.90</w:t>
            </w:r>
          </w:p>
        </w:tc>
      </w:tr>
      <w:tr w:rsidR="008F4721" w14:paraId="56702DD4" w14:textId="77777777" w:rsidTr="002F3BFA">
        <w:tc>
          <w:tcPr>
            <w:tcW w:w="3129" w:type="dxa"/>
          </w:tcPr>
          <w:p w14:paraId="5B901448" w14:textId="77777777" w:rsidR="008F4721" w:rsidRDefault="008F4721" w:rsidP="008F4721">
            <w:pPr>
              <w:spacing w:line="300" w:lineRule="auto"/>
              <w:ind w:firstLine="0"/>
            </w:pPr>
          </w:p>
        </w:tc>
        <w:tc>
          <w:tcPr>
            <w:tcW w:w="2068" w:type="dxa"/>
          </w:tcPr>
          <w:p w14:paraId="4166EEBD" w14:textId="4757740A" w:rsidR="008F4721" w:rsidRDefault="008F4721" w:rsidP="008F4721">
            <w:pPr>
              <w:spacing w:line="300" w:lineRule="auto"/>
              <w:ind w:firstLine="0"/>
            </w:pPr>
            <w:r>
              <w:t>Other address</w:t>
            </w:r>
          </w:p>
        </w:tc>
        <w:tc>
          <w:tcPr>
            <w:tcW w:w="1660" w:type="dxa"/>
          </w:tcPr>
          <w:p w14:paraId="24E1A7AC" w14:textId="010B7EF9" w:rsidR="008F4721" w:rsidRPr="00060198" w:rsidRDefault="008F4721" w:rsidP="008F4721">
            <w:pPr>
              <w:spacing w:line="300" w:lineRule="auto"/>
              <w:ind w:firstLine="0"/>
            </w:pPr>
            <w:r>
              <w:t>21</w:t>
            </w:r>
          </w:p>
        </w:tc>
        <w:tc>
          <w:tcPr>
            <w:tcW w:w="1449" w:type="dxa"/>
          </w:tcPr>
          <w:p w14:paraId="7FEA313F" w14:textId="3112DA0B" w:rsidR="008F4721" w:rsidRPr="00060198" w:rsidRDefault="008F4721" w:rsidP="008F4721">
            <w:pPr>
              <w:spacing w:line="300" w:lineRule="auto"/>
              <w:ind w:firstLine="0"/>
            </w:pPr>
            <w:r>
              <w:t>4.00</w:t>
            </w:r>
          </w:p>
        </w:tc>
      </w:tr>
    </w:tbl>
    <w:p w14:paraId="7E111DD9" w14:textId="77777777" w:rsidR="006D5EE7" w:rsidRDefault="006D5EE7" w:rsidP="00D26A63">
      <w:pPr>
        <w:ind w:firstLine="0"/>
      </w:pPr>
    </w:p>
    <w:p w14:paraId="6C5A2FE6" w14:textId="0E6B8CDC" w:rsidR="00C33CF3" w:rsidRDefault="00B11626" w:rsidP="00C33CF3">
      <w:pPr>
        <w:spacing w:after="200" w:line="276" w:lineRule="auto"/>
        <w:ind w:firstLine="0"/>
      </w:pPr>
      <w:r>
        <w:br w:type="page"/>
      </w:r>
    </w:p>
    <w:p w14:paraId="5AEC81EA" w14:textId="260687C2" w:rsidR="00C33CF3" w:rsidRDefault="00C33CF3" w:rsidP="00C33CF3">
      <w:pPr>
        <w:ind w:firstLine="0"/>
      </w:pPr>
      <w:r>
        <w:t xml:space="preserve">Table 2  </w:t>
      </w:r>
    </w:p>
    <w:p w14:paraId="0225677E" w14:textId="718C2794" w:rsidR="00C33CF3" w:rsidRPr="00C33CF3" w:rsidRDefault="00C33CF3" w:rsidP="00D26A63">
      <w:pPr>
        <w:ind w:firstLine="0"/>
        <w:rPr>
          <w:i/>
        </w:rPr>
      </w:pPr>
      <w:r>
        <w:rPr>
          <w:i/>
        </w:rPr>
        <w:t>Results of multinomial logistic regression for all predictor variables, comparing formal retractions and disengagement to reference category (where victims maintained engagement)</w:t>
      </w:r>
    </w:p>
    <w:p w14:paraId="6349F65F" w14:textId="5F31DCAD" w:rsidR="006D5EE7" w:rsidRPr="00105BE9" w:rsidRDefault="006D5EE7" w:rsidP="00F15B05">
      <w:pPr>
        <w:spacing w:line="240" w:lineRule="auto"/>
        <w:ind w:firstLine="0"/>
        <w:rPr>
          <w:i/>
        </w:rPr>
      </w:pPr>
    </w:p>
    <w:tbl>
      <w:tblPr>
        <w:tblStyle w:val="TableGrid"/>
        <w:tblW w:w="0" w:type="auto"/>
        <w:tblLook w:val="04A0" w:firstRow="1" w:lastRow="0" w:firstColumn="1" w:lastColumn="0" w:noHBand="0" w:noVBand="1"/>
      </w:tblPr>
      <w:tblGrid>
        <w:gridCol w:w="2273"/>
        <w:gridCol w:w="1320"/>
        <w:gridCol w:w="1122"/>
        <w:gridCol w:w="1660"/>
        <w:gridCol w:w="1931"/>
      </w:tblGrid>
      <w:tr w:rsidR="006D5EE7" w14:paraId="3CEE6BB9" w14:textId="77777777" w:rsidTr="00C33CF3">
        <w:tc>
          <w:tcPr>
            <w:tcW w:w="2273" w:type="dxa"/>
            <w:tcBorders>
              <w:left w:val="nil"/>
              <w:bottom w:val="nil"/>
              <w:right w:val="nil"/>
            </w:tcBorders>
            <w:vAlign w:val="center"/>
          </w:tcPr>
          <w:p w14:paraId="277D9938" w14:textId="77777777" w:rsidR="006D5EE7" w:rsidRDefault="006D5EE7" w:rsidP="00D26A63">
            <w:pPr>
              <w:spacing w:line="360" w:lineRule="auto"/>
              <w:ind w:firstLine="0"/>
            </w:pPr>
            <w:r>
              <w:t>Variable</w:t>
            </w:r>
          </w:p>
        </w:tc>
        <w:tc>
          <w:tcPr>
            <w:tcW w:w="1320" w:type="dxa"/>
            <w:tcBorders>
              <w:left w:val="nil"/>
              <w:bottom w:val="nil"/>
              <w:right w:val="nil"/>
            </w:tcBorders>
            <w:vAlign w:val="center"/>
          </w:tcPr>
          <w:p w14:paraId="186BB2BE" w14:textId="77777777" w:rsidR="006D5EE7" w:rsidRPr="007F4A38" w:rsidRDefault="006D5EE7" w:rsidP="00D26A63">
            <w:pPr>
              <w:spacing w:line="360" w:lineRule="auto"/>
              <w:ind w:firstLine="0"/>
              <w:jc w:val="center"/>
              <w:rPr>
                <w:i/>
              </w:rPr>
            </w:pPr>
            <w:r>
              <w:t>B (SE)</w:t>
            </w:r>
          </w:p>
        </w:tc>
        <w:tc>
          <w:tcPr>
            <w:tcW w:w="1122" w:type="dxa"/>
            <w:tcBorders>
              <w:left w:val="nil"/>
              <w:bottom w:val="nil"/>
              <w:right w:val="nil"/>
            </w:tcBorders>
            <w:vAlign w:val="center"/>
          </w:tcPr>
          <w:p w14:paraId="76B4DBBE" w14:textId="77777777" w:rsidR="006D5EE7" w:rsidRPr="007F4A38" w:rsidRDefault="006D5EE7" w:rsidP="00D26A63">
            <w:pPr>
              <w:spacing w:line="360" w:lineRule="auto"/>
              <w:ind w:firstLine="0"/>
              <w:jc w:val="center"/>
            </w:pPr>
            <w:r>
              <w:t>Exp(B)</w:t>
            </w:r>
          </w:p>
        </w:tc>
        <w:tc>
          <w:tcPr>
            <w:tcW w:w="3591" w:type="dxa"/>
            <w:gridSpan w:val="2"/>
            <w:tcBorders>
              <w:left w:val="nil"/>
              <w:bottom w:val="single" w:sz="4" w:space="0" w:color="auto"/>
              <w:right w:val="nil"/>
            </w:tcBorders>
            <w:vAlign w:val="center"/>
          </w:tcPr>
          <w:p w14:paraId="135EF51F" w14:textId="77777777" w:rsidR="006D5EE7" w:rsidRDefault="006D5EE7" w:rsidP="00D26A63">
            <w:pPr>
              <w:spacing w:line="360" w:lineRule="auto"/>
              <w:ind w:firstLine="0"/>
              <w:jc w:val="center"/>
            </w:pPr>
            <w:r>
              <w:t>95% confidence interval for Exp(B)</w:t>
            </w:r>
          </w:p>
        </w:tc>
      </w:tr>
      <w:tr w:rsidR="006D5EE7" w14:paraId="66A880C5" w14:textId="77777777" w:rsidTr="00C33CF3">
        <w:tc>
          <w:tcPr>
            <w:tcW w:w="2273" w:type="dxa"/>
            <w:tcBorders>
              <w:top w:val="nil"/>
              <w:left w:val="nil"/>
              <w:bottom w:val="single" w:sz="4" w:space="0" w:color="auto"/>
              <w:right w:val="nil"/>
            </w:tcBorders>
            <w:vAlign w:val="center"/>
          </w:tcPr>
          <w:p w14:paraId="21A75A4C" w14:textId="77777777" w:rsidR="006D5EE7" w:rsidRDefault="006D5EE7" w:rsidP="00D26A63">
            <w:pPr>
              <w:spacing w:line="360" w:lineRule="auto"/>
              <w:ind w:firstLine="0"/>
            </w:pPr>
          </w:p>
        </w:tc>
        <w:tc>
          <w:tcPr>
            <w:tcW w:w="1320" w:type="dxa"/>
            <w:tcBorders>
              <w:top w:val="nil"/>
              <w:left w:val="nil"/>
              <w:bottom w:val="single" w:sz="4" w:space="0" w:color="auto"/>
              <w:right w:val="nil"/>
            </w:tcBorders>
            <w:vAlign w:val="center"/>
          </w:tcPr>
          <w:p w14:paraId="2C3FD107" w14:textId="77777777" w:rsidR="006D5EE7" w:rsidRDefault="006D5EE7" w:rsidP="00D26A63">
            <w:pPr>
              <w:spacing w:line="360" w:lineRule="auto"/>
              <w:ind w:firstLine="0"/>
              <w:jc w:val="center"/>
            </w:pPr>
          </w:p>
        </w:tc>
        <w:tc>
          <w:tcPr>
            <w:tcW w:w="1122" w:type="dxa"/>
            <w:tcBorders>
              <w:top w:val="nil"/>
              <w:left w:val="nil"/>
              <w:bottom w:val="single" w:sz="4" w:space="0" w:color="auto"/>
              <w:right w:val="nil"/>
            </w:tcBorders>
            <w:vAlign w:val="center"/>
          </w:tcPr>
          <w:p w14:paraId="2742D4F5" w14:textId="77777777" w:rsidR="006D5EE7" w:rsidRDefault="006D5EE7" w:rsidP="00D26A63">
            <w:pPr>
              <w:spacing w:line="360" w:lineRule="auto"/>
              <w:ind w:firstLine="0"/>
              <w:jc w:val="center"/>
            </w:pPr>
          </w:p>
        </w:tc>
        <w:tc>
          <w:tcPr>
            <w:tcW w:w="1660" w:type="dxa"/>
            <w:tcBorders>
              <w:left w:val="nil"/>
              <w:bottom w:val="single" w:sz="4" w:space="0" w:color="auto"/>
              <w:right w:val="single" w:sz="4" w:space="0" w:color="auto"/>
            </w:tcBorders>
            <w:vAlign w:val="center"/>
          </w:tcPr>
          <w:p w14:paraId="49F0858F" w14:textId="77777777" w:rsidR="006D5EE7" w:rsidRDefault="006D5EE7" w:rsidP="00D26A63">
            <w:pPr>
              <w:spacing w:line="360" w:lineRule="auto"/>
              <w:ind w:firstLine="0"/>
              <w:jc w:val="center"/>
            </w:pPr>
            <w:r>
              <w:t>Lower bound</w:t>
            </w:r>
          </w:p>
        </w:tc>
        <w:tc>
          <w:tcPr>
            <w:tcW w:w="1931" w:type="dxa"/>
            <w:tcBorders>
              <w:left w:val="single" w:sz="4" w:space="0" w:color="auto"/>
              <w:bottom w:val="single" w:sz="4" w:space="0" w:color="auto"/>
              <w:right w:val="nil"/>
            </w:tcBorders>
            <w:vAlign w:val="center"/>
          </w:tcPr>
          <w:p w14:paraId="2B408E86" w14:textId="77777777" w:rsidR="006D5EE7" w:rsidRDefault="006D5EE7" w:rsidP="00D26A63">
            <w:pPr>
              <w:spacing w:line="360" w:lineRule="auto"/>
              <w:ind w:firstLine="0"/>
              <w:jc w:val="center"/>
            </w:pPr>
            <w:r>
              <w:t>Upper bound</w:t>
            </w:r>
          </w:p>
        </w:tc>
      </w:tr>
      <w:tr w:rsidR="00D21F7D" w14:paraId="48751BC4" w14:textId="77777777" w:rsidTr="00C33CF3">
        <w:tc>
          <w:tcPr>
            <w:tcW w:w="8306" w:type="dxa"/>
            <w:gridSpan w:val="5"/>
            <w:tcBorders>
              <w:top w:val="single" w:sz="4" w:space="0" w:color="auto"/>
              <w:left w:val="nil"/>
              <w:bottom w:val="nil"/>
              <w:right w:val="nil"/>
            </w:tcBorders>
            <w:vAlign w:val="center"/>
          </w:tcPr>
          <w:p w14:paraId="6960FA74" w14:textId="77777777" w:rsidR="00D21F7D" w:rsidRPr="00D26A63" w:rsidRDefault="00D21F7D" w:rsidP="00D26A63">
            <w:pPr>
              <w:spacing w:line="360" w:lineRule="auto"/>
              <w:ind w:firstLine="0"/>
              <w:rPr>
                <w:i/>
              </w:rPr>
            </w:pPr>
            <w:r w:rsidRPr="00D26A63">
              <w:rPr>
                <w:i/>
              </w:rPr>
              <w:t xml:space="preserve">Comparison between </w:t>
            </w:r>
            <w:r>
              <w:rPr>
                <w:i/>
              </w:rPr>
              <w:t xml:space="preserve">cases where there was </w:t>
            </w:r>
            <w:r w:rsidRPr="00D26A63">
              <w:rPr>
                <w:i/>
              </w:rPr>
              <w:t>formal retraction</w:t>
            </w:r>
            <w:r>
              <w:rPr>
                <w:i/>
              </w:rPr>
              <w:t xml:space="preserve"> with cases where victims maintained engagement</w:t>
            </w:r>
          </w:p>
        </w:tc>
      </w:tr>
      <w:tr w:rsidR="00C33CF3" w14:paraId="18EE722E" w14:textId="77777777" w:rsidTr="00C33CF3">
        <w:tc>
          <w:tcPr>
            <w:tcW w:w="2273" w:type="dxa"/>
            <w:tcBorders>
              <w:top w:val="single" w:sz="4" w:space="0" w:color="auto"/>
              <w:left w:val="nil"/>
              <w:bottom w:val="nil"/>
              <w:right w:val="nil"/>
            </w:tcBorders>
            <w:vAlign w:val="center"/>
          </w:tcPr>
          <w:p w14:paraId="4FB7100F" w14:textId="3FC13DD6" w:rsidR="00C33CF3" w:rsidRDefault="00C33CF3" w:rsidP="00C33CF3">
            <w:pPr>
              <w:spacing w:line="360" w:lineRule="auto"/>
              <w:ind w:firstLine="0"/>
            </w:pPr>
            <w:r>
              <w:t>Intercept</w:t>
            </w:r>
          </w:p>
        </w:tc>
        <w:tc>
          <w:tcPr>
            <w:tcW w:w="1320" w:type="dxa"/>
            <w:tcBorders>
              <w:top w:val="single" w:sz="4" w:space="0" w:color="auto"/>
              <w:left w:val="nil"/>
              <w:bottom w:val="nil"/>
              <w:right w:val="nil"/>
            </w:tcBorders>
            <w:vAlign w:val="center"/>
          </w:tcPr>
          <w:p w14:paraId="3CEFF1D5" w14:textId="6237DCDE" w:rsidR="00C33CF3" w:rsidRDefault="00C33CF3" w:rsidP="00C33CF3">
            <w:pPr>
              <w:spacing w:line="360" w:lineRule="auto"/>
              <w:ind w:firstLine="0"/>
              <w:jc w:val="center"/>
            </w:pPr>
            <w:r>
              <w:t>-1.82 (.75)*</w:t>
            </w:r>
          </w:p>
        </w:tc>
        <w:tc>
          <w:tcPr>
            <w:tcW w:w="1122" w:type="dxa"/>
            <w:tcBorders>
              <w:top w:val="single" w:sz="4" w:space="0" w:color="auto"/>
              <w:left w:val="nil"/>
              <w:bottom w:val="nil"/>
              <w:right w:val="nil"/>
            </w:tcBorders>
            <w:vAlign w:val="center"/>
          </w:tcPr>
          <w:p w14:paraId="5C1D3ECF" w14:textId="77777777" w:rsidR="00C33CF3" w:rsidRDefault="00C33CF3" w:rsidP="00C33CF3">
            <w:pPr>
              <w:spacing w:line="360" w:lineRule="auto"/>
              <w:ind w:firstLine="0"/>
              <w:jc w:val="center"/>
            </w:pPr>
          </w:p>
        </w:tc>
        <w:tc>
          <w:tcPr>
            <w:tcW w:w="1660" w:type="dxa"/>
            <w:tcBorders>
              <w:top w:val="single" w:sz="4" w:space="0" w:color="auto"/>
              <w:left w:val="nil"/>
              <w:bottom w:val="nil"/>
              <w:right w:val="nil"/>
            </w:tcBorders>
            <w:vAlign w:val="center"/>
          </w:tcPr>
          <w:p w14:paraId="68FF8182" w14:textId="77777777" w:rsidR="00C33CF3" w:rsidRDefault="00C33CF3" w:rsidP="00C33CF3">
            <w:pPr>
              <w:spacing w:line="360" w:lineRule="auto"/>
              <w:ind w:firstLine="0"/>
              <w:jc w:val="center"/>
            </w:pPr>
          </w:p>
        </w:tc>
        <w:tc>
          <w:tcPr>
            <w:tcW w:w="1931" w:type="dxa"/>
            <w:tcBorders>
              <w:top w:val="single" w:sz="4" w:space="0" w:color="auto"/>
              <w:left w:val="nil"/>
              <w:bottom w:val="nil"/>
              <w:right w:val="nil"/>
            </w:tcBorders>
            <w:vAlign w:val="center"/>
          </w:tcPr>
          <w:p w14:paraId="2D18512A" w14:textId="77777777" w:rsidR="00C33CF3" w:rsidRDefault="00C33CF3" w:rsidP="00C33CF3">
            <w:pPr>
              <w:spacing w:line="360" w:lineRule="auto"/>
              <w:ind w:firstLine="0"/>
              <w:jc w:val="center"/>
            </w:pPr>
          </w:p>
        </w:tc>
      </w:tr>
      <w:tr w:rsidR="00C33CF3" w14:paraId="7448DAE3" w14:textId="77777777" w:rsidTr="00C33CF3">
        <w:tc>
          <w:tcPr>
            <w:tcW w:w="2273" w:type="dxa"/>
            <w:tcBorders>
              <w:top w:val="nil"/>
              <w:left w:val="nil"/>
              <w:bottom w:val="nil"/>
              <w:right w:val="nil"/>
            </w:tcBorders>
            <w:vAlign w:val="center"/>
          </w:tcPr>
          <w:p w14:paraId="0E9F11DA" w14:textId="540C1E87" w:rsidR="00C33CF3" w:rsidRDefault="00C33CF3" w:rsidP="00C33CF3">
            <w:pPr>
              <w:spacing w:line="360" w:lineRule="auto"/>
              <w:ind w:firstLine="0"/>
            </w:pPr>
            <w:r>
              <w:t>Alcohol/drugs</w:t>
            </w:r>
          </w:p>
        </w:tc>
        <w:tc>
          <w:tcPr>
            <w:tcW w:w="1320" w:type="dxa"/>
            <w:tcBorders>
              <w:top w:val="nil"/>
              <w:left w:val="nil"/>
              <w:bottom w:val="nil"/>
              <w:right w:val="nil"/>
            </w:tcBorders>
            <w:vAlign w:val="center"/>
          </w:tcPr>
          <w:p w14:paraId="077C8216" w14:textId="323331FF" w:rsidR="00C33CF3" w:rsidRDefault="00C33CF3" w:rsidP="00C33CF3">
            <w:pPr>
              <w:spacing w:line="360" w:lineRule="auto"/>
              <w:ind w:firstLine="0"/>
              <w:jc w:val="center"/>
            </w:pPr>
            <w:r>
              <w:t>.14 (.27)</w:t>
            </w:r>
          </w:p>
        </w:tc>
        <w:tc>
          <w:tcPr>
            <w:tcW w:w="1122" w:type="dxa"/>
            <w:tcBorders>
              <w:top w:val="nil"/>
              <w:left w:val="nil"/>
              <w:bottom w:val="nil"/>
              <w:right w:val="nil"/>
            </w:tcBorders>
            <w:vAlign w:val="center"/>
          </w:tcPr>
          <w:p w14:paraId="4E9727B6" w14:textId="54BDEAC0" w:rsidR="00C33CF3" w:rsidRDefault="00C33CF3" w:rsidP="00C33CF3">
            <w:pPr>
              <w:spacing w:line="360" w:lineRule="auto"/>
              <w:ind w:firstLine="0"/>
              <w:jc w:val="center"/>
            </w:pPr>
            <w:r>
              <w:t>1.15</w:t>
            </w:r>
          </w:p>
        </w:tc>
        <w:tc>
          <w:tcPr>
            <w:tcW w:w="1660" w:type="dxa"/>
            <w:tcBorders>
              <w:top w:val="nil"/>
              <w:left w:val="nil"/>
              <w:bottom w:val="nil"/>
              <w:right w:val="nil"/>
            </w:tcBorders>
            <w:vAlign w:val="center"/>
          </w:tcPr>
          <w:p w14:paraId="17DB40EB" w14:textId="7E3ED28E" w:rsidR="00C33CF3" w:rsidRDefault="00C33CF3" w:rsidP="00C33CF3">
            <w:pPr>
              <w:spacing w:line="360" w:lineRule="auto"/>
              <w:ind w:firstLine="0"/>
              <w:jc w:val="center"/>
            </w:pPr>
            <w:r>
              <w:t>.68</w:t>
            </w:r>
          </w:p>
        </w:tc>
        <w:tc>
          <w:tcPr>
            <w:tcW w:w="1931" w:type="dxa"/>
            <w:tcBorders>
              <w:top w:val="nil"/>
              <w:left w:val="nil"/>
              <w:bottom w:val="nil"/>
              <w:right w:val="nil"/>
            </w:tcBorders>
            <w:vAlign w:val="center"/>
          </w:tcPr>
          <w:p w14:paraId="51563C01" w14:textId="3B18890B" w:rsidR="00C33CF3" w:rsidRDefault="00C33CF3" w:rsidP="00C33CF3">
            <w:pPr>
              <w:spacing w:line="360" w:lineRule="auto"/>
              <w:ind w:firstLine="0"/>
              <w:jc w:val="center"/>
            </w:pPr>
            <w:r>
              <w:t>1.94</w:t>
            </w:r>
          </w:p>
        </w:tc>
      </w:tr>
      <w:tr w:rsidR="00C33CF3" w14:paraId="7D020655" w14:textId="77777777" w:rsidTr="00C33CF3">
        <w:tc>
          <w:tcPr>
            <w:tcW w:w="2273" w:type="dxa"/>
            <w:tcBorders>
              <w:top w:val="nil"/>
              <w:left w:val="nil"/>
              <w:bottom w:val="nil"/>
              <w:right w:val="nil"/>
            </w:tcBorders>
            <w:vAlign w:val="center"/>
          </w:tcPr>
          <w:p w14:paraId="2A021F37" w14:textId="522666BB" w:rsidR="00C33CF3" w:rsidRDefault="00C33CF3" w:rsidP="00C33CF3">
            <w:pPr>
              <w:spacing w:line="360" w:lineRule="auto"/>
              <w:ind w:firstLine="0"/>
            </w:pPr>
            <w:r>
              <w:t>Crime deprivation</w:t>
            </w:r>
          </w:p>
        </w:tc>
        <w:tc>
          <w:tcPr>
            <w:tcW w:w="1320" w:type="dxa"/>
            <w:tcBorders>
              <w:top w:val="nil"/>
              <w:left w:val="nil"/>
              <w:bottom w:val="nil"/>
              <w:right w:val="nil"/>
            </w:tcBorders>
            <w:vAlign w:val="center"/>
          </w:tcPr>
          <w:p w14:paraId="2E74586C" w14:textId="7E522DEF" w:rsidR="00C33CF3" w:rsidRDefault="00C33CF3" w:rsidP="00C33CF3">
            <w:pPr>
              <w:spacing w:line="360" w:lineRule="auto"/>
              <w:ind w:firstLine="0"/>
              <w:jc w:val="center"/>
            </w:pPr>
            <w:r>
              <w:t>.02 (.01)*</w:t>
            </w:r>
          </w:p>
        </w:tc>
        <w:tc>
          <w:tcPr>
            <w:tcW w:w="1122" w:type="dxa"/>
            <w:tcBorders>
              <w:top w:val="nil"/>
              <w:left w:val="nil"/>
              <w:bottom w:val="nil"/>
              <w:right w:val="nil"/>
            </w:tcBorders>
            <w:vAlign w:val="center"/>
          </w:tcPr>
          <w:p w14:paraId="4071001A" w14:textId="265A8E0E" w:rsidR="00C33CF3" w:rsidRDefault="00C33CF3" w:rsidP="00C33CF3">
            <w:pPr>
              <w:spacing w:line="360" w:lineRule="auto"/>
              <w:ind w:firstLine="0"/>
              <w:jc w:val="center"/>
            </w:pPr>
            <w:r>
              <w:t>1.02</w:t>
            </w:r>
          </w:p>
        </w:tc>
        <w:tc>
          <w:tcPr>
            <w:tcW w:w="1660" w:type="dxa"/>
            <w:tcBorders>
              <w:top w:val="nil"/>
              <w:left w:val="nil"/>
              <w:bottom w:val="nil"/>
              <w:right w:val="nil"/>
            </w:tcBorders>
            <w:vAlign w:val="center"/>
          </w:tcPr>
          <w:p w14:paraId="4A1DA941" w14:textId="0E80000B" w:rsidR="00C33CF3" w:rsidRDefault="00C33CF3" w:rsidP="00C33CF3">
            <w:pPr>
              <w:spacing w:line="360" w:lineRule="auto"/>
              <w:ind w:firstLine="0"/>
              <w:jc w:val="center"/>
            </w:pPr>
            <w:r>
              <w:t>1.00</w:t>
            </w:r>
          </w:p>
        </w:tc>
        <w:tc>
          <w:tcPr>
            <w:tcW w:w="1931" w:type="dxa"/>
            <w:tcBorders>
              <w:top w:val="nil"/>
              <w:left w:val="nil"/>
              <w:bottom w:val="nil"/>
              <w:right w:val="nil"/>
            </w:tcBorders>
            <w:vAlign w:val="center"/>
          </w:tcPr>
          <w:p w14:paraId="6EF30B36" w14:textId="75ABEA5D" w:rsidR="00C33CF3" w:rsidRDefault="00C33CF3" w:rsidP="00C33CF3">
            <w:pPr>
              <w:spacing w:line="360" w:lineRule="auto"/>
              <w:ind w:firstLine="0"/>
              <w:jc w:val="center"/>
            </w:pPr>
            <w:r>
              <w:t>1.03</w:t>
            </w:r>
          </w:p>
        </w:tc>
      </w:tr>
      <w:tr w:rsidR="00C33CF3" w14:paraId="4FDDDB0C" w14:textId="77777777" w:rsidTr="00C33CF3">
        <w:tc>
          <w:tcPr>
            <w:tcW w:w="2273" w:type="dxa"/>
            <w:tcBorders>
              <w:top w:val="nil"/>
              <w:left w:val="nil"/>
              <w:bottom w:val="nil"/>
              <w:right w:val="nil"/>
            </w:tcBorders>
            <w:vAlign w:val="center"/>
          </w:tcPr>
          <w:p w14:paraId="51B9E47D" w14:textId="5857D27C" w:rsidR="00C33CF3" w:rsidRDefault="00C33CF3" w:rsidP="00C33CF3">
            <w:pPr>
              <w:spacing w:line="360" w:lineRule="auto"/>
              <w:ind w:firstLine="0"/>
            </w:pPr>
            <w:r>
              <w:t>Weekend</w:t>
            </w:r>
          </w:p>
        </w:tc>
        <w:tc>
          <w:tcPr>
            <w:tcW w:w="1320" w:type="dxa"/>
            <w:tcBorders>
              <w:top w:val="nil"/>
              <w:left w:val="nil"/>
              <w:bottom w:val="nil"/>
              <w:right w:val="nil"/>
            </w:tcBorders>
            <w:vAlign w:val="center"/>
          </w:tcPr>
          <w:p w14:paraId="637F61C1" w14:textId="02D73807" w:rsidR="00C33CF3" w:rsidRDefault="00C33CF3" w:rsidP="00C33CF3">
            <w:pPr>
              <w:spacing w:line="360" w:lineRule="auto"/>
              <w:ind w:firstLine="0"/>
              <w:jc w:val="center"/>
            </w:pPr>
            <w:r>
              <w:t>.19 (.23)</w:t>
            </w:r>
          </w:p>
        </w:tc>
        <w:tc>
          <w:tcPr>
            <w:tcW w:w="1122" w:type="dxa"/>
            <w:tcBorders>
              <w:top w:val="nil"/>
              <w:left w:val="nil"/>
              <w:bottom w:val="nil"/>
              <w:right w:val="nil"/>
            </w:tcBorders>
            <w:vAlign w:val="center"/>
          </w:tcPr>
          <w:p w14:paraId="28D61ADB" w14:textId="5EAEC2B5" w:rsidR="00C33CF3" w:rsidRDefault="00C33CF3" w:rsidP="00C33CF3">
            <w:pPr>
              <w:spacing w:line="360" w:lineRule="auto"/>
              <w:ind w:firstLine="0"/>
              <w:jc w:val="center"/>
            </w:pPr>
            <w:r>
              <w:t>1.21</w:t>
            </w:r>
          </w:p>
        </w:tc>
        <w:tc>
          <w:tcPr>
            <w:tcW w:w="1660" w:type="dxa"/>
            <w:tcBorders>
              <w:top w:val="nil"/>
              <w:left w:val="nil"/>
              <w:bottom w:val="nil"/>
              <w:right w:val="nil"/>
            </w:tcBorders>
            <w:vAlign w:val="center"/>
          </w:tcPr>
          <w:p w14:paraId="38D1130F" w14:textId="0522FC76" w:rsidR="00C33CF3" w:rsidRDefault="00C33CF3" w:rsidP="00C33CF3">
            <w:pPr>
              <w:spacing w:line="360" w:lineRule="auto"/>
              <w:ind w:firstLine="0"/>
              <w:jc w:val="center"/>
            </w:pPr>
            <w:r>
              <w:t>.77</w:t>
            </w:r>
          </w:p>
        </w:tc>
        <w:tc>
          <w:tcPr>
            <w:tcW w:w="1931" w:type="dxa"/>
            <w:tcBorders>
              <w:top w:val="nil"/>
              <w:left w:val="nil"/>
              <w:bottom w:val="nil"/>
              <w:right w:val="nil"/>
            </w:tcBorders>
            <w:vAlign w:val="center"/>
          </w:tcPr>
          <w:p w14:paraId="47D4F593" w14:textId="55A41520" w:rsidR="00C33CF3" w:rsidRDefault="00C33CF3" w:rsidP="00C33CF3">
            <w:pPr>
              <w:spacing w:line="360" w:lineRule="auto"/>
              <w:ind w:firstLine="0"/>
              <w:jc w:val="center"/>
            </w:pPr>
            <w:r>
              <w:t>1.92</w:t>
            </w:r>
          </w:p>
        </w:tc>
      </w:tr>
      <w:tr w:rsidR="00C33CF3" w14:paraId="0E30E9C6" w14:textId="77777777" w:rsidTr="00C33CF3">
        <w:tc>
          <w:tcPr>
            <w:tcW w:w="2273" w:type="dxa"/>
            <w:tcBorders>
              <w:top w:val="nil"/>
              <w:left w:val="nil"/>
              <w:bottom w:val="nil"/>
              <w:right w:val="nil"/>
            </w:tcBorders>
            <w:vAlign w:val="center"/>
          </w:tcPr>
          <w:p w14:paraId="0D29429D" w14:textId="1E1E3517" w:rsidR="00C33CF3" w:rsidRDefault="00C33CF3" w:rsidP="00C33CF3">
            <w:pPr>
              <w:spacing w:line="360" w:lineRule="auto"/>
              <w:ind w:firstLine="0"/>
            </w:pPr>
            <w:r>
              <w:t>Day/Night</w:t>
            </w:r>
          </w:p>
        </w:tc>
        <w:tc>
          <w:tcPr>
            <w:tcW w:w="1320" w:type="dxa"/>
            <w:tcBorders>
              <w:top w:val="nil"/>
              <w:left w:val="nil"/>
              <w:bottom w:val="nil"/>
              <w:right w:val="nil"/>
            </w:tcBorders>
            <w:vAlign w:val="center"/>
          </w:tcPr>
          <w:p w14:paraId="02ED400E" w14:textId="569CA5CE" w:rsidR="00C33CF3" w:rsidRDefault="00C33CF3" w:rsidP="00C33CF3">
            <w:pPr>
              <w:spacing w:line="360" w:lineRule="auto"/>
              <w:ind w:firstLine="0"/>
              <w:jc w:val="center"/>
            </w:pPr>
            <w:r>
              <w:t>-.39 (.24)</w:t>
            </w:r>
          </w:p>
        </w:tc>
        <w:tc>
          <w:tcPr>
            <w:tcW w:w="1122" w:type="dxa"/>
            <w:tcBorders>
              <w:top w:val="nil"/>
              <w:left w:val="nil"/>
              <w:bottom w:val="nil"/>
              <w:right w:val="nil"/>
            </w:tcBorders>
            <w:vAlign w:val="center"/>
          </w:tcPr>
          <w:p w14:paraId="62BF0358" w14:textId="3971E028" w:rsidR="00C33CF3" w:rsidRDefault="00C33CF3" w:rsidP="00C33CF3">
            <w:pPr>
              <w:spacing w:line="360" w:lineRule="auto"/>
              <w:ind w:firstLine="0"/>
              <w:jc w:val="center"/>
            </w:pPr>
            <w:r>
              <w:t>.68</w:t>
            </w:r>
          </w:p>
        </w:tc>
        <w:tc>
          <w:tcPr>
            <w:tcW w:w="1660" w:type="dxa"/>
            <w:tcBorders>
              <w:top w:val="nil"/>
              <w:left w:val="nil"/>
              <w:bottom w:val="nil"/>
              <w:right w:val="nil"/>
            </w:tcBorders>
            <w:vAlign w:val="center"/>
          </w:tcPr>
          <w:p w14:paraId="54F031E5" w14:textId="0AEBD941" w:rsidR="00C33CF3" w:rsidRDefault="00C33CF3" w:rsidP="00C33CF3">
            <w:pPr>
              <w:spacing w:line="360" w:lineRule="auto"/>
              <w:ind w:firstLine="0"/>
              <w:jc w:val="center"/>
            </w:pPr>
            <w:r>
              <w:t>.42</w:t>
            </w:r>
          </w:p>
        </w:tc>
        <w:tc>
          <w:tcPr>
            <w:tcW w:w="1931" w:type="dxa"/>
            <w:tcBorders>
              <w:top w:val="nil"/>
              <w:left w:val="nil"/>
              <w:bottom w:val="nil"/>
              <w:right w:val="nil"/>
            </w:tcBorders>
            <w:vAlign w:val="center"/>
          </w:tcPr>
          <w:p w14:paraId="1DB6F064" w14:textId="61C9E1BB" w:rsidR="00C33CF3" w:rsidRDefault="00C33CF3" w:rsidP="00C33CF3">
            <w:pPr>
              <w:spacing w:line="360" w:lineRule="auto"/>
              <w:ind w:firstLine="0"/>
              <w:jc w:val="center"/>
            </w:pPr>
            <w:r>
              <w:t>1.09</w:t>
            </w:r>
          </w:p>
        </w:tc>
      </w:tr>
      <w:tr w:rsidR="00C33CF3" w14:paraId="243E17E9" w14:textId="77777777" w:rsidTr="00C33CF3">
        <w:tc>
          <w:tcPr>
            <w:tcW w:w="2273" w:type="dxa"/>
            <w:tcBorders>
              <w:top w:val="nil"/>
              <w:left w:val="nil"/>
              <w:bottom w:val="nil"/>
              <w:right w:val="nil"/>
            </w:tcBorders>
            <w:vAlign w:val="center"/>
          </w:tcPr>
          <w:p w14:paraId="05850250" w14:textId="3E570B99" w:rsidR="00C33CF3" w:rsidRDefault="00C33CF3" w:rsidP="00C33CF3">
            <w:pPr>
              <w:spacing w:line="360" w:lineRule="auto"/>
              <w:ind w:firstLine="0"/>
            </w:pPr>
            <w:r>
              <w:t>Weapon</w:t>
            </w:r>
          </w:p>
        </w:tc>
        <w:tc>
          <w:tcPr>
            <w:tcW w:w="1320" w:type="dxa"/>
            <w:tcBorders>
              <w:top w:val="nil"/>
              <w:left w:val="nil"/>
              <w:bottom w:val="nil"/>
              <w:right w:val="nil"/>
            </w:tcBorders>
            <w:vAlign w:val="center"/>
          </w:tcPr>
          <w:p w14:paraId="5AB65F13" w14:textId="317EAA83" w:rsidR="00C33CF3" w:rsidRDefault="00C33CF3" w:rsidP="00C33CF3">
            <w:pPr>
              <w:spacing w:line="360" w:lineRule="auto"/>
              <w:ind w:firstLine="0"/>
              <w:jc w:val="center"/>
            </w:pPr>
            <w:r>
              <w:t>-.10 (.43)</w:t>
            </w:r>
          </w:p>
        </w:tc>
        <w:tc>
          <w:tcPr>
            <w:tcW w:w="1122" w:type="dxa"/>
            <w:tcBorders>
              <w:top w:val="nil"/>
              <w:left w:val="nil"/>
              <w:bottom w:val="nil"/>
              <w:right w:val="nil"/>
            </w:tcBorders>
            <w:vAlign w:val="center"/>
          </w:tcPr>
          <w:p w14:paraId="216A3598" w14:textId="7A50229A" w:rsidR="00C33CF3" w:rsidRDefault="00C33CF3" w:rsidP="00C33CF3">
            <w:pPr>
              <w:spacing w:line="360" w:lineRule="auto"/>
              <w:ind w:firstLine="0"/>
              <w:jc w:val="center"/>
            </w:pPr>
            <w:r>
              <w:t>.91</w:t>
            </w:r>
          </w:p>
        </w:tc>
        <w:tc>
          <w:tcPr>
            <w:tcW w:w="1660" w:type="dxa"/>
            <w:tcBorders>
              <w:top w:val="nil"/>
              <w:left w:val="nil"/>
              <w:bottom w:val="nil"/>
              <w:right w:val="nil"/>
            </w:tcBorders>
            <w:vAlign w:val="center"/>
          </w:tcPr>
          <w:p w14:paraId="0296CBF5" w14:textId="5F5BD9E2" w:rsidR="00C33CF3" w:rsidRDefault="00C33CF3" w:rsidP="00C33CF3">
            <w:pPr>
              <w:spacing w:line="360" w:lineRule="auto"/>
              <w:ind w:firstLine="0"/>
              <w:jc w:val="center"/>
            </w:pPr>
            <w:r>
              <w:t>.39</w:t>
            </w:r>
          </w:p>
        </w:tc>
        <w:tc>
          <w:tcPr>
            <w:tcW w:w="1931" w:type="dxa"/>
            <w:tcBorders>
              <w:top w:val="nil"/>
              <w:left w:val="nil"/>
              <w:bottom w:val="nil"/>
              <w:right w:val="nil"/>
            </w:tcBorders>
            <w:vAlign w:val="center"/>
          </w:tcPr>
          <w:p w14:paraId="6E1B3145" w14:textId="7FCE0969" w:rsidR="00C33CF3" w:rsidRDefault="00C33CF3" w:rsidP="00C33CF3">
            <w:pPr>
              <w:spacing w:line="360" w:lineRule="auto"/>
              <w:ind w:firstLine="0"/>
              <w:jc w:val="center"/>
            </w:pPr>
            <w:r>
              <w:t>2.11</w:t>
            </w:r>
          </w:p>
        </w:tc>
      </w:tr>
      <w:tr w:rsidR="00C33CF3" w14:paraId="4DDE48AF" w14:textId="77777777" w:rsidTr="00C33CF3">
        <w:tc>
          <w:tcPr>
            <w:tcW w:w="2273" w:type="dxa"/>
            <w:tcBorders>
              <w:top w:val="nil"/>
              <w:left w:val="nil"/>
              <w:bottom w:val="nil"/>
              <w:right w:val="nil"/>
            </w:tcBorders>
            <w:vAlign w:val="center"/>
          </w:tcPr>
          <w:p w14:paraId="7D280927" w14:textId="61E5A738" w:rsidR="00C33CF3" w:rsidRDefault="00C33CF3" w:rsidP="00C33CF3">
            <w:pPr>
              <w:spacing w:line="360" w:lineRule="auto"/>
              <w:ind w:firstLine="0"/>
            </w:pPr>
            <w:r>
              <w:t>Injury</w:t>
            </w:r>
          </w:p>
        </w:tc>
        <w:tc>
          <w:tcPr>
            <w:tcW w:w="1320" w:type="dxa"/>
            <w:tcBorders>
              <w:top w:val="nil"/>
              <w:left w:val="nil"/>
              <w:bottom w:val="nil"/>
              <w:right w:val="nil"/>
            </w:tcBorders>
            <w:vAlign w:val="center"/>
          </w:tcPr>
          <w:p w14:paraId="03F41043" w14:textId="1EA57EB3" w:rsidR="00C33CF3" w:rsidRDefault="00C33CF3" w:rsidP="00C33CF3">
            <w:pPr>
              <w:spacing w:line="360" w:lineRule="auto"/>
              <w:ind w:firstLine="0"/>
              <w:jc w:val="center"/>
            </w:pPr>
            <w:r>
              <w:t>-.01 (.24)</w:t>
            </w:r>
          </w:p>
        </w:tc>
        <w:tc>
          <w:tcPr>
            <w:tcW w:w="1122" w:type="dxa"/>
            <w:tcBorders>
              <w:top w:val="nil"/>
              <w:left w:val="nil"/>
              <w:bottom w:val="nil"/>
              <w:right w:val="nil"/>
            </w:tcBorders>
            <w:vAlign w:val="center"/>
          </w:tcPr>
          <w:p w14:paraId="45208DD1" w14:textId="1B606878" w:rsidR="00C33CF3" w:rsidRDefault="00C33CF3" w:rsidP="00C33CF3">
            <w:pPr>
              <w:spacing w:line="360" w:lineRule="auto"/>
              <w:ind w:firstLine="0"/>
              <w:jc w:val="center"/>
            </w:pPr>
            <w:r>
              <w:t>1.00</w:t>
            </w:r>
          </w:p>
        </w:tc>
        <w:tc>
          <w:tcPr>
            <w:tcW w:w="1660" w:type="dxa"/>
            <w:tcBorders>
              <w:top w:val="nil"/>
              <w:left w:val="nil"/>
              <w:bottom w:val="nil"/>
              <w:right w:val="nil"/>
            </w:tcBorders>
            <w:vAlign w:val="center"/>
          </w:tcPr>
          <w:p w14:paraId="0CED5C9A" w14:textId="4B012D29" w:rsidR="00C33CF3" w:rsidRDefault="00C33CF3" w:rsidP="00C33CF3">
            <w:pPr>
              <w:spacing w:line="360" w:lineRule="auto"/>
              <w:ind w:firstLine="0"/>
              <w:jc w:val="center"/>
            </w:pPr>
            <w:r>
              <w:t>.63</w:t>
            </w:r>
          </w:p>
        </w:tc>
        <w:tc>
          <w:tcPr>
            <w:tcW w:w="1931" w:type="dxa"/>
            <w:tcBorders>
              <w:top w:val="nil"/>
              <w:left w:val="nil"/>
              <w:bottom w:val="nil"/>
              <w:right w:val="nil"/>
            </w:tcBorders>
            <w:vAlign w:val="center"/>
          </w:tcPr>
          <w:p w14:paraId="090632FA" w14:textId="1A4CDD6D" w:rsidR="00C33CF3" w:rsidRDefault="00C33CF3" w:rsidP="00C33CF3">
            <w:pPr>
              <w:spacing w:line="360" w:lineRule="auto"/>
              <w:ind w:firstLine="0"/>
              <w:jc w:val="center"/>
            </w:pPr>
            <w:r>
              <w:t>1.60</w:t>
            </w:r>
          </w:p>
        </w:tc>
      </w:tr>
      <w:tr w:rsidR="00C33CF3" w14:paraId="40F2ABCD" w14:textId="77777777" w:rsidTr="00C33CF3">
        <w:tc>
          <w:tcPr>
            <w:tcW w:w="2273" w:type="dxa"/>
            <w:tcBorders>
              <w:top w:val="nil"/>
              <w:left w:val="nil"/>
              <w:bottom w:val="nil"/>
              <w:right w:val="nil"/>
            </w:tcBorders>
            <w:vAlign w:val="center"/>
          </w:tcPr>
          <w:p w14:paraId="63972D53" w14:textId="0D128D77" w:rsidR="00C33CF3" w:rsidRDefault="00C33CF3" w:rsidP="00C33CF3">
            <w:pPr>
              <w:spacing w:line="360" w:lineRule="auto"/>
              <w:ind w:firstLine="0"/>
            </w:pPr>
            <w:r>
              <w:t>Hospital</w:t>
            </w:r>
          </w:p>
        </w:tc>
        <w:tc>
          <w:tcPr>
            <w:tcW w:w="1320" w:type="dxa"/>
            <w:tcBorders>
              <w:top w:val="nil"/>
              <w:left w:val="nil"/>
              <w:bottom w:val="nil"/>
              <w:right w:val="nil"/>
            </w:tcBorders>
            <w:vAlign w:val="center"/>
          </w:tcPr>
          <w:p w14:paraId="39B2BB7E" w14:textId="268EE920" w:rsidR="00C33CF3" w:rsidRDefault="00C33CF3" w:rsidP="00C33CF3">
            <w:pPr>
              <w:spacing w:line="360" w:lineRule="auto"/>
              <w:ind w:firstLine="0"/>
              <w:jc w:val="center"/>
            </w:pPr>
            <w:r>
              <w:t>-.31 (.44)</w:t>
            </w:r>
          </w:p>
        </w:tc>
        <w:tc>
          <w:tcPr>
            <w:tcW w:w="1122" w:type="dxa"/>
            <w:tcBorders>
              <w:top w:val="nil"/>
              <w:left w:val="nil"/>
              <w:bottom w:val="nil"/>
              <w:right w:val="nil"/>
            </w:tcBorders>
            <w:vAlign w:val="center"/>
          </w:tcPr>
          <w:p w14:paraId="18CFB1A9" w14:textId="2BDB4473" w:rsidR="00C33CF3" w:rsidRDefault="00C33CF3" w:rsidP="00C33CF3">
            <w:pPr>
              <w:spacing w:line="360" w:lineRule="auto"/>
              <w:ind w:firstLine="0"/>
              <w:jc w:val="center"/>
            </w:pPr>
            <w:r>
              <w:t>.73</w:t>
            </w:r>
          </w:p>
        </w:tc>
        <w:tc>
          <w:tcPr>
            <w:tcW w:w="1660" w:type="dxa"/>
            <w:tcBorders>
              <w:top w:val="nil"/>
              <w:left w:val="nil"/>
              <w:bottom w:val="nil"/>
              <w:right w:val="nil"/>
            </w:tcBorders>
            <w:vAlign w:val="center"/>
          </w:tcPr>
          <w:p w14:paraId="72DF4E8C" w14:textId="77CBECBB" w:rsidR="00C33CF3" w:rsidRDefault="00C33CF3" w:rsidP="00C33CF3">
            <w:pPr>
              <w:spacing w:line="360" w:lineRule="auto"/>
              <w:ind w:firstLine="0"/>
              <w:jc w:val="center"/>
            </w:pPr>
            <w:r>
              <w:t>.31</w:t>
            </w:r>
          </w:p>
        </w:tc>
        <w:tc>
          <w:tcPr>
            <w:tcW w:w="1931" w:type="dxa"/>
            <w:tcBorders>
              <w:top w:val="nil"/>
              <w:left w:val="nil"/>
              <w:bottom w:val="nil"/>
              <w:right w:val="nil"/>
            </w:tcBorders>
            <w:vAlign w:val="center"/>
          </w:tcPr>
          <w:p w14:paraId="7BD54CDD" w14:textId="41469E40" w:rsidR="00C33CF3" w:rsidRDefault="00C33CF3" w:rsidP="00C33CF3">
            <w:pPr>
              <w:spacing w:line="360" w:lineRule="auto"/>
              <w:ind w:firstLine="0"/>
              <w:jc w:val="center"/>
            </w:pPr>
            <w:r>
              <w:t>1.72</w:t>
            </w:r>
          </w:p>
        </w:tc>
      </w:tr>
      <w:tr w:rsidR="00C33CF3" w14:paraId="4680F316" w14:textId="77777777" w:rsidTr="00C33CF3">
        <w:tc>
          <w:tcPr>
            <w:tcW w:w="2273" w:type="dxa"/>
            <w:tcBorders>
              <w:top w:val="nil"/>
              <w:left w:val="nil"/>
              <w:bottom w:val="nil"/>
              <w:right w:val="nil"/>
            </w:tcBorders>
            <w:vAlign w:val="center"/>
          </w:tcPr>
          <w:p w14:paraId="38B5B881" w14:textId="0CECF555" w:rsidR="00C33CF3" w:rsidRDefault="00C33CF3" w:rsidP="00C33CF3">
            <w:pPr>
              <w:spacing w:line="360" w:lineRule="auto"/>
              <w:ind w:firstLine="0"/>
            </w:pPr>
            <w:r>
              <w:t>Children</w:t>
            </w:r>
          </w:p>
        </w:tc>
        <w:tc>
          <w:tcPr>
            <w:tcW w:w="1320" w:type="dxa"/>
            <w:tcBorders>
              <w:top w:val="nil"/>
              <w:left w:val="nil"/>
              <w:bottom w:val="nil"/>
              <w:right w:val="nil"/>
            </w:tcBorders>
            <w:vAlign w:val="center"/>
          </w:tcPr>
          <w:p w14:paraId="2E740F52" w14:textId="1B80E642" w:rsidR="00C33CF3" w:rsidRDefault="00C33CF3" w:rsidP="00C33CF3">
            <w:pPr>
              <w:spacing w:line="360" w:lineRule="auto"/>
              <w:ind w:firstLine="0"/>
              <w:jc w:val="center"/>
            </w:pPr>
            <w:r>
              <w:t>.10 (.32)</w:t>
            </w:r>
          </w:p>
        </w:tc>
        <w:tc>
          <w:tcPr>
            <w:tcW w:w="1122" w:type="dxa"/>
            <w:tcBorders>
              <w:top w:val="nil"/>
              <w:left w:val="nil"/>
              <w:bottom w:val="nil"/>
              <w:right w:val="nil"/>
            </w:tcBorders>
            <w:vAlign w:val="center"/>
          </w:tcPr>
          <w:p w14:paraId="357C8A31" w14:textId="2D0F7327" w:rsidR="00C33CF3" w:rsidRDefault="00C33CF3" w:rsidP="00C33CF3">
            <w:pPr>
              <w:spacing w:line="360" w:lineRule="auto"/>
              <w:ind w:firstLine="0"/>
              <w:jc w:val="center"/>
            </w:pPr>
            <w:r>
              <w:t>1.12</w:t>
            </w:r>
          </w:p>
        </w:tc>
        <w:tc>
          <w:tcPr>
            <w:tcW w:w="1660" w:type="dxa"/>
            <w:tcBorders>
              <w:top w:val="nil"/>
              <w:left w:val="nil"/>
              <w:bottom w:val="nil"/>
              <w:right w:val="nil"/>
            </w:tcBorders>
            <w:vAlign w:val="center"/>
          </w:tcPr>
          <w:p w14:paraId="05CE45A2" w14:textId="4BCAE4BA" w:rsidR="00C33CF3" w:rsidRDefault="00C33CF3" w:rsidP="00C33CF3">
            <w:pPr>
              <w:spacing w:line="360" w:lineRule="auto"/>
              <w:ind w:firstLine="0"/>
              <w:jc w:val="center"/>
            </w:pPr>
            <w:r>
              <w:t>.60</w:t>
            </w:r>
          </w:p>
        </w:tc>
        <w:tc>
          <w:tcPr>
            <w:tcW w:w="1931" w:type="dxa"/>
            <w:tcBorders>
              <w:top w:val="nil"/>
              <w:left w:val="nil"/>
              <w:bottom w:val="nil"/>
              <w:right w:val="nil"/>
            </w:tcBorders>
            <w:vAlign w:val="center"/>
          </w:tcPr>
          <w:p w14:paraId="5552046F" w14:textId="6F322D77" w:rsidR="00C33CF3" w:rsidRDefault="00C33CF3" w:rsidP="00C33CF3">
            <w:pPr>
              <w:spacing w:line="360" w:lineRule="auto"/>
              <w:ind w:firstLine="0"/>
              <w:jc w:val="center"/>
            </w:pPr>
            <w:r>
              <w:t>2.06</w:t>
            </w:r>
          </w:p>
        </w:tc>
      </w:tr>
      <w:tr w:rsidR="00C33CF3" w14:paraId="4F87E25F" w14:textId="77777777" w:rsidTr="00C33CF3">
        <w:tc>
          <w:tcPr>
            <w:tcW w:w="2273" w:type="dxa"/>
            <w:tcBorders>
              <w:top w:val="nil"/>
              <w:left w:val="nil"/>
              <w:bottom w:val="nil"/>
              <w:right w:val="nil"/>
            </w:tcBorders>
            <w:vAlign w:val="center"/>
          </w:tcPr>
          <w:p w14:paraId="5BFA67E2" w14:textId="752B6E77" w:rsidR="00C33CF3" w:rsidRDefault="00C33CF3" w:rsidP="00C33CF3">
            <w:pPr>
              <w:spacing w:line="360" w:lineRule="auto"/>
              <w:ind w:firstLine="0"/>
            </w:pPr>
            <w:r>
              <w:t>Current partner</w:t>
            </w:r>
          </w:p>
        </w:tc>
        <w:tc>
          <w:tcPr>
            <w:tcW w:w="1320" w:type="dxa"/>
            <w:tcBorders>
              <w:top w:val="nil"/>
              <w:left w:val="nil"/>
              <w:bottom w:val="nil"/>
              <w:right w:val="nil"/>
            </w:tcBorders>
            <w:vAlign w:val="center"/>
          </w:tcPr>
          <w:p w14:paraId="30704196" w14:textId="293B7EB6" w:rsidR="00C33CF3" w:rsidRDefault="00C33CF3" w:rsidP="00C33CF3">
            <w:pPr>
              <w:spacing w:line="360" w:lineRule="auto"/>
              <w:ind w:firstLine="0"/>
              <w:jc w:val="center"/>
            </w:pPr>
            <w:r>
              <w:t>.29 (.25)</w:t>
            </w:r>
          </w:p>
        </w:tc>
        <w:tc>
          <w:tcPr>
            <w:tcW w:w="1122" w:type="dxa"/>
            <w:tcBorders>
              <w:top w:val="nil"/>
              <w:left w:val="nil"/>
              <w:bottom w:val="nil"/>
              <w:right w:val="nil"/>
            </w:tcBorders>
            <w:vAlign w:val="center"/>
          </w:tcPr>
          <w:p w14:paraId="5D90F454" w14:textId="3A2C2469" w:rsidR="00C33CF3" w:rsidRDefault="00C33CF3" w:rsidP="00C33CF3">
            <w:pPr>
              <w:spacing w:line="360" w:lineRule="auto"/>
              <w:ind w:firstLine="0"/>
              <w:jc w:val="center"/>
            </w:pPr>
            <w:r>
              <w:t>1.34</w:t>
            </w:r>
          </w:p>
        </w:tc>
        <w:tc>
          <w:tcPr>
            <w:tcW w:w="1660" w:type="dxa"/>
            <w:tcBorders>
              <w:top w:val="nil"/>
              <w:left w:val="nil"/>
              <w:bottom w:val="nil"/>
              <w:right w:val="nil"/>
            </w:tcBorders>
            <w:vAlign w:val="center"/>
          </w:tcPr>
          <w:p w14:paraId="1CFA1661" w14:textId="5162208E" w:rsidR="00C33CF3" w:rsidRDefault="00C33CF3" w:rsidP="00C33CF3">
            <w:pPr>
              <w:spacing w:line="360" w:lineRule="auto"/>
              <w:ind w:firstLine="0"/>
              <w:jc w:val="center"/>
            </w:pPr>
            <w:r>
              <w:t>.82</w:t>
            </w:r>
          </w:p>
        </w:tc>
        <w:tc>
          <w:tcPr>
            <w:tcW w:w="1931" w:type="dxa"/>
            <w:tcBorders>
              <w:top w:val="nil"/>
              <w:left w:val="nil"/>
              <w:bottom w:val="nil"/>
              <w:right w:val="nil"/>
            </w:tcBorders>
            <w:vAlign w:val="center"/>
          </w:tcPr>
          <w:p w14:paraId="4139553D" w14:textId="40871396" w:rsidR="00C33CF3" w:rsidRDefault="00C33CF3" w:rsidP="00C33CF3">
            <w:pPr>
              <w:spacing w:line="360" w:lineRule="auto"/>
              <w:ind w:firstLine="0"/>
              <w:jc w:val="center"/>
            </w:pPr>
            <w:r>
              <w:t>2.19</w:t>
            </w:r>
          </w:p>
        </w:tc>
      </w:tr>
      <w:tr w:rsidR="00C33CF3" w14:paraId="52ED9632" w14:textId="77777777" w:rsidTr="00C33CF3">
        <w:tc>
          <w:tcPr>
            <w:tcW w:w="2273" w:type="dxa"/>
            <w:tcBorders>
              <w:top w:val="nil"/>
              <w:left w:val="nil"/>
              <w:bottom w:val="single" w:sz="4" w:space="0" w:color="auto"/>
              <w:right w:val="nil"/>
            </w:tcBorders>
            <w:vAlign w:val="center"/>
          </w:tcPr>
          <w:p w14:paraId="2B042EDB" w14:textId="463C94E3" w:rsidR="00C33CF3" w:rsidRDefault="00C33CF3" w:rsidP="00C33CF3">
            <w:pPr>
              <w:spacing w:line="360" w:lineRule="auto"/>
              <w:ind w:firstLine="0"/>
            </w:pPr>
            <w:r>
              <w:t>DASH</w:t>
            </w:r>
          </w:p>
        </w:tc>
        <w:tc>
          <w:tcPr>
            <w:tcW w:w="1320" w:type="dxa"/>
            <w:tcBorders>
              <w:top w:val="nil"/>
              <w:left w:val="nil"/>
              <w:bottom w:val="single" w:sz="4" w:space="0" w:color="auto"/>
              <w:right w:val="nil"/>
            </w:tcBorders>
            <w:vAlign w:val="center"/>
          </w:tcPr>
          <w:p w14:paraId="5A8640F4" w14:textId="39B3C9D9" w:rsidR="00C33CF3" w:rsidRDefault="00C33CF3" w:rsidP="00C33CF3">
            <w:pPr>
              <w:spacing w:line="360" w:lineRule="auto"/>
              <w:ind w:firstLine="0"/>
              <w:jc w:val="center"/>
            </w:pPr>
            <w:r>
              <w:t>.35 (.17)*</w:t>
            </w:r>
          </w:p>
        </w:tc>
        <w:tc>
          <w:tcPr>
            <w:tcW w:w="1122" w:type="dxa"/>
            <w:tcBorders>
              <w:top w:val="nil"/>
              <w:left w:val="nil"/>
              <w:bottom w:val="single" w:sz="4" w:space="0" w:color="auto"/>
              <w:right w:val="nil"/>
            </w:tcBorders>
            <w:vAlign w:val="center"/>
          </w:tcPr>
          <w:p w14:paraId="6B76AFB9" w14:textId="3429D16E" w:rsidR="00C33CF3" w:rsidRDefault="00C33CF3" w:rsidP="00C33CF3">
            <w:pPr>
              <w:spacing w:line="360" w:lineRule="auto"/>
              <w:ind w:firstLine="0"/>
              <w:jc w:val="center"/>
            </w:pPr>
            <w:r>
              <w:t>1.42</w:t>
            </w:r>
          </w:p>
        </w:tc>
        <w:tc>
          <w:tcPr>
            <w:tcW w:w="1660" w:type="dxa"/>
            <w:tcBorders>
              <w:top w:val="nil"/>
              <w:left w:val="nil"/>
              <w:bottom w:val="single" w:sz="4" w:space="0" w:color="auto"/>
              <w:right w:val="nil"/>
            </w:tcBorders>
            <w:vAlign w:val="center"/>
          </w:tcPr>
          <w:p w14:paraId="4340394E" w14:textId="0F71883B" w:rsidR="00C33CF3" w:rsidRDefault="00C33CF3" w:rsidP="00C33CF3">
            <w:pPr>
              <w:spacing w:line="360" w:lineRule="auto"/>
              <w:ind w:firstLine="0"/>
              <w:jc w:val="center"/>
            </w:pPr>
            <w:r>
              <w:t>1.02</w:t>
            </w:r>
          </w:p>
        </w:tc>
        <w:tc>
          <w:tcPr>
            <w:tcW w:w="1931" w:type="dxa"/>
            <w:tcBorders>
              <w:top w:val="nil"/>
              <w:left w:val="nil"/>
              <w:bottom w:val="single" w:sz="4" w:space="0" w:color="auto"/>
              <w:right w:val="nil"/>
            </w:tcBorders>
            <w:vAlign w:val="center"/>
          </w:tcPr>
          <w:p w14:paraId="11E32ACC" w14:textId="0DCE4909" w:rsidR="00C33CF3" w:rsidRDefault="00C33CF3" w:rsidP="00C33CF3">
            <w:pPr>
              <w:spacing w:line="360" w:lineRule="auto"/>
              <w:ind w:firstLine="0"/>
              <w:jc w:val="center"/>
            </w:pPr>
            <w:r>
              <w:t>1.99</w:t>
            </w:r>
          </w:p>
        </w:tc>
      </w:tr>
      <w:tr w:rsidR="00D21F7D" w14:paraId="65FA6853" w14:textId="77777777" w:rsidTr="00C33CF3">
        <w:tc>
          <w:tcPr>
            <w:tcW w:w="8306" w:type="dxa"/>
            <w:gridSpan w:val="5"/>
            <w:tcBorders>
              <w:top w:val="single" w:sz="4" w:space="0" w:color="auto"/>
              <w:left w:val="nil"/>
              <w:bottom w:val="single" w:sz="4" w:space="0" w:color="auto"/>
              <w:right w:val="nil"/>
            </w:tcBorders>
            <w:vAlign w:val="center"/>
          </w:tcPr>
          <w:p w14:paraId="7FA7DDF1" w14:textId="77777777" w:rsidR="00D21F7D" w:rsidRDefault="00D21F7D" w:rsidP="00D26A63">
            <w:pPr>
              <w:spacing w:line="360" w:lineRule="auto"/>
              <w:ind w:firstLine="0"/>
            </w:pPr>
            <w:r w:rsidRPr="00D72AAE">
              <w:rPr>
                <w:i/>
              </w:rPr>
              <w:t xml:space="preserve">Comparison between </w:t>
            </w:r>
            <w:r>
              <w:rPr>
                <w:i/>
              </w:rPr>
              <w:t xml:space="preserve">cases where there was </w:t>
            </w:r>
            <w:r w:rsidR="00B11626">
              <w:rPr>
                <w:i/>
              </w:rPr>
              <w:t>disengagement</w:t>
            </w:r>
            <w:r>
              <w:rPr>
                <w:i/>
              </w:rPr>
              <w:t xml:space="preserve"> with cases where victims maintained engagement</w:t>
            </w:r>
          </w:p>
        </w:tc>
      </w:tr>
      <w:tr w:rsidR="00C33CF3" w14:paraId="5BBCA469" w14:textId="77777777" w:rsidTr="00C33CF3">
        <w:tc>
          <w:tcPr>
            <w:tcW w:w="2273" w:type="dxa"/>
            <w:tcBorders>
              <w:top w:val="single" w:sz="4" w:space="0" w:color="auto"/>
              <w:left w:val="nil"/>
              <w:bottom w:val="nil"/>
              <w:right w:val="nil"/>
            </w:tcBorders>
            <w:vAlign w:val="center"/>
          </w:tcPr>
          <w:p w14:paraId="52812912" w14:textId="79C427DE" w:rsidR="00C33CF3" w:rsidRDefault="00C33CF3" w:rsidP="00C33CF3">
            <w:pPr>
              <w:spacing w:line="360" w:lineRule="auto"/>
              <w:ind w:firstLine="0"/>
            </w:pPr>
            <w:r>
              <w:t>Intercept</w:t>
            </w:r>
          </w:p>
        </w:tc>
        <w:tc>
          <w:tcPr>
            <w:tcW w:w="1320" w:type="dxa"/>
            <w:tcBorders>
              <w:top w:val="single" w:sz="4" w:space="0" w:color="auto"/>
              <w:left w:val="nil"/>
              <w:bottom w:val="nil"/>
              <w:right w:val="nil"/>
            </w:tcBorders>
            <w:vAlign w:val="center"/>
          </w:tcPr>
          <w:p w14:paraId="4011671D" w14:textId="5C07855B" w:rsidR="00C33CF3" w:rsidRDefault="00C33CF3" w:rsidP="00C33CF3">
            <w:pPr>
              <w:spacing w:line="360" w:lineRule="auto"/>
              <w:ind w:firstLine="0"/>
              <w:jc w:val="center"/>
            </w:pPr>
            <w:r>
              <w:t>-2.86 (.98)*</w:t>
            </w:r>
          </w:p>
        </w:tc>
        <w:tc>
          <w:tcPr>
            <w:tcW w:w="1122" w:type="dxa"/>
            <w:tcBorders>
              <w:top w:val="single" w:sz="4" w:space="0" w:color="auto"/>
              <w:left w:val="nil"/>
              <w:bottom w:val="nil"/>
              <w:right w:val="nil"/>
            </w:tcBorders>
            <w:vAlign w:val="center"/>
          </w:tcPr>
          <w:p w14:paraId="76AD99A0" w14:textId="77777777" w:rsidR="00C33CF3" w:rsidRDefault="00C33CF3" w:rsidP="00C33CF3">
            <w:pPr>
              <w:spacing w:line="360" w:lineRule="auto"/>
              <w:ind w:firstLine="0"/>
              <w:jc w:val="center"/>
            </w:pPr>
          </w:p>
        </w:tc>
        <w:tc>
          <w:tcPr>
            <w:tcW w:w="1660" w:type="dxa"/>
            <w:tcBorders>
              <w:top w:val="single" w:sz="4" w:space="0" w:color="auto"/>
              <w:left w:val="nil"/>
              <w:bottom w:val="nil"/>
              <w:right w:val="nil"/>
            </w:tcBorders>
            <w:vAlign w:val="center"/>
          </w:tcPr>
          <w:p w14:paraId="7CEB8402" w14:textId="77777777" w:rsidR="00C33CF3" w:rsidRDefault="00C33CF3" w:rsidP="00C33CF3">
            <w:pPr>
              <w:spacing w:line="360" w:lineRule="auto"/>
              <w:ind w:firstLine="0"/>
              <w:jc w:val="center"/>
            </w:pPr>
          </w:p>
        </w:tc>
        <w:tc>
          <w:tcPr>
            <w:tcW w:w="1931" w:type="dxa"/>
            <w:tcBorders>
              <w:top w:val="single" w:sz="4" w:space="0" w:color="auto"/>
              <w:left w:val="nil"/>
              <w:bottom w:val="nil"/>
              <w:right w:val="nil"/>
            </w:tcBorders>
            <w:vAlign w:val="center"/>
          </w:tcPr>
          <w:p w14:paraId="72344EB7" w14:textId="77777777" w:rsidR="00C33CF3" w:rsidRDefault="00C33CF3" w:rsidP="00C33CF3">
            <w:pPr>
              <w:spacing w:line="360" w:lineRule="auto"/>
              <w:ind w:firstLine="0"/>
              <w:jc w:val="center"/>
            </w:pPr>
          </w:p>
        </w:tc>
      </w:tr>
      <w:tr w:rsidR="00C33CF3" w14:paraId="2AA09FFD" w14:textId="77777777" w:rsidTr="00C33CF3">
        <w:tc>
          <w:tcPr>
            <w:tcW w:w="2273" w:type="dxa"/>
            <w:tcBorders>
              <w:top w:val="nil"/>
              <w:left w:val="nil"/>
              <w:bottom w:val="nil"/>
              <w:right w:val="nil"/>
            </w:tcBorders>
            <w:vAlign w:val="center"/>
          </w:tcPr>
          <w:p w14:paraId="6EFC3991" w14:textId="6CC1BD0D" w:rsidR="00C33CF3" w:rsidRDefault="00C33CF3" w:rsidP="00C33CF3">
            <w:pPr>
              <w:spacing w:line="360" w:lineRule="auto"/>
              <w:ind w:firstLine="0"/>
            </w:pPr>
            <w:r>
              <w:t>Alcohol/drugs</w:t>
            </w:r>
          </w:p>
        </w:tc>
        <w:tc>
          <w:tcPr>
            <w:tcW w:w="1320" w:type="dxa"/>
            <w:tcBorders>
              <w:top w:val="nil"/>
              <w:left w:val="nil"/>
              <w:bottom w:val="nil"/>
              <w:right w:val="nil"/>
            </w:tcBorders>
            <w:vAlign w:val="center"/>
          </w:tcPr>
          <w:p w14:paraId="5D395F51" w14:textId="156A7948" w:rsidR="00C33CF3" w:rsidRDefault="00C33CF3" w:rsidP="00C33CF3">
            <w:pPr>
              <w:spacing w:line="360" w:lineRule="auto"/>
              <w:ind w:firstLine="0"/>
              <w:jc w:val="center"/>
            </w:pPr>
            <w:r>
              <w:t>-.41 (.24)*</w:t>
            </w:r>
          </w:p>
        </w:tc>
        <w:tc>
          <w:tcPr>
            <w:tcW w:w="1122" w:type="dxa"/>
            <w:tcBorders>
              <w:top w:val="nil"/>
              <w:left w:val="nil"/>
              <w:bottom w:val="nil"/>
              <w:right w:val="nil"/>
            </w:tcBorders>
            <w:vAlign w:val="center"/>
          </w:tcPr>
          <w:p w14:paraId="7D0A9923" w14:textId="22FB5916" w:rsidR="00C33CF3" w:rsidRDefault="00C33CF3" w:rsidP="00C33CF3">
            <w:pPr>
              <w:spacing w:line="360" w:lineRule="auto"/>
              <w:ind w:firstLine="0"/>
              <w:jc w:val="center"/>
            </w:pPr>
            <w:r>
              <w:t>.66</w:t>
            </w:r>
          </w:p>
        </w:tc>
        <w:tc>
          <w:tcPr>
            <w:tcW w:w="1660" w:type="dxa"/>
            <w:tcBorders>
              <w:top w:val="nil"/>
              <w:left w:val="nil"/>
              <w:bottom w:val="nil"/>
              <w:right w:val="nil"/>
            </w:tcBorders>
            <w:vAlign w:val="center"/>
          </w:tcPr>
          <w:p w14:paraId="1AA1D771" w14:textId="3FADE791" w:rsidR="00C33CF3" w:rsidRDefault="00C33CF3" w:rsidP="00C33CF3">
            <w:pPr>
              <w:spacing w:line="360" w:lineRule="auto"/>
              <w:ind w:firstLine="0"/>
              <w:jc w:val="center"/>
            </w:pPr>
            <w:r>
              <w:t>.41</w:t>
            </w:r>
          </w:p>
        </w:tc>
        <w:tc>
          <w:tcPr>
            <w:tcW w:w="1931" w:type="dxa"/>
            <w:tcBorders>
              <w:top w:val="nil"/>
              <w:left w:val="nil"/>
              <w:bottom w:val="nil"/>
              <w:right w:val="nil"/>
            </w:tcBorders>
            <w:vAlign w:val="center"/>
          </w:tcPr>
          <w:p w14:paraId="4DD2CA1D" w14:textId="54592127" w:rsidR="00C33CF3" w:rsidRDefault="00C33CF3" w:rsidP="00C33CF3">
            <w:pPr>
              <w:spacing w:line="360" w:lineRule="auto"/>
              <w:ind w:firstLine="0"/>
              <w:jc w:val="center"/>
            </w:pPr>
            <w:r>
              <w:t>.98</w:t>
            </w:r>
          </w:p>
        </w:tc>
      </w:tr>
      <w:tr w:rsidR="00C33CF3" w14:paraId="697FDD8F" w14:textId="77777777" w:rsidTr="00C33CF3">
        <w:tc>
          <w:tcPr>
            <w:tcW w:w="2273" w:type="dxa"/>
            <w:tcBorders>
              <w:top w:val="nil"/>
              <w:left w:val="nil"/>
              <w:bottom w:val="nil"/>
              <w:right w:val="nil"/>
            </w:tcBorders>
            <w:vAlign w:val="center"/>
          </w:tcPr>
          <w:p w14:paraId="6F268480" w14:textId="5C28E214" w:rsidR="00C33CF3" w:rsidRDefault="00C33CF3" w:rsidP="00C33CF3">
            <w:pPr>
              <w:spacing w:line="360" w:lineRule="auto"/>
              <w:ind w:firstLine="0"/>
            </w:pPr>
            <w:r>
              <w:t>Crime deprivation</w:t>
            </w:r>
          </w:p>
        </w:tc>
        <w:tc>
          <w:tcPr>
            <w:tcW w:w="1320" w:type="dxa"/>
            <w:tcBorders>
              <w:top w:val="nil"/>
              <w:left w:val="nil"/>
              <w:bottom w:val="nil"/>
              <w:right w:val="nil"/>
            </w:tcBorders>
            <w:vAlign w:val="center"/>
          </w:tcPr>
          <w:p w14:paraId="33B6094D" w14:textId="77DBAC5A" w:rsidR="00C33CF3" w:rsidRDefault="00C33CF3" w:rsidP="00C33CF3">
            <w:pPr>
              <w:spacing w:line="360" w:lineRule="auto"/>
              <w:ind w:firstLine="0"/>
              <w:jc w:val="center"/>
            </w:pPr>
            <w:r>
              <w:t>.01 (.01)</w:t>
            </w:r>
          </w:p>
        </w:tc>
        <w:tc>
          <w:tcPr>
            <w:tcW w:w="1122" w:type="dxa"/>
            <w:tcBorders>
              <w:top w:val="nil"/>
              <w:left w:val="nil"/>
              <w:bottom w:val="nil"/>
              <w:right w:val="nil"/>
            </w:tcBorders>
            <w:vAlign w:val="center"/>
          </w:tcPr>
          <w:p w14:paraId="698FB0E7" w14:textId="7C090B33" w:rsidR="00C33CF3" w:rsidRDefault="00C33CF3" w:rsidP="00C33CF3">
            <w:pPr>
              <w:spacing w:line="360" w:lineRule="auto"/>
              <w:ind w:firstLine="0"/>
              <w:jc w:val="center"/>
            </w:pPr>
            <w:r>
              <w:t>1.00</w:t>
            </w:r>
          </w:p>
        </w:tc>
        <w:tc>
          <w:tcPr>
            <w:tcW w:w="1660" w:type="dxa"/>
            <w:tcBorders>
              <w:top w:val="nil"/>
              <w:left w:val="nil"/>
              <w:bottom w:val="nil"/>
              <w:right w:val="nil"/>
            </w:tcBorders>
            <w:vAlign w:val="center"/>
          </w:tcPr>
          <w:p w14:paraId="48827744" w14:textId="4713B070" w:rsidR="00C33CF3" w:rsidRDefault="00C33CF3" w:rsidP="00C33CF3">
            <w:pPr>
              <w:spacing w:line="360" w:lineRule="auto"/>
              <w:ind w:firstLine="0"/>
              <w:jc w:val="center"/>
            </w:pPr>
            <w:r>
              <w:t>.99</w:t>
            </w:r>
          </w:p>
        </w:tc>
        <w:tc>
          <w:tcPr>
            <w:tcW w:w="1931" w:type="dxa"/>
            <w:tcBorders>
              <w:top w:val="nil"/>
              <w:left w:val="nil"/>
              <w:bottom w:val="nil"/>
              <w:right w:val="nil"/>
            </w:tcBorders>
            <w:vAlign w:val="center"/>
          </w:tcPr>
          <w:p w14:paraId="50265461" w14:textId="00E35E68" w:rsidR="00C33CF3" w:rsidRDefault="00C33CF3" w:rsidP="00C33CF3">
            <w:pPr>
              <w:spacing w:line="360" w:lineRule="auto"/>
              <w:ind w:firstLine="0"/>
              <w:jc w:val="center"/>
            </w:pPr>
            <w:r>
              <w:t>1.02</w:t>
            </w:r>
          </w:p>
        </w:tc>
      </w:tr>
      <w:tr w:rsidR="00C33CF3" w14:paraId="53298595" w14:textId="77777777" w:rsidTr="00C33CF3">
        <w:tc>
          <w:tcPr>
            <w:tcW w:w="2273" w:type="dxa"/>
            <w:tcBorders>
              <w:top w:val="nil"/>
              <w:left w:val="nil"/>
              <w:bottom w:val="nil"/>
              <w:right w:val="nil"/>
            </w:tcBorders>
            <w:vAlign w:val="center"/>
          </w:tcPr>
          <w:p w14:paraId="6963AC5C" w14:textId="55DF2284" w:rsidR="00C33CF3" w:rsidRDefault="00C33CF3" w:rsidP="00C33CF3">
            <w:pPr>
              <w:spacing w:line="360" w:lineRule="auto"/>
              <w:ind w:firstLine="0"/>
            </w:pPr>
            <w:r>
              <w:t>Weekend</w:t>
            </w:r>
          </w:p>
        </w:tc>
        <w:tc>
          <w:tcPr>
            <w:tcW w:w="1320" w:type="dxa"/>
            <w:tcBorders>
              <w:top w:val="nil"/>
              <w:left w:val="nil"/>
              <w:bottom w:val="nil"/>
              <w:right w:val="nil"/>
            </w:tcBorders>
            <w:vAlign w:val="center"/>
          </w:tcPr>
          <w:p w14:paraId="2FD83777" w14:textId="52E88B85" w:rsidR="00C33CF3" w:rsidRDefault="00C33CF3" w:rsidP="00C33CF3">
            <w:pPr>
              <w:spacing w:line="360" w:lineRule="auto"/>
              <w:ind w:firstLine="0"/>
              <w:jc w:val="center"/>
            </w:pPr>
            <w:r>
              <w:t>-.16 (.22)</w:t>
            </w:r>
          </w:p>
        </w:tc>
        <w:tc>
          <w:tcPr>
            <w:tcW w:w="1122" w:type="dxa"/>
            <w:tcBorders>
              <w:top w:val="nil"/>
              <w:left w:val="nil"/>
              <w:bottom w:val="nil"/>
              <w:right w:val="nil"/>
            </w:tcBorders>
            <w:vAlign w:val="center"/>
          </w:tcPr>
          <w:p w14:paraId="14D4953E" w14:textId="534973E3" w:rsidR="00C33CF3" w:rsidRDefault="00C33CF3" w:rsidP="00C33CF3">
            <w:pPr>
              <w:spacing w:line="360" w:lineRule="auto"/>
              <w:ind w:firstLine="0"/>
              <w:jc w:val="center"/>
            </w:pPr>
            <w:r>
              <w:t>.85</w:t>
            </w:r>
          </w:p>
        </w:tc>
        <w:tc>
          <w:tcPr>
            <w:tcW w:w="1660" w:type="dxa"/>
            <w:tcBorders>
              <w:top w:val="nil"/>
              <w:left w:val="nil"/>
              <w:bottom w:val="nil"/>
              <w:right w:val="nil"/>
            </w:tcBorders>
            <w:vAlign w:val="center"/>
          </w:tcPr>
          <w:p w14:paraId="3A6E2A2A" w14:textId="5D8E1D05" w:rsidR="00C33CF3" w:rsidRDefault="00C33CF3" w:rsidP="00C33CF3">
            <w:pPr>
              <w:spacing w:line="360" w:lineRule="auto"/>
              <w:ind w:firstLine="0"/>
              <w:jc w:val="center"/>
            </w:pPr>
            <w:r>
              <w:t>.55</w:t>
            </w:r>
          </w:p>
        </w:tc>
        <w:tc>
          <w:tcPr>
            <w:tcW w:w="1931" w:type="dxa"/>
            <w:tcBorders>
              <w:top w:val="nil"/>
              <w:left w:val="nil"/>
              <w:bottom w:val="nil"/>
              <w:right w:val="nil"/>
            </w:tcBorders>
            <w:vAlign w:val="center"/>
          </w:tcPr>
          <w:p w14:paraId="2F546167" w14:textId="7AF7A897" w:rsidR="00C33CF3" w:rsidRDefault="00C33CF3" w:rsidP="00C33CF3">
            <w:pPr>
              <w:spacing w:line="360" w:lineRule="auto"/>
              <w:ind w:firstLine="0"/>
              <w:jc w:val="center"/>
            </w:pPr>
            <w:r>
              <w:t>1.31</w:t>
            </w:r>
          </w:p>
        </w:tc>
      </w:tr>
      <w:tr w:rsidR="00C33CF3" w14:paraId="0C86034E" w14:textId="77777777" w:rsidTr="00C33CF3">
        <w:tc>
          <w:tcPr>
            <w:tcW w:w="2273" w:type="dxa"/>
            <w:tcBorders>
              <w:top w:val="nil"/>
              <w:left w:val="nil"/>
              <w:bottom w:val="nil"/>
              <w:right w:val="nil"/>
            </w:tcBorders>
            <w:vAlign w:val="center"/>
          </w:tcPr>
          <w:p w14:paraId="7AF684CF" w14:textId="7C89B462" w:rsidR="00C33CF3" w:rsidRDefault="00C33CF3" w:rsidP="00C33CF3">
            <w:pPr>
              <w:spacing w:line="360" w:lineRule="auto"/>
              <w:ind w:firstLine="0"/>
            </w:pPr>
            <w:r>
              <w:t>Day/Night</w:t>
            </w:r>
          </w:p>
        </w:tc>
        <w:tc>
          <w:tcPr>
            <w:tcW w:w="1320" w:type="dxa"/>
            <w:tcBorders>
              <w:top w:val="nil"/>
              <w:left w:val="nil"/>
              <w:bottom w:val="nil"/>
              <w:right w:val="nil"/>
            </w:tcBorders>
            <w:vAlign w:val="center"/>
          </w:tcPr>
          <w:p w14:paraId="5E51F7AD" w14:textId="4C4B0D9F" w:rsidR="00C33CF3" w:rsidRDefault="00C33CF3" w:rsidP="00C33CF3">
            <w:pPr>
              <w:spacing w:line="360" w:lineRule="auto"/>
              <w:ind w:firstLine="0"/>
              <w:jc w:val="center"/>
            </w:pPr>
            <w:r>
              <w:t>-.36 (.24)</w:t>
            </w:r>
          </w:p>
        </w:tc>
        <w:tc>
          <w:tcPr>
            <w:tcW w:w="1122" w:type="dxa"/>
            <w:tcBorders>
              <w:top w:val="nil"/>
              <w:left w:val="nil"/>
              <w:bottom w:val="nil"/>
              <w:right w:val="nil"/>
            </w:tcBorders>
            <w:vAlign w:val="center"/>
          </w:tcPr>
          <w:p w14:paraId="09979911" w14:textId="6DB8FBF3" w:rsidR="00C33CF3" w:rsidRDefault="00C33CF3" w:rsidP="00C33CF3">
            <w:pPr>
              <w:spacing w:line="360" w:lineRule="auto"/>
              <w:ind w:firstLine="0"/>
              <w:jc w:val="center"/>
            </w:pPr>
            <w:r>
              <w:t>.70</w:t>
            </w:r>
          </w:p>
        </w:tc>
        <w:tc>
          <w:tcPr>
            <w:tcW w:w="1660" w:type="dxa"/>
            <w:tcBorders>
              <w:top w:val="nil"/>
              <w:left w:val="nil"/>
              <w:bottom w:val="nil"/>
              <w:right w:val="nil"/>
            </w:tcBorders>
            <w:vAlign w:val="center"/>
          </w:tcPr>
          <w:p w14:paraId="17D7E643" w14:textId="4A83C1A9" w:rsidR="00C33CF3" w:rsidRDefault="00C33CF3" w:rsidP="00C33CF3">
            <w:pPr>
              <w:spacing w:line="360" w:lineRule="auto"/>
              <w:ind w:firstLine="0"/>
              <w:jc w:val="center"/>
            </w:pPr>
            <w:r>
              <w:t>.44</w:t>
            </w:r>
          </w:p>
        </w:tc>
        <w:tc>
          <w:tcPr>
            <w:tcW w:w="1931" w:type="dxa"/>
            <w:tcBorders>
              <w:top w:val="nil"/>
              <w:left w:val="nil"/>
              <w:bottom w:val="nil"/>
              <w:right w:val="nil"/>
            </w:tcBorders>
            <w:vAlign w:val="center"/>
          </w:tcPr>
          <w:p w14:paraId="50A95DF3" w14:textId="680D776A" w:rsidR="00C33CF3" w:rsidRDefault="00C33CF3" w:rsidP="00C33CF3">
            <w:pPr>
              <w:spacing w:line="360" w:lineRule="auto"/>
              <w:ind w:firstLine="0"/>
              <w:jc w:val="center"/>
            </w:pPr>
            <w:r>
              <w:t>1.11</w:t>
            </w:r>
          </w:p>
        </w:tc>
      </w:tr>
      <w:tr w:rsidR="00C33CF3" w14:paraId="0C8A5BF2" w14:textId="77777777" w:rsidTr="00C33CF3">
        <w:tc>
          <w:tcPr>
            <w:tcW w:w="2273" w:type="dxa"/>
            <w:tcBorders>
              <w:top w:val="nil"/>
              <w:left w:val="nil"/>
              <w:bottom w:val="nil"/>
              <w:right w:val="nil"/>
            </w:tcBorders>
            <w:vAlign w:val="center"/>
          </w:tcPr>
          <w:p w14:paraId="0C397A84" w14:textId="2A382572" w:rsidR="00C33CF3" w:rsidRDefault="00C33CF3" w:rsidP="00C33CF3">
            <w:pPr>
              <w:spacing w:line="360" w:lineRule="auto"/>
              <w:ind w:firstLine="0"/>
            </w:pPr>
            <w:r>
              <w:t>Weapon</w:t>
            </w:r>
          </w:p>
        </w:tc>
        <w:tc>
          <w:tcPr>
            <w:tcW w:w="1320" w:type="dxa"/>
            <w:tcBorders>
              <w:top w:val="nil"/>
              <w:left w:val="nil"/>
              <w:bottom w:val="nil"/>
              <w:right w:val="nil"/>
            </w:tcBorders>
            <w:vAlign w:val="center"/>
          </w:tcPr>
          <w:p w14:paraId="141DCFC1" w14:textId="1A01B8DC" w:rsidR="00C33CF3" w:rsidRDefault="00C33CF3" w:rsidP="00C33CF3">
            <w:pPr>
              <w:spacing w:line="360" w:lineRule="auto"/>
              <w:ind w:firstLine="0"/>
              <w:jc w:val="center"/>
            </w:pPr>
            <w:r>
              <w:t>1.04 (.65)</w:t>
            </w:r>
          </w:p>
        </w:tc>
        <w:tc>
          <w:tcPr>
            <w:tcW w:w="1122" w:type="dxa"/>
            <w:tcBorders>
              <w:top w:val="nil"/>
              <w:left w:val="nil"/>
              <w:bottom w:val="nil"/>
              <w:right w:val="nil"/>
            </w:tcBorders>
            <w:vAlign w:val="center"/>
          </w:tcPr>
          <w:p w14:paraId="56B7E29F" w14:textId="39EAB5DE" w:rsidR="00C33CF3" w:rsidRDefault="00C33CF3" w:rsidP="00C33CF3">
            <w:pPr>
              <w:spacing w:line="360" w:lineRule="auto"/>
              <w:ind w:firstLine="0"/>
              <w:jc w:val="center"/>
            </w:pPr>
            <w:r>
              <w:t>2.84</w:t>
            </w:r>
          </w:p>
        </w:tc>
        <w:tc>
          <w:tcPr>
            <w:tcW w:w="1660" w:type="dxa"/>
            <w:tcBorders>
              <w:top w:val="nil"/>
              <w:left w:val="nil"/>
              <w:bottom w:val="nil"/>
              <w:right w:val="nil"/>
            </w:tcBorders>
            <w:vAlign w:val="center"/>
          </w:tcPr>
          <w:p w14:paraId="677DE0D9" w14:textId="1BF0761B" w:rsidR="00C33CF3" w:rsidRDefault="00C33CF3" w:rsidP="00C33CF3">
            <w:pPr>
              <w:spacing w:line="360" w:lineRule="auto"/>
              <w:ind w:firstLine="0"/>
              <w:jc w:val="center"/>
            </w:pPr>
            <w:r>
              <w:t>.80</w:t>
            </w:r>
          </w:p>
        </w:tc>
        <w:tc>
          <w:tcPr>
            <w:tcW w:w="1931" w:type="dxa"/>
            <w:tcBorders>
              <w:top w:val="nil"/>
              <w:left w:val="nil"/>
              <w:bottom w:val="nil"/>
              <w:right w:val="nil"/>
            </w:tcBorders>
            <w:vAlign w:val="center"/>
          </w:tcPr>
          <w:p w14:paraId="6327E508" w14:textId="70B9256D" w:rsidR="00C33CF3" w:rsidRDefault="00C33CF3" w:rsidP="00C33CF3">
            <w:pPr>
              <w:spacing w:line="360" w:lineRule="auto"/>
              <w:ind w:firstLine="0"/>
              <w:jc w:val="center"/>
            </w:pPr>
            <w:r>
              <w:t>10.08</w:t>
            </w:r>
          </w:p>
        </w:tc>
      </w:tr>
      <w:tr w:rsidR="00C33CF3" w14:paraId="4163BE25" w14:textId="77777777" w:rsidTr="00C33CF3">
        <w:tc>
          <w:tcPr>
            <w:tcW w:w="2273" w:type="dxa"/>
            <w:tcBorders>
              <w:top w:val="nil"/>
              <w:left w:val="nil"/>
              <w:bottom w:val="nil"/>
              <w:right w:val="nil"/>
            </w:tcBorders>
            <w:vAlign w:val="center"/>
          </w:tcPr>
          <w:p w14:paraId="32F605F1" w14:textId="19F8910D" w:rsidR="00C33CF3" w:rsidRDefault="00C33CF3" w:rsidP="00C33CF3">
            <w:pPr>
              <w:spacing w:line="360" w:lineRule="auto"/>
              <w:ind w:firstLine="0"/>
            </w:pPr>
            <w:r>
              <w:t>Injury</w:t>
            </w:r>
          </w:p>
        </w:tc>
        <w:tc>
          <w:tcPr>
            <w:tcW w:w="1320" w:type="dxa"/>
            <w:tcBorders>
              <w:top w:val="nil"/>
              <w:left w:val="nil"/>
              <w:bottom w:val="nil"/>
              <w:right w:val="nil"/>
            </w:tcBorders>
            <w:vAlign w:val="center"/>
          </w:tcPr>
          <w:p w14:paraId="234EBCC7" w14:textId="36D38890" w:rsidR="00C33CF3" w:rsidRDefault="00C33CF3" w:rsidP="00C33CF3">
            <w:pPr>
              <w:spacing w:line="360" w:lineRule="auto"/>
              <w:ind w:firstLine="0"/>
              <w:jc w:val="center"/>
            </w:pPr>
            <w:r>
              <w:t xml:space="preserve">    .11 (.22)</w:t>
            </w:r>
          </w:p>
        </w:tc>
        <w:tc>
          <w:tcPr>
            <w:tcW w:w="1122" w:type="dxa"/>
            <w:tcBorders>
              <w:top w:val="nil"/>
              <w:left w:val="nil"/>
              <w:bottom w:val="nil"/>
              <w:right w:val="nil"/>
            </w:tcBorders>
            <w:vAlign w:val="center"/>
          </w:tcPr>
          <w:p w14:paraId="1EACEA0C" w14:textId="43F315FE" w:rsidR="00C33CF3" w:rsidRDefault="00C33CF3" w:rsidP="00C33CF3">
            <w:pPr>
              <w:spacing w:line="360" w:lineRule="auto"/>
              <w:ind w:firstLine="0"/>
              <w:jc w:val="center"/>
            </w:pPr>
            <w:r>
              <w:t>1.12</w:t>
            </w:r>
          </w:p>
        </w:tc>
        <w:tc>
          <w:tcPr>
            <w:tcW w:w="1660" w:type="dxa"/>
            <w:tcBorders>
              <w:top w:val="nil"/>
              <w:left w:val="nil"/>
              <w:bottom w:val="nil"/>
              <w:right w:val="nil"/>
            </w:tcBorders>
            <w:vAlign w:val="center"/>
          </w:tcPr>
          <w:p w14:paraId="6A9B9A56" w14:textId="079A1E59" w:rsidR="00C33CF3" w:rsidRDefault="00C33CF3" w:rsidP="00C33CF3">
            <w:pPr>
              <w:spacing w:line="360" w:lineRule="auto"/>
              <w:ind w:firstLine="0"/>
              <w:jc w:val="center"/>
            </w:pPr>
            <w:r>
              <w:t>.72</w:t>
            </w:r>
          </w:p>
        </w:tc>
        <w:tc>
          <w:tcPr>
            <w:tcW w:w="1931" w:type="dxa"/>
            <w:tcBorders>
              <w:top w:val="nil"/>
              <w:left w:val="nil"/>
              <w:bottom w:val="nil"/>
              <w:right w:val="nil"/>
            </w:tcBorders>
            <w:vAlign w:val="center"/>
          </w:tcPr>
          <w:p w14:paraId="6E7CB61F" w14:textId="72EAEC32" w:rsidR="00C33CF3" w:rsidRDefault="00C33CF3" w:rsidP="00C33CF3">
            <w:pPr>
              <w:spacing w:line="360" w:lineRule="auto"/>
              <w:ind w:firstLine="0"/>
              <w:jc w:val="center"/>
            </w:pPr>
            <w:r>
              <w:t>1.73</w:t>
            </w:r>
          </w:p>
        </w:tc>
      </w:tr>
      <w:tr w:rsidR="00C33CF3" w14:paraId="5B7383E6" w14:textId="77777777" w:rsidTr="00C33CF3">
        <w:tc>
          <w:tcPr>
            <w:tcW w:w="2273" w:type="dxa"/>
            <w:tcBorders>
              <w:top w:val="nil"/>
              <w:left w:val="nil"/>
              <w:bottom w:val="nil"/>
              <w:right w:val="nil"/>
            </w:tcBorders>
            <w:vAlign w:val="center"/>
          </w:tcPr>
          <w:p w14:paraId="2A826716" w14:textId="3A7CFF12" w:rsidR="00C33CF3" w:rsidRDefault="00C33CF3" w:rsidP="00C33CF3">
            <w:pPr>
              <w:spacing w:line="360" w:lineRule="auto"/>
              <w:ind w:firstLine="0"/>
            </w:pPr>
            <w:r>
              <w:t>Hospital</w:t>
            </w:r>
          </w:p>
        </w:tc>
        <w:tc>
          <w:tcPr>
            <w:tcW w:w="1320" w:type="dxa"/>
            <w:tcBorders>
              <w:top w:val="nil"/>
              <w:left w:val="nil"/>
              <w:bottom w:val="nil"/>
              <w:right w:val="nil"/>
            </w:tcBorders>
            <w:vAlign w:val="center"/>
          </w:tcPr>
          <w:p w14:paraId="67B98211" w14:textId="30DFB138" w:rsidR="00C33CF3" w:rsidRDefault="00C33CF3" w:rsidP="00C33CF3">
            <w:pPr>
              <w:spacing w:line="360" w:lineRule="auto"/>
              <w:ind w:firstLine="0"/>
              <w:jc w:val="center"/>
            </w:pPr>
            <w:r>
              <w:t>.34 (.55)</w:t>
            </w:r>
          </w:p>
        </w:tc>
        <w:tc>
          <w:tcPr>
            <w:tcW w:w="1122" w:type="dxa"/>
            <w:tcBorders>
              <w:top w:val="nil"/>
              <w:left w:val="nil"/>
              <w:bottom w:val="nil"/>
              <w:right w:val="nil"/>
            </w:tcBorders>
            <w:vAlign w:val="center"/>
          </w:tcPr>
          <w:p w14:paraId="52BFC687" w14:textId="295D6924" w:rsidR="00C33CF3" w:rsidRDefault="00C33CF3" w:rsidP="00C33CF3">
            <w:pPr>
              <w:spacing w:line="360" w:lineRule="auto"/>
              <w:ind w:firstLine="0"/>
              <w:jc w:val="center"/>
            </w:pPr>
            <w:r>
              <w:t>1.41</w:t>
            </w:r>
          </w:p>
        </w:tc>
        <w:tc>
          <w:tcPr>
            <w:tcW w:w="1660" w:type="dxa"/>
            <w:tcBorders>
              <w:top w:val="nil"/>
              <w:left w:val="nil"/>
              <w:bottom w:val="nil"/>
              <w:right w:val="nil"/>
            </w:tcBorders>
            <w:vAlign w:val="center"/>
          </w:tcPr>
          <w:p w14:paraId="223008A7" w14:textId="6C1DB458" w:rsidR="00C33CF3" w:rsidRDefault="00C33CF3" w:rsidP="00C33CF3">
            <w:pPr>
              <w:spacing w:line="360" w:lineRule="auto"/>
              <w:ind w:firstLine="0"/>
              <w:jc w:val="center"/>
            </w:pPr>
            <w:r>
              <w:t>.48</w:t>
            </w:r>
          </w:p>
        </w:tc>
        <w:tc>
          <w:tcPr>
            <w:tcW w:w="1931" w:type="dxa"/>
            <w:tcBorders>
              <w:top w:val="nil"/>
              <w:left w:val="nil"/>
              <w:bottom w:val="nil"/>
              <w:right w:val="nil"/>
            </w:tcBorders>
            <w:vAlign w:val="center"/>
          </w:tcPr>
          <w:p w14:paraId="27C8BFD1" w14:textId="7318774C" w:rsidR="00C33CF3" w:rsidRDefault="00C33CF3" w:rsidP="00C33CF3">
            <w:pPr>
              <w:spacing w:line="360" w:lineRule="auto"/>
              <w:ind w:firstLine="0"/>
              <w:jc w:val="center"/>
            </w:pPr>
            <w:r>
              <w:t>4.15</w:t>
            </w:r>
          </w:p>
        </w:tc>
      </w:tr>
      <w:tr w:rsidR="00C33CF3" w14:paraId="232E62FE" w14:textId="77777777" w:rsidTr="00C33CF3">
        <w:tc>
          <w:tcPr>
            <w:tcW w:w="2273" w:type="dxa"/>
            <w:tcBorders>
              <w:top w:val="nil"/>
              <w:left w:val="nil"/>
              <w:bottom w:val="nil"/>
              <w:right w:val="nil"/>
            </w:tcBorders>
            <w:vAlign w:val="center"/>
          </w:tcPr>
          <w:p w14:paraId="7997F9A0" w14:textId="4979BB58" w:rsidR="00C33CF3" w:rsidRDefault="00C33CF3" w:rsidP="00C33CF3">
            <w:pPr>
              <w:spacing w:line="360" w:lineRule="auto"/>
              <w:ind w:firstLine="0"/>
            </w:pPr>
            <w:r>
              <w:t>Children</w:t>
            </w:r>
          </w:p>
        </w:tc>
        <w:tc>
          <w:tcPr>
            <w:tcW w:w="1320" w:type="dxa"/>
            <w:tcBorders>
              <w:top w:val="nil"/>
              <w:left w:val="nil"/>
              <w:bottom w:val="nil"/>
              <w:right w:val="nil"/>
            </w:tcBorders>
            <w:vAlign w:val="center"/>
          </w:tcPr>
          <w:p w14:paraId="56505E9E" w14:textId="681AF207" w:rsidR="00C33CF3" w:rsidRDefault="00C33CF3" w:rsidP="00C33CF3">
            <w:pPr>
              <w:spacing w:line="360" w:lineRule="auto"/>
              <w:ind w:firstLine="0"/>
              <w:jc w:val="center"/>
            </w:pPr>
            <w:r>
              <w:t>1.46 (.45)**</w:t>
            </w:r>
          </w:p>
        </w:tc>
        <w:tc>
          <w:tcPr>
            <w:tcW w:w="1122" w:type="dxa"/>
            <w:tcBorders>
              <w:top w:val="nil"/>
              <w:left w:val="nil"/>
              <w:bottom w:val="nil"/>
              <w:right w:val="nil"/>
            </w:tcBorders>
            <w:vAlign w:val="center"/>
          </w:tcPr>
          <w:p w14:paraId="644AB806" w14:textId="350EACDC" w:rsidR="00C33CF3" w:rsidRDefault="00C33CF3" w:rsidP="00C33CF3">
            <w:pPr>
              <w:spacing w:line="360" w:lineRule="auto"/>
              <w:ind w:firstLine="0"/>
              <w:jc w:val="center"/>
            </w:pPr>
            <w:r>
              <w:t>4.30</w:t>
            </w:r>
          </w:p>
        </w:tc>
        <w:tc>
          <w:tcPr>
            <w:tcW w:w="1660" w:type="dxa"/>
            <w:tcBorders>
              <w:top w:val="nil"/>
              <w:left w:val="nil"/>
              <w:bottom w:val="nil"/>
              <w:right w:val="nil"/>
            </w:tcBorders>
            <w:vAlign w:val="center"/>
          </w:tcPr>
          <w:p w14:paraId="2182BC36" w14:textId="1A4778A7" w:rsidR="00C33CF3" w:rsidRDefault="00C33CF3" w:rsidP="00C33CF3">
            <w:pPr>
              <w:spacing w:line="360" w:lineRule="auto"/>
              <w:ind w:firstLine="0"/>
              <w:jc w:val="center"/>
            </w:pPr>
            <w:r>
              <w:t>1.77</w:t>
            </w:r>
          </w:p>
        </w:tc>
        <w:tc>
          <w:tcPr>
            <w:tcW w:w="1931" w:type="dxa"/>
            <w:tcBorders>
              <w:top w:val="nil"/>
              <w:left w:val="nil"/>
              <w:bottom w:val="nil"/>
              <w:right w:val="nil"/>
            </w:tcBorders>
            <w:vAlign w:val="center"/>
          </w:tcPr>
          <w:p w14:paraId="2F7B2B06" w14:textId="7EE46970" w:rsidR="00C33CF3" w:rsidRDefault="00C33CF3" w:rsidP="00C33CF3">
            <w:pPr>
              <w:spacing w:line="360" w:lineRule="auto"/>
              <w:ind w:firstLine="0"/>
              <w:jc w:val="center"/>
            </w:pPr>
            <w:r>
              <w:t>10.45</w:t>
            </w:r>
          </w:p>
        </w:tc>
      </w:tr>
      <w:tr w:rsidR="00C33CF3" w14:paraId="1D7327EC" w14:textId="77777777" w:rsidTr="00C33CF3">
        <w:tc>
          <w:tcPr>
            <w:tcW w:w="2273" w:type="dxa"/>
            <w:tcBorders>
              <w:top w:val="nil"/>
              <w:left w:val="nil"/>
              <w:bottom w:val="nil"/>
              <w:right w:val="nil"/>
            </w:tcBorders>
            <w:vAlign w:val="center"/>
          </w:tcPr>
          <w:p w14:paraId="45986DA2" w14:textId="7A191ABF" w:rsidR="00C33CF3" w:rsidRDefault="00C33CF3" w:rsidP="00C33CF3">
            <w:pPr>
              <w:spacing w:line="360" w:lineRule="auto"/>
              <w:ind w:firstLine="0"/>
            </w:pPr>
            <w:r>
              <w:t>Current partner</w:t>
            </w:r>
          </w:p>
        </w:tc>
        <w:tc>
          <w:tcPr>
            <w:tcW w:w="1320" w:type="dxa"/>
            <w:tcBorders>
              <w:top w:val="nil"/>
              <w:left w:val="nil"/>
              <w:bottom w:val="nil"/>
              <w:right w:val="nil"/>
            </w:tcBorders>
            <w:vAlign w:val="center"/>
          </w:tcPr>
          <w:p w14:paraId="03B2C502" w14:textId="6FB2E2FB" w:rsidR="00C33CF3" w:rsidRDefault="00C33CF3" w:rsidP="00C33CF3">
            <w:pPr>
              <w:spacing w:line="360" w:lineRule="auto"/>
              <w:ind w:firstLine="0"/>
              <w:jc w:val="center"/>
            </w:pPr>
            <w:r>
              <w:t>.34 (.25)</w:t>
            </w:r>
          </w:p>
        </w:tc>
        <w:tc>
          <w:tcPr>
            <w:tcW w:w="1122" w:type="dxa"/>
            <w:tcBorders>
              <w:top w:val="nil"/>
              <w:left w:val="nil"/>
              <w:bottom w:val="nil"/>
              <w:right w:val="nil"/>
            </w:tcBorders>
            <w:vAlign w:val="center"/>
          </w:tcPr>
          <w:p w14:paraId="7C3C9971" w14:textId="603FD820" w:rsidR="00C33CF3" w:rsidRDefault="00C33CF3" w:rsidP="00C33CF3">
            <w:pPr>
              <w:spacing w:line="360" w:lineRule="auto"/>
              <w:ind w:firstLine="0"/>
              <w:jc w:val="center"/>
            </w:pPr>
            <w:r>
              <w:t>1.41</w:t>
            </w:r>
          </w:p>
        </w:tc>
        <w:tc>
          <w:tcPr>
            <w:tcW w:w="1660" w:type="dxa"/>
            <w:tcBorders>
              <w:top w:val="nil"/>
              <w:left w:val="nil"/>
              <w:bottom w:val="nil"/>
              <w:right w:val="nil"/>
            </w:tcBorders>
            <w:vAlign w:val="center"/>
          </w:tcPr>
          <w:p w14:paraId="3BD77B56" w14:textId="6C0E4ADB" w:rsidR="00C33CF3" w:rsidRDefault="00C33CF3" w:rsidP="00C33CF3">
            <w:pPr>
              <w:spacing w:line="360" w:lineRule="auto"/>
              <w:ind w:firstLine="0"/>
              <w:jc w:val="center"/>
            </w:pPr>
            <w:r>
              <w:t>.87</w:t>
            </w:r>
          </w:p>
        </w:tc>
        <w:tc>
          <w:tcPr>
            <w:tcW w:w="1931" w:type="dxa"/>
            <w:tcBorders>
              <w:top w:val="nil"/>
              <w:left w:val="nil"/>
              <w:bottom w:val="nil"/>
              <w:right w:val="nil"/>
            </w:tcBorders>
            <w:vAlign w:val="center"/>
          </w:tcPr>
          <w:p w14:paraId="54A372AD" w14:textId="6086FED5" w:rsidR="00C33CF3" w:rsidRDefault="00C33CF3" w:rsidP="00C33CF3">
            <w:pPr>
              <w:spacing w:line="360" w:lineRule="auto"/>
              <w:ind w:firstLine="0"/>
              <w:jc w:val="center"/>
            </w:pPr>
            <w:r>
              <w:t>2.28</w:t>
            </w:r>
          </w:p>
        </w:tc>
      </w:tr>
      <w:tr w:rsidR="00C33CF3" w14:paraId="6E95F75C" w14:textId="77777777" w:rsidTr="00C33CF3">
        <w:tc>
          <w:tcPr>
            <w:tcW w:w="2273" w:type="dxa"/>
            <w:tcBorders>
              <w:top w:val="nil"/>
              <w:left w:val="nil"/>
              <w:bottom w:val="single" w:sz="4" w:space="0" w:color="auto"/>
              <w:right w:val="nil"/>
            </w:tcBorders>
            <w:vAlign w:val="center"/>
          </w:tcPr>
          <w:p w14:paraId="65CF50BD" w14:textId="156AB166" w:rsidR="00C33CF3" w:rsidRDefault="00C33CF3" w:rsidP="00C33CF3">
            <w:pPr>
              <w:spacing w:line="360" w:lineRule="auto"/>
              <w:ind w:firstLine="0"/>
            </w:pPr>
            <w:r>
              <w:t>DASH</w:t>
            </w:r>
          </w:p>
        </w:tc>
        <w:tc>
          <w:tcPr>
            <w:tcW w:w="1320" w:type="dxa"/>
            <w:tcBorders>
              <w:top w:val="nil"/>
              <w:left w:val="nil"/>
              <w:bottom w:val="single" w:sz="4" w:space="0" w:color="auto"/>
              <w:right w:val="nil"/>
            </w:tcBorders>
            <w:vAlign w:val="center"/>
          </w:tcPr>
          <w:p w14:paraId="5D5951DA" w14:textId="4008F95F" w:rsidR="00C33CF3" w:rsidRDefault="00C33CF3" w:rsidP="00C33CF3">
            <w:pPr>
              <w:spacing w:line="360" w:lineRule="auto"/>
              <w:ind w:firstLine="0"/>
              <w:jc w:val="center"/>
            </w:pPr>
            <w:r>
              <w:t>-.29 (.15)*</w:t>
            </w:r>
          </w:p>
        </w:tc>
        <w:tc>
          <w:tcPr>
            <w:tcW w:w="1122" w:type="dxa"/>
            <w:tcBorders>
              <w:top w:val="nil"/>
              <w:left w:val="nil"/>
              <w:bottom w:val="single" w:sz="4" w:space="0" w:color="auto"/>
              <w:right w:val="nil"/>
            </w:tcBorders>
            <w:vAlign w:val="center"/>
          </w:tcPr>
          <w:p w14:paraId="46A60750" w14:textId="2771C93B" w:rsidR="00C33CF3" w:rsidRDefault="00C33CF3" w:rsidP="00C33CF3">
            <w:pPr>
              <w:spacing w:line="360" w:lineRule="auto"/>
              <w:ind w:firstLine="0"/>
              <w:jc w:val="center"/>
            </w:pPr>
            <w:r>
              <w:t>.75</w:t>
            </w:r>
          </w:p>
        </w:tc>
        <w:tc>
          <w:tcPr>
            <w:tcW w:w="1660" w:type="dxa"/>
            <w:tcBorders>
              <w:top w:val="nil"/>
              <w:left w:val="nil"/>
              <w:bottom w:val="single" w:sz="4" w:space="0" w:color="auto"/>
              <w:right w:val="nil"/>
            </w:tcBorders>
            <w:vAlign w:val="center"/>
          </w:tcPr>
          <w:p w14:paraId="6A737036" w14:textId="18654AD9" w:rsidR="00C33CF3" w:rsidRDefault="00C33CF3" w:rsidP="00C33CF3">
            <w:pPr>
              <w:spacing w:line="360" w:lineRule="auto"/>
              <w:ind w:firstLine="0"/>
              <w:jc w:val="center"/>
            </w:pPr>
            <w:r>
              <w:t>.55</w:t>
            </w:r>
          </w:p>
        </w:tc>
        <w:tc>
          <w:tcPr>
            <w:tcW w:w="1931" w:type="dxa"/>
            <w:tcBorders>
              <w:top w:val="nil"/>
              <w:left w:val="nil"/>
              <w:bottom w:val="single" w:sz="4" w:space="0" w:color="auto"/>
              <w:right w:val="nil"/>
            </w:tcBorders>
            <w:vAlign w:val="center"/>
          </w:tcPr>
          <w:p w14:paraId="69A4B3E3" w14:textId="59FE6C54" w:rsidR="00C33CF3" w:rsidRDefault="00C33CF3" w:rsidP="00C33CF3">
            <w:pPr>
              <w:spacing w:line="360" w:lineRule="auto"/>
              <w:ind w:firstLine="0"/>
              <w:jc w:val="center"/>
            </w:pPr>
            <w:r>
              <w:t>.98</w:t>
            </w:r>
          </w:p>
        </w:tc>
      </w:tr>
    </w:tbl>
    <w:p w14:paraId="0A3F73D8" w14:textId="504CA564" w:rsidR="006D5EE7" w:rsidRPr="009B2952" w:rsidRDefault="006D5EE7" w:rsidP="00D26A63">
      <w:pPr>
        <w:ind w:firstLine="0"/>
        <w:rPr>
          <w:sz w:val="18"/>
          <w:szCs w:val="18"/>
        </w:rPr>
      </w:pPr>
      <w:r w:rsidRPr="00105BE9">
        <w:rPr>
          <w:sz w:val="18"/>
          <w:szCs w:val="18"/>
        </w:rPr>
        <w:t xml:space="preserve">Note: </w:t>
      </w:r>
      <w:r w:rsidRPr="00105BE9">
        <w:rPr>
          <w:i/>
          <w:sz w:val="18"/>
          <w:szCs w:val="18"/>
        </w:rPr>
        <w:t>N</w:t>
      </w:r>
      <w:r>
        <w:rPr>
          <w:sz w:val="18"/>
          <w:szCs w:val="18"/>
        </w:rPr>
        <w:t xml:space="preserve"> = </w:t>
      </w:r>
      <w:r w:rsidR="00C33CF3">
        <w:rPr>
          <w:sz w:val="18"/>
          <w:szCs w:val="18"/>
        </w:rPr>
        <w:t>524</w:t>
      </w:r>
      <w:r w:rsidRPr="00105BE9">
        <w:rPr>
          <w:sz w:val="18"/>
          <w:szCs w:val="18"/>
        </w:rPr>
        <w:t>, *</w:t>
      </w:r>
      <w:r w:rsidRPr="00105BE9">
        <w:rPr>
          <w:i/>
          <w:sz w:val="18"/>
          <w:szCs w:val="18"/>
        </w:rPr>
        <w:t>p</w:t>
      </w:r>
      <w:r w:rsidRPr="00105BE9">
        <w:rPr>
          <w:sz w:val="18"/>
          <w:szCs w:val="18"/>
        </w:rPr>
        <w:t xml:space="preserve"> &lt; .05, **</w:t>
      </w:r>
      <w:r w:rsidRPr="00105BE9">
        <w:rPr>
          <w:i/>
          <w:sz w:val="18"/>
          <w:szCs w:val="18"/>
        </w:rPr>
        <w:t xml:space="preserve">p </w:t>
      </w:r>
      <w:r w:rsidRPr="00105BE9">
        <w:rPr>
          <w:sz w:val="18"/>
          <w:szCs w:val="18"/>
        </w:rPr>
        <w:t>&lt; .001</w:t>
      </w:r>
    </w:p>
    <w:p w14:paraId="49A62EE9" w14:textId="77777777" w:rsidR="00B11626" w:rsidRDefault="00B11626" w:rsidP="00424564">
      <w:pPr>
        <w:ind w:left="720" w:hanging="720"/>
        <w:rPr>
          <w:sz w:val="18"/>
          <w:szCs w:val="18"/>
        </w:rPr>
      </w:pPr>
    </w:p>
    <w:p w14:paraId="07626AAD" w14:textId="77777777" w:rsidR="00B11626" w:rsidRDefault="00B11626" w:rsidP="00D26A63">
      <w:r>
        <w:br w:type="page"/>
      </w:r>
    </w:p>
    <w:p w14:paraId="65A33401" w14:textId="77777777" w:rsidR="00B11626" w:rsidRPr="00D26A63" w:rsidRDefault="00B11626" w:rsidP="00424564">
      <w:pPr>
        <w:ind w:left="720" w:hanging="720"/>
      </w:pPr>
      <w:r>
        <w:t>Table 3</w:t>
      </w:r>
    </w:p>
    <w:p w14:paraId="1579448C" w14:textId="50586C57" w:rsidR="00424564" w:rsidRDefault="006034A3" w:rsidP="00424564">
      <w:pPr>
        <w:ind w:left="720" w:hanging="720"/>
        <w:rPr>
          <w:i/>
        </w:rPr>
      </w:pPr>
      <w:r>
        <w:rPr>
          <w:i/>
        </w:rPr>
        <w:t>Reasons and Frequencies for Retraction/Disengagement</w:t>
      </w:r>
    </w:p>
    <w:tbl>
      <w:tblPr>
        <w:tblStyle w:val="TableGrid"/>
        <w:tblW w:w="8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395"/>
        <w:gridCol w:w="1134"/>
        <w:gridCol w:w="1185"/>
      </w:tblGrid>
      <w:tr w:rsidR="000F2EF8" w14:paraId="47BDA816" w14:textId="77777777" w:rsidTr="00D26A63">
        <w:tc>
          <w:tcPr>
            <w:tcW w:w="1809" w:type="dxa"/>
            <w:tcBorders>
              <w:top w:val="single" w:sz="4" w:space="0" w:color="auto"/>
            </w:tcBorders>
          </w:tcPr>
          <w:p w14:paraId="5C08D533" w14:textId="2773E5BF" w:rsidR="000F2EF8" w:rsidRDefault="000F2EF8" w:rsidP="000F2EF8">
            <w:pPr>
              <w:spacing w:line="276" w:lineRule="auto"/>
              <w:ind w:firstLine="0"/>
            </w:pPr>
            <w:r>
              <w:t>Reason</w:t>
            </w:r>
          </w:p>
        </w:tc>
        <w:tc>
          <w:tcPr>
            <w:tcW w:w="4395" w:type="dxa"/>
            <w:tcBorders>
              <w:top w:val="single" w:sz="4" w:space="0" w:color="auto"/>
            </w:tcBorders>
          </w:tcPr>
          <w:p w14:paraId="59E7F0F9" w14:textId="2441A3A2" w:rsidR="000F2EF8" w:rsidRDefault="000F2EF8" w:rsidP="000F2EF8">
            <w:pPr>
              <w:spacing w:line="276" w:lineRule="auto"/>
              <w:ind w:firstLine="0"/>
            </w:pPr>
            <w:r>
              <w:t>Explanation of reason</w:t>
            </w:r>
          </w:p>
        </w:tc>
        <w:tc>
          <w:tcPr>
            <w:tcW w:w="2319" w:type="dxa"/>
            <w:gridSpan w:val="2"/>
            <w:tcBorders>
              <w:top w:val="single" w:sz="4" w:space="0" w:color="auto"/>
              <w:bottom w:val="single" w:sz="4" w:space="0" w:color="auto"/>
            </w:tcBorders>
          </w:tcPr>
          <w:p w14:paraId="549087FC" w14:textId="23BC9694" w:rsidR="000F2EF8" w:rsidRDefault="000F2EF8" w:rsidP="000F2EF8">
            <w:pPr>
              <w:spacing w:line="276" w:lineRule="auto"/>
              <w:ind w:firstLine="0"/>
              <w:jc w:val="center"/>
            </w:pPr>
            <w:r>
              <w:t>Frequency</w:t>
            </w:r>
          </w:p>
        </w:tc>
      </w:tr>
      <w:tr w:rsidR="000F2EF8" w14:paraId="1E365F18" w14:textId="77777777" w:rsidTr="00D26A63">
        <w:tc>
          <w:tcPr>
            <w:tcW w:w="1809" w:type="dxa"/>
            <w:tcBorders>
              <w:bottom w:val="single" w:sz="4" w:space="0" w:color="auto"/>
            </w:tcBorders>
          </w:tcPr>
          <w:p w14:paraId="351D3AF6" w14:textId="77777777" w:rsidR="000F2EF8" w:rsidRDefault="000F2EF8" w:rsidP="000F2EF8">
            <w:pPr>
              <w:spacing w:line="276" w:lineRule="auto"/>
              <w:ind w:firstLine="0"/>
            </w:pPr>
          </w:p>
        </w:tc>
        <w:tc>
          <w:tcPr>
            <w:tcW w:w="4395" w:type="dxa"/>
            <w:tcBorders>
              <w:bottom w:val="single" w:sz="4" w:space="0" w:color="auto"/>
            </w:tcBorders>
          </w:tcPr>
          <w:p w14:paraId="3D6BB982" w14:textId="77777777" w:rsidR="000F2EF8" w:rsidRDefault="000F2EF8" w:rsidP="000F2EF8">
            <w:pPr>
              <w:spacing w:line="276" w:lineRule="auto"/>
              <w:ind w:firstLine="0"/>
            </w:pPr>
          </w:p>
        </w:tc>
        <w:tc>
          <w:tcPr>
            <w:tcW w:w="1134" w:type="dxa"/>
            <w:tcBorders>
              <w:top w:val="single" w:sz="4" w:space="0" w:color="auto"/>
              <w:bottom w:val="single" w:sz="4" w:space="0" w:color="auto"/>
            </w:tcBorders>
          </w:tcPr>
          <w:p w14:paraId="68B89304" w14:textId="77777777" w:rsidR="000F2EF8" w:rsidRDefault="000F2EF8" w:rsidP="000F2EF8">
            <w:pPr>
              <w:spacing w:line="276" w:lineRule="auto"/>
              <w:ind w:firstLine="0"/>
              <w:jc w:val="center"/>
            </w:pPr>
            <w:r>
              <w:t>Retraction</w:t>
            </w:r>
          </w:p>
        </w:tc>
        <w:tc>
          <w:tcPr>
            <w:tcW w:w="1185" w:type="dxa"/>
            <w:tcBorders>
              <w:top w:val="single" w:sz="4" w:space="0" w:color="auto"/>
              <w:bottom w:val="single" w:sz="4" w:space="0" w:color="auto"/>
            </w:tcBorders>
          </w:tcPr>
          <w:p w14:paraId="0BED006F" w14:textId="77777777" w:rsidR="000F2EF8" w:rsidRDefault="000F2EF8" w:rsidP="000F2EF8">
            <w:pPr>
              <w:spacing w:line="276" w:lineRule="auto"/>
              <w:ind w:firstLine="0"/>
              <w:jc w:val="center"/>
            </w:pPr>
            <w:r>
              <w:t>Disengagement</w:t>
            </w:r>
          </w:p>
        </w:tc>
      </w:tr>
      <w:tr w:rsidR="000F2EF8" w14:paraId="2C8A5831" w14:textId="77777777" w:rsidTr="00D26A63">
        <w:tc>
          <w:tcPr>
            <w:tcW w:w="1809" w:type="dxa"/>
            <w:tcBorders>
              <w:top w:val="single" w:sz="4" w:space="0" w:color="auto"/>
            </w:tcBorders>
          </w:tcPr>
          <w:p w14:paraId="26EADB1C" w14:textId="77777777" w:rsidR="000F2EF8" w:rsidRDefault="000F2EF8" w:rsidP="000F2EF8">
            <w:pPr>
              <w:spacing w:line="276" w:lineRule="auto"/>
              <w:ind w:firstLine="0"/>
            </w:pPr>
            <w:r>
              <w:t>Reconciliation</w:t>
            </w:r>
          </w:p>
        </w:tc>
        <w:tc>
          <w:tcPr>
            <w:tcW w:w="4395" w:type="dxa"/>
            <w:tcBorders>
              <w:top w:val="single" w:sz="4" w:space="0" w:color="auto"/>
            </w:tcBorders>
          </w:tcPr>
          <w:p w14:paraId="1AE48E47" w14:textId="77777777" w:rsidR="000F2EF8" w:rsidRDefault="000F2EF8" w:rsidP="000F2EF8">
            <w:pPr>
              <w:spacing w:line="276" w:lineRule="auto"/>
              <w:ind w:firstLine="0"/>
            </w:pPr>
            <w:r>
              <w:t>Victim continues or returns to a relationship with the offender.</w:t>
            </w:r>
          </w:p>
        </w:tc>
        <w:tc>
          <w:tcPr>
            <w:tcW w:w="1134" w:type="dxa"/>
            <w:tcBorders>
              <w:top w:val="single" w:sz="4" w:space="0" w:color="auto"/>
            </w:tcBorders>
          </w:tcPr>
          <w:p w14:paraId="4D32E9BF" w14:textId="4B26710C" w:rsidR="000F2EF8" w:rsidRDefault="000F2EF8" w:rsidP="00100F3E">
            <w:pPr>
              <w:spacing w:line="276" w:lineRule="auto"/>
              <w:ind w:firstLine="0"/>
              <w:jc w:val="center"/>
            </w:pPr>
            <w:r>
              <w:t>1</w:t>
            </w:r>
            <w:r w:rsidR="00100F3E">
              <w:t>5</w:t>
            </w:r>
          </w:p>
        </w:tc>
        <w:tc>
          <w:tcPr>
            <w:tcW w:w="1185" w:type="dxa"/>
            <w:tcBorders>
              <w:top w:val="single" w:sz="4" w:space="0" w:color="auto"/>
            </w:tcBorders>
          </w:tcPr>
          <w:p w14:paraId="353E27D1" w14:textId="461CA38E" w:rsidR="000F2EF8" w:rsidRDefault="00100F3E" w:rsidP="000F2EF8">
            <w:pPr>
              <w:spacing w:line="276" w:lineRule="auto"/>
              <w:ind w:firstLine="0"/>
              <w:jc w:val="center"/>
            </w:pPr>
            <w:r>
              <w:t>18</w:t>
            </w:r>
          </w:p>
        </w:tc>
      </w:tr>
      <w:tr w:rsidR="000F2EF8" w14:paraId="4DF52FAE" w14:textId="77777777" w:rsidTr="00D26A63">
        <w:tc>
          <w:tcPr>
            <w:tcW w:w="1809" w:type="dxa"/>
          </w:tcPr>
          <w:p w14:paraId="52660C6B" w14:textId="77777777" w:rsidR="000F2EF8" w:rsidRDefault="000F2EF8" w:rsidP="000F2EF8">
            <w:pPr>
              <w:spacing w:line="276" w:lineRule="auto"/>
              <w:ind w:firstLine="0"/>
            </w:pPr>
            <w:r>
              <w:t>Wants to get on with their life/End of relationship</w:t>
            </w:r>
          </w:p>
        </w:tc>
        <w:tc>
          <w:tcPr>
            <w:tcW w:w="4395" w:type="dxa"/>
          </w:tcPr>
          <w:p w14:paraId="2FF73CB0" w14:textId="77777777" w:rsidR="000F2EF8" w:rsidRDefault="000F2EF8" w:rsidP="000F2EF8">
            <w:pPr>
              <w:spacing w:line="276" w:lineRule="auto"/>
              <w:ind w:firstLine="0"/>
            </w:pPr>
            <w:r>
              <w:t>Victims reports that they want to move on and forget what occurred to them and/or that the relationship is now over.</w:t>
            </w:r>
          </w:p>
        </w:tc>
        <w:tc>
          <w:tcPr>
            <w:tcW w:w="1134" w:type="dxa"/>
          </w:tcPr>
          <w:p w14:paraId="3AE00148" w14:textId="6526C90A" w:rsidR="000F2EF8" w:rsidRDefault="000F2EF8" w:rsidP="00100F3E">
            <w:pPr>
              <w:spacing w:line="276" w:lineRule="auto"/>
              <w:ind w:firstLine="0"/>
              <w:jc w:val="center"/>
            </w:pPr>
            <w:r>
              <w:t>1</w:t>
            </w:r>
            <w:r w:rsidR="00100F3E">
              <w:t>2</w:t>
            </w:r>
          </w:p>
        </w:tc>
        <w:tc>
          <w:tcPr>
            <w:tcW w:w="1185" w:type="dxa"/>
          </w:tcPr>
          <w:p w14:paraId="3E9DFCBA" w14:textId="77777777" w:rsidR="000F2EF8" w:rsidRDefault="000F2EF8" w:rsidP="000F2EF8">
            <w:pPr>
              <w:spacing w:line="276" w:lineRule="auto"/>
              <w:ind w:firstLine="0"/>
              <w:jc w:val="center"/>
            </w:pPr>
            <w:r>
              <w:t>11</w:t>
            </w:r>
          </w:p>
        </w:tc>
      </w:tr>
      <w:tr w:rsidR="000F2EF8" w14:paraId="7AEC8857" w14:textId="77777777" w:rsidTr="00D26A63">
        <w:tc>
          <w:tcPr>
            <w:tcW w:w="1809" w:type="dxa"/>
          </w:tcPr>
          <w:p w14:paraId="52330452" w14:textId="77777777" w:rsidR="000F2EF8" w:rsidRDefault="000F2EF8" w:rsidP="000F2EF8">
            <w:pPr>
              <w:spacing w:line="276" w:lineRule="auto"/>
              <w:ind w:firstLine="0"/>
            </w:pPr>
            <w:r>
              <w:t>Child related reasons</w:t>
            </w:r>
          </w:p>
        </w:tc>
        <w:tc>
          <w:tcPr>
            <w:tcW w:w="4395" w:type="dxa"/>
          </w:tcPr>
          <w:p w14:paraId="0A399D07" w14:textId="77777777" w:rsidR="000F2EF8" w:rsidRDefault="000F2EF8" w:rsidP="000F2EF8">
            <w:pPr>
              <w:spacing w:line="276" w:lineRule="auto"/>
              <w:ind w:firstLine="0"/>
            </w:pPr>
            <w:r>
              <w:t>Victims reports reasons to not prosecute that are associated with their child(ren)</w:t>
            </w:r>
          </w:p>
        </w:tc>
        <w:tc>
          <w:tcPr>
            <w:tcW w:w="1134" w:type="dxa"/>
          </w:tcPr>
          <w:p w14:paraId="5F49C3D9" w14:textId="77777777" w:rsidR="000F2EF8" w:rsidRDefault="000F2EF8" w:rsidP="000F2EF8">
            <w:pPr>
              <w:spacing w:line="276" w:lineRule="auto"/>
              <w:ind w:firstLine="0"/>
              <w:jc w:val="center"/>
            </w:pPr>
            <w:r>
              <w:t>7</w:t>
            </w:r>
          </w:p>
        </w:tc>
        <w:tc>
          <w:tcPr>
            <w:tcW w:w="1185" w:type="dxa"/>
          </w:tcPr>
          <w:p w14:paraId="2BEB3F6A" w14:textId="5B2ABCBB" w:rsidR="000F2EF8" w:rsidRDefault="00100F3E" w:rsidP="000F2EF8">
            <w:pPr>
              <w:spacing w:line="276" w:lineRule="auto"/>
              <w:ind w:firstLine="0"/>
              <w:jc w:val="center"/>
            </w:pPr>
            <w:r>
              <w:t>5</w:t>
            </w:r>
          </w:p>
        </w:tc>
      </w:tr>
      <w:tr w:rsidR="000F2EF8" w14:paraId="079EAA12" w14:textId="77777777" w:rsidTr="00D26A63">
        <w:tc>
          <w:tcPr>
            <w:tcW w:w="1809" w:type="dxa"/>
          </w:tcPr>
          <w:p w14:paraId="5F3772B5" w14:textId="77777777" w:rsidR="000F2EF8" w:rsidRDefault="000F2EF8" w:rsidP="000F2EF8">
            <w:pPr>
              <w:spacing w:line="276" w:lineRule="auto"/>
              <w:ind w:firstLine="0"/>
            </w:pPr>
            <w:r>
              <w:t>Short term benefits</w:t>
            </w:r>
          </w:p>
        </w:tc>
        <w:tc>
          <w:tcPr>
            <w:tcW w:w="4395" w:type="dxa"/>
          </w:tcPr>
          <w:p w14:paraId="6D386264" w14:textId="77777777" w:rsidR="000F2EF8" w:rsidRDefault="000F2EF8" w:rsidP="000F2EF8">
            <w:pPr>
              <w:spacing w:line="276" w:lineRule="auto"/>
              <w:ind w:firstLine="0"/>
            </w:pPr>
            <w:r>
              <w:t>Victim reports reasons for calling the police that focus on the short term benefits (e.g., removal of violent partner from the house)</w:t>
            </w:r>
          </w:p>
        </w:tc>
        <w:tc>
          <w:tcPr>
            <w:tcW w:w="1134" w:type="dxa"/>
          </w:tcPr>
          <w:p w14:paraId="272391F6" w14:textId="77777777" w:rsidR="000F2EF8" w:rsidRDefault="000F2EF8" w:rsidP="000F2EF8">
            <w:pPr>
              <w:spacing w:line="276" w:lineRule="auto"/>
              <w:ind w:firstLine="0"/>
              <w:jc w:val="center"/>
            </w:pPr>
            <w:r>
              <w:t>2</w:t>
            </w:r>
          </w:p>
        </w:tc>
        <w:tc>
          <w:tcPr>
            <w:tcW w:w="1185" w:type="dxa"/>
          </w:tcPr>
          <w:p w14:paraId="1AA3591F" w14:textId="77777777" w:rsidR="000F2EF8" w:rsidRDefault="000F2EF8" w:rsidP="000F2EF8">
            <w:pPr>
              <w:spacing w:line="276" w:lineRule="auto"/>
              <w:ind w:firstLine="0"/>
              <w:jc w:val="center"/>
            </w:pPr>
            <w:r>
              <w:t>5</w:t>
            </w:r>
          </w:p>
        </w:tc>
      </w:tr>
      <w:tr w:rsidR="000F2EF8" w14:paraId="2ABCCA90" w14:textId="77777777" w:rsidTr="00D26A63">
        <w:tc>
          <w:tcPr>
            <w:tcW w:w="1809" w:type="dxa"/>
          </w:tcPr>
          <w:p w14:paraId="6CEF23AB" w14:textId="77777777" w:rsidR="000F2EF8" w:rsidRDefault="000F2EF8" w:rsidP="000F2EF8">
            <w:pPr>
              <w:spacing w:line="276" w:lineRule="auto"/>
              <w:ind w:firstLine="0"/>
            </w:pPr>
            <w:r>
              <w:t>Did not want to punish partner</w:t>
            </w:r>
          </w:p>
        </w:tc>
        <w:tc>
          <w:tcPr>
            <w:tcW w:w="4395" w:type="dxa"/>
          </w:tcPr>
          <w:p w14:paraId="2D383AA1" w14:textId="77777777" w:rsidR="000F2EF8" w:rsidRDefault="000F2EF8" w:rsidP="000F2EF8">
            <w:pPr>
              <w:spacing w:line="276" w:lineRule="auto"/>
              <w:ind w:firstLine="0"/>
            </w:pPr>
            <w:r>
              <w:t>Victim reports reasons to not prosecute that are associated with not wanting to further punish their partner.</w:t>
            </w:r>
          </w:p>
        </w:tc>
        <w:tc>
          <w:tcPr>
            <w:tcW w:w="1134" w:type="dxa"/>
          </w:tcPr>
          <w:p w14:paraId="612DEE5B" w14:textId="77777777" w:rsidR="000F2EF8" w:rsidRDefault="000F2EF8" w:rsidP="000F2EF8">
            <w:pPr>
              <w:spacing w:line="276" w:lineRule="auto"/>
              <w:ind w:firstLine="0"/>
              <w:jc w:val="center"/>
            </w:pPr>
            <w:r>
              <w:t>2</w:t>
            </w:r>
          </w:p>
        </w:tc>
        <w:tc>
          <w:tcPr>
            <w:tcW w:w="1185" w:type="dxa"/>
          </w:tcPr>
          <w:p w14:paraId="3A1DF7EB" w14:textId="1539F6C4" w:rsidR="000F2EF8" w:rsidRDefault="00100F3E" w:rsidP="000F2EF8">
            <w:pPr>
              <w:spacing w:line="276" w:lineRule="auto"/>
              <w:ind w:firstLine="0"/>
              <w:jc w:val="center"/>
            </w:pPr>
            <w:r>
              <w:t>3</w:t>
            </w:r>
          </w:p>
        </w:tc>
      </w:tr>
      <w:tr w:rsidR="000F2EF8" w14:paraId="5E06EB0E" w14:textId="77777777" w:rsidTr="00D26A63">
        <w:tc>
          <w:tcPr>
            <w:tcW w:w="1809" w:type="dxa"/>
          </w:tcPr>
          <w:p w14:paraId="27B3C823" w14:textId="77777777" w:rsidR="000F2EF8" w:rsidRDefault="000F2EF8" w:rsidP="000F2EF8">
            <w:pPr>
              <w:spacing w:line="276" w:lineRule="auto"/>
              <w:ind w:firstLine="0"/>
            </w:pPr>
            <w:r>
              <w:t>Issues associated with going to court/Supporting prosecution</w:t>
            </w:r>
          </w:p>
        </w:tc>
        <w:tc>
          <w:tcPr>
            <w:tcW w:w="4395" w:type="dxa"/>
          </w:tcPr>
          <w:p w14:paraId="3711A7AE" w14:textId="77777777" w:rsidR="000F2EF8" w:rsidRDefault="000F2EF8" w:rsidP="000F2EF8">
            <w:pPr>
              <w:spacing w:line="276" w:lineRule="auto"/>
              <w:ind w:firstLine="0"/>
            </w:pPr>
            <w:r>
              <w:t>Victim reports perceived negative associations with going to court and/or supporting the police prosecution</w:t>
            </w:r>
          </w:p>
        </w:tc>
        <w:tc>
          <w:tcPr>
            <w:tcW w:w="1134" w:type="dxa"/>
          </w:tcPr>
          <w:p w14:paraId="3B5A8432" w14:textId="77777777" w:rsidR="000F2EF8" w:rsidRDefault="000F2EF8" w:rsidP="000F2EF8">
            <w:pPr>
              <w:spacing w:line="276" w:lineRule="auto"/>
              <w:ind w:firstLine="0"/>
              <w:jc w:val="center"/>
            </w:pPr>
            <w:r>
              <w:t>6</w:t>
            </w:r>
          </w:p>
        </w:tc>
        <w:tc>
          <w:tcPr>
            <w:tcW w:w="1185" w:type="dxa"/>
          </w:tcPr>
          <w:p w14:paraId="1A8E3EAB" w14:textId="29E66DA7" w:rsidR="000F2EF8" w:rsidRDefault="00100F3E" w:rsidP="000F2EF8">
            <w:pPr>
              <w:spacing w:line="276" w:lineRule="auto"/>
              <w:ind w:firstLine="0"/>
              <w:jc w:val="center"/>
            </w:pPr>
            <w:r>
              <w:t>9</w:t>
            </w:r>
          </w:p>
        </w:tc>
      </w:tr>
      <w:tr w:rsidR="000F2EF8" w14:paraId="159388B9" w14:textId="77777777" w:rsidTr="00D26A63">
        <w:tc>
          <w:tcPr>
            <w:tcW w:w="1809" w:type="dxa"/>
          </w:tcPr>
          <w:p w14:paraId="4A74561F" w14:textId="77777777" w:rsidR="000F2EF8" w:rsidRDefault="000F2EF8" w:rsidP="000F2EF8">
            <w:pPr>
              <w:spacing w:line="276" w:lineRule="auto"/>
              <w:ind w:firstLine="0"/>
            </w:pPr>
            <w:r>
              <w:t>Disengaged/Denial of offence/Uncooperative</w:t>
            </w:r>
          </w:p>
        </w:tc>
        <w:tc>
          <w:tcPr>
            <w:tcW w:w="4395" w:type="dxa"/>
          </w:tcPr>
          <w:p w14:paraId="6C18BB86" w14:textId="77777777" w:rsidR="000F2EF8" w:rsidRDefault="000F2EF8" w:rsidP="000F2EF8">
            <w:pPr>
              <w:spacing w:line="276" w:lineRule="auto"/>
              <w:ind w:firstLine="0"/>
            </w:pPr>
            <w:r>
              <w:t>Victim reports that they do not want to be involved in the prosecution or to pursue the complaint</w:t>
            </w:r>
          </w:p>
        </w:tc>
        <w:tc>
          <w:tcPr>
            <w:tcW w:w="1134" w:type="dxa"/>
          </w:tcPr>
          <w:p w14:paraId="0BDF02D6" w14:textId="77777777" w:rsidR="000F2EF8" w:rsidRDefault="000F2EF8" w:rsidP="000F2EF8">
            <w:pPr>
              <w:spacing w:line="276" w:lineRule="auto"/>
              <w:ind w:firstLine="0"/>
              <w:jc w:val="center"/>
            </w:pPr>
            <w:r>
              <w:t>13</w:t>
            </w:r>
          </w:p>
        </w:tc>
        <w:tc>
          <w:tcPr>
            <w:tcW w:w="1185" w:type="dxa"/>
          </w:tcPr>
          <w:p w14:paraId="057C88AA" w14:textId="6AFA573C" w:rsidR="000F2EF8" w:rsidRDefault="00100F3E" w:rsidP="000F2EF8">
            <w:pPr>
              <w:spacing w:line="276" w:lineRule="auto"/>
              <w:ind w:firstLine="0"/>
              <w:jc w:val="center"/>
            </w:pPr>
            <w:r>
              <w:t>10</w:t>
            </w:r>
          </w:p>
        </w:tc>
      </w:tr>
      <w:tr w:rsidR="000F2EF8" w14:paraId="28A7882D" w14:textId="77777777" w:rsidTr="00D26A63">
        <w:tc>
          <w:tcPr>
            <w:tcW w:w="1809" w:type="dxa"/>
          </w:tcPr>
          <w:p w14:paraId="57F0E611" w14:textId="77777777" w:rsidR="000F2EF8" w:rsidRDefault="000F2EF8" w:rsidP="000F2EF8">
            <w:pPr>
              <w:spacing w:line="276" w:lineRule="auto"/>
              <w:ind w:firstLine="0"/>
            </w:pPr>
            <w:r>
              <w:t>Fears offender</w:t>
            </w:r>
          </w:p>
        </w:tc>
        <w:tc>
          <w:tcPr>
            <w:tcW w:w="4395" w:type="dxa"/>
          </w:tcPr>
          <w:p w14:paraId="4FB6F13E" w14:textId="77777777" w:rsidR="000F2EF8" w:rsidRDefault="000F2EF8" w:rsidP="000F2EF8">
            <w:pPr>
              <w:spacing w:line="276" w:lineRule="auto"/>
              <w:ind w:firstLine="0"/>
            </w:pPr>
            <w:r>
              <w:t>Victim reports that they either fear the offender or the repercussions of continuing with the complaint</w:t>
            </w:r>
          </w:p>
        </w:tc>
        <w:tc>
          <w:tcPr>
            <w:tcW w:w="1134" w:type="dxa"/>
          </w:tcPr>
          <w:p w14:paraId="3851B3E9" w14:textId="77777777" w:rsidR="000F2EF8" w:rsidRDefault="000F2EF8" w:rsidP="000F2EF8">
            <w:pPr>
              <w:spacing w:line="276" w:lineRule="auto"/>
              <w:ind w:firstLine="0"/>
              <w:jc w:val="center"/>
            </w:pPr>
            <w:r>
              <w:t>2</w:t>
            </w:r>
          </w:p>
        </w:tc>
        <w:tc>
          <w:tcPr>
            <w:tcW w:w="1185" w:type="dxa"/>
          </w:tcPr>
          <w:p w14:paraId="316FCA10" w14:textId="77777777" w:rsidR="000F2EF8" w:rsidRDefault="000F2EF8" w:rsidP="000F2EF8">
            <w:pPr>
              <w:spacing w:line="276" w:lineRule="auto"/>
              <w:ind w:firstLine="0"/>
              <w:jc w:val="center"/>
            </w:pPr>
            <w:r>
              <w:t>3</w:t>
            </w:r>
          </w:p>
        </w:tc>
      </w:tr>
      <w:tr w:rsidR="000F2EF8" w14:paraId="39F4646C" w14:textId="77777777" w:rsidTr="00D26A63">
        <w:tc>
          <w:tcPr>
            <w:tcW w:w="1809" w:type="dxa"/>
          </w:tcPr>
          <w:p w14:paraId="3E200150" w14:textId="77777777" w:rsidR="000F2EF8" w:rsidRDefault="000F2EF8" w:rsidP="000F2EF8">
            <w:pPr>
              <w:spacing w:line="276" w:lineRule="auto"/>
              <w:ind w:firstLine="0"/>
            </w:pPr>
            <w:r>
              <w:t>Substance misuse/Mental health issue</w:t>
            </w:r>
          </w:p>
        </w:tc>
        <w:tc>
          <w:tcPr>
            <w:tcW w:w="4395" w:type="dxa"/>
          </w:tcPr>
          <w:p w14:paraId="6CDF212B" w14:textId="77777777" w:rsidR="000F2EF8" w:rsidRDefault="000F2EF8" w:rsidP="000F2EF8">
            <w:pPr>
              <w:spacing w:line="276" w:lineRule="auto"/>
              <w:ind w:firstLine="0"/>
            </w:pPr>
            <w:r>
              <w:t xml:space="preserve">Victim reports substance misuse or mental health issues, which indicate an inability to continue with the prosecution. </w:t>
            </w:r>
          </w:p>
        </w:tc>
        <w:tc>
          <w:tcPr>
            <w:tcW w:w="1134" w:type="dxa"/>
          </w:tcPr>
          <w:p w14:paraId="470856EC" w14:textId="77777777" w:rsidR="000F2EF8" w:rsidRDefault="000F2EF8" w:rsidP="000F2EF8">
            <w:pPr>
              <w:spacing w:line="276" w:lineRule="auto"/>
              <w:ind w:firstLine="0"/>
              <w:jc w:val="center"/>
            </w:pPr>
            <w:r>
              <w:t>8</w:t>
            </w:r>
          </w:p>
        </w:tc>
        <w:tc>
          <w:tcPr>
            <w:tcW w:w="1185" w:type="dxa"/>
          </w:tcPr>
          <w:p w14:paraId="25FB6F95" w14:textId="77777777" w:rsidR="000F2EF8" w:rsidRDefault="000F2EF8" w:rsidP="000F2EF8">
            <w:pPr>
              <w:spacing w:line="276" w:lineRule="auto"/>
              <w:ind w:firstLine="0"/>
              <w:jc w:val="center"/>
            </w:pPr>
            <w:r>
              <w:t>3</w:t>
            </w:r>
          </w:p>
        </w:tc>
      </w:tr>
      <w:tr w:rsidR="000F2EF8" w14:paraId="73CBE73E" w14:textId="77777777" w:rsidTr="00D26A63">
        <w:trPr>
          <w:trHeight w:val="842"/>
        </w:trPr>
        <w:tc>
          <w:tcPr>
            <w:tcW w:w="1809" w:type="dxa"/>
          </w:tcPr>
          <w:p w14:paraId="6FBD4D09" w14:textId="77777777" w:rsidR="000F2EF8" w:rsidRDefault="000F2EF8" w:rsidP="000F2EF8">
            <w:pPr>
              <w:spacing w:line="276" w:lineRule="auto"/>
              <w:ind w:firstLine="0"/>
            </w:pPr>
            <w:r>
              <w:t>Perfunctory</w:t>
            </w:r>
          </w:p>
        </w:tc>
        <w:tc>
          <w:tcPr>
            <w:tcW w:w="4395" w:type="dxa"/>
          </w:tcPr>
          <w:p w14:paraId="4C414F40" w14:textId="77777777" w:rsidR="000F2EF8" w:rsidRDefault="000F2EF8" w:rsidP="000F2EF8">
            <w:pPr>
              <w:spacing w:line="276" w:lineRule="auto"/>
              <w:ind w:firstLine="0"/>
            </w:pPr>
            <w:r>
              <w:t>Victim only reported that they did not wish to make a statement, would not support prosecution or attend court</w:t>
            </w:r>
          </w:p>
        </w:tc>
        <w:tc>
          <w:tcPr>
            <w:tcW w:w="1134" w:type="dxa"/>
          </w:tcPr>
          <w:p w14:paraId="008A2332" w14:textId="77777777" w:rsidR="000F2EF8" w:rsidRDefault="000F2EF8" w:rsidP="000F2EF8">
            <w:pPr>
              <w:spacing w:line="276" w:lineRule="auto"/>
              <w:ind w:firstLine="0"/>
              <w:jc w:val="center"/>
            </w:pPr>
            <w:r>
              <w:t>59</w:t>
            </w:r>
          </w:p>
        </w:tc>
        <w:tc>
          <w:tcPr>
            <w:tcW w:w="1185" w:type="dxa"/>
          </w:tcPr>
          <w:p w14:paraId="4E74D994" w14:textId="71C3DF53" w:rsidR="000F2EF8" w:rsidRDefault="00100F3E" w:rsidP="00100F3E">
            <w:pPr>
              <w:spacing w:line="276" w:lineRule="auto"/>
              <w:ind w:firstLine="0"/>
              <w:jc w:val="center"/>
            </w:pPr>
            <w:r>
              <w:t>85</w:t>
            </w:r>
          </w:p>
        </w:tc>
      </w:tr>
      <w:tr w:rsidR="00C05B8D" w14:paraId="156C7A2B" w14:textId="77777777" w:rsidTr="00D26A63">
        <w:trPr>
          <w:trHeight w:val="670"/>
        </w:trPr>
        <w:tc>
          <w:tcPr>
            <w:tcW w:w="1809" w:type="dxa"/>
            <w:tcBorders>
              <w:bottom w:val="single" w:sz="4" w:space="0" w:color="auto"/>
            </w:tcBorders>
          </w:tcPr>
          <w:p w14:paraId="7AB9680A" w14:textId="5F339E27" w:rsidR="00C05B8D" w:rsidRDefault="00C05B8D" w:rsidP="000F2EF8">
            <w:pPr>
              <w:spacing w:line="276" w:lineRule="auto"/>
              <w:ind w:firstLine="0"/>
            </w:pPr>
            <w:r>
              <w:t>No information provided</w:t>
            </w:r>
          </w:p>
        </w:tc>
        <w:tc>
          <w:tcPr>
            <w:tcW w:w="4395" w:type="dxa"/>
            <w:tcBorders>
              <w:bottom w:val="single" w:sz="4" w:space="0" w:color="auto"/>
            </w:tcBorders>
          </w:tcPr>
          <w:p w14:paraId="35D92F42" w14:textId="321D1852" w:rsidR="00C05B8D" w:rsidRDefault="00C05B8D" w:rsidP="000F2EF8">
            <w:pPr>
              <w:spacing w:line="276" w:lineRule="auto"/>
              <w:ind w:firstLine="0"/>
            </w:pPr>
            <w:r>
              <w:t>No information was available in either free text or case information.</w:t>
            </w:r>
          </w:p>
        </w:tc>
        <w:tc>
          <w:tcPr>
            <w:tcW w:w="1134" w:type="dxa"/>
            <w:tcBorders>
              <w:bottom w:val="single" w:sz="4" w:space="0" w:color="auto"/>
            </w:tcBorders>
          </w:tcPr>
          <w:p w14:paraId="67F6D8E8" w14:textId="6B5FC84B" w:rsidR="00C05B8D" w:rsidRDefault="00100F3E" w:rsidP="000F2EF8">
            <w:pPr>
              <w:spacing w:line="276" w:lineRule="auto"/>
              <w:ind w:firstLine="0"/>
              <w:jc w:val="center"/>
            </w:pPr>
            <w:r>
              <w:t>14</w:t>
            </w:r>
          </w:p>
        </w:tc>
        <w:tc>
          <w:tcPr>
            <w:tcW w:w="1185" w:type="dxa"/>
            <w:tcBorders>
              <w:bottom w:val="single" w:sz="4" w:space="0" w:color="auto"/>
            </w:tcBorders>
          </w:tcPr>
          <w:p w14:paraId="03EC25A2" w14:textId="3D843756" w:rsidR="00C05B8D" w:rsidRDefault="00100F3E" w:rsidP="00100F3E">
            <w:pPr>
              <w:spacing w:line="276" w:lineRule="auto"/>
              <w:ind w:firstLine="0"/>
              <w:jc w:val="center"/>
            </w:pPr>
            <w:r>
              <w:t>18</w:t>
            </w:r>
          </w:p>
        </w:tc>
      </w:tr>
    </w:tbl>
    <w:p w14:paraId="39DB9219" w14:textId="6B41218A" w:rsidR="008C01C2" w:rsidRPr="008C01C2" w:rsidRDefault="00424564" w:rsidP="00424564">
      <w:pPr>
        <w:ind w:firstLine="0"/>
        <w:rPr>
          <w:lang w:bidi="en-US"/>
        </w:rPr>
      </w:pPr>
      <w:r w:rsidRPr="00B80AF5">
        <w:rPr>
          <w:sz w:val="16"/>
          <w:szCs w:val="16"/>
        </w:rPr>
        <w:t xml:space="preserve">Note: </w:t>
      </w:r>
      <w:r>
        <w:rPr>
          <w:sz w:val="16"/>
          <w:szCs w:val="16"/>
        </w:rPr>
        <w:t xml:space="preserve">Frequencies will not add up to </w:t>
      </w:r>
      <w:r w:rsidR="006D5EE7">
        <w:rPr>
          <w:sz w:val="16"/>
          <w:szCs w:val="16"/>
        </w:rPr>
        <w:t xml:space="preserve">the total sample size </w:t>
      </w:r>
      <w:r>
        <w:rPr>
          <w:sz w:val="16"/>
          <w:szCs w:val="16"/>
        </w:rPr>
        <w:t>as some victims reported multiple reasons</w:t>
      </w:r>
    </w:p>
    <w:sectPr w:rsidR="008C01C2" w:rsidRPr="008C01C2" w:rsidSect="008B1DDD">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A20F" w14:textId="77777777" w:rsidR="000F4678" w:rsidRDefault="000F4678" w:rsidP="00AD3F6A">
      <w:pPr>
        <w:spacing w:line="240" w:lineRule="auto"/>
      </w:pPr>
      <w:r>
        <w:separator/>
      </w:r>
    </w:p>
  </w:endnote>
  <w:endnote w:type="continuationSeparator" w:id="0">
    <w:p w14:paraId="25A0AE38" w14:textId="77777777" w:rsidR="000F4678" w:rsidRDefault="000F4678" w:rsidP="00A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79782"/>
      <w:docPartObj>
        <w:docPartGallery w:val="Page Numbers (Bottom of Page)"/>
        <w:docPartUnique/>
      </w:docPartObj>
    </w:sdtPr>
    <w:sdtEndPr/>
    <w:sdtContent>
      <w:p w14:paraId="6B415CBC" w14:textId="69D35EBA" w:rsidR="002F3BFA" w:rsidRDefault="002F3BFA">
        <w:pPr>
          <w:pStyle w:val="Footer"/>
          <w:jc w:val="right"/>
        </w:pPr>
        <w:r>
          <w:fldChar w:fldCharType="begin"/>
        </w:r>
        <w:r>
          <w:instrText xml:space="preserve"> PAGE   \* MERGEFORMAT </w:instrText>
        </w:r>
        <w:r>
          <w:fldChar w:fldCharType="separate"/>
        </w:r>
        <w:r w:rsidR="006D41BB">
          <w:rPr>
            <w:noProof/>
          </w:rPr>
          <w:t>1</w:t>
        </w:r>
        <w:r>
          <w:rPr>
            <w:noProof/>
          </w:rPr>
          <w:fldChar w:fldCharType="end"/>
        </w:r>
      </w:p>
    </w:sdtContent>
  </w:sdt>
  <w:p w14:paraId="458F7CED" w14:textId="77777777" w:rsidR="002F3BFA" w:rsidRDefault="002F3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8204"/>
      <w:docPartObj>
        <w:docPartGallery w:val="Page Numbers (Bottom of Page)"/>
        <w:docPartUnique/>
      </w:docPartObj>
    </w:sdtPr>
    <w:sdtEndPr/>
    <w:sdtContent>
      <w:p w14:paraId="3974717B" w14:textId="5623BF86" w:rsidR="002F3BFA" w:rsidRDefault="002F3BFA">
        <w:pPr>
          <w:pStyle w:val="Footer"/>
          <w:jc w:val="right"/>
        </w:pPr>
        <w:r>
          <w:fldChar w:fldCharType="begin"/>
        </w:r>
        <w:r>
          <w:instrText xml:space="preserve"> PAGE   \* MERGEFORMAT </w:instrText>
        </w:r>
        <w:r>
          <w:fldChar w:fldCharType="separate"/>
        </w:r>
        <w:r w:rsidR="006D41BB">
          <w:rPr>
            <w:noProof/>
          </w:rPr>
          <w:t>2</w:t>
        </w:r>
        <w:r>
          <w:rPr>
            <w:noProof/>
          </w:rPr>
          <w:fldChar w:fldCharType="end"/>
        </w:r>
      </w:p>
    </w:sdtContent>
  </w:sdt>
  <w:p w14:paraId="4332555F" w14:textId="77777777" w:rsidR="002F3BFA" w:rsidRDefault="002F3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82F9" w14:textId="77777777" w:rsidR="000F4678" w:rsidRDefault="000F4678" w:rsidP="00AD3F6A">
      <w:pPr>
        <w:spacing w:line="240" w:lineRule="auto"/>
      </w:pPr>
      <w:r>
        <w:separator/>
      </w:r>
    </w:p>
  </w:footnote>
  <w:footnote w:type="continuationSeparator" w:id="0">
    <w:p w14:paraId="3C32BD12" w14:textId="77777777" w:rsidR="000F4678" w:rsidRDefault="000F4678" w:rsidP="00A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BA9D" w14:textId="77777777" w:rsidR="002F3BFA" w:rsidRDefault="002F3BFA" w:rsidP="00692B7D">
    <w:pPr>
      <w:pStyle w:val="Header"/>
      <w:ind w:firstLine="0"/>
      <w:jc w:val="both"/>
    </w:pPr>
    <w:r>
      <w:t>Running head: VICTIM RETRACTION IN INTIMATE PARTNER VIOLENCE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6BC"/>
    <w:multiLevelType w:val="multilevel"/>
    <w:tmpl w:val="DF764D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64F2F"/>
    <w:multiLevelType w:val="hybridMultilevel"/>
    <w:tmpl w:val="03845578"/>
    <w:lvl w:ilvl="0" w:tplc="9FAC338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F1F22"/>
    <w:multiLevelType w:val="hybridMultilevel"/>
    <w:tmpl w:val="FFF2A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C7215"/>
    <w:multiLevelType w:val="hybridMultilevel"/>
    <w:tmpl w:val="CCB853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83681"/>
    <w:multiLevelType w:val="hybridMultilevel"/>
    <w:tmpl w:val="474E125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E7EC9"/>
    <w:multiLevelType w:val="hybridMultilevel"/>
    <w:tmpl w:val="8FB2038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57767"/>
    <w:multiLevelType w:val="multilevel"/>
    <w:tmpl w:val="F2DE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848DC"/>
    <w:multiLevelType w:val="hybridMultilevel"/>
    <w:tmpl w:val="9356E05E"/>
    <w:lvl w:ilvl="0" w:tplc="78409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804FC"/>
    <w:multiLevelType w:val="hybridMultilevel"/>
    <w:tmpl w:val="AF721B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D6A5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1270ACE"/>
    <w:multiLevelType w:val="hybridMultilevel"/>
    <w:tmpl w:val="680ADB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07280"/>
    <w:multiLevelType w:val="hybridMultilevel"/>
    <w:tmpl w:val="F894082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E4286"/>
    <w:multiLevelType w:val="hybridMultilevel"/>
    <w:tmpl w:val="AF721B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A15F8"/>
    <w:multiLevelType w:val="hybridMultilevel"/>
    <w:tmpl w:val="F1168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732A3"/>
    <w:multiLevelType w:val="hybridMultilevel"/>
    <w:tmpl w:val="9356E05E"/>
    <w:lvl w:ilvl="0" w:tplc="78409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D78CF"/>
    <w:multiLevelType w:val="hybridMultilevel"/>
    <w:tmpl w:val="CCDE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3356A"/>
    <w:multiLevelType w:val="multilevel"/>
    <w:tmpl w:val="B89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C1B0C"/>
    <w:multiLevelType w:val="hybridMultilevel"/>
    <w:tmpl w:val="8FB2038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EF7B62"/>
    <w:multiLevelType w:val="hybridMultilevel"/>
    <w:tmpl w:val="FFF2A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11"/>
  </w:num>
  <w:num w:numId="6">
    <w:abstractNumId w:val="12"/>
  </w:num>
  <w:num w:numId="7">
    <w:abstractNumId w:val="14"/>
  </w:num>
  <w:num w:numId="8">
    <w:abstractNumId w:val="10"/>
  </w:num>
  <w:num w:numId="9">
    <w:abstractNumId w:val="17"/>
  </w:num>
  <w:num w:numId="10">
    <w:abstractNumId w:val="5"/>
  </w:num>
  <w:num w:numId="11">
    <w:abstractNumId w:val="2"/>
  </w:num>
  <w:num w:numId="12">
    <w:abstractNumId w:val="18"/>
  </w:num>
  <w:num w:numId="13">
    <w:abstractNumId w:val="3"/>
  </w:num>
  <w:num w:numId="14">
    <w:abstractNumId w:val="15"/>
  </w:num>
  <w:num w:numId="15">
    <w:abstractNumId w:val="1"/>
  </w:num>
  <w:num w:numId="16">
    <w:abstractNumId w:val="4"/>
  </w:num>
  <w:num w:numId="17">
    <w:abstractNumId w:val="6"/>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65"/>
    <w:rsid w:val="00002283"/>
    <w:rsid w:val="00002BE4"/>
    <w:rsid w:val="00002C63"/>
    <w:rsid w:val="0000550F"/>
    <w:rsid w:val="00006EC1"/>
    <w:rsid w:val="000107B1"/>
    <w:rsid w:val="0001169C"/>
    <w:rsid w:val="000157BE"/>
    <w:rsid w:val="00016360"/>
    <w:rsid w:val="00024A3E"/>
    <w:rsid w:val="00036E99"/>
    <w:rsid w:val="00037E05"/>
    <w:rsid w:val="0004260A"/>
    <w:rsid w:val="00044618"/>
    <w:rsid w:val="00052177"/>
    <w:rsid w:val="00056E20"/>
    <w:rsid w:val="000573AA"/>
    <w:rsid w:val="00060198"/>
    <w:rsid w:val="0006237A"/>
    <w:rsid w:val="00062693"/>
    <w:rsid w:val="000666AE"/>
    <w:rsid w:val="00072758"/>
    <w:rsid w:val="00072D92"/>
    <w:rsid w:val="00072DB7"/>
    <w:rsid w:val="00080EF9"/>
    <w:rsid w:val="00084148"/>
    <w:rsid w:val="00085F87"/>
    <w:rsid w:val="00091367"/>
    <w:rsid w:val="0009206B"/>
    <w:rsid w:val="000977F3"/>
    <w:rsid w:val="000A03CE"/>
    <w:rsid w:val="000A2F91"/>
    <w:rsid w:val="000A2FD3"/>
    <w:rsid w:val="000A3EBA"/>
    <w:rsid w:val="000A5343"/>
    <w:rsid w:val="000A5CB6"/>
    <w:rsid w:val="000B1A74"/>
    <w:rsid w:val="000C2D69"/>
    <w:rsid w:val="000D0401"/>
    <w:rsid w:val="000D2E75"/>
    <w:rsid w:val="000D2EBB"/>
    <w:rsid w:val="000D38D7"/>
    <w:rsid w:val="000E0641"/>
    <w:rsid w:val="000E273F"/>
    <w:rsid w:val="000E4A9A"/>
    <w:rsid w:val="000E53A3"/>
    <w:rsid w:val="000E5F9B"/>
    <w:rsid w:val="000F2EF8"/>
    <w:rsid w:val="000F3558"/>
    <w:rsid w:val="000F380D"/>
    <w:rsid w:val="000F3D64"/>
    <w:rsid w:val="000F4062"/>
    <w:rsid w:val="000F4678"/>
    <w:rsid w:val="0010083B"/>
    <w:rsid w:val="00100F3E"/>
    <w:rsid w:val="00101923"/>
    <w:rsid w:val="00102452"/>
    <w:rsid w:val="00105BE9"/>
    <w:rsid w:val="00106C56"/>
    <w:rsid w:val="00112CE3"/>
    <w:rsid w:val="00113F71"/>
    <w:rsid w:val="001157E6"/>
    <w:rsid w:val="0011697F"/>
    <w:rsid w:val="0012263C"/>
    <w:rsid w:val="00123A0F"/>
    <w:rsid w:val="00131C4E"/>
    <w:rsid w:val="0013326A"/>
    <w:rsid w:val="001339BE"/>
    <w:rsid w:val="001346C3"/>
    <w:rsid w:val="00134D87"/>
    <w:rsid w:val="001352FE"/>
    <w:rsid w:val="00136634"/>
    <w:rsid w:val="00136834"/>
    <w:rsid w:val="00137251"/>
    <w:rsid w:val="00140AE5"/>
    <w:rsid w:val="0014602A"/>
    <w:rsid w:val="0014704B"/>
    <w:rsid w:val="0015203E"/>
    <w:rsid w:val="00152315"/>
    <w:rsid w:val="001572C2"/>
    <w:rsid w:val="00161EDA"/>
    <w:rsid w:val="00170F46"/>
    <w:rsid w:val="00177F43"/>
    <w:rsid w:val="001818AB"/>
    <w:rsid w:val="001830A2"/>
    <w:rsid w:val="001841AF"/>
    <w:rsid w:val="00184B67"/>
    <w:rsid w:val="00185736"/>
    <w:rsid w:val="00187F5D"/>
    <w:rsid w:val="00192723"/>
    <w:rsid w:val="00192C3D"/>
    <w:rsid w:val="001943FC"/>
    <w:rsid w:val="0019522D"/>
    <w:rsid w:val="001A384F"/>
    <w:rsid w:val="001A388B"/>
    <w:rsid w:val="001A5DE4"/>
    <w:rsid w:val="001A742E"/>
    <w:rsid w:val="001B20E2"/>
    <w:rsid w:val="001B2E2E"/>
    <w:rsid w:val="001B32EF"/>
    <w:rsid w:val="001B3907"/>
    <w:rsid w:val="001B46DA"/>
    <w:rsid w:val="001B5B84"/>
    <w:rsid w:val="001B6A8F"/>
    <w:rsid w:val="001C1B80"/>
    <w:rsid w:val="001C239F"/>
    <w:rsid w:val="001C2EC5"/>
    <w:rsid w:val="001C3495"/>
    <w:rsid w:val="001C53C4"/>
    <w:rsid w:val="001C69BD"/>
    <w:rsid w:val="001C74FD"/>
    <w:rsid w:val="001D45B4"/>
    <w:rsid w:val="001D7002"/>
    <w:rsid w:val="001E1D51"/>
    <w:rsid w:val="001E3986"/>
    <w:rsid w:val="001F1772"/>
    <w:rsid w:val="001F31C3"/>
    <w:rsid w:val="001F5961"/>
    <w:rsid w:val="00201ACC"/>
    <w:rsid w:val="00202B1B"/>
    <w:rsid w:val="002031C8"/>
    <w:rsid w:val="00203D0E"/>
    <w:rsid w:val="00204761"/>
    <w:rsid w:val="00205565"/>
    <w:rsid w:val="002109D4"/>
    <w:rsid w:val="00215773"/>
    <w:rsid w:val="002206E3"/>
    <w:rsid w:val="0022199F"/>
    <w:rsid w:val="00223439"/>
    <w:rsid w:val="00223C61"/>
    <w:rsid w:val="00224587"/>
    <w:rsid w:val="002277C4"/>
    <w:rsid w:val="00231873"/>
    <w:rsid w:val="0023206E"/>
    <w:rsid w:val="0023266E"/>
    <w:rsid w:val="0023273E"/>
    <w:rsid w:val="0023452B"/>
    <w:rsid w:val="00235C15"/>
    <w:rsid w:val="002417CB"/>
    <w:rsid w:val="00241861"/>
    <w:rsid w:val="00246E88"/>
    <w:rsid w:val="00247FF9"/>
    <w:rsid w:val="00251E49"/>
    <w:rsid w:val="00252912"/>
    <w:rsid w:val="00252A48"/>
    <w:rsid w:val="002530C9"/>
    <w:rsid w:val="0025477D"/>
    <w:rsid w:val="00256651"/>
    <w:rsid w:val="00260A8F"/>
    <w:rsid w:val="00260FCB"/>
    <w:rsid w:val="00267D8D"/>
    <w:rsid w:val="00271A31"/>
    <w:rsid w:val="002745B2"/>
    <w:rsid w:val="00275B76"/>
    <w:rsid w:val="002778D2"/>
    <w:rsid w:val="00281132"/>
    <w:rsid w:val="0028254B"/>
    <w:rsid w:val="00283AB0"/>
    <w:rsid w:val="002867DF"/>
    <w:rsid w:val="00286B0A"/>
    <w:rsid w:val="002937B8"/>
    <w:rsid w:val="00293E2B"/>
    <w:rsid w:val="00295E99"/>
    <w:rsid w:val="002967EE"/>
    <w:rsid w:val="002978FB"/>
    <w:rsid w:val="0029797E"/>
    <w:rsid w:val="002A03A9"/>
    <w:rsid w:val="002A06AA"/>
    <w:rsid w:val="002B7540"/>
    <w:rsid w:val="002C313D"/>
    <w:rsid w:val="002C694E"/>
    <w:rsid w:val="002C7093"/>
    <w:rsid w:val="002D65B1"/>
    <w:rsid w:val="002E112D"/>
    <w:rsid w:val="002E63A5"/>
    <w:rsid w:val="002F3BFA"/>
    <w:rsid w:val="002F4410"/>
    <w:rsid w:val="002F57DA"/>
    <w:rsid w:val="00303BE2"/>
    <w:rsid w:val="00305776"/>
    <w:rsid w:val="00310DA8"/>
    <w:rsid w:val="003116CD"/>
    <w:rsid w:val="00321DAF"/>
    <w:rsid w:val="003248E5"/>
    <w:rsid w:val="00326767"/>
    <w:rsid w:val="00326D4B"/>
    <w:rsid w:val="00326FA5"/>
    <w:rsid w:val="003278BD"/>
    <w:rsid w:val="00327DFA"/>
    <w:rsid w:val="00330551"/>
    <w:rsid w:val="00330A37"/>
    <w:rsid w:val="00332822"/>
    <w:rsid w:val="00332A37"/>
    <w:rsid w:val="00332F9C"/>
    <w:rsid w:val="003338A4"/>
    <w:rsid w:val="00334D9D"/>
    <w:rsid w:val="003418B4"/>
    <w:rsid w:val="00343BCD"/>
    <w:rsid w:val="003447F7"/>
    <w:rsid w:val="003458B7"/>
    <w:rsid w:val="00347F67"/>
    <w:rsid w:val="0035376A"/>
    <w:rsid w:val="00355C17"/>
    <w:rsid w:val="00357405"/>
    <w:rsid w:val="003621B1"/>
    <w:rsid w:val="0036424D"/>
    <w:rsid w:val="003649A9"/>
    <w:rsid w:val="003667B6"/>
    <w:rsid w:val="00366E06"/>
    <w:rsid w:val="00370C65"/>
    <w:rsid w:val="00372B31"/>
    <w:rsid w:val="00372F8D"/>
    <w:rsid w:val="00373787"/>
    <w:rsid w:val="00381920"/>
    <w:rsid w:val="00383CA1"/>
    <w:rsid w:val="003927E3"/>
    <w:rsid w:val="003933BA"/>
    <w:rsid w:val="003937CF"/>
    <w:rsid w:val="00393AFE"/>
    <w:rsid w:val="00396D26"/>
    <w:rsid w:val="003973A2"/>
    <w:rsid w:val="00397DAD"/>
    <w:rsid w:val="003A00AE"/>
    <w:rsid w:val="003A038E"/>
    <w:rsid w:val="003A1A81"/>
    <w:rsid w:val="003A274E"/>
    <w:rsid w:val="003A2E56"/>
    <w:rsid w:val="003A360B"/>
    <w:rsid w:val="003B118E"/>
    <w:rsid w:val="003B3A12"/>
    <w:rsid w:val="003B3C07"/>
    <w:rsid w:val="003B4D9D"/>
    <w:rsid w:val="003C7062"/>
    <w:rsid w:val="003C714F"/>
    <w:rsid w:val="003D4DFA"/>
    <w:rsid w:val="003D5F1C"/>
    <w:rsid w:val="003E20A9"/>
    <w:rsid w:val="003F50B1"/>
    <w:rsid w:val="003F5A6A"/>
    <w:rsid w:val="003F600D"/>
    <w:rsid w:val="003F701E"/>
    <w:rsid w:val="004012B1"/>
    <w:rsid w:val="00402CEB"/>
    <w:rsid w:val="004048C2"/>
    <w:rsid w:val="004059A3"/>
    <w:rsid w:val="00413011"/>
    <w:rsid w:val="00415F2F"/>
    <w:rsid w:val="004168EF"/>
    <w:rsid w:val="00416A81"/>
    <w:rsid w:val="00423365"/>
    <w:rsid w:val="00424564"/>
    <w:rsid w:val="00426B73"/>
    <w:rsid w:val="00434A6E"/>
    <w:rsid w:val="00435BB4"/>
    <w:rsid w:val="00436A25"/>
    <w:rsid w:val="00440BF5"/>
    <w:rsid w:val="00440D20"/>
    <w:rsid w:val="004415FB"/>
    <w:rsid w:val="00441DBF"/>
    <w:rsid w:val="0044241C"/>
    <w:rsid w:val="00446ACB"/>
    <w:rsid w:val="00450B9E"/>
    <w:rsid w:val="00460177"/>
    <w:rsid w:val="00460809"/>
    <w:rsid w:val="00464155"/>
    <w:rsid w:val="0046672E"/>
    <w:rsid w:val="004672A3"/>
    <w:rsid w:val="00472E3C"/>
    <w:rsid w:val="00473F21"/>
    <w:rsid w:val="004742BF"/>
    <w:rsid w:val="004810DB"/>
    <w:rsid w:val="0048119A"/>
    <w:rsid w:val="00481918"/>
    <w:rsid w:val="004848EB"/>
    <w:rsid w:val="00484D91"/>
    <w:rsid w:val="004864A2"/>
    <w:rsid w:val="00487EF5"/>
    <w:rsid w:val="004913A7"/>
    <w:rsid w:val="00493436"/>
    <w:rsid w:val="004945A8"/>
    <w:rsid w:val="004978D2"/>
    <w:rsid w:val="004A1410"/>
    <w:rsid w:val="004A2840"/>
    <w:rsid w:val="004A6877"/>
    <w:rsid w:val="004B1D9C"/>
    <w:rsid w:val="004B4017"/>
    <w:rsid w:val="004B63D6"/>
    <w:rsid w:val="004B711E"/>
    <w:rsid w:val="004C3EE1"/>
    <w:rsid w:val="004C7EC5"/>
    <w:rsid w:val="004D20F2"/>
    <w:rsid w:val="004D5A61"/>
    <w:rsid w:val="004D77F6"/>
    <w:rsid w:val="004E397C"/>
    <w:rsid w:val="004E46FF"/>
    <w:rsid w:val="004E5BFF"/>
    <w:rsid w:val="004E72F6"/>
    <w:rsid w:val="004F5425"/>
    <w:rsid w:val="005021E6"/>
    <w:rsid w:val="0051325C"/>
    <w:rsid w:val="00520DC4"/>
    <w:rsid w:val="005214A1"/>
    <w:rsid w:val="00530DAF"/>
    <w:rsid w:val="005361D3"/>
    <w:rsid w:val="00537705"/>
    <w:rsid w:val="00547070"/>
    <w:rsid w:val="005510F1"/>
    <w:rsid w:val="0055453F"/>
    <w:rsid w:val="00555E62"/>
    <w:rsid w:val="00556F1F"/>
    <w:rsid w:val="005601BB"/>
    <w:rsid w:val="005656E8"/>
    <w:rsid w:val="00565CD7"/>
    <w:rsid w:val="00571870"/>
    <w:rsid w:val="00573F3D"/>
    <w:rsid w:val="0057766E"/>
    <w:rsid w:val="00577A79"/>
    <w:rsid w:val="00581EA3"/>
    <w:rsid w:val="00582AE4"/>
    <w:rsid w:val="00583CC6"/>
    <w:rsid w:val="00583E62"/>
    <w:rsid w:val="005841EE"/>
    <w:rsid w:val="00585837"/>
    <w:rsid w:val="00587A32"/>
    <w:rsid w:val="00590D6B"/>
    <w:rsid w:val="00592F4B"/>
    <w:rsid w:val="00595351"/>
    <w:rsid w:val="005A00BD"/>
    <w:rsid w:val="005A3BF2"/>
    <w:rsid w:val="005A5F01"/>
    <w:rsid w:val="005B4939"/>
    <w:rsid w:val="005C3B58"/>
    <w:rsid w:val="005D5B05"/>
    <w:rsid w:val="005E0F20"/>
    <w:rsid w:val="005E1239"/>
    <w:rsid w:val="005E1F4A"/>
    <w:rsid w:val="005E2E0A"/>
    <w:rsid w:val="005F0167"/>
    <w:rsid w:val="005F2BFD"/>
    <w:rsid w:val="005F586E"/>
    <w:rsid w:val="005F76D5"/>
    <w:rsid w:val="005F7D6C"/>
    <w:rsid w:val="006034A3"/>
    <w:rsid w:val="00603A01"/>
    <w:rsid w:val="006050C6"/>
    <w:rsid w:val="00607292"/>
    <w:rsid w:val="00607E76"/>
    <w:rsid w:val="00614CDC"/>
    <w:rsid w:val="006155EC"/>
    <w:rsid w:val="00622A8B"/>
    <w:rsid w:val="006230FC"/>
    <w:rsid w:val="006322F8"/>
    <w:rsid w:val="00633C76"/>
    <w:rsid w:val="006356A4"/>
    <w:rsid w:val="00642129"/>
    <w:rsid w:val="00645E93"/>
    <w:rsid w:val="006476BF"/>
    <w:rsid w:val="00652F15"/>
    <w:rsid w:val="00653F27"/>
    <w:rsid w:val="00656197"/>
    <w:rsid w:val="0065729F"/>
    <w:rsid w:val="006603E3"/>
    <w:rsid w:val="00660C81"/>
    <w:rsid w:val="00663B5D"/>
    <w:rsid w:val="0066498C"/>
    <w:rsid w:val="00664FFF"/>
    <w:rsid w:val="006650E4"/>
    <w:rsid w:val="006662C0"/>
    <w:rsid w:val="006663B4"/>
    <w:rsid w:val="00667A08"/>
    <w:rsid w:val="00670C14"/>
    <w:rsid w:val="00670F91"/>
    <w:rsid w:val="006719B4"/>
    <w:rsid w:val="00673C5B"/>
    <w:rsid w:val="00673F41"/>
    <w:rsid w:val="006754DE"/>
    <w:rsid w:val="00675878"/>
    <w:rsid w:val="00675B16"/>
    <w:rsid w:val="00675D49"/>
    <w:rsid w:val="00676AC6"/>
    <w:rsid w:val="00677E23"/>
    <w:rsid w:val="006843F0"/>
    <w:rsid w:val="00684729"/>
    <w:rsid w:val="00684856"/>
    <w:rsid w:val="0068503D"/>
    <w:rsid w:val="0068693A"/>
    <w:rsid w:val="00692B7D"/>
    <w:rsid w:val="00694393"/>
    <w:rsid w:val="00696439"/>
    <w:rsid w:val="00697206"/>
    <w:rsid w:val="0069780E"/>
    <w:rsid w:val="006978F7"/>
    <w:rsid w:val="006A27BE"/>
    <w:rsid w:val="006B297F"/>
    <w:rsid w:val="006B441C"/>
    <w:rsid w:val="006B49D2"/>
    <w:rsid w:val="006B767D"/>
    <w:rsid w:val="006B790C"/>
    <w:rsid w:val="006C1CBF"/>
    <w:rsid w:val="006C3E44"/>
    <w:rsid w:val="006D25AF"/>
    <w:rsid w:val="006D41BB"/>
    <w:rsid w:val="006D5BCB"/>
    <w:rsid w:val="006D5EE7"/>
    <w:rsid w:val="006E1380"/>
    <w:rsid w:val="006E430F"/>
    <w:rsid w:val="006E4B15"/>
    <w:rsid w:val="006E6386"/>
    <w:rsid w:val="006F11F9"/>
    <w:rsid w:val="006F13F3"/>
    <w:rsid w:val="006F216A"/>
    <w:rsid w:val="006F23FF"/>
    <w:rsid w:val="006F3168"/>
    <w:rsid w:val="006F33DE"/>
    <w:rsid w:val="006F44E9"/>
    <w:rsid w:val="006F538C"/>
    <w:rsid w:val="006F5715"/>
    <w:rsid w:val="006F7849"/>
    <w:rsid w:val="007000BA"/>
    <w:rsid w:val="00701074"/>
    <w:rsid w:val="0070295F"/>
    <w:rsid w:val="007041DD"/>
    <w:rsid w:val="0070621A"/>
    <w:rsid w:val="00707B2E"/>
    <w:rsid w:val="007130A5"/>
    <w:rsid w:val="00713CBB"/>
    <w:rsid w:val="0071692B"/>
    <w:rsid w:val="0072186D"/>
    <w:rsid w:val="00724E1F"/>
    <w:rsid w:val="00725772"/>
    <w:rsid w:val="00730396"/>
    <w:rsid w:val="00730C94"/>
    <w:rsid w:val="007414CC"/>
    <w:rsid w:val="0074224C"/>
    <w:rsid w:val="007524E3"/>
    <w:rsid w:val="00754F9B"/>
    <w:rsid w:val="00755E79"/>
    <w:rsid w:val="00761226"/>
    <w:rsid w:val="00764F90"/>
    <w:rsid w:val="00765835"/>
    <w:rsid w:val="00765FE5"/>
    <w:rsid w:val="00770EFD"/>
    <w:rsid w:val="00771994"/>
    <w:rsid w:val="00773729"/>
    <w:rsid w:val="007752A5"/>
    <w:rsid w:val="00775B11"/>
    <w:rsid w:val="00781377"/>
    <w:rsid w:val="0078152C"/>
    <w:rsid w:val="00784039"/>
    <w:rsid w:val="0078522F"/>
    <w:rsid w:val="007856BC"/>
    <w:rsid w:val="00786ABC"/>
    <w:rsid w:val="007874F8"/>
    <w:rsid w:val="00787990"/>
    <w:rsid w:val="007913BF"/>
    <w:rsid w:val="00793754"/>
    <w:rsid w:val="00793FD4"/>
    <w:rsid w:val="0079544F"/>
    <w:rsid w:val="00797908"/>
    <w:rsid w:val="007A6AB1"/>
    <w:rsid w:val="007A7E44"/>
    <w:rsid w:val="007B095F"/>
    <w:rsid w:val="007B30D6"/>
    <w:rsid w:val="007C0D42"/>
    <w:rsid w:val="007C252D"/>
    <w:rsid w:val="007C2832"/>
    <w:rsid w:val="007C3A90"/>
    <w:rsid w:val="007C3E36"/>
    <w:rsid w:val="007D0D95"/>
    <w:rsid w:val="007D15DD"/>
    <w:rsid w:val="007D2510"/>
    <w:rsid w:val="007D78A5"/>
    <w:rsid w:val="007E0505"/>
    <w:rsid w:val="007E2BCA"/>
    <w:rsid w:val="007E5140"/>
    <w:rsid w:val="007F0746"/>
    <w:rsid w:val="007F5BC8"/>
    <w:rsid w:val="0080117C"/>
    <w:rsid w:val="00811743"/>
    <w:rsid w:val="00815573"/>
    <w:rsid w:val="008155B3"/>
    <w:rsid w:val="00816B75"/>
    <w:rsid w:val="00816E3D"/>
    <w:rsid w:val="00825016"/>
    <w:rsid w:val="0082629A"/>
    <w:rsid w:val="008262BA"/>
    <w:rsid w:val="00827748"/>
    <w:rsid w:val="00831565"/>
    <w:rsid w:val="00834DFB"/>
    <w:rsid w:val="00844878"/>
    <w:rsid w:val="00847908"/>
    <w:rsid w:val="008531CA"/>
    <w:rsid w:val="00853302"/>
    <w:rsid w:val="00854C45"/>
    <w:rsid w:val="00854DF6"/>
    <w:rsid w:val="00854EAB"/>
    <w:rsid w:val="00856420"/>
    <w:rsid w:val="008575E3"/>
    <w:rsid w:val="00860003"/>
    <w:rsid w:val="008600D4"/>
    <w:rsid w:val="00860911"/>
    <w:rsid w:val="00863E4D"/>
    <w:rsid w:val="00865195"/>
    <w:rsid w:val="00865AF9"/>
    <w:rsid w:val="00865C1F"/>
    <w:rsid w:val="00866804"/>
    <w:rsid w:val="00871E26"/>
    <w:rsid w:val="008775AE"/>
    <w:rsid w:val="00880225"/>
    <w:rsid w:val="0088233A"/>
    <w:rsid w:val="00886771"/>
    <w:rsid w:val="0089033F"/>
    <w:rsid w:val="00890800"/>
    <w:rsid w:val="00890C0A"/>
    <w:rsid w:val="008A03AA"/>
    <w:rsid w:val="008A0E76"/>
    <w:rsid w:val="008A2921"/>
    <w:rsid w:val="008A2ECF"/>
    <w:rsid w:val="008A350F"/>
    <w:rsid w:val="008B1DDD"/>
    <w:rsid w:val="008B353E"/>
    <w:rsid w:val="008B676E"/>
    <w:rsid w:val="008B79AD"/>
    <w:rsid w:val="008C01C2"/>
    <w:rsid w:val="008C70D2"/>
    <w:rsid w:val="008D0FB6"/>
    <w:rsid w:val="008D1D0A"/>
    <w:rsid w:val="008F4721"/>
    <w:rsid w:val="008F5263"/>
    <w:rsid w:val="008F7AAC"/>
    <w:rsid w:val="00902402"/>
    <w:rsid w:val="00915336"/>
    <w:rsid w:val="009265F4"/>
    <w:rsid w:val="00931B9A"/>
    <w:rsid w:val="009320BE"/>
    <w:rsid w:val="009356BE"/>
    <w:rsid w:val="00935BB9"/>
    <w:rsid w:val="009360EA"/>
    <w:rsid w:val="009423A5"/>
    <w:rsid w:val="00942983"/>
    <w:rsid w:val="0094396E"/>
    <w:rsid w:val="009464CB"/>
    <w:rsid w:val="00955030"/>
    <w:rsid w:val="0095599F"/>
    <w:rsid w:val="00960B90"/>
    <w:rsid w:val="00960EA8"/>
    <w:rsid w:val="00966A8C"/>
    <w:rsid w:val="00972018"/>
    <w:rsid w:val="00976F46"/>
    <w:rsid w:val="00983743"/>
    <w:rsid w:val="0098548C"/>
    <w:rsid w:val="0098683A"/>
    <w:rsid w:val="009900D8"/>
    <w:rsid w:val="00991754"/>
    <w:rsid w:val="00994BC9"/>
    <w:rsid w:val="009965B3"/>
    <w:rsid w:val="00996F39"/>
    <w:rsid w:val="009A0857"/>
    <w:rsid w:val="009A2E3C"/>
    <w:rsid w:val="009A3B72"/>
    <w:rsid w:val="009B2952"/>
    <w:rsid w:val="009B3616"/>
    <w:rsid w:val="009B77DB"/>
    <w:rsid w:val="009C204E"/>
    <w:rsid w:val="009C68DE"/>
    <w:rsid w:val="009C6A90"/>
    <w:rsid w:val="009D6B86"/>
    <w:rsid w:val="009E0ADB"/>
    <w:rsid w:val="009E170A"/>
    <w:rsid w:val="009E217A"/>
    <w:rsid w:val="009E3DCF"/>
    <w:rsid w:val="009E4DD0"/>
    <w:rsid w:val="009F0A24"/>
    <w:rsid w:val="009F188A"/>
    <w:rsid w:val="009F307E"/>
    <w:rsid w:val="009F4067"/>
    <w:rsid w:val="009F7258"/>
    <w:rsid w:val="00A00D5F"/>
    <w:rsid w:val="00A02A96"/>
    <w:rsid w:val="00A0315B"/>
    <w:rsid w:val="00A04928"/>
    <w:rsid w:val="00A04F4E"/>
    <w:rsid w:val="00A0760B"/>
    <w:rsid w:val="00A115EF"/>
    <w:rsid w:val="00A13D14"/>
    <w:rsid w:val="00A15FD5"/>
    <w:rsid w:val="00A17AAD"/>
    <w:rsid w:val="00A2064D"/>
    <w:rsid w:val="00A24546"/>
    <w:rsid w:val="00A305C4"/>
    <w:rsid w:val="00A33E53"/>
    <w:rsid w:val="00A342B1"/>
    <w:rsid w:val="00A360B7"/>
    <w:rsid w:val="00A360D9"/>
    <w:rsid w:val="00A37117"/>
    <w:rsid w:val="00A41F96"/>
    <w:rsid w:val="00A4272F"/>
    <w:rsid w:val="00A4478A"/>
    <w:rsid w:val="00A50E99"/>
    <w:rsid w:val="00A50F84"/>
    <w:rsid w:val="00A5281D"/>
    <w:rsid w:val="00A548E8"/>
    <w:rsid w:val="00A621AA"/>
    <w:rsid w:val="00A623AA"/>
    <w:rsid w:val="00A62A06"/>
    <w:rsid w:val="00A62E83"/>
    <w:rsid w:val="00A630E0"/>
    <w:rsid w:val="00A65565"/>
    <w:rsid w:val="00A70CA6"/>
    <w:rsid w:val="00A72918"/>
    <w:rsid w:val="00A742EE"/>
    <w:rsid w:val="00A74452"/>
    <w:rsid w:val="00A764F5"/>
    <w:rsid w:val="00A77335"/>
    <w:rsid w:val="00A948D7"/>
    <w:rsid w:val="00A964AA"/>
    <w:rsid w:val="00A97E8B"/>
    <w:rsid w:val="00AA1622"/>
    <w:rsid w:val="00AA26E4"/>
    <w:rsid w:val="00AA7BD5"/>
    <w:rsid w:val="00AB188F"/>
    <w:rsid w:val="00AB4F1E"/>
    <w:rsid w:val="00AC0AE5"/>
    <w:rsid w:val="00AC3973"/>
    <w:rsid w:val="00AC6EF9"/>
    <w:rsid w:val="00AD056C"/>
    <w:rsid w:val="00AD21B1"/>
    <w:rsid w:val="00AD3F6A"/>
    <w:rsid w:val="00AD5C80"/>
    <w:rsid w:val="00AE0425"/>
    <w:rsid w:val="00AE3F5B"/>
    <w:rsid w:val="00AE6082"/>
    <w:rsid w:val="00AE66FB"/>
    <w:rsid w:val="00AF47D2"/>
    <w:rsid w:val="00B01897"/>
    <w:rsid w:val="00B01FDA"/>
    <w:rsid w:val="00B056EB"/>
    <w:rsid w:val="00B06EAA"/>
    <w:rsid w:val="00B11626"/>
    <w:rsid w:val="00B13537"/>
    <w:rsid w:val="00B15804"/>
    <w:rsid w:val="00B15837"/>
    <w:rsid w:val="00B16F11"/>
    <w:rsid w:val="00B17048"/>
    <w:rsid w:val="00B206F3"/>
    <w:rsid w:val="00B207A5"/>
    <w:rsid w:val="00B23237"/>
    <w:rsid w:val="00B237D8"/>
    <w:rsid w:val="00B23A1D"/>
    <w:rsid w:val="00B23E88"/>
    <w:rsid w:val="00B30BF6"/>
    <w:rsid w:val="00B3120C"/>
    <w:rsid w:val="00B35FD8"/>
    <w:rsid w:val="00B367EA"/>
    <w:rsid w:val="00B36B88"/>
    <w:rsid w:val="00B41FDE"/>
    <w:rsid w:val="00B42DA8"/>
    <w:rsid w:val="00B45D62"/>
    <w:rsid w:val="00B46608"/>
    <w:rsid w:val="00B46ADE"/>
    <w:rsid w:val="00B5604A"/>
    <w:rsid w:val="00B60964"/>
    <w:rsid w:val="00B66166"/>
    <w:rsid w:val="00B75749"/>
    <w:rsid w:val="00B80AF5"/>
    <w:rsid w:val="00B82AAD"/>
    <w:rsid w:val="00B8365C"/>
    <w:rsid w:val="00B83A4A"/>
    <w:rsid w:val="00B8507A"/>
    <w:rsid w:val="00B90AEC"/>
    <w:rsid w:val="00B919B8"/>
    <w:rsid w:val="00B92435"/>
    <w:rsid w:val="00B9247D"/>
    <w:rsid w:val="00B92950"/>
    <w:rsid w:val="00B92BFD"/>
    <w:rsid w:val="00B93799"/>
    <w:rsid w:val="00BA0213"/>
    <w:rsid w:val="00BA0873"/>
    <w:rsid w:val="00BA34AB"/>
    <w:rsid w:val="00BA3E1D"/>
    <w:rsid w:val="00BA4711"/>
    <w:rsid w:val="00BA4858"/>
    <w:rsid w:val="00BA51A9"/>
    <w:rsid w:val="00BA7D75"/>
    <w:rsid w:val="00BB04DD"/>
    <w:rsid w:val="00BB357A"/>
    <w:rsid w:val="00BC2377"/>
    <w:rsid w:val="00BC3FEA"/>
    <w:rsid w:val="00BC7831"/>
    <w:rsid w:val="00BD04F2"/>
    <w:rsid w:val="00BD2A5A"/>
    <w:rsid w:val="00BD4F98"/>
    <w:rsid w:val="00BD7AB5"/>
    <w:rsid w:val="00BE6AD1"/>
    <w:rsid w:val="00BF2D84"/>
    <w:rsid w:val="00BF3585"/>
    <w:rsid w:val="00BF481A"/>
    <w:rsid w:val="00BF638F"/>
    <w:rsid w:val="00C0000C"/>
    <w:rsid w:val="00C03BE2"/>
    <w:rsid w:val="00C05B8D"/>
    <w:rsid w:val="00C14F3E"/>
    <w:rsid w:val="00C21C0F"/>
    <w:rsid w:val="00C26BCD"/>
    <w:rsid w:val="00C26E87"/>
    <w:rsid w:val="00C33A11"/>
    <w:rsid w:val="00C33CF3"/>
    <w:rsid w:val="00C466DE"/>
    <w:rsid w:val="00C5243C"/>
    <w:rsid w:val="00C526B4"/>
    <w:rsid w:val="00C529D9"/>
    <w:rsid w:val="00C56AF9"/>
    <w:rsid w:val="00C56E75"/>
    <w:rsid w:val="00C60FDB"/>
    <w:rsid w:val="00C64D4F"/>
    <w:rsid w:val="00C653DD"/>
    <w:rsid w:val="00C70CBB"/>
    <w:rsid w:val="00C719EB"/>
    <w:rsid w:val="00C72AA7"/>
    <w:rsid w:val="00C73F4C"/>
    <w:rsid w:val="00C77052"/>
    <w:rsid w:val="00C813B7"/>
    <w:rsid w:val="00C819F9"/>
    <w:rsid w:val="00C82981"/>
    <w:rsid w:val="00C83076"/>
    <w:rsid w:val="00C87090"/>
    <w:rsid w:val="00C90D0E"/>
    <w:rsid w:val="00C91D32"/>
    <w:rsid w:val="00C96613"/>
    <w:rsid w:val="00C975A6"/>
    <w:rsid w:val="00CA0A74"/>
    <w:rsid w:val="00CA22D0"/>
    <w:rsid w:val="00CA3824"/>
    <w:rsid w:val="00CA6AE6"/>
    <w:rsid w:val="00CA72A9"/>
    <w:rsid w:val="00CB0B34"/>
    <w:rsid w:val="00CB257F"/>
    <w:rsid w:val="00CB4E31"/>
    <w:rsid w:val="00CB51C8"/>
    <w:rsid w:val="00CB7AB7"/>
    <w:rsid w:val="00CC078B"/>
    <w:rsid w:val="00CD0853"/>
    <w:rsid w:val="00CD1003"/>
    <w:rsid w:val="00CD4ED9"/>
    <w:rsid w:val="00CD5324"/>
    <w:rsid w:val="00CE0D43"/>
    <w:rsid w:val="00CE6C47"/>
    <w:rsid w:val="00CF05C2"/>
    <w:rsid w:val="00CF098E"/>
    <w:rsid w:val="00CF3C22"/>
    <w:rsid w:val="00CF4CE1"/>
    <w:rsid w:val="00CF6787"/>
    <w:rsid w:val="00CF75A1"/>
    <w:rsid w:val="00D032A6"/>
    <w:rsid w:val="00D04471"/>
    <w:rsid w:val="00D11C53"/>
    <w:rsid w:val="00D14C67"/>
    <w:rsid w:val="00D15AD2"/>
    <w:rsid w:val="00D17C16"/>
    <w:rsid w:val="00D20F0F"/>
    <w:rsid w:val="00D21F7D"/>
    <w:rsid w:val="00D2409B"/>
    <w:rsid w:val="00D2586D"/>
    <w:rsid w:val="00D26A63"/>
    <w:rsid w:val="00D31853"/>
    <w:rsid w:val="00D364C5"/>
    <w:rsid w:val="00D36EEF"/>
    <w:rsid w:val="00D4046B"/>
    <w:rsid w:val="00D406A6"/>
    <w:rsid w:val="00D44AE8"/>
    <w:rsid w:val="00D45EDB"/>
    <w:rsid w:val="00D45FA9"/>
    <w:rsid w:val="00D4734E"/>
    <w:rsid w:val="00D512FE"/>
    <w:rsid w:val="00D513E3"/>
    <w:rsid w:val="00D51F38"/>
    <w:rsid w:val="00D601C7"/>
    <w:rsid w:val="00D62F7C"/>
    <w:rsid w:val="00D65658"/>
    <w:rsid w:val="00D66616"/>
    <w:rsid w:val="00D72137"/>
    <w:rsid w:val="00D72394"/>
    <w:rsid w:val="00D73FD3"/>
    <w:rsid w:val="00D764BE"/>
    <w:rsid w:val="00D7693C"/>
    <w:rsid w:val="00D8316A"/>
    <w:rsid w:val="00D837EC"/>
    <w:rsid w:val="00D8380A"/>
    <w:rsid w:val="00D850B4"/>
    <w:rsid w:val="00D9060C"/>
    <w:rsid w:val="00D95303"/>
    <w:rsid w:val="00DA010D"/>
    <w:rsid w:val="00DA0D4A"/>
    <w:rsid w:val="00DA557A"/>
    <w:rsid w:val="00DA6086"/>
    <w:rsid w:val="00DA7C84"/>
    <w:rsid w:val="00DB1A3E"/>
    <w:rsid w:val="00DB3D16"/>
    <w:rsid w:val="00DC200C"/>
    <w:rsid w:val="00DC3BEF"/>
    <w:rsid w:val="00DC4DD7"/>
    <w:rsid w:val="00DC76A3"/>
    <w:rsid w:val="00DD1674"/>
    <w:rsid w:val="00DD33C5"/>
    <w:rsid w:val="00DD37F6"/>
    <w:rsid w:val="00DD3F34"/>
    <w:rsid w:val="00DD58B5"/>
    <w:rsid w:val="00DD5BED"/>
    <w:rsid w:val="00DD6159"/>
    <w:rsid w:val="00DE073C"/>
    <w:rsid w:val="00DE75DA"/>
    <w:rsid w:val="00DE7D9F"/>
    <w:rsid w:val="00E004CB"/>
    <w:rsid w:val="00E026C1"/>
    <w:rsid w:val="00E051BC"/>
    <w:rsid w:val="00E076EA"/>
    <w:rsid w:val="00E15F48"/>
    <w:rsid w:val="00E26639"/>
    <w:rsid w:val="00E343B1"/>
    <w:rsid w:val="00E36EA8"/>
    <w:rsid w:val="00E40361"/>
    <w:rsid w:val="00E4057D"/>
    <w:rsid w:val="00E44750"/>
    <w:rsid w:val="00E45773"/>
    <w:rsid w:val="00E458B7"/>
    <w:rsid w:val="00E508C1"/>
    <w:rsid w:val="00E566B1"/>
    <w:rsid w:val="00E61410"/>
    <w:rsid w:val="00E65D37"/>
    <w:rsid w:val="00E67109"/>
    <w:rsid w:val="00E67DDE"/>
    <w:rsid w:val="00E70803"/>
    <w:rsid w:val="00E714AA"/>
    <w:rsid w:val="00E753E4"/>
    <w:rsid w:val="00E763AF"/>
    <w:rsid w:val="00E765AF"/>
    <w:rsid w:val="00E902EE"/>
    <w:rsid w:val="00E90799"/>
    <w:rsid w:val="00E908E0"/>
    <w:rsid w:val="00E9257E"/>
    <w:rsid w:val="00E937F1"/>
    <w:rsid w:val="00E95648"/>
    <w:rsid w:val="00E972EE"/>
    <w:rsid w:val="00EB4DA8"/>
    <w:rsid w:val="00EC1CA7"/>
    <w:rsid w:val="00EC5067"/>
    <w:rsid w:val="00EC5F73"/>
    <w:rsid w:val="00EC657C"/>
    <w:rsid w:val="00ED0B41"/>
    <w:rsid w:val="00ED6109"/>
    <w:rsid w:val="00EE134C"/>
    <w:rsid w:val="00EE2ECE"/>
    <w:rsid w:val="00EE35E4"/>
    <w:rsid w:val="00EE40CF"/>
    <w:rsid w:val="00EF2B31"/>
    <w:rsid w:val="00EF5702"/>
    <w:rsid w:val="00F0275B"/>
    <w:rsid w:val="00F04D68"/>
    <w:rsid w:val="00F07B3D"/>
    <w:rsid w:val="00F15B05"/>
    <w:rsid w:val="00F221D7"/>
    <w:rsid w:val="00F24AAA"/>
    <w:rsid w:val="00F27814"/>
    <w:rsid w:val="00F30726"/>
    <w:rsid w:val="00F321E2"/>
    <w:rsid w:val="00F3365A"/>
    <w:rsid w:val="00F35047"/>
    <w:rsid w:val="00F44071"/>
    <w:rsid w:val="00F45A85"/>
    <w:rsid w:val="00F46177"/>
    <w:rsid w:val="00F47557"/>
    <w:rsid w:val="00F50529"/>
    <w:rsid w:val="00F5059C"/>
    <w:rsid w:val="00F55D78"/>
    <w:rsid w:val="00F562B8"/>
    <w:rsid w:val="00F61672"/>
    <w:rsid w:val="00F64D4A"/>
    <w:rsid w:val="00F67EE5"/>
    <w:rsid w:val="00F70C2A"/>
    <w:rsid w:val="00F71D82"/>
    <w:rsid w:val="00F740D4"/>
    <w:rsid w:val="00F812BE"/>
    <w:rsid w:val="00F843C2"/>
    <w:rsid w:val="00F847DC"/>
    <w:rsid w:val="00F85142"/>
    <w:rsid w:val="00F86ADB"/>
    <w:rsid w:val="00F86B88"/>
    <w:rsid w:val="00F958A9"/>
    <w:rsid w:val="00F9607B"/>
    <w:rsid w:val="00FA0823"/>
    <w:rsid w:val="00FA44B8"/>
    <w:rsid w:val="00FA5378"/>
    <w:rsid w:val="00FB1C7C"/>
    <w:rsid w:val="00FB380B"/>
    <w:rsid w:val="00FB5229"/>
    <w:rsid w:val="00FB540C"/>
    <w:rsid w:val="00FB70DA"/>
    <w:rsid w:val="00FC2372"/>
    <w:rsid w:val="00FC24A3"/>
    <w:rsid w:val="00FC5148"/>
    <w:rsid w:val="00FC5BDC"/>
    <w:rsid w:val="00FE063C"/>
    <w:rsid w:val="00FE0F4B"/>
    <w:rsid w:val="00FE16F9"/>
    <w:rsid w:val="00FE38B7"/>
    <w:rsid w:val="00FF59B2"/>
    <w:rsid w:val="00FF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3C3B"/>
  <w15:docId w15:val="{99522192-AF5B-40BD-958E-2F384ECB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7D"/>
    <w:pPr>
      <w:spacing w:after="0" w:line="480" w:lineRule="auto"/>
      <w:ind w:firstLine="720"/>
    </w:pPr>
    <w:rPr>
      <w:rFonts w:ascii="Times New Roman" w:hAnsi="Times New Roman"/>
      <w:lang w:val="en-GB"/>
    </w:rPr>
  </w:style>
  <w:style w:type="paragraph" w:styleId="Heading1">
    <w:name w:val="heading 1"/>
    <w:basedOn w:val="Normal"/>
    <w:next w:val="Normal"/>
    <w:link w:val="Heading1Char"/>
    <w:uiPriority w:val="9"/>
    <w:qFormat/>
    <w:rsid w:val="00D44AE8"/>
    <w:pPr>
      <w:ind w:firstLine="0"/>
      <w:contextualSpacing/>
      <w:jc w:val="center"/>
      <w:outlineLvl w:val="0"/>
    </w:pPr>
    <w:rPr>
      <w:rFonts w:eastAsiaTheme="minorEastAsia"/>
      <w:b/>
      <w:spacing w:val="5"/>
      <w:szCs w:val="44"/>
      <w:lang w:bidi="en-US"/>
    </w:rPr>
  </w:style>
  <w:style w:type="paragraph" w:styleId="Heading2">
    <w:name w:val="heading 2"/>
    <w:basedOn w:val="Normal"/>
    <w:next w:val="Normal"/>
    <w:link w:val="Heading2Char"/>
    <w:uiPriority w:val="9"/>
    <w:unhideWhenUsed/>
    <w:qFormat/>
    <w:rsid w:val="00D44AE8"/>
    <w:pPr>
      <w:ind w:firstLine="0"/>
      <w:outlineLvl w:val="1"/>
    </w:pPr>
    <w:rPr>
      <w:rFonts w:eastAsiaTheme="minorEastAsia"/>
      <w:b/>
      <w:szCs w:val="36"/>
      <w:lang w:bidi="en-US"/>
    </w:rPr>
  </w:style>
  <w:style w:type="paragraph" w:styleId="Heading3">
    <w:name w:val="heading 3"/>
    <w:basedOn w:val="Normal"/>
    <w:next w:val="Normal"/>
    <w:link w:val="Heading3Char"/>
    <w:uiPriority w:val="9"/>
    <w:unhideWhenUsed/>
    <w:qFormat/>
    <w:rsid w:val="00D44AE8"/>
    <w:pPr>
      <w:ind w:left="567" w:firstLine="0"/>
      <w:outlineLvl w:val="2"/>
    </w:pPr>
    <w:rPr>
      <w:rFonts w:eastAsiaTheme="minorEastAsia"/>
      <w:b/>
      <w:iCs/>
      <w:spacing w:val="5"/>
      <w:szCs w:val="26"/>
      <w:lang w:bidi="en-US"/>
    </w:rPr>
  </w:style>
  <w:style w:type="paragraph" w:styleId="Heading4">
    <w:name w:val="heading 4"/>
    <w:basedOn w:val="Normal"/>
    <w:next w:val="Normal"/>
    <w:link w:val="Heading4Char"/>
    <w:uiPriority w:val="9"/>
    <w:unhideWhenUsed/>
    <w:qFormat/>
    <w:rsid w:val="00B42DA8"/>
    <w:pPr>
      <w:ind w:left="567" w:firstLine="0"/>
      <w:outlineLvl w:val="3"/>
    </w:pPr>
    <w:rPr>
      <w:rFonts w:eastAsiaTheme="minorEastAsia"/>
      <w:b/>
      <w:bCs/>
      <w:i/>
      <w:spacing w:val="5"/>
      <w:sz w:val="24"/>
      <w:szCs w:val="24"/>
      <w:lang w:bidi="en-US"/>
    </w:rPr>
  </w:style>
  <w:style w:type="paragraph" w:styleId="Heading5">
    <w:name w:val="heading 5"/>
    <w:basedOn w:val="Normal"/>
    <w:next w:val="Normal"/>
    <w:link w:val="Heading5Char"/>
    <w:uiPriority w:val="9"/>
    <w:unhideWhenUsed/>
    <w:qFormat/>
    <w:rsid w:val="00663B5D"/>
    <w:pPr>
      <w:numPr>
        <w:ilvl w:val="4"/>
        <w:numId w:val="1"/>
      </w:numPr>
      <w:spacing w:line="271" w:lineRule="auto"/>
      <w:outlineLvl w:val="4"/>
    </w:pPr>
    <w:rPr>
      <w:rFonts w:eastAsiaTheme="minorEastAsia"/>
      <w:i/>
      <w:iCs/>
      <w:sz w:val="24"/>
      <w:szCs w:val="24"/>
      <w:lang w:bidi="en-US"/>
    </w:rPr>
  </w:style>
  <w:style w:type="paragraph" w:styleId="Heading6">
    <w:name w:val="heading 6"/>
    <w:basedOn w:val="Normal"/>
    <w:next w:val="Normal"/>
    <w:link w:val="Heading6Char"/>
    <w:uiPriority w:val="9"/>
    <w:semiHidden/>
    <w:unhideWhenUsed/>
    <w:qFormat/>
    <w:rsid w:val="00663B5D"/>
    <w:pPr>
      <w:numPr>
        <w:ilvl w:val="5"/>
        <w:numId w:val="1"/>
      </w:numPr>
      <w:shd w:val="clear" w:color="auto" w:fill="FFFFFF" w:themeFill="background1"/>
      <w:spacing w:line="271" w:lineRule="auto"/>
      <w:outlineLvl w:val="5"/>
    </w:pPr>
    <w:rPr>
      <w:rFonts w:eastAsiaTheme="minorEastAsia"/>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663B5D"/>
    <w:pPr>
      <w:numPr>
        <w:ilvl w:val="6"/>
        <w:numId w:val="1"/>
      </w:numPr>
      <w:outlineLvl w:val="6"/>
    </w:pPr>
    <w:rPr>
      <w:rFonts w:eastAsiaTheme="minorEastAsia"/>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663B5D"/>
    <w:pPr>
      <w:numPr>
        <w:ilvl w:val="7"/>
        <w:numId w:val="1"/>
      </w:numPr>
      <w:outlineLvl w:val="7"/>
    </w:pPr>
    <w:rPr>
      <w:rFonts w:eastAsiaTheme="minorEastAsia"/>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663B5D"/>
    <w:pPr>
      <w:numPr>
        <w:ilvl w:val="8"/>
        <w:numId w:val="1"/>
      </w:numPr>
      <w:spacing w:line="271" w:lineRule="auto"/>
      <w:outlineLvl w:val="8"/>
    </w:pPr>
    <w:rPr>
      <w:rFonts w:eastAsiaTheme="minorEastAsia"/>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787"/>
    <w:pPr>
      <w:spacing w:line="240" w:lineRule="auto"/>
    </w:pPr>
    <w:rPr>
      <w:rFonts w:cs="Times New Roman"/>
      <w:sz w:val="24"/>
      <w:szCs w:val="24"/>
      <w:lang w:eastAsia="en-GB"/>
    </w:rPr>
  </w:style>
  <w:style w:type="paragraph" w:styleId="Header">
    <w:name w:val="header"/>
    <w:basedOn w:val="Normal"/>
    <w:link w:val="HeaderChar"/>
    <w:uiPriority w:val="99"/>
    <w:unhideWhenUsed/>
    <w:rsid w:val="00AD3F6A"/>
    <w:pPr>
      <w:tabs>
        <w:tab w:val="center" w:pos="4513"/>
        <w:tab w:val="right" w:pos="9026"/>
      </w:tabs>
      <w:spacing w:line="240" w:lineRule="auto"/>
    </w:pPr>
  </w:style>
  <w:style w:type="character" w:customStyle="1" w:styleId="HeaderChar">
    <w:name w:val="Header Char"/>
    <w:basedOn w:val="DefaultParagraphFont"/>
    <w:link w:val="Header"/>
    <w:uiPriority w:val="99"/>
    <w:rsid w:val="00AD3F6A"/>
    <w:rPr>
      <w:lang w:val="en-GB"/>
    </w:rPr>
  </w:style>
  <w:style w:type="paragraph" w:styleId="Footer">
    <w:name w:val="footer"/>
    <w:basedOn w:val="Normal"/>
    <w:link w:val="FooterChar"/>
    <w:uiPriority w:val="99"/>
    <w:unhideWhenUsed/>
    <w:rsid w:val="00AD3F6A"/>
    <w:pPr>
      <w:tabs>
        <w:tab w:val="center" w:pos="4513"/>
        <w:tab w:val="right" w:pos="9026"/>
      </w:tabs>
      <w:spacing w:line="240" w:lineRule="auto"/>
    </w:pPr>
  </w:style>
  <w:style w:type="character" w:customStyle="1" w:styleId="FooterChar">
    <w:name w:val="Footer Char"/>
    <w:basedOn w:val="DefaultParagraphFont"/>
    <w:link w:val="Footer"/>
    <w:uiPriority w:val="99"/>
    <w:rsid w:val="00AD3F6A"/>
    <w:rPr>
      <w:lang w:val="en-GB"/>
    </w:rPr>
  </w:style>
  <w:style w:type="character" w:styleId="Hyperlink">
    <w:name w:val="Hyperlink"/>
    <w:basedOn w:val="DefaultParagraphFont"/>
    <w:uiPriority w:val="99"/>
    <w:unhideWhenUsed/>
    <w:rsid w:val="00136634"/>
    <w:rPr>
      <w:color w:val="0000FF" w:themeColor="hyperlink"/>
      <w:u w:val="single"/>
    </w:rPr>
  </w:style>
  <w:style w:type="character" w:styleId="CommentReference">
    <w:name w:val="annotation reference"/>
    <w:basedOn w:val="DefaultParagraphFont"/>
    <w:uiPriority w:val="99"/>
    <w:semiHidden/>
    <w:unhideWhenUsed/>
    <w:rsid w:val="00FE0F4B"/>
    <w:rPr>
      <w:sz w:val="16"/>
      <w:szCs w:val="16"/>
    </w:rPr>
  </w:style>
  <w:style w:type="paragraph" w:styleId="CommentText">
    <w:name w:val="annotation text"/>
    <w:basedOn w:val="Normal"/>
    <w:link w:val="CommentTextChar"/>
    <w:uiPriority w:val="99"/>
    <w:semiHidden/>
    <w:unhideWhenUsed/>
    <w:rsid w:val="00FE0F4B"/>
    <w:pPr>
      <w:spacing w:line="240" w:lineRule="auto"/>
    </w:pPr>
    <w:rPr>
      <w:sz w:val="20"/>
      <w:szCs w:val="20"/>
    </w:rPr>
  </w:style>
  <w:style w:type="character" w:customStyle="1" w:styleId="CommentTextChar">
    <w:name w:val="Comment Text Char"/>
    <w:basedOn w:val="DefaultParagraphFont"/>
    <w:link w:val="CommentText"/>
    <w:uiPriority w:val="99"/>
    <w:semiHidden/>
    <w:rsid w:val="00FE0F4B"/>
    <w:rPr>
      <w:sz w:val="20"/>
      <w:szCs w:val="20"/>
      <w:lang w:val="en-GB"/>
    </w:rPr>
  </w:style>
  <w:style w:type="paragraph" w:styleId="CommentSubject">
    <w:name w:val="annotation subject"/>
    <w:basedOn w:val="CommentText"/>
    <w:next w:val="CommentText"/>
    <w:link w:val="CommentSubjectChar"/>
    <w:uiPriority w:val="99"/>
    <w:semiHidden/>
    <w:unhideWhenUsed/>
    <w:rsid w:val="00FE0F4B"/>
    <w:rPr>
      <w:b/>
      <w:bCs/>
    </w:rPr>
  </w:style>
  <w:style w:type="character" w:customStyle="1" w:styleId="CommentSubjectChar">
    <w:name w:val="Comment Subject Char"/>
    <w:basedOn w:val="CommentTextChar"/>
    <w:link w:val="CommentSubject"/>
    <w:uiPriority w:val="99"/>
    <w:semiHidden/>
    <w:rsid w:val="00FE0F4B"/>
    <w:rPr>
      <w:b/>
      <w:bCs/>
      <w:sz w:val="20"/>
      <w:szCs w:val="20"/>
      <w:lang w:val="en-GB"/>
    </w:rPr>
  </w:style>
  <w:style w:type="paragraph" w:styleId="BalloonText">
    <w:name w:val="Balloon Text"/>
    <w:basedOn w:val="Normal"/>
    <w:link w:val="BalloonTextChar"/>
    <w:uiPriority w:val="99"/>
    <w:semiHidden/>
    <w:unhideWhenUsed/>
    <w:rsid w:val="00FE0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4B"/>
    <w:rPr>
      <w:rFonts w:ascii="Tahoma" w:hAnsi="Tahoma" w:cs="Tahoma"/>
      <w:sz w:val="16"/>
      <w:szCs w:val="16"/>
      <w:lang w:val="en-GB"/>
    </w:rPr>
  </w:style>
  <w:style w:type="paragraph" w:styleId="NoSpacing">
    <w:name w:val="No Spacing"/>
    <w:uiPriority w:val="1"/>
    <w:qFormat/>
    <w:rsid w:val="00357405"/>
    <w:pPr>
      <w:spacing w:after="0" w:line="240" w:lineRule="auto"/>
    </w:pPr>
    <w:rPr>
      <w:lang w:val="en-GB"/>
    </w:rPr>
  </w:style>
  <w:style w:type="character" w:styleId="Strong">
    <w:name w:val="Strong"/>
    <w:basedOn w:val="DefaultParagraphFont"/>
    <w:uiPriority w:val="22"/>
    <w:qFormat/>
    <w:rsid w:val="00663B5D"/>
    <w:rPr>
      <w:b/>
      <w:bCs/>
    </w:rPr>
  </w:style>
  <w:style w:type="character" w:customStyle="1" w:styleId="Heading1Char">
    <w:name w:val="Heading 1 Char"/>
    <w:basedOn w:val="DefaultParagraphFont"/>
    <w:link w:val="Heading1"/>
    <w:uiPriority w:val="9"/>
    <w:rsid w:val="00D44AE8"/>
    <w:rPr>
      <w:rFonts w:ascii="Times New Roman" w:eastAsiaTheme="minorEastAsia" w:hAnsi="Times New Roman"/>
      <w:b/>
      <w:spacing w:val="5"/>
      <w:szCs w:val="44"/>
      <w:lang w:val="en-GB" w:bidi="en-US"/>
    </w:rPr>
  </w:style>
  <w:style w:type="character" w:customStyle="1" w:styleId="Heading2Char">
    <w:name w:val="Heading 2 Char"/>
    <w:basedOn w:val="DefaultParagraphFont"/>
    <w:link w:val="Heading2"/>
    <w:uiPriority w:val="9"/>
    <w:rsid w:val="00D44AE8"/>
    <w:rPr>
      <w:rFonts w:ascii="Times New Roman" w:eastAsiaTheme="minorEastAsia" w:hAnsi="Times New Roman"/>
      <w:b/>
      <w:szCs w:val="36"/>
      <w:lang w:val="en-GB" w:bidi="en-US"/>
    </w:rPr>
  </w:style>
  <w:style w:type="character" w:customStyle="1" w:styleId="Heading3Char">
    <w:name w:val="Heading 3 Char"/>
    <w:basedOn w:val="DefaultParagraphFont"/>
    <w:link w:val="Heading3"/>
    <w:uiPriority w:val="9"/>
    <w:rsid w:val="00D44AE8"/>
    <w:rPr>
      <w:rFonts w:ascii="Times New Roman" w:eastAsiaTheme="minorEastAsia" w:hAnsi="Times New Roman"/>
      <w:b/>
      <w:iCs/>
      <w:spacing w:val="5"/>
      <w:szCs w:val="26"/>
      <w:lang w:val="en-GB" w:bidi="en-US"/>
    </w:rPr>
  </w:style>
  <w:style w:type="character" w:customStyle="1" w:styleId="Heading4Char">
    <w:name w:val="Heading 4 Char"/>
    <w:basedOn w:val="DefaultParagraphFont"/>
    <w:link w:val="Heading4"/>
    <w:uiPriority w:val="9"/>
    <w:rsid w:val="00B42DA8"/>
    <w:rPr>
      <w:rFonts w:ascii="Times New Roman" w:eastAsiaTheme="minorEastAsia" w:hAnsi="Times New Roman"/>
      <w:b/>
      <w:bCs/>
      <w:i/>
      <w:spacing w:val="5"/>
      <w:sz w:val="24"/>
      <w:szCs w:val="24"/>
      <w:lang w:val="en-GB" w:bidi="en-US"/>
    </w:rPr>
  </w:style>
  <w:style w:type="character" w:customStyle="1" w:styleId="Heading5Char">
    <w:name w:val="Heading 5 Char"/>
    <w:basedOn w:val="DefaultParagraphFont"/>
    <w:link w:val="Heading5"/>
    <w:uiPriority w:val="9"/>
    <w:rsid w:val="00663B5D"/>
    <w:rPr>
      <w:rFonts w:eastAsiaTheme="minorEastAsia"/>
      <w:i/>
      <w:iCs/>
      <w:sz w:val="24"/>
      <w:szCs w:val="24"/>
      <w:lang w:val="en-GB" w:bidi="en-US"/>
    </w:rPr>
  </w:style>
  <w:style w:type="character" w:customStyle="1" w:styleId="Heading6Char">
    <w:name w:val="Heading 6 Char"/>
    <w:basedOn w:val="DefaultParagraphFont"/>
    <w:link w:val="Heading6"/>
    <w:uiPriority w:val="9"/>
    <w:semiHidden/>
    <w:rsid w:val="00663B5D"/>
    <w:rPr>
      <w:rFonts w:eastAsiaTheme="minorEastAsia"/>
      <w:b/>
      <w:bCs/>
      <w:color w:val="595959" w:themeColor="text1" w:themeTint="A6"/>
      <w:spacing w:val="5"/>
      <w:shd w:val="clear" w:color="auto" w:fill="FFFFFF" w:themeFill="background1"/>
      <w:lang w:val="en-GB" w:bidi="en-US"/>
    </w:rPr>
  </w:style>
  <w:style w:type="character" w:customStyle="1" w:styleId="Heading7Char">
    <w:name w:val="Heading 7 Char"/>
    <w:basedOn w:val="DefaultParagraphFont"/>
    <w:link w:val="Heading7"/>
    <w:uiPriority w:val="9"/>
    <w:semiHidden/>
    <w:rsid w:val="00663B5D"/>
    <w:rPr>
      <w:rFonts w:eastAsiaTheme="minorEastAsia"/>
      <w:b/>
      <w:bCs/>
      <w:i/>
      <w:iCs/>
      <w:color w:val="5A5A5A" w:themeColor="text1" w:themeTint="A5"/>
      <w:sz w:val="20"/>
      <w:szCs w:val="20"/>
      <w:lang w:val="en-GB" w:bidi="en-US"/>
    </w:rPr>
  </w:style>
  <w:style w:type="character" w:customStyle="1" w:styleId="Heading8Char">
    <w:name w:val="Heading 8 Char"/>
    <w:basedOn w:val="DefaultParagraphFont"/>
    <w:link w:val="Heading8"/>
    <w:uiPriority w:val="9"/>
    <w:semiHidden/>
    <w:rsid w:val="00663B5D"/>
    <w:rPr>
      <w:rFonts w:eastAsiaTheme="minorEastAsia"/>
      <w:b/>
      <w:bCs/>
      <w:color w:val="7F7F7F" w:themeColor="text1" w:themeTint="80"/>
      <w:sz w:val="20"/>
      <w:szCs w:val="20"/>
      <w:lang w:val="en-GB" w:bidi="en-US"/>
    </w:rPr>
  </w:style>
  <w:style w:type="character" w:customStyle="1" w:styleId="Heading9Char">
    <w:name w:val="Heading 9 Char"/>
    <w:basedOn w:val="DefaultParagraphFont"/>
    <w:link w:val="Heading9"/>
    <w:uiPriority w:val="9"/>
    <w:semiHidden/>
    <w:rsid w:val="00663B5D"/>
    <w:rPr>
      <w:rFonts w:eastAsiaTheme="minorEastAsia"/>
      <w:b/>
      <w:bCs/>
      <w:i/>
      <w:iCs/>
      <w:color w:val="7F7F7F" w:themeColor="text1" w:themeTint="80"/>
      <w:sz w:val="18"/>
      <w:szCs w:val="18"/>
      <w:lang w:val="en-GB" w:bidi="en-US"/>
    </w:rPr>
  </w:style>
  <w:style w:type="paragraph" w:styleId="Title">
    <w:name w:val="Title"/>
    <w:basedOn w:val="Normal"/>
    <w:next w:val="Normal"/>
    <w:link w:val="TitleChar"/>
    <w:uiPriority w:val="10"/>
    <w:qFormat/>
    <w:rsid w:val="00663B5D"/>
    <w:pPr>
      <w:pBdr>
        <w:bottom w:val="single" w:sz="6" w:space="1" w:color="auto"/>
      </w:pBdr>
      <w:spacing w:after="300" w:line="240" w:lineRule="auto"/>
      <w:contextualSpacing/>
    </w:pPr>
    <w:rPr>
      <w:rFonts w:eastAsiaTheme="minorEastAsia"/>
      <w:smallCaps/>
      <w:sz w:val="72"/>
      <w:szCs w:val="72"/>
      <w:lang w:bidi="en-US"/>
    </w:rPr>
  </w:style>
  <w:style w:type="character" w:customStyle="1" w:styleId="TitleChar">
    <w:name w:val="Title Char"/>
    <w:basedOn w:val="DefaultParagraphFont"/>
    <w:link w:val="Title"/>
    <w:uiPriority w:val="10"/>
    <w:rsid w:val="00663B5D"/>
    <w:rPr>
      <w:rFonts w:eastAsiaTheme="minorEastAsia"/>
      <w:smallCaps/>
      <w:sz w:val="72"/>
      <w:szCs w:val="72"/>
      <w:lang w:val="en-GB" w:bidi="en-US"/>
    </w:rPr>
  </w:style>
  <w:style w:type="paragraph" w:styleId="Subtitle">
    <w:name w:val="Subtitle"/>
    <w:basedOn w:val="Normal"/>
    <w:next w:val="Normal"/>
    <w:link w:val="SubtitleChar"/>
    <w:uiPriority w:val="11"/>
    <w:qFormat/>
    <w:rsid w:val="00663B5D"/>
    <w:rPr>
      <w:rFonts w:asciiTheme="majorHAnsi" w:eastAsiaTheme="minorEastAsia" w:hAnsiTheme="majorHAnsi"/>
      <w:i/>
      <w:iCs/>
      <w:smallCaps/>
      <w:spacing w:val="10"/>
      <w:sz w:val="28"/>
      <w:szCs w:val="28"/>
      <w:lang w:val="en-US" w:bidi="en-US"/>
    </w:rPr>
  </w:style>
  <w:style w:type="character" w:customStyle="1" w:styleId="SubtitleChar">
    <w:name w:val="Subtitle Char"/>
    <w:basedOn w:val="DefaultParagraphFont"/>
    <w:link w:val="Subtitle"/>
    <w:uiPriority w:val="11"/>
    <w:rsid w:val="00663B5D"/>
    <w:rPr>
      <w:rFonts w:asciiTheme="majorHAnsi" w:eastAsiaTheme="minorEastAsia" w:hAnsiTheme="majorHAnsi"/>
      <w:i/>
      <w:iCs/>
      <w:smallCaps/>
      <w:spacing w:val="10"/>
      <w:sz w:val="28"/>
      <w:szCs w:val="28"/>
      <w:lang w:bidi="en-US"/>
    </w:rPr>
  </w:style>
  <w:style w:type="character" w:styleId="Emphasis">
    <w:name w:val="Emphasis"/>
    <w:uiPriority w:val="20"/>
    <w:qFormat/>
    <w:rsid w:val="00663B5D"/>
    <w:rPr>
      <w:b/>
      <w:bCs/>
      <w:i/>
      <w:iCs/>
      <w:spacing w:val="10"/>
    </w:rPr>
  </w:style>
  <w:style w:type="paragraph" w:styleId="ListParagraph">
    <w:name w:val="List Paragraph"/>
    <w:basedOn w:val="Normal"/>
    <w:uiPriority w:val="34"/>
    <w:qFormat/>
    <w:rsid w:val="00663B5D"/>
    <w:pPr>
      <w:ind w:left="720"/>
      <w:contextualSpacing/>
    </w:pPr>
    <w:rPr>
      <w:rFonts w:eastAsiaTheme="minorEastAsia"/>
      <w:lang w:bidi="en-US"/>
    </w:rPr>
  </w:style>
  <w:style w:type="paragraph" w:styleId="Quote">
    <w:name w:val="Quote"/>
    <w:basedOn w:val="Normal"/>
    <w:next w:val="Normal"/>
    <w:link w:val="QuoteChar"/>
    <w:uiPriority w:val="29"/>
    <w:qFormat/>
    <w:rsid w:val="00663B5D"/>
    <w:rPr>
      <w:rFonts w:asciiTheme="majorHAnsi" w:eastAsiaTheme="minorEastAsia" w:hAnsiTheme="majorHAnsi"/>
      <w:i/>
      <w:iCs/>
      <w:lang w:val="en-US" w:bidi="en-US"/>
    </w:rPr>
  </w:style>
  <w:style w:type="character" w:customStyle="1" w:styleId="QuoteChar">
    <w:name w:val="Quote Char"/>
    <w:basedOn w:val="DefaultParagraphFont"/>
    <w:link w:val="Quote"/>
    <w:uiPriority w:val="29"/>
    <w:rsid w:val="00663B5D"/>
    <w:rPr>
      <w:rFonts w:asciiTheme="majorHAnsi" w:eastAsiaTheme="minorEastAsia" w:hAnsiTheme="majorHAnsi"/>
      <w:i/>
      <w:iCs/>
      <w:lang w:bidi="en-US"/>
    </w:rPr>
  </w:style>
  <w:style w:type="paragraph" w:styleId="IntenseQuote">
    <w:name w:val="Intense Quote"/>
    <w:basedOn w:val="Normal"/>
    <w:next w:val="Normal"/>
    <w:link w:val="IntenseQuoteChar"/>
    <w:uiPriority w:val="30"/>
    <w:qFormat/>
    <w:rsid w:val="00663B5D"/>
    <w:pPr>
      <w:pBdr>
        <w:top w:val="single" w:sz="4" w:space="10" w:color="auto"/>
        <w:bottom w:val="single" w:sz="4" w:space="10" w:color="auto"/>
      </w:pBdr>
      <w:spacing w:before="240" w:after="240" w:line="300" w:lineRule="auto"/>
      <w:ind w:left="1152" w:right="1152"/>
      <w:jc w:val="both"/>
    </w:pPr>
    <w:rPr>
      <w:rFonts w:asciiTheme="majorHAnsi" w:eastAsiaTheme="minorEastAsia" w:hAnsiTheme="majorHAnsi"/>
      <w:i/>
      <w:iCs/>
      <w:lang w:val="en-US" w:bidi="en-US"/>
    </w:rPr>
  </w:style>
  <w:style w:type="character" w:customStyle="1" w:styleId="IntenseQuoteChar">
    <w:name w:val="Intense Quote Char"/>
    <w:basedOn w:val="DefaultParagraphFont"/>
    <w:link w:val="IntenseQuote"/>
    <w:uiPriority w:val="30"/>
    <w:rsid w:val="00663B5D"/>
    <w:rPr>
      <w:rFonts w:asciiTheme="majorHAnsi" w:eastAsiaTheme="minorEastAsia" w:hAnsiTheme="majorHAnsi"/>
      <w:i/>
      <w:iCs/>
      <w:lang w:bidi="en-US"/>
    </w:rPr>
  </w:style>
  <w:style w:type="character" w:styleId="SubtleEmphasis">
    <w:name w:val="Subtle Emphasis"/>
    <w:uiPriority w:val="19"/>
    <w:qFormat/>
    <w:rsid w:val="00663B5D"/>
    <w:rPr>
      <w:i/>
      <w:iCs/>
    </w:rPr>
  </w:style>
  <w:style w:type="character" w:styleId="IntenseEmphasis">
    <w:name w:val="Intense Emphasis"/>
    <w:uiPriority w:val="21"/>
    <w:qFormat/>
    <w:rsid w:val="00663B5D"/>
    <w:rPr>
      <w:b/>
      <w:bCs/>
      <w:i/>
      <w:iCs/>
    </w:rPr>
  </w:style>
  <w:style w:type="character" w:styleId="SubtleReference">
    <w:name w:val="Subtle Reference"/>
    <w:basedOn w:val="DefaultParagraphFont"/>
    <w:uiPriority w:val="31"/>
    <w:qFormat/>
    <w:rsid w:val="00663B5D"/>
    <w:rPr>
      <w:smallCaps/>
    </w:rPr>
  </w:style>
  <w:style w:type="character" w:styleId="IntenseReference">
    <w:name w:val="Intense Reference"/>
    <w:uiPriority w:val="32"/>
    <w:qFormat/>
    <w:rsid w:val="00663B5D"/>
    <w:rPr>
      <w:b/>
      <w:bCs/>
      <w:smallCaps/>
    </w:rPr>
  </w:style>
  <w:style w:type="character" w:styleId="BookTitle">
    <w:name w:val="Book Title"/>
    <w:basedOn w:val="DefaultParagraphFont"/>
    <w:uiPriority w:val="33"/>
    <w:qFormat/>
    <w:rsid w:val="00663B5D"/>
    <w:rPr>
      <w:i/>
      <w:iCs/>
      <w:smallCaps/>
      <w:spacing w:val="5"/>
    </w:rPr>
  </w:style>
  <w:style w:type="paragraph" w:styleId="TOCHeading">
    <w:name w:val="TOC Heading"/>
    <w:basedOn w:val="Heading1"/>
    <w:next w:val="Normal"/>
    <w:uiPriority w:val="39"/>
    <w:unhideWhenUsed/>
    <w:qFormat/>
    <w:rsid w:val="00663B5D"/>
    <w:pPr>
      <w:outlineLvl w:val="9"/>
    </w:pPr>
  </w:style>
  <w:style w:type="table" w:styleId="TableGrid">
    <w:name w:val="Table Grid"/>
    <w:basedOn w:val="TableNormal"/>
    <w:rsid w:val="00663B5D"/>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i">
    <w:name w:val="doi"/>
    <w:basedOn w:val="DefaultParagraphFont"/>
    <w:rsid w:val="004672A3"/>
  </w:style>
  <w:style w:type="character" w:styleId="HTMLCite">
    <w:name w:val="HTML Cite"/>
    <w:basedOn w:val="DefaultParagraphFont"/>
    <w:uiPriority w:val="99"/>
    <w:semiHidden/>
    <w:unhideWhenUsed/>
    <w:rsid w:val="0022199F"/>
    <w:rPr>
      <w:i/>
      <w:iCs/>
    </w:rPr>
  </w:style>
  <w:style w:type="character" w:styleId="FollowedHyperlink">
    <w:name w:val="FollowedHyperlink"/>
    <w:basedOn w:val="DefaultParagraphFont"/>
    <w:uiPriority w:val="99"/>
    <w:semiHidden/>
    <w:unhideWhenUsed/>
    <w:rsid w:val="0022199F"/>
    <w:rPr>
      <w:color w:val="800080" w:themeColor="followedHyperlink"/>
      <w:u w:val="single"/>
    </w:rPr>
  </w:style>
  <w:style w:type="paragraph" w:customStyle="1" w:styleId="Default">
    <w:name w:val="Default"/>
    <w:rsid w:val="0022199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B92950"/>
    <w:pPr>
      <w:spacing w:after="0" w:line="240" w:lineRule="auto"/>
    </w:pPr>
    <w:rPr>
      <w:lang w:val="en-GB"/>
    </w:rPr>
  </w:style>
  <w:style w:type="character" w:customStyle="1" w:styleId="title-link-wrapper1">
    <w:name w:val="title-link-wrapper1"/>
    <w:basedOn w:val="DefaultParagraphFont"/>
    <w:rsid w:val="00416A81"/>
    <w:rPr>
      <w:vanish w:val="0"/>
      <w:webHidden w:val="0"/>
      <w:specVanish w:val="0"/>
    </w:rPr>
  </w:style>
  <w:style w:type="character" w:customStyle="1" w:styleId="hidden1">
    <w:name w:val="hidden1"/>
    <w:basedOn w:val="DefaultParagraphFont"/>
    <w:rsid w:val="00416A81"/>
    <w:rPr>
      <w:sz w:val="2"/>
      <w:szCs w:val="2"/>
    </w:rPr>
  </w:style>
  <w:style w:type="character" w:customStyle="1" w:styleId="medium-font1">
    <w:name w:val="medium-font1"/>
    <w:basedOn w:val="DefaultParagraphFont"/>
    <w:rsid w:val="00416A81"/>
    <w:rPr>
      <w:sz w:val="19"/>
      <w:szCs w:val="19"/>
    </w:rPr>
  </w:style>
  <w:style w:type="paragraph" w:styleId="TOC1">
    <w:name w:val="toc 1"/>
    <w:basedOn w:val="Normal"/>
    <w:next w:val="Normal"/>
    <w:autoRedefine/>
    <w:uiPriority w:val="39"/>
    <w:unhideWhenUsed/>
    <w:rsid w:val="008B1DDD"/>
    <w:pPr>
      <w:tabs>
        <w:tab w:val="left" w:pos="440"/>
        <w:tab w:val="right" w:leader="dot" w:pos="8827"/>
      </w:tabs>
      <w:spacing w:line="240" w:lineRule="auto"/>
      <w:ind w:firstLine="0"/>
    </w:pPr>
    <w:rPr>
      <w:rFonts w:asciiTheme="minorHAnsi" w:eastAsia="Times New Roman" w:hAnsiTheme="minorHAnsi" w:cs="Times New Roman"/>
      <w:b/>
      <w:bCs/>
      <w:caps/>
      <w:sz w:val="20"/>
      <w:szCs w:val="20"/>
      <w:lang w:bidi="en-US"/>
    </w:rPr>
  </w:style>
  <w:style w:type="paragraph" w:styleId="TOC2">
    <w:name w:val="toc 2"/>
    <w:basedOn w:val="Normal"/>
    <w:next w:val="Normal"/>
    <w:autoRedefine/>
    <w:uiPriority w:val="39"/>
    <w:unhideWhenUsed/>
    <w:rsid w:val="008B1DDD"/>
    <w:pPr>
      <w:tabs>
        <w:tab w:val="left" w:pos="880"/>
        <w:tab w:val="left" w:pos="1540"/>
        <w:tab w:val="right" w:leader="dot" w:pos="8827"/>
      </w:tabs>
      <w:spacing w:line="240" w:lineRule="auto"/>
      <w:ind w:left="221" w:firstLine="0"/>
    </w:pPr>
    <w:rPr>
      <w:rFonts w:asciiTheme="minorHAnsi" w:eastAsia="Times New Roman" w:hAnsiTheme="minorHAnsi" w:cs="Times New Roman"/>
      <w:smallCaps/>
      <w:sz w:val="20"/>
      <w:szCs w:val="20"/>
      <w:lang w:bidi="en-US"/>
    </w:rPr>
  </w:style>
  <w:style w:type="paragraph" w:styleId="TOC3">
    <w:name w:val="toc 3"/>
    <w:basedOn w:val="Normal"/>
    <w:next w:val="Normal"/>
    <w:autoRedefine/>
    <w:uiPriority w:val="39"/>
    <w:unhideWhenUsed/>
    <w:rsid w:val="008B1DDD"/>
    <w:pPr>
      <w:tabs>
        <w:tab w:val="left" w:pos="1100"/>
        <w:tab w:val="right" w:leader="dot" w:pos="8827"/>
      </w:tabs>
      <w:spacing w:line="240" w:lineRule="auto"/>
      <w:ind w:left="442"/>
    </w:pPr>
    <w:rPr>
      <w:rFonts w:asciiTheme="minorHAnsi" w:eastAsia="Times New Roman" w:hAnsiTheme="minorHAnsi" w:cs="Times New Roman"/>
      <w:i/>
      <w:iCs/>
      <w:sz w:val="20"/>
      <w:szCs w:val="20"/>
      <w:lang w:bidi="en-US"/>
    </w:rPr>
  </w:style>
  <w:style w:type="character" w:customStyle="1" w:styleId="texhtml">
    <w:name w:val="texhtml"/>
    <w:basedOn w:val="DefaultParagraphFont"/>
    <w:rsid w:val="008B1DDD"/>
  </w:style>
  <w:style w:type="paragraph" w:styleId="TOC4">
    <w:name w:val="toc 4"/>
    <w:basedOn w:val="Normal"/>
    <w:next w:val="Normal"/>
    <w:autoRedefine/>
    <w:uiPriority w:val="39"/>
    <w:unhideWhenUsed/>
    <w:rsid w:val="008B1DDD"/>
    <w:pPr>
      <w:ind w:left="660"/>
    </w:pPr>
    <w:rPr>
      <w:rFonts w:asciiTheme="minorHAnsi" w:eastAsia="Times New Roman" w:hAnsiTheme="minorHAnsi" w:cs="Times New Roman"/>
      <w:sz w:val="18"/>
      <w:szCs w:val="18"/>
      <w:lang w:bidi="en-US"/>
    </w:rPr>
  </w:style>
  <w:style w:type="paragraph" w:styleId="TOC5">
    <w:name w:val="toc 5"/>
    <w:basedOn w:val="Normal"/>
    <w:next w:val="Normal"/>
    <w:autoRedefine/>
    <w:uiPriority w:val="39"/>
    <w:unhideWhenUsed/>
    <w:rsid w:val="008B1DDD"/>
    <w:pPr>
      <w:ind w:left="880"/>
    </w:pPr>
    <w:rPr>
      <w:rFonts w:asciiTheme="minorHAnsi" w:eastAsia="Times New Roman" w:hAnsiTheme="minorHAnsi" w:cs="Times New Roman"/>
      <w:sz w:val="18"/>
      <w:szCs w:val="18"/>
      <w:lang w:bidi="en-US"/>
    </w:rPr>
  </w:style>
  <w:style w:type="paragraph" w:styleId="TOC6">
    <w:name w:val="toc 6"/>
    <w:basedOn w:val="Normal"/>
    <w:next w:val="Normal"/>
    <w:autoRedefine/>
    <w:uiPriority w:val="39"/>
    <w:unhideWhenUsed/>
    <w:rsid w:val="008B1DDD"/>
    <w:pPr>
      <w:ind w:left="1100"/>
    </w:pPr>
    <w:rPr>
      <w:rFonts w:asciiTheme="minorHAnsi" w:eastAsia="Times New Roman" w:hAnsiTheme="minorHAnsi" w:cs="Times New Roman"/>
      <w:sz w:val="18"/>
      <w:szCs w:val="18"/>
      <w:lang w:bidi="en-US"/>
    </w:rPr>
  </w:style>
  <w:style w:type="paragraph" w:styleId="TOC7">
    <w:name w:val="toc 7"/>
    <w:basedOn w:val="Normal"/>
    <w:next w:val="Normal"/>
    <w:autoRedefine/>
    <w:uiPriority w:val="39"/>
    <w:unhideWhenUsed/>
    <w:rsid w:val="008B1DDD"/>
    <w:pPr>
      <w:ind w:left="1320"/>
    </w:pPr>
    <w:rPr>
      <w:rFonts w:asciiTheme="minorHAnsi" w:eastAsia="Times New Roman" w:hAnsiTheme="minorHAnsi" w:cs="Times New Roman"/>
      <w:sz w:val="18"/>
      <w:szCs w:val="18"/>
      <w:lang w:bidi="en-US"/>
    </w:rPr>
  </w:style>
  <w:style w:type="paragraph" w:styleId="TOC8">
    <w:name w:val="toc 8"/>
    <w:basedOn w:val="Normal"/>
    <w:next w:val="Normal"/>
    <w:autoRedefine/>
    <w:uiPriority w:val="39"/>
    <w:unhideWhenUsed/>
    <w:rsid w:val="008B1DDD"/>
    <w:pPr>
      <w:ind w:left="1540"/>
    </w:pPr>
    <w:rPr>
      <w:rFonts w:asciiTheme="minorHAnsi" w:eastAsia="Times New Roman" w:hAnsiTheme="minorHAnsi" w:cs="Times New Roman"/>
      <w:sz w:val="18"/>
      <w:szCs w:val="18"/>
      <w:lang w:bidi="en-US"/>
    </w:rPr>
  </w:style>
  <w:style w:type="paragraph" w:styleId="TOC9">
    <w:name w:val="toc 9"/>
    <w:basedOn w:val="Normal"/>
    <w:next w:val="Normal"/>
    <w:autoRedefine/>
    <w:uiPriority w:val="39"/>
    <w:unhideWhenUsed/>
    <w:rsid w:val="008B1DDD"/>
    <w:pPr>
      <w:ind w:left="1760"/>
    </w:pPr>
    <w:rPr>
      <w:rFonts w:asciiTheme="minorHAnsi" w:eastAsia="Times New Roman" w:hAnsiTheme="minorHAnsi" w:cs="Times New Roman"/>
      <w:sz w:val="18"/>
      <w:szCs w:val="18"/>
      <w:lang w:bidi="en-US"/>
    </w:rPr>
  </w:style>
  <w:style w:type="paragraph" w:styleId="BodyText">
    <w:name w:val="Body Text"/>
    <w:basedOn w:val="Normal"/>
    <w:link w:val="BodyTextChar"/>
    <w:rsid w:val="008B1DDD"/>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B1DDD"/>
    <w:rPr>
      <w:rFonts w:ascii="Arial" w:eastAsia="Times New Roman" w:hAnsi="Arial" w:cs="Times New Roman"/>
      <w:sz w:val="24"/>
      <w:szCs w:val="24"/>
      <w:lang w:val="en-GB"/>
    </w:rPr>
  </w:style>
  <w:style w:type="character" w:customStyle="1" w:styleId="value">
    <w:name w:val="value"/>
    <w:basedOn w:val="DefaultParagraphFont"/>
    <w:rsid w:val="008B1DDD"/>
  </w:style>
  <w:style w:type="character" w:customStyle="1" w:styleId="cit-doi2">
    <w:name w:val="cit-doi2"/>
    <w:basedOn w:val="DefaultParagraphFont"/>
    <w:uiPriority w:val="99"/>
    <w:rsid w:val="008B1DDD"/>
  </w:style>
  <w:style w:type="character" w:customStyle="1" w:styleId="slug-doi">
    <w:name w:val="slug-doi"/>
    <w:basedOn w:val="DefaultParagraphFont"/>
    <w:rsid w:val="008B1DDD"/>
  </w:style>
  <w:style w:type="paragraph" w:customStyle="1" w:styleId="Table">
    <w:name w:val="Table"/>
    <w:basedOn w:val="Normal"/>
    <w:link w:val="TableChar"/>
    <w:qFormat/>
    <w:rsid w:val="008B1DDD"/>
    <w:pPr>
      <w:ind w:firstLine="0"/>
    </w:pPr>
    <w:rPr>
      <w:rFonts w:ascii="Calibri" w:eastAsia="Calibri" w:hAnsi="Calibri" w:cs="Times New Roman"/>
      <w:sz w:val="24"/>
      <w:lang w:bidi="en-US"/>
    </w:rPr>
  </w:style>
  <w:style w:type="character" w:customStyle="1" w:styleId="TableChar">
    <w:name w:val="Table Char"/>
    <w:basedOn w:val="DefaultParagraphFont"/>
    <w:link w:val="Table"/>
    <w:rsid w:val="008B1DDD"/>
    <w:rPr>
      <w:rFonts w:ascii="Calibri" w:eastAsia="Calibri" w:hAnsi="Calibri" w:cs="Times New Roman"/>
      <w:sz w:val="24"/>
      <w:lang w:val="en-GB" w:bidi="en-US"/>
    </w:rPr>
  </w:style>
  <w:style w:type="paragraph" w:styleId="BodyText3">
    <w:name w:val="Body Text 3"/>
    <w:basedOn w:val="Normal"/>
    <w:link w:val="BodyText3Char"/>
    <w:uiPriority w:val="99"/>
    <w:rsid w:val="008B1DDD"/>
    <w:pPr>
      <w:ind w:firstLine="0"/>
    </w:pPr>
    <w:rPr>
      <w:rFonts w:eastAsia="Times New Roman" w:cs="Times New Roman"/>
      <w:color w:val="0000FF"/>
      <w:sz w:val="24"/>
      <w:szCs w:val="24"/>
    </w:rPr>
  </w:style>
  <w:style w:type="character" w:customStyle="1" w:styleId="BodyText3Char">
    <w:name w:val="Body Text 3 Char"/>
    <w:basedOn w:val="DefaultParagraphFont"/>
    <w:link w:val="BodyText3"/>
    <w:uiPriority w:val="99"/>
    <w:rsid w:val="008B1DDD"/>
    <w:rPr>
      <w:rFonts w:ascii="Times New Roman" w:eastAsia="Times New Roman" w:hAnsi="Times New Roman" w:cs="Times New Roman"/>
      <w:color w:val="0000FF"/>
      <w:sz w:val="24"/>
      <w:szCs w:val="24"/>
      <w:lang w:val="en-GB"/>
    </w:rPr>
  </w:style>
  <w:style w:type="paragraph" w:customStyle="1" w:styleId="stdtext">
    <w:name w:val="stdtext"/>
    <w:basedOn w:val="Normal"/>
    <w:rsid w:val="00E61410"/>
    <w:pPr>
      <w:spacing w:before="100" w:beforeAutospacing="1" w:after="100" w:afterAutospacing="1" w:line="336" w:lineRule="atLeast"/>
      <w:ind w:firstLine="0"/>
    </w:pPr>
    <w:rPr>
      <w:rFonts w:ascii="Arial" w:eastAsia="Times New Roman" w:hAnsi="Arial" w:cs="Arial"/>
      <w:color w:val="333333"/>
      <w:sz w:val="21"/>
      <w:szCs w:val="21"/>
      <w:lang w:val="en-US"/>
    </w:rPr>
  </w:style>
  <w:style w:type="character" w:customStyle="1" w:styleId="cit-sepcit-sep-before-article-doi">
    <w:name w:val="cit-sep cit-sep-before-article-doi"/>
    <w:basedOn w:val="DefaultParagraphFont"/>
    <w:uiPriority w:val="99"/>
    <w:rsid w:val="00203D0E"/>
    <w:rPr>
      <w:rFonts w:cs="Times New Roman"/>
    </w:rPr>
  </w:style>
  <w:style w:type="character" w:customStyle="1" w:styleId="maintitle">
    <w:name w:val="maintitle"/>
    <w:basedOn w:val="DefaultParagraphFont"/>
    <w:rsid w:val="00960B90"/>
  </w:style>
  <w:style w:type="paragraph" w:customStyle="1" w:styleId="articledetails">
    <w:name w:val="articledetails"/>
    <w:basedOn w:val="Normal"/>
    <w:rsid w:val="00960B90"/>
    <w:pPr>
      <w:spacing w:before="100" w:beforeAutospacing="1" w:after="100" w:afterAutospacing="1" w:line="240" w:lineRule="auto"/>
      <w:ind w:firstLine="0"/>
    </w:pPr>
    <w:rPr>
      <w:rFonts w:eastAsia="Times New Roman" w:cs="Times New Roman"/>
      <w:sz w:val="24"/>
      <w:szCs w:val="24"/>
      <w:lang w:eastAsia="en-GB"/>
    </w:rPr>
  </w:style>
  <w:style w:type="character" w:customStyle="1" w:styleId="apple-converted-space">
    <w:name w:val="apple-converted-space"/>
    <w:basedOn w:val="DefaultParagraphFont"/>
    <w:rsid w:val="0037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000">
      <w:bodyDiv w:val="1"/>
      <w:marLeft w:val="0"/>
      <w:marRight w:val="0"/>
      <w:marTop w:val="0"/>
      <w:marBottom w:val="0"/>
      <w:divBdr>
        <w:top w:val="none" w:sz="0" w:space="0" w:color="auto"/>
        <w:left w:val="none" w:sz="0" w:space="0" w:color="auto"/>
        <w:bottom w:val="none" w:sz="0" w:space="0" w:color="auto"/>
        <w:right w:val="none" w:sz="0" w:space="0" w:color="auto"/>
      </w:divBdr>
      <w:divsChild>
        <w:div w:id="766996728">
          <w:marLeft w:val="0"/>
          <w:marRight w:val="0"/>
          <w:marTop w:val="0"/>
          <w:marBottom w:val="0"/>
          <w:divBdr>
            <w:top w:val="none" w:sz="0" w:space="0" w:color="auto"/>
            <w:left w:val="none" w:sz="0" w:space="0" w:color="auto"/>
            <w:bottom w:val="none" w:sz="0" w:space="0" w:color="auto"/>
            <w:right w:val="none" w:sz="0" w:space="0" w:color="auto"/>
          </w:divBdr>
          <w:divsChild>
            <w:div w:id="10462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526">
      <w:bodyDiv w:val="1"/>
      <w:marLeft w:val="0"/>
      <w:marRight w:val="0"/>
      <w:marTop w:val="0"/>
      <w:marBottom w:val="0"/>
      <w:divBdr>
        <w:top w:val="none" w:sz="0" w:space="0" w:color="auto"/>
        <w:left w:val="none" w:sz="0" w:space="0" w:color="auto"/>
        <w:bottom w:val="none" w:sz="0" w:space="0" w:color="auto"/>
        <w:right w:val="none" w:sz="0" w:space="0" w:color="auto"/>
      </w:divBdr>
    </w:div>
    <w:div w:id="30765492">
      <w:bodyDiv w:val="1"/>
      <w:marLeft w:val="0"/>
      <w:marRight w:val="0"/>
      <w:marTop w:val="0"/>
      <w:marBottom w:val="0"/>
      <w:divBdr>
        <w:top w:val="none" w:sz="0" w:space="0" w:color="auto"/>
        <w:left w:val="none" w:sz="0" w:space="0" w:color="auto"/>
        <w:bottom w:val="none" w:sz="0" w:space="0" w:color="auto"/>
        <w:right w:val="none" w:sz="0" w:space="0" w:color="auto"/>
      </w:divBdr>
    </w:div>
    <w:div w:id="43718681">
      <w:bodyDiv w:val="1"/>
      <w:marLeft w:val="0"/>
      <w:marRight w:val="0"/>
      <w:marTop w:val="0"/>
      <w:marBottom w:val="0"/>
      <w:divBdr>
        <w:top w:val="none" w:sz="0" w:space="0" w:color="auto"/>
        <w:left w:val="none" w:sz="0" w:space="0" w:color="auto"/>
        <w:bottom w:val="none" w:sz="0" w:space="0" w:color="auto"/>
        <w:right w:val="none" w:sz="0" w:space="0" w:color="auto"/>
      </w:divBdr>
    </w:div>
    <w:div w:id="48187378">
      <w:bodyDiv w:val="1"/>
      <w:marLeft w:val="0"/>
      <w:marRight w:val="0"/>
      <w:marTop w:val="0"/>
      <w:marBottom w:val="0"/>
      <w:divBdr>
        <w:top w:val="none" w:sz="0" w:space="0" w:color="auto"/>
        <w:left w:val="none" w:sz="0" w:space="0" w:color="auto"/>
        <w:bottom w:val="none" w:sz="0" w:space="0" w:color="auto"/>
        <w:right w:val="none" w:sz="0" w:space="0" w:color="auto"/>
      </w:divBdr>
    </w:div>
    <w:div w:id="151528060">
      <w:bodyDiv w:val="1"/>
      <w:marLeft w:val="0"/>
      <w:marRight w:val="0"/>
      <w:marTop w:val="0"/>
      <w:marBottom w:val="0"/>
      <w:divBdr>
        <w:top w:val="none" w:sz="0" w:space="0" w:color="auto"/>
        <w:left w:val="none" w:sz="0" w:space="0" w:color="auto"/>
        <w:bottom w:val="none" w:sz="0" w:space="0" w:color="auto"/>
        <w:right w:val="none" w:sz="0" w:space="0" w:color="auto"/>
      </w:divBdr>
    </w:div>
    <w:div w:id="161940343">
      <w:bodyDiv w:val="1"/>
      <w:marLeft w:val="0"/>
      <w:marRight w:val="0"/>
      <w:marTop w:val="0"/>
      <w:marBottom w:val="0"/>
      <w:divBdr>
        <w:top w:val="none" w:sz="0" w:space="0" w:color="auto"/>
        <w:left w:val="none" w:sz="0" w:space="0" w:color="auto"/>
        <w:bottom w:val="none" w:sz="0" w:space="0" w:color="auto"/>
        <w:right w:val="none" w:sz="0" w:space="0" w:color="auto"/>
      </w:divBdr>
    </w:div>
    <w:div w:id="164905561">
      <w:bodyDiv w:val="1"/>
      <w:marLeft w:val="0"/>
      <w:marRight w:val="0"/>
      <w:marTop w:val="0"/>
      <w:marBottom w:val="0"/>
      <w:divBdr>
        <w:top w:val="none" w:sz="0" w:space="0" w:color="auto"/>
        <w:left w:val="none" w:sz="0" w:space="0" w:color="auto"/>
        <w:bottom w:val="none" w:sz="0" w:space="0" w:color="auto"/>
        <w:right w:val="none" w:sz="0" w:space="0" w:color="auto"/>
      </w:divBdr>
    </w:div>
    <w:div w:id="167673055">
      <w:bodyDiv w:val="1"/>
      <w:marLeft w:val="0"/>
      <w:marRight w:val="0"/>
      <w:marTop w:val="0"/>
      <w:marBottom w:val="0"/>
      <w:divBdr>
        <w:top w:val="none" w:sz="0" w:space="0" w:color="auto"/>
        <w:left w:val="none" w:sz="0" w:space="0" w:color="auto"/>
        <w:bottom w:val="none" w:sz="0" w:space="0" w:color="auto"/>
        <w:right w:val="none" w:sz="0" w:space="0" w:color="auto"/>
      </w:divBdr>
    </w:div>
    <w:div w:id="185757516">
      <w:bodyDiv w:val="1"/>
      <w:marLeft w:val="0"/>
      <w:marRight w:val="0"/>
      <w:marTop w:val="0"/>
      <w:marBottom w:val="0"/>
      <w:divBdr>
        <w:top w:val="none" w:sz="0" w:space="0" w:color="auto"/>
        <w:left w:val="none" w:sz="0" w:space="0" w:color="auto"/>
        <w:bottom w:val="none" w:sz="0" w:space="0" w:color="auto"/>
        <w:right w:val="none" w:sz="0" w:space="0" w:color="auto"/>
      </w:divBdr>
    </w:div>
    <w:div w:id="192697158">
      <w:bodyDiv w:val="1"/>
      <w:marLeft w:val="0"/>
      <w:marRight w:val="0"/>
      <w:marTop w:val="0"/>
      <w:marBottom w:val="0"/>
      <w:divBdr>
        <w:top w:val="none" w:sz="0" w:space="0" w:color="auto"/>
        <w:left w:val="none" w:sz="0" w:space="0" w:color="auto"/>
        <w:bottom w:val="none" w:sz="0" w:space="0" w:color="auto"/>
        <w:right w:val="none" w:sz="0" w:space="0" w:color="auto"/>
      </w:divBdr>
    </w:div>
    <w:div w:id="251940133">
      <w:bodyDiv w:val="1"/>
      <w:marLeft w:val="0"/>
      <w:marRight w:val="0"/>
      <w:marTop w:val="0"/>
      <w:marBottom w:val="0"/>
      <w:divBdr>
        <w:top w:val="none" w:sz="0" w:space="0" w:color="auto"/>
        <w:left w:val="none" w:sz="0" w:space="0" w:color="auto"/>
        <w:bottom w:val="none" w:sz="0" w:space="0" w:color="auto"/>
        <w:right w:val="none" w:sz="0" w:space="0" w:color="auto"/>
      </w:divBdr>
    </w:div>
    <w:div w:id="304697215">
      <w:bodyDiv w:val="1"/>
      <w:marLeft w:val="0"/>
      <w:marRight w:val="0"/>
      <w:marTop w:val="0"/>
      <w:marBottom w:val="0"/>
      <w:divBdr>
        <w:top w:val="none" w:sz="0" w:space="0" w:color="auto"/>
        <w:left w:val="none" w:sz="0" w:space="0" w:color="auto"/>
        <w:bottom w:val="none" w:sz="0" w:space="0" w:color="auto"/>
        <w:right w:val="none" w:sz="0" w:space="0" w:color="auto"/>
      </w:divBdr>
    </w:div>
    <w:div w:id="310254396">
      <w:bodyDiv w:val="1"/>
      <w:marLeft w:val="0"/>
      <w:marRight w:val="0"/>
      <w:marTop w:val="0"/>
      <w:marBottom w:val="0"/>
      <w:divBdr>
        <w:top w:val="none" w:sz="0" w:space="0" w:color="auto"/>
        <w:left w:val="none" w:sz="0" w:space="0" w:color="auto"/>
        <w:bottom w:val="none" w:sz="0" w:space="0" w:color="auto"/>
        <w:right w:val="none" w:sz="0" w:space="0" w:color="auto"/>
      </w:divBdr>
    </w:div>
    <w:div w:id="353461867">
      <w:bodyDiv w:val="1"/>
      <w:marLeft w:val="0"/>
      <w:marRight w:val="0"/>
      <w:marTop w:val="0"/>
      <w:marBottom w:val="0"/>
      <w:divBdr>
        <w:top w:val="none" w:sz="0" w:space="0" w:color="auto"/>
        <w:left w:val="none" w:sz="0" w:space="0" w:color="auto"/>
        <w:bottom w:val="none" w:sz="0" w:space="0" w:color="auto"/>
        <w:right w:val="none" w:sz="0" w:space="0" w:color="auto"/>
      </w:divBdr>
    </w:div>
    <w:div w:id="361588478">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8">
          <w:marLeft w:val="0"/>
          <w:marRight w:val="1"/>
          <w:marTop w:val="0"/>
          <w:marBottom w:val="0"/>
          <w:divBdr>
            <w:top w:val="none" w:sz="0" w:space="0" w:color="auto"/>
            <w:left w:val="none" w:sz="0" w:space="0" w:color="auto"/>
            <w:bottom w:val="none" w:sz="0" w:space="0" w:color="auto"/>
            <w:right w:val="none" w:sz="0" w:space="0" w:color="auto"/>
          </w:divBdr>
          <w:divsChild>
            <w:div w:id="1308557774">
              <w:marLeft w:val="0"/>
              <w:marRight w:val="0"/>
              <w:marTop w:val="0"/>
              <w:marBottom w:val="0"/>
              <w:divBdr>
                <w:top w:val="none" w:sz="0" w:space="0" w:color="auto"/>
                <w:left w:val="none" w:sz="0" w:space="0" w:color="auto"/>
                <w:bottom w:val="none" w:sz="0" w:space="0" w:color="auto"/>
                <w:right w:val="none" w:sz="0" w:space="0" w:color="auto"/>
              </w:divBdr>
              <w:divsChild>
                <w:div w:id="1726373943">
                  <w:marLeft w:val="0"/>
                  <w:marRight w:val="1"/>
                  <w:marTop w:val="0"/>
                  <w:marBottom w:val="0"/>
                  <w:divBdr>
                    <w:top w:val="none" w:sz="0" w:space="0" w:color="auto"/>
                    <w:left w:val="none" w:sz="0" w:space="0" w:color="auto"/>
                    <w:bottom w:val="none" w:sz="0" w:space="0" w:color="auto"/>
                    <w:right w:val="none" w:sz="0" w:space="0" w:color="auto"/>
                  </w:divBdr>
                  <w:divsChild>
                    <w:div w:id="1256205494">
                      <w:marLeft w:val="0"/>
                      <w:marRight w:val="0"/>
                      <w:marTop w:val="0"/>
                      <w:marBottom w:val="0"/>
                      <w:divBdr>
                        <w:top w:val="none" w:sz="0" w:space="0" w:color="auto"/>
                        <w:left w:val="none" w:sz="0" w:space="0" w:color="auto"/>
                        <w:bottom w:val="none" w:sz="0" w:space="0" w:color="auto"/>
                        <w:right w:val="none" w:sz="0" w:space="0" w:color="auto"/>
                      </w:divBdr>
                      <w:divsChild>
                        <w:div w:id="2044867403">
                          <w:marLeft w:val="0"/>
                          <w:marRight w:val="0"/>
                          <w:marTop w:val="0"/>
                          <w:marBottom w:val="0"/>
                          <w:divBdr>
                            <w:top w:val="none" w:sz="0" w:space="0" w:color="auto"/>
                            <w:left w:val="none" w:sz="0" w:space="0" w:color="auto"/>
                            <w:bottom w:val="none" w:sz="0" w:space="0" w:color="auto"/>
                            <w:right w:val="none" w:sz="0" w:space="0" w:color="auto"/>
                          </w:divBdr>
                          <w:divsChild>
                            <w:div w:id="2133666492">
                              <w:marLeft w:val="0"/>
                              <w:marRight w:val="0"/>
                              <w:marTop w:val="120"/>
                              <w:marBottom w:val="360"/>
                              <w:divBdr>
                                <w:top w:val="none" w:sz="0" w:space="0" w:color="auto"/>
                                <w:left w:val="none" w:sz="0" w:space="0" w:color="auto"/>
                                <w:bottom w:val="none" w:sz="0" w:space="0" w:color="auto"/>
                                <w:right w:val="none" w:sz="0" w:space="0" w:color="auto"/>
                              </w:divBdr>
                              <w:divsChild>
                                <w:div w:id="475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47923">
      <w:bodyDiv w:val="1"/>
      <w:marLeft w:val="0"/>
      <w:marRight w:val="0"/>
      <w:marTop w:val="0"/>
      <w:marBottom w:val="0"/>
      <w:divBdr>
        <w:top w:val="none" w:sz="0" w:space="0" w:color="auto"/>
        <w:left w:val="none" w:sz="0" w:space="0" w:color="auto"/>
        <w:bottom w:val="none" w:sz="0" w:space="0" w:color="auto"/>
        <w:right w:val="none" w:sz="0" w:space="0" w:color="auto"/>
      </w:divBdr>
    </w:div>
    <w:div w:id="427703915">
      <w:bodyDiv w:val="1"/>
      <w:marLeft w:val="0"/>
      <w:marRight w:val="0"/>
      <w:marTop w:val="0"/>
      <w:marBottom w:val="0"/>
      <w:divBdr>
        <w:top w:val="none" w:sz="0" w:space="0" w:color="auto"/>
        <w:left w:val="none" w:sz="0" w:space="0" w:color="auto"/>
        <w:bottom w:val="none" w:sz="0" w:space="0" w:color="auto"/>
        <w:right w:val="none" w:sz="0" w:space="0" w:color="auto"/>
      </w:divBdr>
    </w:div>
    <w:div w:id="449864774">
      <w:bodyDiv w:val="1"/>
      <w:marLeft w:val="0"/>
      <w:marRight w:val="0"/>
      <w:marTop w:val="0"/>
      <w:marBottom w:val="0"/>
      <w:divBdr>
        <w:top w:val="none" w:sz="0" w:space="0" w:color="auto"/>
        <w:left w:val="none" w:sz="0" w:space="0" w:color="auto"/>
        <w:bottom w:val="none" w:sz="0" w:space="0" w:color="auto"/>
        <w:right w:val="none" w:sz="0" w:space="0" w:color="auto"/>
      </w:divBdr>
    </w:div>
    <w:div w:id="464085174">
      <w:bodyDiv w:val="1"/>
      <w:marLeft w:val="0"/>
      <w:marRight w:val="0"/>
      <w:marTop w:val="0"/>
      <w:marBottom w:val="0"/>
      <w:divBdr>
        <w:top w:val="none" w:sz="0" w:space="0" w:color="auto"/>
        <w:left w:val="none" w:sz="0" w:space="0" w:color="auto"/>
        <w:bottom w:val="none" w:sz="0" w:space="0" w:color="auto"/>
        <w:right w:val="none" w:sz="0" w:space="0" w:color="auto"/>
      </w:divBdr>
    </w:div>
    <w:div w:id="485897315">
      <w:bodyDiv w:val="1"/>
      <w:marLeft w:val="0"/>
      <w:marRight w:val="0"/>
      <w:marTop w:val="0"/>
      <w:marBottom w:val="0"/>
      <w:divBdr>
        <w:top w:val="none" w:sz="0" w:space="0" w:color="auto"/>
        <w:left w:val="none" w:sz="0" w:space="0" w:color="auto"/>
        <w:bottom w:val="none" w:sz="0" w:space="0" w:color="auto"/>
        <w:right w:val="none" w:sz="0" w:space="0" w:color="auto"/>
      </w:divBdr>
    </w:div>
    <w:div w:id="499662695">
      <w:bodyDiv w:val="1"/>
      <w:marLeft w:val="0"/>
      <w:marRight w:val="0"/>
      <w:marTop w:val="0"/>
      <w:marBottom w:val="0"/>
      <w:divBdr>
        <w:top w:val="none" w:sz="0" w:space="0" w:color="auto"/>
        <w:left w:val="none" w:sz="0" w:space="0" w:color="auto"/>
        <w:bottom w:val="none" w:sz="0" w:space="0" w:color="auto"/>
        <w:right w:val="none" w:sz="0" w:space="0" w:color="auto"/>
      </w:divBdr>
    </w:div>
    <w:div w:id="595599783">
      <w:bodyDiv w:val="1"/>
      <w:marLeft w:val="0"/>
      <w:marRight w:val="0"/>
      <w:marTop w:val="0"/>
      <w:marBottom w:val="0"/>
      <w:divBdr>
        <w:top w:val="none" w:sz="0" w:space="0" w:color="auto"/>
        <w:left w:val="none" w:sz="0" w:space="0" w:color="auto"/>
        <w:bottom w:val="none" w:sz="0" w:space="0" w:color="auto"/>
        <w:right w:val="none" w:sz="0" w:space="0" w:color="auto"/>
      </w:divBdr>
    </w:div>
    <w:div w:id="625623389">
      <w:bodyDiv w:val="1"/>
      <w:marLeft w:val="0"/>
      <w:marRight w:val="0"/>
      <w:marTop w:val="0"/>
      <w:marBottom w:val="0"/>
      <w:divBdr>
        <w:top w:val="none" w:sz="0" w:space="0" w:color="auto"/>
        <w:left w:val="none" w:sz="0" w:space="0" w:color="auto"/>
        <w:bottom w:val="none" w:sz="0" w:space="0" w:color="auto"/>
        <w:right w:val="none" w:sz="0" w:space="0" w:color="auto"/>
      </w:divBdr>
      <w:divsChild>
        <w:div w:id="285546785">
          <w:marLeft w:val="0"/>
          <w:marRight w:val="0"/>
          <w:marTop w:val="0"/>
          <w:marBottom w:val="0"/>
          <w:divBdr>
            <w:top w:val="none" w:sz="0" w:space="0" w:color="auto"/>
            <w:left w:val="none" w:sz="0" w:space="0" w:color="auto"/>
            <w:bottom w:val="none" w:sz="0" w:space="0" w:color="auto"/>
            <w:right w:val="none" w:sz="0" w:space="0" w:color="auto"/>
          </w:divBdr>
          <w:divsChild>
            <w:div w:id="617758164">
              <w:marLeft w:val="0"/>
              <w:marRight w:val="0"/>
              <w:marTop w:val="0"/>
              <w:marBottom w:val="0"/>
              <w:divBdr>
                <w:top w:val="none" w:sz="0" w:space="0" w:color="auto"/>
                <w:left w:val="none" w:sz="0" w:space="0" w:color="auto"/>
                <w:bottom w:val="none" w:sz="0" w:space="0" w:color="auto"/>
                <w:right w:val="none" w:sz="0" w:space="0" w:color="auto"/>
              </w:divBdr>
              <w:divsChild>
                <w:div w:id="1703895765">
                  <w:marLeft w:val="0"/>
                  <w:marRight w:val="0"/>
                  <w:marTop w:val="0"/>
                  <w:marBottom w:val="0"/>
                  <w:divBdr>
                    <w:top w:val="none" w:sz="0" w:space="0" w:color="auto"/>
                    <w:left w:val="none" w:sz="0" w:space="0" w:color="auto"/>
                    <w:bottom w:val="none" w:sz="0" w:space="0" w:color="auto"/>
                    <w:right w:val="none" w:sz="0" w:space="0" w:color="auto"/>
                  </w:divBdr>
                  <w:divsChild>
                    <w:div w:id="81529659">
                      <w:marLeft w:val="0"/>
                      <w:marRight w:val="0"/>
                      <w:marTop w:val="0"/>
                      <w:marBottom w:val="0"/>
                      <w:divBdr>
                        <w:top w:val="none" w:sz="0" w:space="0" w:color="auto"/>
                        <w:left w:val="none" w:sz="0" w:space="0" w:color="auto"/>
                        <w:bottom w:val="none" w:sz="0" w:space="0" w:color="auto"/>
                        <w:right w:val="none" w:sz="0" w:space="0" w:color="auto"/>
                      </w:divBdr>
                      <w:divsChild>
                        <w:div w:id="1058364586">
                          <w:marLeft w:val="0"/>
                          <w:marRight w:val="0"/>
                          <w:marTop w:val="0"/>
                          <w:marBottom w:val="0"/>
                          <w:divBdr>
                            <w:top w:val="none" w:sz="0" w:space="0" w:color="auto"/>
                            <w:left w:val="none" w:sz="0" w:space="0" w:color="auto"/>
                            <w:bottom w:val="none" w:sz="0" w:space="0" w:color="auto"/>
                            <w:right w:val="none" w:sz="0" w:space="0" w:color="auto"/>
                          </w:divBdr>
                          <w:divsChild>
                            <w:div w:id="2017032899">
                              <w:marLeft w:val="0"/>
                              <w:marRight w:val="0"/>
                              <w:marTop w:val="0"/>
                              <w:marBottom w:val="0"/>
                              <w:divBdr>
                                <w:top w:val="none" w:sz="0" w:space="0" w:color="auto"/>
                                <w:left w:val="none" w:sz="0" w:space="0" w:color="auto"/>
                                <w:bottom w:val="none" w:sz="0" w:space="0" w:color="auto"/>
                                <w:right w:val="none" w:sz="0" w:space="0" w:color="auto"/>
                              </w:divBdr>
                              <w:divsChild>
                                <w:div w:id="14724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442849">
      <w:bodyDiv w:val="1"/>
      <w:marLeft w:val="0"/>
      <w:marRight w:val="0"/>
      <w:marTop w:val="0"/>
      <w:marBottom w:val="0"/>
      <w:divBdr>
        <w:top w:val="none" w:sz="0" w:space="0" w:color="auto"/>
        <w:left w:val="none" w:sz="0" w:space="0" w:color="auto"/>
        <w:bottom w:val="none" w:sz="0" w:space="0" w:color="auto"/>
        <w:right w:val="none" w:sz="0" w:space="0" w:color="auto"/>
      </w:divBdr>
    </w:div>
    <w:div w:id="706225393">
      <w:bodyDiv w:val="1"/>
      <w:marLeft w:val="0"/>
      <w:marRight w:val="0"/>
      <w:marTop w:val="0"/>
      <w:marBottom w:val="0"/>
      <w:divBdr>
        <w:top w:val="none" w:sz="0" w:space="0" w:color="auto"/>
        <w:left w:val="none" w:sz="0" w:space="0" w:color="auto"/>
        <w:bottom w:val="none" w:sz="0" w:space="0" w:color="auto"/>
        <w:right w:val="none" w:sz="0" w:space="0" w:color="auto"/>
      </w:divBdr>
    </w:div>
    <w:div w:id="722681776">
      <w:bodyDiv w:val="1"/>
      <w:marLeft w:val="0"/>
      <w:marRight w:val="0"/>
      <w:marTop w:val="0"/>
      <w:marBottom w:val="0"/>
      <w:divBdr>
        <w:top w:val="none" w:sz="0" w:space="0" w:color="auto"/>
        <w:left w:val="none" w:sz="0" w:space="0" w:color="auto"/>
        <w:bottom w:val="none" w:sz="0" w:space="0" w:color="auto"/>
        <w:right w:val="none" w:sz="0" w:space="0" w:color="auto"/>
      </w:divBdr>
    </w:div>
    <w:div w:id="732194036">
      <w:bodyDiv w:val="1"/>
      <w:marLeft w:val="0"/>
      <w:marRight w:val="0"/>
      <w:marTop w:val="0"/>
      <w:marBottom w:val="0"/>
      <w:divBdr>
        <w:top w:val="none" w:sz="0" w:space="0" w:color="auto"/>
        <w:left w:val="none" w:sz="0" w:space="0" w:color="auto"/>
        <w:bottom w:val="none" w:sz="0" w:space="0" w:color="auto"/>
        <w:right w:val="none" w:sz="0" w:space="0" w:color="auto"/>
      </w:divBdr>
    </w:div>
    <w:div w:id="732778551">
      <w:bodyDiv w:val="1"/>
      <w:marLeft w:val="0"/>
      <w:marRight w:val="0"/>
      <w:marTop w:val="0"/>
      <w:marBottom w:val="0"/>
      <w:divBdr>
        <w:top w:val="none" w:sz="0" w:space="0" w:color="auto"/>
        <w:left w:val="none" w:sz="0" w:space="0" w:color="auto"/>
        <w:bottom w:val="none" w:sz="0" w:space="0" w:color="auto"/>
        <w:right w:val="none" w:sz="0" w:space="0" w:color="auto"/>
      </w:divBdr>
    </w:div>
    <w:div w:id="751050066">
      <w:bodyDiv w:val="1"/>
      <w:marLeft w:val="0"/>
      <w:marRight w:val="0"/>
      <w:marTop w:val="0"/>
      <w:marBottom w:val="0"/>
      <w:divBdr>
        <w:top w:val="none" w:sz="0" w:space="0" w:color="auto"/>
        <w:left w:val="none" w:sz="0" w:space="0" w:color="auto"/>
        <w:bottom w:val="none" w:sz="0" w:space="0" w:color="auto"/>
        <w:right w:val="none" w:sz="0" w:space="0" w:color="auto"/>
      </w:divBdr>
    </w:div>
    <w:div w:id="770321529">
      <w:bodyDiv w:val="1"/>
      <w:marLeft w:val="0"/>
      <w:marRight w:val="0"/>
      <w:marTop w:val="0"/>
      <w:marBottom w:val="0"/>
      <w:divBdr>
        <w:top w:val="none" w:sz="0" w:space="0" w:color="auto"/>
        <w:left w:val="none" w:sz="0" w:space="0" w:color="auto"/>
        <w:bottom w:val="none" w:sz="0" w:space="0" w:color="auto"/>
        <w:right w:val="none" w:sz="0" w:space="0" w:color="auto"/>
      </w:divBdr>
    </w:div>
    <w:div w:id="816144065">
      <w:bodyDiv w:val="1"/>
      <w:marLeft w:val="0"/>
      <w:marRight w:val="0"/>
      <w:marTop w:val="0"/>
      <w:marBottom w:val="0"/>
      <w:divBdr>
        <w:top w:val="none" w:sz="0" w:space="0" w:color="auto"/>
        <w:left w:val="none" w:sz="0" w:space="0" w:color="auto"/>
        <w:bottom w:val="none" w:sz="0" w:space="0" w:color="auto"/>
        <w:right w:val="none" w:sz="0" w:space="0" w:color="auto"/>
      </w:divBdr>
    </w:div>
    <w:div w:id="856967401">
      <w:bodyDiv w:val="1"/>
      <w:marLeft w:val="0"/>
      <w:marRight w:val="0"/>
      <w:marTop w:val="0"/>
      <w:marBottom w:val="0"/>
      <w:divBdr>
        <w:top w:val="none" w:sz="0" w:space="0" w:color="auto"/>
        <w:left w:val="none" w:sz="0" w:space="0" w:color="auto"/>
        <w:bottom w:val="none" w:sz="0" w:space="0" w:color="auto"/>
        <w:right w:val="none" w:sz="0" w:space="0" w:color="auto"/>
      </w:divBdr>
    </w:div>
    <w:div w:id="881983835">
      <w:bodyDiv w:val="1"/>
      <w:marLeft w:val="0"/>
      <w:marRight w:val="0"/>
      <w:marTop w:val="0"/>
      <w:marBottom w:val="0"/>
      <w:divBdr>
        <w:top w:val="none" w:sz="0" w:space="0" w:color="auto"/>
        <w:left w:val="none" w:sz="0" w:space="0" w:color="auto"/>
        <w:bottom w:val="none" w:sz="0" w:space="0" w:color="auto"/>
        <w:right w:val="none" w:sz="0" w:space="0" w:color="auto"/>
      </w:divBdr>
    </w:div>
    <w:div w:id="1043022005">
      <w:bodyDiv w:val="1"/>
      <w:marLeft w:val="0"/>
      <w:marRight w:val="0"/>
      <w:marTop w:val="0"/>
      <w:marBottom w:val="0"/>
      <w:divBdr>
        <w:top w:val="none" w:sz="0" w:space="0" w:color="auto"/>
        <w:left w:val="none" w:sz="0" w:space="0" w:color="auto"/>
        <w:bottom w:val="none" w:sz="0" w:space="0" w:color="auto"/>
        <w:right w:val="none" w:sz="0" w:space="0" w:color="auto"/>
      </w:divBdr>
    </w:div>
    <w:div w:id="1072656228">
      <w:bodyDiv w:val="1"/>
      <w:marLeft w:val="0"/>
      <w:marRight w:val="0"/>
      <w:marTop w:val="0"/>
      <w:marBottom w:val="0"/>
      <w:divBdr>
        <w:top w:val="none" w:sz="0" w:space="0" w:color="auto"/>
        <w:left w:val="none" w:sz="0" w:space="0" w:color="auto"/>
        <w:bottom w:val="none" w:sz="0" w:space="0" w:color="auto"/>
        <w:right w:val="none" w:sz="0" w:space="0" w:color="auto"/>
      </w:divBdr>
      <w:divsChild>
        <w:div w:id="1063721050">
          <w:marLeft w:val="120"/>
          <w:marRight w:val="75"/>
          <w:marTop w:val="0"/>
          <w:marBottom w:val="0"/>
          <w:divBdr>
            <w:top w:val="none" w:sz="0" w:space="0" w:color="auto"/>
            <w:left w:val="none" w:sz="0" w:space="0" w:color="auto"/>
            <w:bottom w:val="none" w:sz="0" w:space="0" w:color="auto"/>
            <w:right w:val="none" w:sz="0" w:space="0" w:color="auto"/>
          </w:divBdr>
          <w:divsChild>
            <w:div w:id="1063405878">
              <w:marLeft w:val="0"/>
              <w:marRight w:val="0"/>
              <w:marTop w:val="0"/>
              <w:marBottom w:val="0"/>
              <w:divBdr>
                <w:top w:val="none" w:sz="0" w:space="0" w:color="auto"/>
                <w:left w:val="none" w:sz="0" w:space="0" w:color="auto"/>
                <w:bottom w:val="none" w:sz="0" w:space="0" w:color="auto"/>
                <w:right w:val="none" w:sz="0" w:space="0" w:color="auto"/>
              </w:divBdr>
              <w:divsChild>
                <w:div w:id="144519086">
                  <w:marLeft w:val="0"/>
                  <w:marRight w:val="0"/>
                  <w:marTop w:val="0"/>
                  <w:marBottom w:val="0"/>
                  <w:divBdr>
                    <w:top w:val="none" w:sz="0" w:space="0" w:color="auto"/>
                    <w:left w:val="none" w:sz="0" w:space="0" w:color="auto"/>
                    <w:bottom w:val="none" w:sz="0" w:space="0" w:color="auto"/>
                    <w:right w:val="none" w:sz="0" w:space="0" w:color="auto"/>
                  </w:divBdr>
                  <w:divsChild>
                    <w:div w:id="1681615096">
                      <w:marLeft w:val="0"/>
                      <w:marRight w:val="0"/>
                      <w:marTop w:val="0"/>
                      <w:marBottom w:val="0"/>
                      <w:divBdr>
                        <w:top w:val="single" w:sz="6" w:space="0" w:color="D2E0C0"/>
                        <w:left w:val="single" w:sz="6" w:space="0" w:color="D2E0C0"/>
                        <w:bottom w:val="single" w:sz="6" w:space="0" w:color="D2E0C0"/>
                        <w:right w:val="single" w:sz="6" w:space="0" w:color="D2E0C0"/>
                      </w:divBdr>
                      <w:divsChild>
                        <w:div w:id="1376083730">
                          <w:marLeft w:val="0"/>
                          <w:marRight w:val="5490"/>
                          <w:marTop w:val="0"/>
                          <w:marBottom w:val="0"/>
                          <w:divBdr>
                            <w:top w:val="none" w:sz="0" w:space="0" w:color="auto"/>
                            <w:left w:val="none" w:sz="0" w:space="0" w:color="auto"/>
                            <w:bottom w:val="none" w:sz="0" w:space="0" w:color="auto"/>
                            <w:right w:val="none" w:sz="0" w:space="0" w:color="auto"/>
                          </w:divBdr>
                          <w:divsChild>
                            <w:div w:id="1731803979">
                              <w:marLeft w:val="0"/>
                              <w:marRight w:val="0"/>
                              <w:marTop w:val="0"/>
                              <w:marBottom w:val="0"/>
                              <w:divBdr>
                                <w:top w:val="single" w:sz="6" w:space="0" w:color="D2E0C0"/>
                                <w:left w:val="none" w:sz="0" w:space="0" w:color="auto"/>
                                <w:bottom w:val="none" w:sz="0" w:space="0" w:color="auto"/>
                                <w:right w:val="none" w:sz="0" w:space="0" w:color="auto"/>
                              </w:divBdr>
                              <w:divsChild>
                                <w:div w:id="669721241">
                                  <w:marLeft w:val="0"/>
                                  <w:marRight w:val="0"/>
                                  <w:marTop w:val="0"/>
                                  <w:marBottom w:val="0"/>
                                  <w:divBdr>
                                    <w:top w:val="single" w:sz="6" w:space="0" w:color="F7F8F4"/>
                                    <w:left w:val="none" w:sz="0" w:space="0" w:color="auto"/>
                                    <w:bottom w:val="none" w:sz="0" w:space="0" w:color="auto"/>
                                    <w:right w:val="none" w:sz="0" w:space="0" w:color="auto"/>
                                  </w:divBdr>
                                  <w:divsChild>
                                    <w:div w:id="1675838903">
                                      <w:marLeft w:val="0"/>
                                      <w:marRight w:val="0"/>
                                      <w:marTop w:val="0"/>
                                      <w:marBottom w:val="0"/>
                                      <w:divBdr>
                                        <w:top w:val="none" w:sz="0" w:space="0" w:color="auto"/>
                                        <w:left w:val="none" w:sz="0" w:space="0" w:color="auto"/>
                                        <w:bottom w:val="none" w:sz="0" w:space="0" w:color="auto"/>
                                        <w:right w:val="none" w:sz="0" w:space="0" w:color="auto"/>
                                      </w:divBdr>
                                      <w:divsChild>
                                        <w:div w:id="1741832563">
                                          <w:marLeft w:val="0"/>
                                          <w:marRight w:val="0"/>
                                          <w:marTop w:val="0"/>
                                          <w:marBottom w:val="0"/>
                                          <w:divBdr>
                                            <w:top w:val="none" w:sz="0" w:space="0" w:color="auto"/>
                                            <w:left w:val="none" w:sz="0" w:space="0" w:color="auto"/>
                                            <w:bottom w:val="none" w:sz="0" w:space="0" w:color="auto"/>
                                            <w:right w:val="none" w:sz="0" w:space="0" w:color="auto"/>
                                          </w:divBdr>
                                          <w:divsChild>
                                            <w:div w:id="1344043403">
                                              <w:marLeft w:val="0"/>
                                              <w:marRight w:val="0"/>
                                              <w:marTop w:val="0"/>
                                              <w:marBottom w:val="0"/>
                                              <w:divBdr>
                                                <w:top w:val="none" w:sz="0" w:space="0" w:color="auto"/>
                                                <w:left w:val="none" w:sz="0" w:space="0" w:color="auto"/>
                                                <w:bottom w:val="none" w:sz="0" w:space="0" w:color="auto"/>
                                                <w:right w:val="none" w:sz="0" w:space="0" w:color="auto"/>
                                              </w:divBdr>
                                              <w:divsChild>
                                                <w:div w:id="1519661565">
                                                  <w:marLeft w:val="45"/>
                                                  <w:marRight w:val="75"/>
                                                  <w:marTop w:val="0"/>
                                                  <w:marBottom w:val="0"/>
                                                  <w:divBdr>
                                                    <w:top w:val="none" w:sz="0" w:space="0" w:color="auto"/>
                                                    <w:left w:val="none" w:sz="0" w:space="0" w:color="auto"/>
                                                    <w:bottom w:val="none" w:sz="0" w:space="0" w:color="auto"/>
                                                    <w:right w:val="none" w:sz="0" w:space="0" w:color="auto"/>
                                                  </w:divBdr>
                                                  <w:divsChild>
                                                    <w:div w:id="1327973156">
                                                      <w:marLeft w:val="0"/>
                                                      <w:marRight w:val="0"/>
                                                      <w:marTop w:val="0"/>
                                                      <w:marBottom w:val="0"/>
                                                      <w:divBdr>
                                                        <w:top w:val="none" w:sz="0" w:space="0" w:color="auto"/>
                                                        <w:left w:val="none" w:sz="0" w:space="0" w:color="auto"/>
                                                        <w:bottom w:val="none" w:sz="0" w:space="0" w:color="auto"/>
                                                        <w:right w:val="none" w:sz="0" w:space="0" w:color="auto"/>
                                                      </w:divBdr>
                                                      <w:divsChild>
                                                        <w:div w:id="152223423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486992">
      <w:bodyDiv w:val="1"/>
      <w:marLeft w:val="0"/>
      <w:marRight w:val="0"/>
      <w:marTop w:val="0"/>
      <w:marBottom w:val="0"/>
      <w:divBdr>
        <w:top w:val="none" w:sz="0" w:space="0" w:color="auto"/>
        <w:left w:val="none" w:sz="0" w:space="0" w:color="auto"/>
        <w:bottom w:val="none" w:sz="0" w:space="0" w:color="auto"/>
        <w:right w:val="none" w:sz="0" w:space="0" w:color="auto"/>
      </w:divBdr>
    </w:div>
    <w:div w:id="1130518849">
      <w:bodyDiv w:val="1"/>
      <w:marLeft w:val="0"/>
      <w:marRight w:val="0"/>
      <w:marTop w:val="0"/>
      <w:marBottom w:val="0"/>
      <w:divBdr>
        <w:top w:val="none" w:sz="0" w:space="0" w:color="auto"/>
        <w:left w:val="none" w:sz="0" w:space="0" w:color="auto"/>
        <w:bottom w:val="none" w:sz="0" w:space="0" w:color="auto"/>
        <w:right w:val="none" w:sz="0" w:space="0" w:color="auto"/>
      </w:divBdr>
    </w:div>
    <w:div w:id="1131289531">
      <w:bodyDiv w:val="1"/>
      <w:marLeft w:val="0"/>
      <w:marRight w:val="0"/>
      <w:marTop w:val="0"/>
      <w:marBottom w:val="0"/>
      <w:divBdr>
        <w:top w:val="none" w:sz="0" w:space="0" w:color="auto"/>
        <w:left w:val="none" w:sz="0" w:space="0" w:color="auto"/>
        <w:bottom w:val="none" w:sz="0" w:space="0" w:color="auto"/>
        <w:right w:val="none" w:sz="0" w:space="0" w:color="auto"/>
      </w:divBdr>
    </w:div>
    <w:div w:id="1151555117">
      <w:bodyDiv w:val="1"/>
      <w:marLeft w:val="0"/>
      <w:marRight w:val="0"/>
      <w:marTop w:val="0"/>
      <w:marBottom w:val="0"/>
      <w:divBdr>
        <w:top w:val="none" w:sz="0" w:space="0" w:color="auto"/>
        <w:left w:val="none" w:sz="0" w:space="0" w:color="auto"/>
        <w:bottom w:val="none" w:sz="0" w:space="0" w:color="auto"/>
        <w:right w:val="none" w:sz="0" w:space="0" w:color="auto"/>
      </w:divBdr>
    </w:div>
    <w:div w:id="1151674694">
      <w:bodyDiv w:val="1"/>
      <w:marLeft w:val="0"/>
      <w:marRight w:val="0"/>
      <w:marTop w:val="0"/>
      <w:marBottom w:val="0"/>
      <w:divBdr>
        <w:top w:val="none" w:sz="0" w:space="0" w:color="auto"/>
        <w:left w:val="none" w:sz="0" w:space="0" w:color="auto"/>
        <w:bottom w:val="none" w:sz="0" w:space="0" w:color="auto"/>
        <w:right w:val="none" w:sz="0" w:space="0" w:color="auto"/>
      </w:divBdr>
    </w:div>
    <w:div w:id="1212225980">
      <w:bodyDiv w:val="1"/>
      <w:marLeft w:val="0"/>
      <w:marRight w:val="0"/>
      <w:marTop w:val="0"/>
      <w:marBottom w:val="0"/>
      <w:divBdr>
        <w:top w:val="none" w:sz="0" w:space="0" w:color="auto"/>
        <w:left w:val="none" w:sz="0" w:space="0" w:color="auto"/>
        <w:bottom w:val="none" w:sz="0" w:space="0" w:color="auto"/>
        <w:right w:val="none" w:sz="0" w:space="0" w:color="auto"/>
      </w:divBdr>
    </w:div>
    <w:div w:id="1228029662">
      <w:bodyDiv w:val="1"/>
      <w:marLeft w:val="0"/>
      <w:marRight w:val="0"/>
      <w:marTop w:val="0"/>
      <w:marBottom w:val="0"/>
      <w:divBdr>
        <w:top w:val="none" w:sz="0" w:space="0" w:color="auto"/>
        <w:left w:val="none" w:sz="0" w:space="0" w:color="auto"/>
        <w:bottom w:val="none" w:sz="0" w:space="0" w:color="auto"/>
        <w:right w:val="none" w:sz="0" w:space="0" w:color="auto"/>
      </w:divBdr>
    </w:div>
    <w:div w:id="1236283372">
      <w:bodyDiv w:val="1"/>
      <w:marLeft w:val="0"/>
      <w:marRight w:val="0"/>
      <w:marTop w:val="0"/>
      <w:marBottom w:val="0"/>
      <w:divBdr>
        <w:top w:val="none" w:sz="0" w:space="0" w:color="auto"/>
        <w:left w:val="none" w:sz="0" w:space="0" w:color="auto"/>
        <w:bottom w:val="none" w:sz="0" w:space="0" w:color="auto"/>
        <w:right w:val="none" w:sz="0" w:space="0" w:color="auto"/>
      </w:divBdr>
    </w:div>
    <w:div w:id="1261328104">
      <w:bodyDiv w:val="1"/>
      <w:marLeft w:val="0"/>
      <w:marRight w:val="0"/>
      <w:marTop w:val="0"/>
      <w:marBottom w:val="0"/>
      <w:divBdr>
        <w:top w:val="none" w:sz="0" w:space="0" w:color="auto"/>
        <w:left w:val="none" w:sz="0" w:space="0" w:color="auto"/>
        <w:bottom w:val="none" w:sz="0" w:space="0" w:color="auto"/>
        <w:right w:val="none" w:sz="0" w:space="0" w:color="auto"/>
      </w:divBdr>
      <w:divsChild>
        <w:div w:id="1373074112">
          <w:marLeft w:val="120"/>
          <w:marRight w:val="75"/>
          <w:marTop w:val="0"/>
          <w:marBottom w:val="0"/>
          <w:divBdr>
            <w:top w:val="none" w:sz="0" w:space="0" w:color="auto"/>
            <w:left w:val="none" w:sz="0" w:space="0" w:color="auto"/>
            <w:bottom w:val="none" w:sz="0" w:space="0" w:color="auto"/>
            <w:right w:val="none" w:sz="0" w:space="0" w:color="auto"/>
          </w:divBdr>
          <w:divsChild>
            <w:div w:id="1957369646">
              <w:marLeft w:val="0"/>
              <w:marRight w:val="0"/>
              <w:marTop w:val="0"/>
              <w:marBottom w:val="0"/>
              <w:divBdr>
                <w:top w:val="none" w:sz="0" w:space="0" w:color="auto"/>
                <w:left w:val="none" w:sz="0" w:space="0" w:color="auto"/>
                <w:bottom w:val="none" w:sz="0" w:space="0" w:color="auto"/>
                <w:right w:val="none" w:sz="0" w:space="0" w:color="auto"/>
              </w:divBdr>
              <w:divsChild>
                <w:div w:id="332614307">
                  <w:marLeft w:val="0"/>
                  <w:marRight w:val="0"/>
                  <w:marTop w:val="0"/>
                  <w:marBottom w:val="0"/>
                  <w:divBdr>
                    <w:top w:val="none" w:sz="0" w:space="0" w:color="auto"/>
                    <w:left w:val="none" w:sz="0" w:space="0" w:color="auto"/>
                    <w:bottom w:val="none" w:sz="0" w:space="0" w:color="auto"/>
                    <w:right w:val="none" w:sz="0" w:space="0" w:color="auto"/>
                  </w:divBdr>
                  <w:divsChild>
                    <w:div w:id="1814440633">
                      <w:marLeft w:val="0"/>
                      <w:marRight w:val="0"/>
                      <w:marTop w:val="0"/>
                      <w:marBottom w:val="0"/>
                      <w:divBdr>
                        <w:top w:val="single" w:sz="6" w:space="0" w:color="D2E0C0"/>
                        <w:left w:val="single" w:sz="6" w:space="0" w:color="D2E0C0"/>
                        <w:bottom w:val="single" w:sz="6" w:space="0" w:color="D2E0C0"/>
                        <w:right w:val="single" w:sz="6" w:space="0" w:color="D2E0C0"/>
                      </w:divBdr>
                      <w:divsChild>
                        <w:div w:id="401218561">
                          <w:marLeft w:val="0"/>
                          <w:marRight w:val="5490"/>
                          <w:marTop w:val="0"/>
                          <w:marBottom w:val="0"/>
                          <w:divBdr>
                            <w:top w:val="none" w:sz="0" w:space="0" w:color="auto"/>
                            <w:left w:val="none" w:sz="0" w:space="0" w:color="auto"/>
                            <w:bottom w:val="none" w:sz="0" w:space="0" w:color="auto"/>
                            <w:right w:val="none" w:sz="0" w:space="0" w:color="auto"/>
                          </w:divBdr>
                          <w:divsChild>
                            <w:div w:id="405760945">
                              <w:marLeft w:val="0"/>
                              <w:marRight w:val="0"/>
                              <w:marTop w:val="0"/>
                              <w:marBottom w:val="0"/>
                              <w:divBdr>
                                <w:top w:val="single" w:sz="6" w:space="0" w:color="D2E0C0"/>
                                <w:left w:val="none" w:sz="0" w:space="0" w:color="auto"/>
                                <w:bottom w:val="none" w:sz="0" w:space="0" w:color="auto"/>
                                <w:right w:val="none" w:sz="0" w:space="0" w:color="auto"/>
                              </w:divBdr>
                              <w:divsChild>
                                <w:div w:id="458304098">
                                  <w:marLeft w:val="0"/>
                                  <w:marRight w:val="0"/>
                                  <w:marTop w:val="0"/>
                                  <w:marBottom w:val="0"/>
                                  <w:divBdr>
                                    <w:top w:val="single" w:sz="6" w:space="0" w:color="F7F8F4"/>
                                    <w:left w:val="none" w:sz="0" w:space="0" w:color="auto"/>
                                    <w:bottom w:val="none" w:sz="0" w:space="0" w:color="auto"/>
                                    <w:right w:val="none" w:sz="0" w:space="0" w:color="auto"/>
                                  </w:divBdr>
                                  <w:divsChild>
                                    <w:div w:id="1910069939">
                                      <w:marLeft w:val="0"/>
                                      <w:marRight w:val="0"/>
                                      <w:marTop w:val="0"/>
                                      <w:marBottom w:val="0"/>
                                      <w:divBdr>
                                        <w:top w:val="none" w:sz="0" w:space="0" w:color="auto"/>
                                        <w:left w:val="none" w:sz="0" w:space="0" w:color="auto"/>
                                        <w:bottom w:val="none" w:sz="0" w:space="0" w:color="auto"/>
                                        <w:right w:val="none" w:sz="0" w:space="0" w:color="auto"/>
                                      </w:divBdr>
                                      <w:divsChild>
                                        <w:div w:id="626088242">
                                          <w:marLeft w:val="0"/>
                                          <w:marRight w:val="0"/>
                                          <w:marTop w:val="0"/>
                                          <w:marBottom w:val="0"/>
                                          <w:divBdr>
                                            <w:top w:val="none" w:sz="0" w:space="0" w:color="auto"/>
                                            <w:left w:val="none" w:sz="0" w:space="0" w:color="auto"/>
                                            <w:bottom w:val="none" w:sz="0" w:space="0" w:color="auto"/>
                                            <w:right w:val="none" w:sz="0" w:space="0" w:color="auto"/>
                                          </w:divBdr>
                                          <w:divsChild>
                                            <w:div w:id="1044864318">
                                              <w:marLeft w:val="0"/>
                                              <w:marRight w:val="0"/>
                                              <w:marTop w:val="0"/>
                                              <w:marBottom w:val="0"/>
                                              <w:divBdr>
                                                <w:top w:val="none" w:sz="0" w:space="0" w:color="auto"/>
                                                <w:left w:val="none" w:sz="0" w:space="0" w:color="auto"/>
                                                <w:bottom w:val="none" w:sz="0" w:space="0" w:color="auto"/>
                                                <w:right w:val="none" w:sz="0" w:space="0" w:color="auto"/>
                                              </w:divBdr>
                                              <w:divsChild>
                                                <w:div w:id="1979604667">
                                                  <w:marLeft w:val="45"/>
                                                  <w:marRight w:val="75"/>
                                                  <w:marTop w:val="0"/>
                                                  <w:marBottom w:val="0"/>
                                                  <w:divBdr>
                                                    <w:top w:val="none" w:sz="0" w:space="0" w:color="auto"/>
                                                    <w:left w:val="none" w:sz="0" w:space="0" w:color="auto"/>
                                                    <w:bottom w:val="none" w:sz="0" w:space="0" w:color="auto"/>
                                                    <w:right w:val="none" w:sz="0" w:space="0" w:color="auto"/>
                                                  </w:divBdr>
                                                  <w:divsChild>
                                                    <w:div w:id="1545556200">
                                                      <w:marLeft w:val="0"/>
                                                      <w:marRight w:val="0"/>
                                                      <w:marTop w:val="0"/>
                                                      <w:marBottom w:val="0"/>
                                                      <w:divBdr>
                                                        <w:top w:val="none" w:sz="0" w:space="0" w:color="auto"/>
                                                        <w:left w:val="none" w:sz="0" w:space="0" w:color="auto"/>
                                                        <w:bottom w:val="none" w:sz="0" w:space="0" w:color="auto"/>
                                                        <w:right w:val="none" w:sz="0" w:space="0" w:color="auto"/>
                                                      </w:divBdr>
                                                      <w:divsChild>
                                                        <w:div w:id="2112702431">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480391">
      <w:bodyDiv w:val="1"/>
      <w:marLeft w:val="0"/>
      <w:marRight w:val="0"/>
      <w:marTop w:val="0"/>
      <w:marBottom w:val="0"/>
      <w:divBdr>
        <w:top w:val="none" w:sz="0" w:space="0" w:color="auto"/>
        <w:left w:val="none" w:sz="0" w:space="0" w:color="auto"/>
        <w:bottom w:val="none" w:sz="0" w:space="0" w:color="auto"/>
        <w:right w:val="none" w:sz="0" w:space="0" w:color="auto"/>
      </w:divBdr>
    </w:div>
    <w:div w:id="1306200466">
      <w:bodyDiv w:val="1"/>
      <w:marLeft w:val="0"/>
      <w:marRight w:val="0"/>
      <w:marTop w:val="0"/>
      <w:marBottom w:val="0"/>
      <w:divBdr>
        <w:top w:val="none" w:sz="0" w:space="0" w:color="auto"/>
        <w:left w:val="none" w:sz="0" w:space="0" w:color="auto"/>
        <w:bottom w:val="none" w:sz="0" w:space="0" w:color="auto"/>
        <w:right w:val="none" w:sz="0" w:space="0" w:color="auto"/>
      </w:divBdr>
      <w:divsChild>
        <w:div w:id="738021467">
          <w:marLeft w:val="139"/>
          <w:marRight w:val="87"/>
          <w:marTop w:val="0"/>
          <w:marBottom w:val="0"/>
          <w:divBdr>
            <w:top w:val="none" w:sz="0" w:space="0" w:color="auto"/>
            <w:left w:val="none" w:sz="0" w:space="0" w:color="auto"/>
            <w:bottom w:val="none" w:sz="0" w:space="0" w:color="auto"/>
            <w:right w:val="none" w:sz="0" w:space="0" w:color="auto"/>
          </w:divBdr>
          <w:divsChild>
            <w:div w:id="1405251603">
              <w:marLeft w:val="0"/>
              <w:marRight w:val="0"/>
              <w:marTop w:val="0"/>
              <w:marBottom w:val="0"/>
              <w:divBdr>
                <w:top w:val="none" w:sz="0" w:space="0" w:color="auto"/>
                <w:left w:val="none" w:sz="0" w:space="0" w:color="auto"/>
                <w:bottom w:val="none" w:sz="0" w:space="0" w:color="auto"/>
                <w:right w:val="none" w:sz="0" w:space="0" w:color="auto"/>
              </w:divBdr>
              <w:divsChild>
                <w:div w:id="981424049">
                  <w:marLeft w:val="0"/>
                  <w:marRight w:val="0"/>
                  <w:marTop w:val="0"/>
                  <w:marBottom w:val="0"/>
                  <w:divBdr>
                    <w:top w:val="none" w:sz="0" w:space="0" w:color="auto"/>
                    <w:left w:val="none" w:sz="0" w:space="0" w:color="auto"/>
                    <w:bottom w:val="none" w:sz="0" w:space="0" w:color="auto"/>
                    <w:right w:val="none" w:sz="0" w:space="0" w:color="auto"/>
                  </w:divBdr>
                  <w:divsChild>
                    <w:div w:id="1256284548">
                      <w:marLeft w:val="0"/>
                      <w:marRight w:val="0"/>
                      <w:marTop w:val="0"/>
                      <w:marBottom w:val="0"/>
                      <w:divBdr>
                        <w:top w:val="single" w:sz="6" w:space="0" w:color="D2E0C0"/>
                        <w:left w:val="single" w:sz="6" w:space="0" w:color="D2E0C0"/>
                        <w:bottom w:val="single" w:sz="6" w:space="0" w:color="D2E0C0"/>
                        <w:right w:val="single" w:sz="6" w:space="0" w:color="D2E0C0"/>
                      </w:divBdr>
                      <w:divsChild>
                        <w:div w:id="1383408507">
                          <w:marLeft w:val="0"/>
                          <w:marRight w:val="6350"/>
                          <w:marTop w:val="0"/>
                          <w:marBottom w:val="0"/>
                          <w:divBdr>
                            <w:top w:val="none" w:sz="0" w:space="0" w:color="auto"/>
                            <w:left w:val="none" w:sz="0" w:space="0" w:color="auto"/>
                            <w:bottom w:val="none" w:sz="0" w:space="0" w:color="auto"/>
                            <w:right w:val="none" w:sz="0" w:space="0" w:color="auto"/>
                          </w:divBdr>
                          <w:divsChild>
                            <w:div w:id="1617516572">
                              <w:marLeft w:val="0"/>
                              <w:marRight w:val="0"/>
                              <w:marTop w:val="0"/>
                              <w:marBottom w:val="0"/>
                              <w:divBdr>
                                <w:top w:val="single" w:sz="6" w:space="0" w:color="D2E0C0"/>
                                <w:left w:val="none" w:sz="0" w:space="0" w:color="auto"/>
                                <w:bottom w:val="none" w:sz="0" w:space="0" w:color="auto"/>
                                <w:right w:val="none" w:sz="0" w:space="0" w:color="auto"/>
                              </w:divBdr>
                              <w:divsChild>
                                <w:div w:id="713309087">
                                  <w:marLeft w:val="0"/>
                                  <w:marRight w:val="0"/>
                                  <w:marTop w:val="0"/>
                                  <w:marBottom w:val="0"/>
                                  <w:divBdr>
                                    <w:top w:val="single" w:sz="6" w:space="0" w:color="F7F8F4"/>
                                    <w:left w:val="none" w:sz="0" w:space="0" w:color="auto"/>
                                    <w:bottom w:val="none" w:sz="0" w:space="0" w:color="auto"/>
                                    <w:right w:val="none" w:sz="0" w:space="0" w:color="auto"/>
                                  </w:divBdr>
                                  <w:divsChild>
                                    <w:div w:id="2133550805">
                                      <w:marLeft w:val="0"/>
                                      <w:marRight w:val="0"/>
                                      <w:marTop w:val="0"/>
                                      <w:marBottom w:val="0"/>
                                      <w:divBdr>
                                        <w:top w:val="none" w:sz="0" w:space="0" w:color="auto"/>
                                        <w:left w:val="none" w:sz="0" w:space="0" w:color="auto"/>
                                        <w:bottom w:val="none" w:sz="0" w:space="0" w:color="auto"/>
                                        <w:right w:val="none" w:sz="0" w:space="0" w:color="auto"/>
                                      </w:divBdr>
                                      <w:divsChild>
                                        <w:div w:id="1771966121">
                                          <w:marLeft w:val="0"/>
                                          <w:marRight w:val="0"/>
                                          <w:marTop w:val="0"/>
                                          <w:marBottom w:val="0"/>
                                          <w:divBdr>
                                            <w:top w:val="none" w:sz="0" w:space="0" w:color="auto"/>
                                            <w:left w:val="none" w:sz="0" w:space="0" w:color="auto"/>
                                            <w:bottom w:val="none" w:sz="0" w:space="0" w:color="auto"/>
                                            <w:right w:val="none" w:sz="0" w:space="0" w:color="auto"/>
                                          </w:divBdr>
                                          <w:divsChild>
                                            <w:div w:id="133571145">
                                              <w:marLeft w:val="0"/>
                                              <w:marRight w:val="0"/>
                                              <w:marTop w:val="0"/>
                                              <w:marBottom w:val="0"/>
                                              <w:divBdr>
                                                <w:top w:val="none" w:sz="0" w:space="0" w:color="auto"/>
                                                <w:left w:val="none" w:sz="0" w:space="0" w:color="auto"/>
                                                <w:bottom w:val="none" w:sz="0" w:space="0" w:color="auto"/>
                                                <w:right w:val="none" w:sz="0" w:space="0" w:color="auto"/>
                                              </w:divBdr>
                                              <w:divsChild>
                                                <w:div w:id="1399866419">
                                                  <w:marLeft w:val="52"/>
                                                  <w:marRight w:val="87"/>
                                                  <w:marTop w:val="0"/>
                                                  <w:marBottom w:val="0"/>
                                                  <w:divBdr>
                                                    <w:top w:val="none" w:sz="0" w:space="0" w:color="auto"/>
                                                    <w:left w:val="none" w:sz="0" w:space="0" w:color="auto"/>
                                                    <w:bottom w:val="none" w:sz="0" w:space="0" w:color="auto"/>
                                                    <w:right w:val="none" w:sz="0" w:space="0" w:color="auto"/>
                                                  </w:divBdr>
                                                  <w:divsChild>
                                                    <w:div w:id="926420972">
                                                      <w:marLeft w:val="0"/>
                                                      <w:marRight w:val="0"/>
                                                      <w:marTop w:val="0"/>
                                                      <w:marBottom w:val="0"/>
                                                      <w:divBdr>
                                                        <w:top w:val="none" w:sz="0" w:space="0" w:color="auto"/>
                                                        <w:left w:val="none" w:sz="0" w:space="0" w:color="auto"/>
                                                        <w:bottom w:val="none" w:sz="0" w:space="0" w:color="auto"/>
                                                        <w:right w:val="none" w:sz="0" w:space="0" w:color="auto"/>
                                                      </w:divBdr>
                                                      <w:divsChild>
                                                        <w:div w:id="7085736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980882">
      <w:bodyDiv w:val="1"/>
      <w:marLeft w:val="0"/>
      <w:marRight w:val="0"/>
      <w:marTop w:val="0"/>
      <w:marBottom w:val="0"/>
      <w:divBdr>
        <w:top w:val="none" w:sz="0" w:space="0" w:color="auto"/>
        <w:left w:val="none" w:sz="0" w:space="0" w:color="auto"/>
        <w:bottom w:val="none" w:sz="0" w:space="0" w:color="auto"/>
        <w:right w:val="none" w:sz="0" w:space="0" w:color="auto"/>
      </w:divBdr>
    </w:div>
    <w:div w:id="1347555681">
      <w:bodyDiv w:val="1"/>
      <w:marLeft w:val="0"/>
      <w:marRight w:val="0"/>
      <w:marTop w:val="0"/>
      <w:marBottom w:val="0"/>
      <w:divBdr>
        <w:top w:val="none" w:sz="0" w:space="0" w:color="auto"/>
        <w:left w:val="none" w:sz="0" w:space="0" w:color="auto"/>
        <w:bottom w:val="none" w:sz="0" w:space="0" w:color="auto"/>
        <w:right w:val="none" w:sz="0" w:space="0" w:color="auto"/>
      </w:divBdr>
    </w:div>
    <w:div w:id="1357847560">
      <w:bodyDiv w:val="1"/>
      <w:marLeft w:val="0"/>
      <w:marRight w:val="0"/>
      <w:marTop w:val="0"/>
      <w:marBottom w:val="0"/>
      <w:divBdr>
        <w:top w:val="none" w:sz="0" w:space="0" w:color="auto"/>
        <w:left w:val="none" w:sz="0" w:space="0" w:color="auto"/>
        <w:bottom w:val="none" w:sz="0" w:space="0" w:color="auto"/>
        <w:right w:val="none" w:sz="0" w:space="0" w:color="auto"/>
      </w:divBdr>
    </w:div>
    <w:div w:id="1371953811">
      <w:bodyDiv w:val="1"/>
      <w:marLeft w:val="0"/>
      <w:marRight w:val="0"/>
      <w:marTop w:val="0"/>
      <w:marBottom w:val="0"/>
      <w:divBdr>
        <w:top w:val="none" w:sz="0" w:space="0" w:color="auto"/>
        <w:left w:val="none" w:sz="0" w:space="0" w:color="auto"/>
        <w:bottom w:val="none" w:sz="0" w:space="0" w:color="auto"/>
        <w:right w:val="none" w:sz="0" w:space="0" w:color="auto"/>
      </w:divBdr>
    </w:div>
    <w:div w:id="1380593970">
      <w:bodyDiv w:val="1"/>
      <w:marLeft w:val="0"/>
      <w:marRight w:val="0"/>
      <w:marTop w:val="0"/>
      <w:marBottom w:val="0"/>
      <w:divBdr>
        <w:top w:val="none" w:sz="0" w:space="0" w:color="auto"/>
        <w:left w:val="none" w:sz="0" w:space="0" w:color="auto"/>
        <w:bottom w:val="none" w:sz="0" w:space="0" w:color="auto"/>
        <w:right w:val="none" w:sz="0" w:space="0" w:color="auto"/>
      </w:divBdr>
    </w:div>
    <w:div w:id="1411273025">
      <w:bodyDiv w:val="1"/>
      <w:marLeft w:val="0"/>
      <w:marRight w:val="0"/>
      <w:marTop w:val="0"/>
      <w:marBottom w:val="0"/>
      <w:divBdr>
        <w:top w:val="none" w:sz="0" w:space="0" w:color="auto"/>
        <w:left w:val="none" w:sz="0" w:space="0" w:color="auto"/>
        <w:bottom w:val="none" w:sz="0" w:space="0" w:color="auto"/>
        <w:right w:val="none" w:sz="0" w:space="0" w:color="auto"/>
      </w:divBdr>
    </w:div>
    <w:div w:id="1438988796">
      <w:bodyDiv w:val="1"/>
      <w:marLeft w:val="0"/>
      <w:marRight w:val="0"/>
      <w:marTop w:val="0"/>
      <w:marBottom w:val="0"/>
      <w:divBdr>
        <w:top w:val="none" w:sz="0" w:space="0" w:color="auto"/>
        <w:left w:val="none" w:sz="0" w:space="0" w:color="auto"/>
        <w:bottom w:val="none" w:sz="0" w:space="0" w:color="auto"/>
        <w:right w:val="none" w:sz="0" w:space="0" w:color="auto"/>
      </w:divBdr>
    </w:div>
    <w:div w:id="1493834730">
      <w:bodyDiv w:val="1"/>
      <w:marLeft w:val="0"/>
      <w:marRight w:val="0"/>
      <w:marTop w:val="0"/>
      <w:marBottom w:val="0"/>
      <w:divBdr>
        <w:top w:val="none" w:sz="0" w:space="0" w:color="auto"/>
        <w:left w:val="none" w:sz="0" w:space="0" w:color="auto"/>
        <w:bottom w:val="none" w:sz="0" w:space="0" w:color="auto"/>
        <w:right w:val="none" w:sz="0" w:space="0" w:color="auto"/>
      </w:divBdr>
    </w:div>
    <w:div w:id="1495950845">
      <w:bodyDiv w:val="1"/>
      <w:marLeft w:val="0"/>
      <w:marRight w:val="0"/>
      <w:marTop w:val="0"/>
      <w:marBottom w:val="0"/>
      <w:divBdr>
        <w:top w:val="none" w:sz="0" w:space="0" w:color="auto"/>
        <w:left w:val="none" w:sz="0" w:space="0" w:color="auto"/>
        <w:bottom w:val="none" w:sz="0" w:space="0" w:color="auto"/>
        <w:right w:val="none" w:sz="0" w:space="0" w:color="auto"/>
      </w:divBdr>
    </w:div>
    <w:div w:id="1502894291">
      <w:bodyDiv w:val="1"/>
      <w:marLeft w:val="0"/>
      <w:marRight w:val="0"/>
      <w:marTop w:val="0"/>
      <w:marBottom w:val="0"/>
      <w:divBdr>
        <w:top w:val="none" w:sz="0" w:space="0" w:color="auto"/>
        <w:left w:val="none" w:sz="0" w:space="0" w:color="auto"/>
        <w:bottom w:val="none" w:sz="0" w:space="0" w:color="auto"/>
        <w:right w:val="none" w:sz="0" w:space="0" w:color="auto"/>
      </w:divBdr>
    </w:div>
    <w:div w:id="1564945013">
      <w:bodyDiv w:val="1"/>
      <w:marLeft w:val="0"/>
      <w:marRight w:val="0"/>
      <w:marTop w:val="0"/>
      <w:marBottom w:val="0"/>
      <w:divBdr>
        <w:top w:val="none" w:sz="0" w:space="0" w:color="auto"/>
        <w:left w:val="none" w:sz="0" w:space="0" w:color="auto"/>
        <w:bottom w:val="none" w:sz="0" w:space="0" w:color="auto"/>
        <w:right w:val="none" w:sz="0" w:space="0" w:color="auto"/>
      </w:divBdr>
    </w:div>
    <w:div w:id="1608001893">
      <w:bodyDiv w:val="1"/>
      <w:marLeft w:val="0"/>
      <w:marRight w:val="0"/>
      <w:marTop w:val="0"/>
      <w:marBottom w:val="0"/>
      <w:divBdr>
        <w:top w:val="none" w:sz="0" w:space="0" w:color="auto"/>
        <w:left w:val="none" w:sz="0" w:space="0" w:color="auto"/>
        <w:bottom w:val="none" w:sz="0" w:space="0" w:color="auto"/>
        <w:right w:val="none" w:sz="0" w:space="0" w:color="auto"/>
      </w:divBdr>
    </w:div>
    <w:div w:id="1612976322">
      <w:bodyDiv w:val="1"/>
      <w:marLeft w:val="0"/>
      <w:marRight w:val="0"/>
      <w:marTop w:val="0"/>
      <w:marBottom w:val="0"/>
      <w:divBdr>
        <w:top w:val="none" w:sz="0" w:space="0" w:color="auto"/>
        <w:left w:val="none" w:sz="0" w:space="0" w:color="auto"/>
        <w:bottom w:val="none" w:sz="0" w:space="0" w:color="auto"/>
        <w:right w:val="none" w:sz="0" w:space="0" w:color="auto"/>
      </w:divBdr>
    </w:div>
    <w:div w:id="1687440424">
      <w:bodyDiv w:val="1"/>
      <w:marLeft w:val="0"/>
      <w:marRight w:val="0"/>
      <w:marTop w:val="0"/>
      <w:marBottom w:val="0"/>
      <w:divBdr>
        <w:top w:val="none" w:sz="0" w:space="0" w:color="auto"/>
        <w:left w:val="none" w:sz="0" w:space="0" w:color="auto"/>
        <w:bottom w:val="none" w:sz="0" w:space="0" w:color="auto"/>
        <w:right w:val="none" w:sz="0" w:space="0" w:color="auto"/>
      </w:divBdr>
    </w:div>
    <w:div w:id="1690373059">
      <w:bodyDiv w:val="1"/>
      <w:marLeft w:val="0"/>
      <w:marRight w:val="0"/>
      <w:marTop w:val="0"/>
      <w:marBottom w:val="0"/>
      <w:divBdr>
        <w:top w:val="none" w:sz="0" w:space="0" w:color="auto"/>
        <w:left w:val="none" w:sz="0" w:space="0" w:color="auto"/>
        <w:bottom w:val="none" w:sz="0" w:space="0" w:color="auto"/>
        <w:right w:val="none" w:sz="0" w:space="0" w:color="auto"/>
      </w:divBdr>
    </w:div>
    <w:div w:id="1699356370">
      <w:bodyDiv w:val="1"/>
      <w:marLeft w:val="0"/>
      <w:marRight w:val="0"/>
      <w:marTop w:val="0"/>
      <w:marBottom w:val="0"/>
      <w:divBdr>
        <w:top w:val="none" w:sz="0" w:space="0" w:color="auto"/>
        <w:left w:val="none" w:sz="0" w:space="0" w:color="auto"/>
        <w:bottom w:val="none" w:sz="0" w:space="0" w:color="auto"/>
        <w:right w:val="none" w:sz="0" w:space="0" w:color="auto"/>
      </w:divBdr>
      <w:divsChild>
        <w:div w:id="1424182086">
          <w:marLeft w:val="0"/>
          <w:marRight w:val="0"/>
          <w:marTop w:val="0"/>
          <w:marBottom w:val="0"/>
          <w:divBdr>
            <w:top w:val="none" w:sz="0" w:space="0" w:color="auto"/>
            <w:left w:val="none" w:sz="0" w:space="0" w:color="auto"/>
            <w:bottom w:val="none" w:sz="0" w:space="0" w:color="auto"/>
            <w:right w:val="none" w:sz="0" w:space="0" w:color="auto"/>
          </w:divBdr>
          <w:divsChild>
            <w:div w:id="173500082">
              <w:marLeft w:val="0"/>
              <w:marRight w:val="0"/>
              <w:marTop w:val="0"/>
              <w:marBottom w:val="0"/>
              <w:divBdr>
                <w:top w:val="none" w:sz="0" w:space="0" w:color="auto"/>
                <w:left w:val="none" w:sz="0" w:space="0" w:color="auto"/>
                <w:bottom w:val="none" w:sz="0" w:space="0" w:color="auto"/>
                <w:right w:val="none" w:sz="0" w:space="0" w:color="auto"/>
              </w:divBdr>
              <w:divsChild>
                <w:div w:id="1301379304">
                  <w:marLeft w:val="0"/>
                  <w:marRight w:val="0"/>
                  <w:marTop w:val="0"/>
                  <w:marBottom w:val="0"/>
                  <w:divBdr>
                    <w:top w:val="none" w:sz="0" w:space="0" w:color="auto"/>
                    <w:left w:val="none" w:sz="0" w:space="0" w:color="auto"/>
                    <w:bottom w:val="none" w:sz="0" w:space="0" w:color="auto"/>
                    <w:right w:val="none" w:sz="0" w:space="0" w:color="auto"/>
                  </w:divBdr>
                  <w:divsChild>
                    <w:div w:id="1145509214">
                      <w:marLeft w:val="0"/>
                      <w:marRight w:val="0"/>
                      <w:marTop w:val="0"/>
                      <w:marBottom w:val="0"/>
                      <w:divBdr>
                        <w:top w:val="none" w:sz="0" w:space="0" w:color="auto"/>
                        <w:left w:val="none" w:sz="0" w:space="0" w:color="auto"/>
                        <w:bottom w:val="none" w:sz="0" w:space="0" w:color="auto"/>
                        <w:right w:val="none" w:sz="0" w:space="0" w:color="auto"/>
                      </w:divBdr>
                      <w:divsChild>
                        <w:div w:id="1653827990">
                          <w:marLeft w:val="0"/>
                          <w:marRight w:val="0"/>
                          <w:marTop w:val="0"/>
                          <w:marBottom w:val="0"/>
                          <w:divBdr>
                            <w:top w:val="none" w:sz="0" w:space="0" w:color="auto"/>
                            <w:left w:val="none" w:sz="0" w:space="0" w:color="auto"/>
                            <w:bottom w:val="none" w:sz="0" w:space="0" w:color="auto"/>
                            <w:right w:val="none" w:sz="0" w:space="0" w:color="auto"/>
                          </w:divBdr>
                          <w:divsChild>
                            <w:div w:id="194587233">
                              <w:marLeft w:val="0"/>
                              <w:marRight w:val="0"/>
                              <w:marTop w:val="0"/>
                              <w:marBottom w:val="0"/>
                              <w:divBdr>
                                <w:top w:val="none" w:sz="0" w:space="0" w:color="auto"/>
                                <w:left w:val="none" w:sz="0" w:space="0" w:color="auto"/>
                                <w:bottom w:val="none" w:sz="0" w:space="0" w:color="auto"/>
                                <w:right w:val="none" w:sz="0" w:space="0" w:color="auto"/>
                              </w:divBdr>
                              <w:divsChild>
                                <w:div w:id="2117093438">
                                  <w:marLeft w:val="0"/>
                                  <w:marRight w:val="0"/>
                                  <w:marTop w:val="0"/>
                                  <w:marBottom w:val="0"/>
                                  <w:divBdr>
                                    <w:top w:val="none" w:sz="0" w:space="0" w:color="auto"/>
                                    <w:left w:val="none" w:sz="0" w:space="0" w:color="auto"/>
                                    <w:bottom w:val="none" w:sz="0" w:space="0" w:color="auto"/>
                                    <w:right w:val="none" w:sz="0" w:space="0" w:color="auto"/>
                                  </w:divBdr>
                                  <w:divsChild>
                                    <w:div w:id="1071850799">
                                      <w:marLeft w:val="0"/>
                                      <w:marRight w:val="0"/>
                                      <w:marTop w:val="0"/>
                                      <w:marBottom w:val="0"/>
                                      <w:divBdr>
                                        <w:top w:val="none" w:sz="0" w:space="0" w:color="auto"/>
                                        <w:left w:val="none" w:sz="0" w:space="0" w:color="auto"/>
                                        <w:bottom w:val="none" w:sz="0" w:space="0" w:color="auto"/>
                                        <w:right w:val="none" w:sz="0" w:space="0" w:color="auto"/>
                                      </w:divBdr>
                                      <w:divsChild>
                                        <w:div w:id="935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797755">
      <w:bodyDiv w:val="1"/>
      <w:marLeft w:val="0"/>
      <w:marRight w:val="0"/>
      <w:marTop w:val="0"/>
      <w:marBottom w:val="0"/>
      <w:divBdr>
        <w:top w:val="none" w:sz="0" w:space="0" w:color="auto"/>
        <w:left w:val="none" w:sz="0" w:space="0" w:color="auto"/>
        <w:bottom w:val="none" w:sz="0" w:space="0" w:color="auto"/>
        <w:right w:val="none" w:sz="0" w:space="0" w:color="auto"/>
      </w:divBdr>
    </w:div>
    <w:div w:id="1798909143">
      <w:bodyDiv w:val="1"/>
      <w:marLeft w:val="0"/>
      <w:marRight w:val="0"/>
      <w:marTop w:val="0"/>
      <w:marBottom w:val="0"/>
      <w:divBdr>
        <w:top w:val="none" w:sz="0" w:space="0" w:color="auto"/>
        <w:left w:val="none" w:sz="0" w:space="0" w:color="auto"/>
        <w:bottom w:val="none" w:sz="0" w:space="0" w:color="auto"/>
        <w:right w:val="none" w:sz="0" w:space="0" w:color="auto"/>
      </w:divBdr>
    </w:div>
    <w:div w:id="1816986455">
      <w:bodyDiv w:val="1"/>
      <w:marLeft w:val="0"/>
      <w:marRight w:val="0"/>
      <w:marTop w:val="0"/>
      <w:marBottom w:val="0"/>
      <w:divBdr>
        <w:top w:val="none" w:sz="0" w:space="0" w:color="auto"/>
        <w:left w:val="none" w:sz="0" w:space="0" w:color="auto"/>
        <w:bottom w:val="none" w:sz="0" w:space="0" w:color="auto"/>
        <w:right w:val="none" w:sz="0" w:space="0" w:color="auto"/>
      </w:divBdr>
    </w:div>
    <w:div w:id="1872186946">
      <w:bodyDiv w:val="1"/>
      <w:marLeft w:val="0"/>
      <w:marRight w:val="0"/>
      <w:marTop w:val="0"/>
      <w:marBottom w:val="0"/>
      <w:divBdr>
        <w:top w:val="none" w:sz="0" w:space="0" w:color="auto"/>
        <w:left w:val="none" w:sz="0" w:space="0" w:color="auto"/>
        <w:bottom w:val="none" w:sz="0" w:space="0" w:color="auto"/>
        <w:right w:val="none" w:sz="0" w:space="0" w:color="auto"/>
      </w:divBdr>
    </w:div>
    <w:div w:id="1914655252">
      <w:bodyDiv w:val="1"/>
      <w:marLeft w:val="0"/>
      <w:marRight w:val="0"/>
      <w:marTop w:val="0"/>
      <w:marBottom w:val="0"/>
      <w:divBdr>
        <w:top w:val="none" w:sz="0" w:space="0" w:color="auto"/>
        <w:left w:val="none" w:sz="0" w:space="0" w:color="auto"/>
        <w:bottom w:val="none" w:sz="0" w:space="0" w:color="auto"/>
        <w:right w:val="none" w:sz="0" w:space="0" w:color="auto"/>
      </w:divBdr>
    </w:div>
    <w:div w:id="1929191242">
      <w:bodyDiv w:val="1"/>
      <w:marLeft w:val="0"/>
      <w:marRight w:val="0"/>
      <w:marTop w:val="0"/>
      <w:marBottom w:val="0"/>
      <w:divBdr>
        <w:top w:val="none" w:sz="0" w:space="0" w:color="auto"/>
        <w:left w:val="none" w:sz="0" w:space="0" w:color="auto"/>
        <w:bottom w:val="none" w:sz="0" w:space="0" w:color="auto"/>
        <w:right w:val="none" w:sz="0" w:space="0" w:color="auto"/>
      </w:divBdr>
    </w:div>
    <w:div w:id="1946183927">
      <w:bodyDiv w:val="1"/>
      <w:marLeft w:val="0"/>
      <w:marRight w:val="0"/>
      <w:marTop w:val="0"/>
      <w:marBottom w:val="0"/>
      <w:divBdr>
        <w:top w:val="none" w:sz="0" w:space="0" w:color="auto"/>
        <w:left w:val="none" w:sz="0" w:space="0" w:color="auto"/>
        <w:bottom w:val="none" w:sz="0" w:space="0" w:color="auto"/>
        <w:right w:val="none" w:sz="0" w:space="0" w:color="auto"/>
      </w:divBdr>
    </w:div>
    <w:div w:id="1956404319">
      <w:bodyDiv w:val="1"/>
      <w:marLeft w:val="0"/>
      <w:marRight w:val="0"/>
      <w:marTop w:val="0"/>
      <w:marBottom w:val="0"/>
      <w:divBdr>
        <w:top w:val="none" w:sz="0" w:space="0" w:color="auto"/>
        <w:left w:val="none" w:sz="0" w:space="0" w:color="auto"/>
        <w:bottom w:val="none" w:sz="0" w:space="0" w:color="auto"/>
        <w:right w:val="none" w:sz="0" w:space="0" w:color="auto"/>
      </w:divBdr>
    </w:div>
    <w:div w:id="2105303266">
      <w:bodyDiv w:val="1"/>
      <w:marLeft w:val="0"/>
      <w:marRight w:val="0"/>
      <w:marTop w:val="0"/>
      <w:marBottom w:val="0"/>
      <w:divBdr>
        <w:top w:val="none" w:sz="0" w:space="0" w:color="auto"/>
        <w:left w:val="none" w:sz="0" w:space="0" w:color="auto"/>
        <w:bottom w:val="none" w:sz="0" w:space="0" w:color="auto"/>
        <w:right w:val="none" w:sz="0" w:space="0" w:color="auto"/>
      </w:divBdr>
      <w:divsChild>
        <w:div w:id="2046900735">
          <w:marLeft w:val="0"/>
          <w:marRight w:val="0"/>
          <w:marTop w:val="0"/>
          <w:marBottom w:val="0"/>
          <w:divBdr>
            <w:top w:val="none" w:sz="0" w:space="0" w:color="auto"/>
            <w:left w:val="none" w:sz="0" w:space="0" w:color="auto"/>
            <w:bottom w:val="none" w:sz="0" w:space="0" w:color="auto"/>
            <w:right w:val="none" w:sz="0" w:space="0" w:color="auto"/>
          </w:divBdr>
          <w:divsChild>
            <w:div w:id="544871362">
              <w:marLeft w:val="0"/>
              <w:marRight w:val="0"/>
              <w:marTop w:val="0"/>
              <w:marBottom w:val="0"/>
              <w:divBdr>
                <w:top w:val="none" w:sz="0" w:space="0" w:color="auto"/>
                <w:left w:val="none" w:sz="0" w:space="0" w:color="auto"/>
                <w:bottom w:val="none" w:sz="0" w:space="0" w:color="auto"/>
                <w:right w:val="none" w:sz="0" w:space="0" w:color="auto"/>
              </w:divBdr>
              <w:divsChild>
                <w:div w:id="151529799">
                  <w:marLeft w:val="0"/>
                  <w:marRight w:val="0"/>
                  <w:marTop w:val="0"/>
                  <w:marBottom w:val="0"/>
                  <w:divBdr>
                    <w:top w:val="none" w:sz="0" w:space="0" w:color="auto"/>
                    <w:left w:val="none" w:sz="0" w:space="0" w:color="auto"/>
                    <w:bottom w:val="none" w:sz="0" w:space="0" w:color="auto"/>
                    <w:right w:val="none" w:sz="0" w:space="0" w:color="auto"/>
                  </w:divBdr>
                  <w:divsChild>
                    <w:div w:id="664012817">
                      <w:marLeft w:val="0"/>
                      <w:marRight w:val="0"/>
                      <w:marTop w:val="0"/>
                      <w:marBottom w:val="0"/>
                      <w:divBdr>
                        <w:top w:val="none" w:sz="0" w:space="0" w:color="auto"/>
                        <w:left w:val="none" w:sz="0" w:space="0" w:color="auto"/>
                        <w:bottom w:val="none" w:sz="0" w:space="0" w:color="auto"/>
                        <w:right w:val="none" w:sz="0" w:space="0" w:color="auto"/>
                      </w:divBdr>
                      <w:divsChild>
                        <w:div w:id="596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0948">
      <w:bodyDiv w:val="1"/>
      <w:marLeft w:val="0"/>
      <w:marRight w:val="0"/>
      <w:marTop w:val="0"/>
      <w:marBottom w:val="0"/>
      <w:divBdr>
        <w:top w:val="none" w:sz="0" w:space="0" w:color="auto"/>
        <w:left w:val="none" w:sz="0" w:space="0" w:color="auto"/>
        <w:bottom w:val="none" w:sz="0" w:space="0" w:color="auto"/>
        <w:right w:val="none" w:sz="0" w:space="0" w:color="auto"/>
      </w:divBdr>
    </w:div>
    <w:div w:id="2125540325">
      <w:bodyDiv w:val="1"/>
      <w:marLeft w:val="0"/>
      <w:marRight w:val="0"/>
      <w:marTop w:val="0"/>
      <w:marBottom w:val="0"/>
      <w:divBdr>
        <w:top w:val="none" w:sz="0" w:space="0" w:color="auto"/>
        <w:left w:val="none" w:sz="0" w:space="0" w:color="auto"/>
        <w:bottom w:val="none" w:sz="0" w:space="0" w:color="auto"/>
        <w:right w:val="none" w:sz="0" w:space="0" w:color="auto"/>
      </w:divBdr>
    </w:div>
    <w:div w:id="213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pga/1999/23/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ia.police.uk/en/docs/Domestic_Abuse_Guidance_20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jrs.gov/pdffiles1/nij/grants/2223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blications.parliament.uk/pa/cm200708/cmselect/cmhaff/263/2631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1D84-DD8D-4C53-B0D2-C268780D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9316</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Emma Sleath</cp:lastModifiedBy>
  <cp:revision>2</cp:revision>
  <cp:lastPrinted>2015-11-20T10:08:00Z</cp:lastPrinted>
  <dcterms:created xsi:type="dcterms:W3CDTF">2015-11-20T11:40:00Z</dcterms:created>
  <dcterms:modified xsi:type="dcterms:W3CDTF">2015-11-20T11:40:00Z</dcterms:modified>
</cp:coreProperties>
</file>