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5C2DF" w14:textId="26228C90" w:rsidR="00082A57" w:rsidRDefault="0057294C" w:rsidP="00106F57">
      <w:pPr>
        <w:spacing w:line="480" w:lineRule="auto"/>
        <w:jc w:val="center"/>
      </w:pPr>
      <w:r>
        <w:t>.</w:t>
      </w:r>
    </w:p>
    <w:p w14:paraId="1123D156" w14:textId="77777777" w:rsidR="0057294C" w:rsidRPr="0075449C" w:rsidRDefault="0057294C" w:rsidP="00106F57">
      <w:pPr>
        <w:spacing w:line="480" w:lineRule="auto"/>
        <w:jc w:val="center"/>
      </w:pPr>
    </w:p>
    <w:p w14:paraId="06C1E3F2" w14:textId="77777777" w:rsidR="00082A57" w:rsidRPr="0075449C" w:rsidRDefault="00082A57" w:rsidP="00106F57">
      <w:pPr>
        <w:spacing w:line="480" w:lineRule="auto"/>
        <w:jc w:val="center"/>
      </w:pPr>
    </w:p>
    <w:p w14:paraId="57526300" w14:textId="77777777" w:rsidR="00082A57" w:rsidRPr="0075449C" w:rsidRDefault="00082A57" w:rsidP="00106F57">
      <w:pPr>
        <w:spacing w:line="480" w:lineRule="auto"/>
        <w:jc w:val="center"/>
      </w:pPr>
    </w:p>
    <w:p w14:paraId="0EACD7A9" w14:textId="0E4E85C9" w:rsidR="003C4AD2" w:rsidRDefault="00082A57" w:rsidP="00D05F27">
      <w:pPr>
        <w:spacing w:line="480" w:lineRule="auto"/>
        <w:jc w:val="center"/>
      </w:pPr>
      <w:r w:rsidRPr="0075449C">
        <w:t xml:space="preserve">Women’s </w:t>
      </w:r>
      <w:r w:rsidR="00D05F27">
        <w:t>Vulnerability</w:t>
      </w:r>
      <w:r w:rsidR="00D05F27" w:rsidRPr="0075449C">
        <w:t xml:space="preserve"> </w:t>
      </w:r>
      <w:r w:rsidR="00D05F27">
        <w:t xml:space="preserve">and </w:t>
      </w:r>
      <w:r w:rsidRPr="0075449C">
        <w:t xml:space="preserve">Preferences for Physically Formidable and Dominant Mates: </w:t>
      </w:r>
    </w:p>
    <w:p w14:paraId="17DA2E03" w14:textId="77777777" w:rsidR="00D42DF7" w:rsidRDefault="003C4AD2" w:rsidP="00106F57">
      <w:pPr>
        <w:spacing w:line="480" w:lineRule="auto"/>
        <w:jc w:val="center"/>
      </w:pPr>
      <w:r>
        <w:t>How Specific A</w:t>
      </w:r>
      <w:r w:rsidR="00082A57" w:rsidRPr="0075449C">
        <w:t xml:space="preserve">re the Underlying </w:t>
      </w:r>
      <w:r w:rsidR="00F42DF1" w:rsidRPr="0075449C">
        <w:t>Psychological</w:t>
      </w:r>
      <w:r w:rsidR="00082A57" w:rsidRPr="0075449C">
        <w:t xml:space="preserve"> Mechanisms?</w:t>
      </w:r>
    </w:p>
    <w:p w14:paraId="2823E4BC" w14:textId="77777777" w:rsidR="003C4AD2" w:rsidRPr="0075449C" w:rsidRDefault="003C4AD2" w:rsidP="00106F57">
      <w:pPr>
        <w:spacing w:line="480" w:lineRule="auto"/>
        <w:jc w:val="center"/>
      </w:pPr>
    </w:p>
    <w:p w14:paraId="040ACA41" w14:textId="77777777" w:rsidR="00D42DF7" w:rsidRPr="0075449C" w:rsidRDefault="00D42DF7" w:rsidP="00106F57">
      <w:pPr>
        <w:spacing w:line="480" w:lineRule="auto"/>
        <w:jc w:val="center"/>
      </w:pPr>
      <w:r w:rsidRPr="0075449C">
        <w:t>Hannah Ryder</w:t>
      </w:r>
      <w:r w:rsidR="008E6574" w:rsidRPr="0075449C">
        <w:rPr>
          <w:vertAlign w:val="superscript"/>
        </w:rPr>
        <w:t>1</w:t>
      </w:r>
      <w:r w:rsidRPr="0075449C">
        <w:t>, John Maltby</w:t>
      </w:r>
      <w:r w:rsidR="008E6574" w:rsidRPr="0075449C">
        <w:rPr>
          <w:vertAlign w:val="superscript"/>
        </w:rPr>
        <w:t>1</w:t>
      </w:r>
      <w:r w:rsidRPr="0075449C">
        <w:t xml:space="preserve">, </w:t>
      </w:r>
      <w:r w:rsidR="003C4AD2">
        <w:t>Lovedeep Rai</w:t>
      </w:r>
      <w:r w:rsidR="003C4AD2" w:rsidRPr="0075449C">
        <w:rPr>
          <w:vertAlign w:val="superscript"/>
        </w:rPr>
        <w:t>1</w:t>
      </w:r>
      <w:r w:rsidR="003C4AD2">
        <w:t xml:space="preserve">, </w:t>
      </w:r>
      <w:r w:rsidR="008E6574" w:rsidRPr="0075449C">
        <w:t>Phil Jones</w:t>
      </w:r>
      <w:r w:rsidR="008E6574" w:rsidRPr="0075449C">
        <w:rPr>
          <w:vertAlign w:val="superscript"/>
        </w:rPr>
        <w:t>2</w:t>
      </w:r>
      <w:r w:rsidR="008E6574" w:rsidRPr="0075449C">
        <w:t xml:space="preserve">, </w:t>
      </w:r>
      <w:r w:rsidR="00082A57" w:rsidRPr="0075449C">
        <w:t xml:space="preserve">and </w:t>
      </w:r>
      <w:r w:rsidRPr="0075449C">
        <w:t xml:space="preserve">Heather </w:t>
      </w:r>
      <w:r w:rsidR="00082A57" w:rsidRPr="0075449C">
        <w:t xml:space="preserve">D. </w:t>
      </w:r>
      <w:r w:rsidRPr="0075449C">
        <w:t>Flowe</w:t>
      </w:r>
      <w:r w:rsidR="003C4AD2">
        <w:rPr>
          <w:vertAlign w:val="superscript"/>
        </w:rPr>
        <w:t>3</w:t>
      </w:r>
    </w:p>
    <w:p w14:paraId="2CFDDDCE" w14:textId="77777777" w:rsidR="00D42DF7" w:rsidRPr="0075449C" w:rsidRDefault="008E6574" w:rsidP="00106F57">
      <w:pPr>
        <w:spacing w:line="480" w:lineRule="auto"/>
        <w:jc w:val="center"/>
      </w:pPr>
      <w:r w:rsidRPr="0075449C">
        <w:rPr>
          <w:vertAlign w:val="superscript"/>
        </w:rPr>
        <w:t>1</w:t>
      </w:r>
      <w:r w:rsidR="00D42DF7" w:rsidRPr="0075449C">
        <w:t>University of Leicester</w:t>
      </w:r>
      <w:r w:rsidRPr="0075449C">
        <w:t>, Department of Neuroscience,</w:t>
      </w:r>
      <w:r w:rsidR="00D42DF7" w:rsidRPr="0075449C">
        <w:t xml:space="preserve"> Psychology</w:t>
      </w:r>
      <w:r w:rsidRPr="0075449C">
        <w:t>, &amp; Behaviour</w:t>
      </w:r>
    </w:p>
    <w:p w14:paraId="2232F889" w14:textId="77777777" w:rsidR="008E6574" w:rsidRDefault="008E6574" w:rsidP="00106F57">
      <w:pPr>
        <w:spacing w:line="480" w:lineRule="auto"/>
        <w:jc w:val="center"/>
      </w:pPr>
      <w:r w:rsidRPr="0075449C">
        <w:rPr>
          <w:vertAlign w:val="superscript"/>
        </w:rPr>
        <w:t>2</w:t>
      </w:r>
      <w:r w:rsidRPr="0075449C">
        <w:t>University of Birmingham, School of Geography, Earth and Environmental Sciences</w:t>
      </w:r>
    </w:p>
    <w:p w14:paraId="18756B4D" w14:textId="77777777" w:rsidR="003C4AD2" w:rsidRDefault="003C4AD2" w:rsidP="00106F57">
      <w:pPr>
        <w:spacing w:line="480" w:lineRule="auto"/>
        <w:jc w:val="center"/>
      </w:pPr>
      <w:r>
        <w:rPr>
          <w:vertAlign w:val="superscript"/>
        </w:rPr>
        <w:t>3</w:t>
      </w:r>
      <w:r w:rsidRPr="0075449C">
        <w:t xml:space="preserve">University of </w:t>
      </w:r>
      <w:r>
        <w:t>Loughborough</w:t>
      </w:r>
      <w:r w:rsidRPr="0075449C">
        <w:t xml:space="preserve">, School of </w:t>
      </w:r>
      <w:r>
        <w:t>Sport, Health, and Exercise Sciences</w:t>
      </w:r>
    </w:p>
    <w:p w14:paraId="6BA2200B" w14:textId="77777777" w:rsidR="0063238C" w:rsidRPr="0075449C" w:rsidRDefault="0063238C" w:rsidP="00106F57">
      <w:pPr>
        <w:spacing w:line="480" w:lineRule="auto"/>
        <w:jc w:val="center"/>
      </w:pPr>
    </w:p>
    <w:p w14:paraId="45B4333E" w14:textId="77777777" w:rsidR="00082A57" w:rsidRPr="0075449C" w:rsidRDefault="00082A57" w:rsidP="00106F57">
      <w:pPr>
        <w:spacing w:line="480" w:lineRule="auto"/>
      </w:pPr>
    </w:p>
    <w:p w14:paraId="2D1EA512" w14:textId="77777777" w:rsidR="00082A57" w:rsidRPr="0075449C" w:rsidRDefault="00082A57" w:rsidP="00106F57">
      <w:pPr>
        <w:spacing w:line="480" w:lineRule="auto"/>
      </w:pPr>
    </w:p>
    <w:p w14:paraId="0BAF6B53" w14:textId="77777777" w:rsidR="00D42DF7" w:rsidRPr="0075449C" w:rsidRDefault="00D42DF7" w:rsidP="00106F57">
      <w:pPr>
        <w:spacing w:line="480" w:lineRule="auto"/>
        <w:contextualSpacing/>
      </w:pPr>
      <w:r w:rsidRPr="0075449C">
        <w:br w:type="page"/>
      </w:r>
    </w:p>
    <w:p w14:paraId="63B50313" w14:textId="77777777" w:rsidR="00082A57" w:rsidRPr="0075449C" w:rsidRDefault="00082A57" w:rsidP="00106F57">
      <w:pPr>
        <w:spacing w:line="480" w:lineRule="auto"/>
        <w:jc w:val="center"/>
      </w:pPr>
      <w:r w:rsidRPr="0075449C">
        <w:lastRenderedPageBreak/>
        <w:t>Abstract</w:t>
      </w:r>
    </w:p>
    <w:p w14:paraId="3243EB63" w14:textId="77777777" w:rsidR="00082A57" w:rsidRPr="0075449C" w:rsidRDefault="005F3D0B" w:rsidP="00106F57">
      <w:pPr>
        <w:spacing w:line="480" w:lineRule="auto"/>
      </w:pPr>
      <w:r w:rsidRPr="0075449C">
        <w:t xml:space="preserve">Previous research </w:t>
      </w:r>
      <w:r w:rsidR="00910304">
        <w:t>shows</w:t>
      </w:r>
      <w:r w:rsidRPr="0075449C">
        <w:t xml:space="preserve"> that feelings of vulnerability, </w:t>
      </w:r>
      <w:r w:rsidR="008E6574" w:rsidRPr="0075449C">
        <w:t>as measured by</w:t>
      </w:r>
      <w:r w:rsidRPr="0075449C">
        <w:t xml:space="preserve"> fear of crime, are associated with preference</w:t>
      </w:r>
      <w:r w:rsidR="003F7C39" w:rsidRPr="0075449C">
        <w:t>s</w:t>
      </w:r>
      <w:r w:rsidRPr="0075449C">
        <w:t xml:space="preserve"> for physically </w:t>
      </w:r>
      <w:r w:rsidR="003A6CCB" w:rsidRPr="0075449C">
        <w:t xml:space="preserve">formidable </w:t>
      </w:r>
      <w:r w:rsidR="003F7C39" w:rsidRPr="0075449C">
        <w:t xml:space="preserve">and dominant </w:t>
      </w:r>
      <w:r w:rsidR="003A6CCB" w:rsidRPr="0075449C">
        <w:t>mate</w:t>
      </w:r>
      <w:r w:rsidR="008E6574" w:rsidRPr="0075449C">
        <w:t>s</w:t>
      </w:r>
      <w:r w:rsidR="003F7C39" w:rsidRPr="0075449C">
        <w:t xml:space="preserve"> (PPFDM), ostensibly because of the physical protection </w:t>
      </w:r>
      <w:r w:rsidR="00824617">
        <w:t>such mates</w:t>
      </w:r>
      <w:r w:rsidR="008E6574" w:rsidRPr="0075449C">
        <w:t xml:space="preserve"> can afford</w:t>
      </w:r>
      <w:r w:rsidR="003226C8" w:rsidRPr="0075449C">
        <w:t xml:space="preserve">. </w:t>
      </w:r>
      <w:r w:rsidR="002E0118">
        <w:t>In the lab and in the field, w</w:t>
      </w:r>
      <w:r w:rsidR="00532089" w:rsidRPr="0075449C">
        <w:t xml:space="preserve">e </w:t>
      </w:r>
      <w:r w:rsidR="008E6574" w:rsidRPr="0075449C">
        <w:t>tested</w:t>
      </w:r>
      <w:r w:rsidR="00532089" w:rsidRPr="0075449C">
        <w:t xml:space="preserve"> whether </w:t>
      </w:r>
      <w:r w:rsidR="00824617">
        <w:t xml:space="preserve">the relationship between </w:t>
      </w:r>
      <w:r w:rsidR="00532089" w:rsidRPr="0075449C">
        <w:t xml:space="preserve">PPFDM </w:t>
      </w:r>
      <w:r w:rsidR="00824617">
        <w:t>and fear of crime</w:t>
      </w:r>
      <w:r w:rsidR="00532089" w:rsidRPr="0075449C">
        <w:t xml:space="preserve"> </w:t>
      </w:r>
      <w:r w:rsidR="00824617">
        <w:t>is pronounced when the risk of crime is relatively high, and for crimes</w:t>
      </w:r>
      <w:r w:rsidR="008E6574" w:rsidRPr="0075449C">
        <w:t xml:space="preserve"> that </w:t>
      </w:r>
      <w:r w:rsidR="00A86F66">
        <w:t>are evolutionarily more costly</w:t>
      </w:r>
      <w:r w:rsidR="00824617">
        <w:t xml:space="preserve">. </w:t>
      </w:r>
      <w:r w:rsidR="001645C7">
        <w:t xml:space="preserve">In Study 1, women </w:t>
      </w:r>
      <w:r w:rsidR="00824617">
        <w:t xml:space="preserve">were presented </w:t>
      </w:r>
      <w:r w:rsidR="001645C7">
        <w:t xml:space="preserve">with </w:t>
      </w:r>
      <w:r w:rsidR="002E0118">
        <w:t xml:space="preserve">daytime and night time </w:t>
      </w:r>
      <w:r w:rsidR="001645C7">
        <w:t xml:space="preserve">images that featured </w:t>
      </w:r>
      <w:r w:rsidR="002E0118">
        <w:t xml:space="preserve">a </w:t>
      </w:r>
      <w:r w:rsidR="00B15345">
        <w:t xml:space="preserve">lone </w:t>
      </w:r>
      <w:r w:rsidR="00AC6D71">
        <w:t>shadowy</w:t>
      </w:r>
      <w:r w:rsidR="002E0118">
        <w:t xml:space="preserve"> male figure, </w:t>
      </w:r>
      <w:r w:rsidR="004A7DD0" w:rsidRPr="0075449C">
        <w:t xml:space="preserve">crime hotspots </w:t>
      </w:r>
      <w:r w:rsidR="002E0118">
        <w:t xml:space="preserve">and </w:t>
      </w:r>
      <w:r w:rsidR="00A86F66">
        <w:t xml:space="preserve">safespots, </w:t>
      </w:r>
      <w:r w:rsidR="00CE3D3E" w:rsidRPr="0075449C">
        <w:t xml:space="preserve">and </w:t>
      </w:r>
      <w:r w:rsidR="001645C7">
        <w:t xml:space="preserve">they </w:t>
      </w:r>
      <w:r w:rsidR="00CE3D3E" w:rsidRPr="0075449C">
        <w:t>report</w:t>
      </w:r>
      <w:r w:rsidR="001645C7">
        <w:t>ed</w:t>
      </w:r>
      <w:r w:rsidR="00CE3D3E" w:rsidRPr="0075449C">
        <w:t xml:space="preserve"> their </w:t>
      </w:r>
      <w:r w:rsidR="002E0118">
        <w:t>risk of victimisation in the situation depicted in the image</w:t>
      </w:r>
      <w:r w:rsidR="001645C7">
        <w:t xml:space="preserve">. In Study 2, we had female participants walk through crime hotspots and safespots in a city centre during the daytime, and </w:t>
      </w:r>
      <w:r w:rsidR="00824617">
        <w:t>had them report</w:t>
      </w:r>
      <w:r w:rsidR="001645C7">
        <w:t xml:space="preserve"> their perceived </w:t>
      </w:r>
      <w:r w:rsidR="00824617">
        <w:t xml:space="preserve">victimisation </w:t>
      </w:r>
      <w:r w:rsidR="001645C7">
        <w:t xml:space="preserve">risk </w:t>
      </w:r>
      <w:r w:rsidR="002E0118">
        <w:t xml:space="preserve">for </w:t>
      </w:r>
      <w:r w:rsidR="00910304">
        <w:t>different types of crime, perpetrated by a</w:t>
      </w:r>
      <w:r w:rsidR="00910304" w:rsidRPr="0075449C">
        <w:t xml:space="preserve"> </w:t>
      </w:r>
      <w:r w:rsidR="00CE3D3E" w:rsidRPr="0075449C">
        <w:t>male- versus female</w:t>
      </w:r>
      <w:r w:rsidR="00910304">
        <w:t>.</w:t>
      </w:r>
      <w:r w:rsidR="002E0118">
        <w:t xml:space="preserve"> </w:t>
      </w:r>
      <w:r w:rsidR="002B2608">
        <w:t>Participants</w:t>
      </w:r>
      <w:r w:rsidR="002B2608" w:rsidRPr="0075449C">
        <w:t xml:space="preserve"> </w:t>
      </w:r>
      <w:r w:rsidR="001645C7">
        <w:t xml:space="preserve">in Study 1 and 2 </w:t>
      </w:r>
      <w:r w:rsidR="00CE3D3E" w:rsidRPr="0075449C">
        <w:t xml:space="preserve">also completed </w:t>
      </w:r>
      <w:r w:rsidR="00910304">
        <w:t>a scale that measures</w:t>
      </w:r>
      <w:r w:rsidR="00CE3D3E" w:rsidRPr="0075449C">
        <w:t xml:space="preserve"> PPFDM. </w:t>
      </w:r>
      <w:r w:rsidR="00910304">
        <w:t>In both studies, w</w:t>
      </w:r>
      <w:r w:rsidR="00824617">
        <w:t>e</w:t>
      </w:r>
      <w:r w:rsidR="00CE3D3E" w:rsidRPr="0075449C">
        <w:t xml:space="preserve"> found that </w:t>
      </w:r>
      <w:r w:rsidR="00225134" w:rsidRPr="0075449C">
        <w:t>PPFDM</w:t>
      </w:r>
      <w:r w:rsidRPr="0075449C">
        <w:t xml:space="preserve"> </w:t>
      </w:r>
      <w:r w:rsidR="00225134" w:rsidRPr="0075449C">
        <w:t xml:space="preserve">was positively </w:t>
      </w:r>
      <w:r w:rsidRPr="0075449C">
        <w:t xml:space="preserve">associated with </w:t>
      </w:r>
      <w:r w:rsidR="00CE3D3E" w:rsidRPr="0075449C">
        <w:t xml:space="preserve">fear of crime </w:t>
      </w:r>
      <w:r w:rsidR="007671AF">
        <w:t>in hotspots and in safespots</w:t>
      </w:r>
      <w:r w:rsidRPr="0075449C">
        <w:t xml:space="preserve">. </w:t>
      </w:r>
      <w:r w:rsidR="002E0118">
        <w:t xml:space="preserve">Additionally, fear of crime was significantly affected by risk situation (i.e., safespot versus hotspot, night time versus daytime). </w:t>
      </w:r>
      <w:r w:rsidR="00225134" w:rsidRPr="0075449C">
        <w:t xml:space="preserve">The relationship between PPFDM and </w:t>
      </w:r>
      <w:r w:rsidR="002E0118">
        <w:t>fear, however,</w:t>
      </w:r>
      <w:r w:rsidR="00225134" w:rsidRPr="0075449C">
        <w:t xml:space="preserve"> did not vary </w:t>
      </w:r>
      <w:r w:rsidR="00C82B49">
        <w:t xml:space="preserve">in relation to </w:t>
      </w:r>
      <w:r w:rsidR="00824617">
        <w:t xml:space="preserve">risk </w:t>
      </w:r>
      <w:r w:rsidR="002E0118">
        <w:t>situation,</w:t>
      </w:r>
      <w:r w:rsidR="00824617">
        <w:t xml:space="preserve"> </w:t>
      </w:r>
      <w:r w:rsidR="00C82B49">
        <w:t xml:space="preserve">perpetrator gender, </w:t>
      </w:r>
      <w:r w:rsidR="003332A6">
        <w:t xml:space="preserve">or </w:t>
      </w:r>
      <w:r w:rsidR="00C82B49">
        <w:t>crime</w:t>
      </w:r>
      <w:r w:rsidR="00225134" w:rsidRPr="0075449C">
        <w:t xml:space="preserve"> type, suggesting that the </w:t>
      </w:r>
      <w:r w:rsidR="002B2608">
        <w:t>psychological</w:t>
      </w:r>
      <w:r w:rsidR="00225134" w:rsidRPr="0075449C">
        <w:t xml:space="preserve"> mechanisms underlying </w:t>
      </w:r>
      <w:r w:rsidR="007671AF">
        <w:t xml:space="preserve">the relationship between </w:t>
      </w:r>
      <w:r w:rsidR="00FD53F0">
        <w:t xml:space="preserve">perceived risk of victimisation and </w:t>
      </w:r>
      <w:r w:rsidR="00225134" w:rsidRPr="0075449C">
        <w:t>PPFDM</w:t>
      </w:r>
      <w:r w:rsidR="00FE5DB5">
        <w:t xml:space="preserve"> </w:t>
      </w:r>
      <w:r w:rsidR="00225134" w:rsidRPr="0075449C">
        <w:t>are general in nature</w:t>
      </w:r>
      <w:r w:rsidR="00824617">
        <w:t xml:space="preserve">. </w:t>
      </w:r>
      <w:r w:rsidR="002C6B59">
        <w:t xml:space="preserve">Women who prefer </w:t>
      </w:r>
      <w:r w:rsidR="003332A6">
        <w:t>physically formidable and dominant mates</w:t>
      </w:r>
      <w:r w:rsidR="00FE5DB5">
        <w:t xml:space="preserve"> </w:t>
      </w:r>
      <w:r w:rsidR="002C6B59">
        <w:t xml:space="preserve">tend to feel more at risk of crime, regardless of the situational </w:t>
      </w:r>
      <w:r w:rsidR="00A34488">
        <w:t>risk</w:t>
      </w:r>
      <w:r w:rsidR="002C6B59">
        <w:t xml:space="preserve"> factors present</w:t>
      </w:r>
      <w:r w:rsidR="00A34488">
        <w:t xml:space="preserve">. </w:t>
      </w:r>
    </w:p>
    <w:p w14:paraId="72A9F5A0" w14:textId="77777777" w:rsidR="00082A57" w:rsidRPr="0075449C" w:rsidRDefault="00223C0F" w:rsidP="00106F57">
      <w:pPr>
        <w:spacing w:line="480" w:lineRule="auto"/>
      </w:pPr>
      <w:r w:rsidRPr="0075449C">
        <w:t>Key words:</w:t>
      </w:r>
    </w:p>
    <w:p w14:paraId="7D40F1F5" w14:textId="77777777" w:rsidR="001645C7" w:rsidRDefault="005F3D0B" w:rsidP="00106F57">
      <w:pPr>
        <w:spacing w:line="480" w:lineRule="auto"/>
      </w:pPr>
      <w:r w:rsidRPr="0075449C">
        <w:t>Fear of crime, mate preferences, dominance, masculinity, vulnerability</w:t>
      </w:r>
      <w:r w:rsidR="00E35B55" w:rsidRPr="0075449C">
        <w:t>, Shadow of Sexual Assault hypothesis</w:t>
      </w:r>
      <w:r w:rsidR="002F7814" w:rsidRPr="0075449C">
        <w:t>, rape avoidance</w:t>
      </w:r>
    </w:p>
    <w:p w14:paraId="7EAACC63" w14:textId="77777777" w:rsidR="00D05F27" w:rsidRDefault="00D05F27" w:rsidP="00106F57">
      <w:pPr>
        <w:spacing w:line="480" w:lineRule="auto"/>
        <w:jc w:val="center"/>
      </w:pPr>
    </w:p>
    <w:p w14:paraId="4F388D87" w14:textId="77777777" w:rsidR="00D05F27" w:rsidRDefault="00D05F27" w:rsidP="00106F57">
      <w:pPr>
        <w:spacing w:line="480" w:lineRule="auto"/>
        <w:jc w:val="center"/>
      </w:pPr>
    </w:p>
    <w:p w14:paraId="6DA74E71" w14:textId="77777777" w:rsidR="00D05F27" w:rsidRDefault="00D05F27" w:rsidP="00106F57">
      <w:pPr>
        <w:spacing w:line="480" w:lineRule="auto"/>
        <w:jc w:val="center"/>
      </w:pPr>
    </w:p>
    <w:p w14:paraId="42780835" w14:textId="77777777" w:rsidR="00D05F27" w:rsidRDefault="00223C0F" w:rsidP="00106F57">
      <w:pPr>
        <w:spacing w:line="480" w:lineRule="auto"/>
        <w:jc w:val="center"/>
      </w:pPr>
      <w:r w:rsidRPr="0075449C">
        <w:lastRenderedPageBreak/>
        <w:t xml:space="preserve">Women’s </w:t>
      </w:r>
      <w:r w:rsidR="00D05F27">
        <w:t xml:space="preserve">Vulnerability and </w:t>
      </w:r>
      <w:r w:rsidRPr="0075449C">
        <w:t xml:space="preserve">Preferences for Physically Formidable and Dominant Mates: </w:t>
      </w:r>
    </w:p>
    <w:p w14:paraId="3F8F4781" w14:textId="11DFA5FC" w:rsidR="00223C0F" w:rsidRPr="0075449C" w:rsidRDefault="00223C0F" w:rsidP="00106F57">
      <w:pPr>
        <w:spacing w:line="480" w:lineRule="auto"/>
        <w:jc w:val="center"/>
      </w:pPr>
      <w:r w:rsidRPr="0075449C">
        <w:t xml:space="preserve">How Specific Are the Underlying </w:t>
      </w:r>
      <w:r w:rsidR="00F42DF1" w:rsidRPr="0075449C">
        <w:t>Psychological</w:t>
      </w:r>
      <w:r w:rsidRPr="0075449C">
        <w:t xml:space="preserve"> Mechanisms?</w:t>
      </w:r>
    </w:p>
    <w:p w14:paraId="76B6F14F" w14:textId="77777777" w:rsidR="00F42DF1" w:rsidRPr="0075449C" w:rsidRDefault="00F42DF1" w:rsidP="00106F57">
      <w:pPr>
        <w:autoSpaceDE w:val="0"/>
        <w:autoSpaceDN w:val="0"/>
        <w:adjustRightInd w:val="0"/>
        <w:spacing w:after="0" w:line="480" w:lineRule="auto"/>
        <w:ind w:firstLine="720"/>
        <w:rPr>
          <w:rFonts w:cs="AdvTT6120e2aa"/>
        </w:rPr>
      </w:pPr>
      <w:r w:rsidRPr="0075449C">
        <w:rPr>
          <w:rFonts w:cs="AdvTT6120e2aa"/>
        </w:rPr>
        <w:t>Natural selection increase</w:t>
      </w:r>
      <w:r w:rsidR="002B2608">
        <w:rPr>
          <w:rFonts w:cs="AdvTT6120e2aa"/>
        </w:rPr>
        <w:t>s</w:t>
      </w:r>
      <w:r w:rsidRPr="0075449C">
        <w:rPr>
          <w:rFonts w:cs="AdvTT6120e2aa"/>
        </w:rPr>
        <w:t xml:space="preserve"> the prevalence of adaptive traits </w:t>
      </w:r>
      <w:r w:rsidR="003A6CCB" w:rsidRPr="0075449C">
        <w:rPr>
          <w:rFonts w:cs="AdvTT6120e2aa"/>
        </w:rPr>
        <w:t xml:space="preserve">that </w:t>
      </w:r>
      <w:r w:rsidR="00A2407E" w:rsidRPr="0075449C">
        <w:rPr>
          <w:rFonts w:cs="AdvTT6120e2aa"/>
        </w:rPr>
        <w:t>benefit</w:t>
      </w:r>
      <w:r w:rsidRPr="0075449C">
        <w:rPr>
          <w:rFonts w:cs="AdvTT6120e2aa"/>
        </w:rPr>
        <w:t xml:space="preserve"> successful reproduction </w:t>
      </w:r>
      <w:r w:rsidR="00225134" w:rsidRPr="0075449C">
        <w:rPr>
          <w:rFonts w:cs="AdvTT6120e2aa"/>
        </w:rPr>
        <w:t>and</w:t>
      </w:r>
      <w:r w:rsidRPr="0075449C">
        <w:rPr>
          <w:rFonts w:cs="AdvTT6120e2aa"/>
        </w:rPr>
        <w:t xml:space="preserve"> survival (Dobzhansky, 1956). Crime and violence, particularly sexual assault, </w:t>
      </w:r>
      <w:r w:rsidR="00225134" w:rsidRPr="0075449C">
        <w:rPr>
          <w:rFonts w:cs="AdvTT6120e2aa"/>
        </w:rPr>
        <w:t xml:space="preserve">can </w:t>
      </w:r>
      <w:r w:rsidRPr="0075449C">
        <w:rPr>
          <w:rFonts w:cs="AdvTT6120e2aa"/>
        </w:rPr>
        <w:t xml:space="preserve">reduce </w:t>
      </w:r>
      <w:r w:rsidR="00824617" w:rsidRPr="0075449C">
        <w:rPr>
          <w:rFonts w:cs="AdvTT6120e2aa"/>
        </w:rPr>
        <w:t xml:space="preserve">significantly </w:t>
      </w:r>
      <w:r w:rsidRPr="0075449C">
        <w:rPr>
          <w:rFonts w:cs="AdvTT6120e2aa"/>
        </w:rPr>
        <w:t>a female’s fitness as well as her relatives’ and close allies’ fitness (</w:t>
      </w:r>
      <w:r w:rsidR="003D6A12">
        <w:rPr>
          <w:rFonts w:cs="AdvTT6120e2aa"/>
        </w:rPr>
        <w:t>e.g.,</w:t>
      </w:r>
      <w:r w:rsidRPr="0075449C">
        <w:rPr>
          <w:rFonts w:cs="AdvTT6120e2aa"/>
        </w:rPr>
        <w:t xml:space="preserve"> see Duntley &amp; Shackelford, 2012). Criminal victimisation has multiple costs </w:t>
      </w:r>
      <w:r w:rsidRPr="0075449C">
        <w:rPr>
          <w:rFonts w:cs="AdvPTimesB"/>
        </w:rPr>
        <w:t>(Perilloux</w:t>
      </w:r>
      <w:r w:rsidR="00797B63">
        <w:rPr>
          <w:rFonts w:cs="AdvPTimesB"/>
        </w:rPr>
        <w:t xml:space="preserve"> </w:t>
      </w:r>
      <w:r w:rsidR="003D6A12">
        <w:rPr>
          <w:rFonts w:cs="AdvPTimesB"/>
        </w:rPr>
        <w:t>et al.</w:t>
      </w:r>
      <w:r w:rsidRPr="0075449C">
        <w:rPr>
          <w:rFonts w:cs="AdvPTimesB"/>
        </w:rPr>
        <w:t xml:space="preserve"> 2012), </w:t>
      </w:r>
      <w:r w:rsidRPr="0075449C">
        <w:rPr>
          <w:rFonts w:cs="AdvTT6120e2aa"/>
        </w:rPr>
        <w:t>including physical and psychological pain (Thornhill &amp; Palmer, 2000),</w:t>
      </w:r>
      <w:r w:rsidR="0063104D" w:rsidRPr="0075449C">
        <w:rPr>
          <w:rFonts w:cs="AdvTT6120e2aa"/>
        </w:rPr>
        <w:t xml:space="preserve"> such as depression (</w:t>
      </w:r>
      <w:r w:rsidR="00A86F66">
        <w:t>Atkeson</w:t>
      </w:r>
      <w:r w:rsidR="0063104D" w:rsidRPr="0075449C">
        <w:t xml:space="preserve"> </w:t>
      </w:r>
      <w:r w:rsidR="00797B63">
        <w:t>et al.</w:t>
      </w:r>
      <w:r w:rsidR="0063104D" w:rsidRPr="0075449C">
        <w:t xml:space="preserve"> 1982), </w:t>
      </w:r>
      <w:r w:rsidRPr="0075449C">
        <w:rPr>
          <w:rFonts w:cs="AdvTT6120e2aa"/>
        </w:rPr>
        <w:t>untimely pregnancy with an undesired mate (</w:t>
      </w:r>
      <w:r w:rsidRPr="0075449C">
        <w:rPr>
          <w:rFonts w:cs="AdvPTimes"/>
        </w:rPr>
        <w:t>Gottschall &amp; Gottschall, 2003),</w:t>
      </w:r>
      <w:r w:rsidRPr="0075449C">
        <w:rPr>
          <w:rFonts w:cs="AdvPTimesB"/>
        </w:rPr>
        <w:t xml:space="preserve"> or death</w:t>
      </w:r>
      <w:r w:rsidR="00517B93" w:rsidRPr="0075449C">
        <w:rPr>
          <w:rFonts w:cs="AdvPTimesB"/>
        </w:rPr>
        <w:t xml:space="preserve"> (Duntley &amp; Shackelford, 2012)</w:t>
      </w:r>
      <w:r w:rsidRPr="0075449C">
        <w:rPr>
          <w:rFonts w:cs="AdvPTimesB"/>
        </w:rPr>
        <w:t xml:space="preserve">, resulting in additional costs such as loss of future reproduction and </w:t>
      </w:r>
      <w:r w:rsidR="00225134" w:rsidRPr="0075449C">
        <w:rPr>
          <w:rFonts w:cs="AdvPTimesB"/>
        </w:rPr>
        <w:t xml:space="preserve">harm </w:t>
      </w:r>
      <w:r w:rsidRPr="0075449C">
        <w:rPr>
          <w:rFonts w:cs="AdvPTimesB"/>
        </w:rPr>
        <w:t>to existing offspring</w:t>
      </w:r>
      <w:r w:rsidRPr="0075449C">
        <w:rPr>
          <w:rFonts w:cs="AdvTT6120e2aa"/>
        </w:rPr>
        <w:t>. As such</w:t>
      </w:r>
      <w:r w:rsidR="00225134" w:rsidRPr="0075449C">
        <w:rPr>
          <w:rFonts w:cs="AdvTT6120e2aa"/>
        </w:rPr>
        <w:t>,</w:t>
      </w:r>
      <w:r w:rsidRPr="0075449C">
        <w:rPr>
          <w:rFonts w:cs="AdvTT6120e2aa"/>
        </w:rPr>
        <w:t xml:space="preserve"> evolutionary theorists (</w:t>
      </w:r>
      <w:r w:rsidR="003D6A12">
        <w:rPr>
          <w:rFonts w:cs="AdvTT6120e2aa"/>
        </w:rPr>
        <w:t>e.g.,</w:t>
      </w:r>
      <w:r w:rsidRPr="0075449C">
        <w:rPr>
          <w:rFonts w:cs="AdvTT6120e2aa"/>
        </w:rPr>
        <w:t xml:space="preserve"> Duntley &amp; Shackelford, 2012; Smuts, 199</w:t>
      </w:r>
      <w:r w:rsidR="00CE3D3E" w:rsidRPr="0075449C">
        <w:rPr>
          <w:rFonts w:cs="AdvTT6120e2aa"/>
        </w:rPr>
        <w:t xml:space="preserve">2) have argued that violence during our </w:t>
      </w:r>
      <w:r w:rsidRPr="0075449C">
        <w:rPr>
          <w:rFonts w:cs="AdvTT6120e2aa"/>
        </w:rPr>
        <w:t xml:space="preserve">ancestral history has contributed to shaping the psychology of women through the production of adaptations </w:t>
      </w:r>
      <w:r w:rsidR="00CE3D3E" w:rsidRPr="0075449C">
        <w:rPr>
          <w:rFonts w:cs="AdvTT6120e2aa"/>
        </w:rPr>
        <w:t>that are designed to</w:t>
      </w:r>
      <w:r w:rsidR="00F6399F" w:rsidRPr="0075449C">
        <w:rPr>
          <w:rFonts w:cs="AdvTT6120e2aa"/>
        </w:rPr>
        <w:t xml:space="preserve"> reduce victimisation costs.</w:t>
      </w:r>
    </w:p>
    <w:p w14:paraId="63544E8C" w14:textId="77777777" w:rsidR="00072EA6" w:rsidRPr="0075449C" w:rsidRDefault="00F42DF1" w:rsidP="00106F57">
      <w:pPr>
        <w:autoSpaceDE w:val="0"/>
        <w:autoSpaceDN w:val="0"/>
        <w:adjustRightInd w:val="0"/>
        <w:spacing w:after="0" w:line="480" w:lineRule="auto"/>
        <w:ind w:firstLine="720"/>
        <w:rPr>
          <w:rFonts w:cs="AdvTT6120e2aa"/>
        </w:rPr>
      </w:pPr>
      <w:r w:rsidRPr="0075449C">
        <w:rPr>
          <w:rFonts w:cs="AdvTT6120e2aa"/>
        </w:rPr>
        <w:t>Duntley and Shackelford (2012) argue that</w:t>
      </w:r>
      <w:r w:rsidR="00824617">
        <w:rPr>
          <w:rFonts w:cs="AdvTT6120e2aa"/>
        </w:rPr>
        <w:t>,</w:t>
      </w:r>
      <w:r w:rsidRPr="0075449C">
        <w:rPr>
          <w:rFonts w:cs="AdvTT6120e2aa"/>
        </w:rPr>
        <w:t xml:space="preserve"> whilst avoidance of violence is the most effective strategy, an attack </w:t>
      </w:r>
      <w:r w:rsidR="005108D6" w:rsidRPr="0075449C">
        <w:rPr>
          <w:rFonts w:cs="AdvTT6120e2aa"/>
        </w:rPr>
        <w:t>may not always be unavoidable,</w:t>
      </w:r>
      <w:r w:rsidRPr="0075449C">
        <w:rPr>
          <w:rFonts w:cs="AdvTT6120e2aa"/>
        </w:rPr>
        <w:t xml:space="preserve"> and </w:t>
      </w:r>
      <w:r w:rsidR="005108D6" w:rsidRPr="0075449C">
        <w:rPr>
          <w:rFonts w:cs="AdvTT6120e2aa"/>
        </w:rPr>
        <w:t>thus</w:t>
      </w:r>
      <w:r w:rsidR="00F6399F" w:rsidRPr="0075449C">
        <w:rPr>
          <w:rFonts w:cs="AdvTT6120e2aa"/>
        </w:rPr>
        <w:t xml:space="preserve"> individuals often must</w:t>
      </w:r>
      <w:r w:rsidRPr="0075449C">
        <w:rPr>
          <w:rFonts w:cs="AdvTT6120e2aa"/>
        </w:rPr>
        <w:t xml:space="preserve"> resort to alternative strategies</w:t>
      </w:r>
      <w:r w:rsidR="002A4169" w:rsidRPr="0075449C">
        <w:rPr>
          <w:rFonts w:cs="AdvTT6120e2aa"/>
        </w:rPr>
        <w:t xml:space="preserve"> for protection</w:t>
      </w:r>
      <w:r w:rsidR="00A87CEC" w:rsidRPr="0075449C">
        <w:rPr>
          <w:rFonts w:cs="AdvTT6120e2aa"/>
        </w:rPr>
        <w:t>.</w:t>
      </w:r>
      <w:r w:rsidRPr="0075449C">
        <w:rPr>
          <w:rFonts w:cs="AdvTT6120e2aa"/>
        </w:rPr>
        <w:t xml:space="preserve"> </w:t>
      </w:r>
      <w:r w:rsidR="005108D6" w:rsidRPr="0075449C">
        <w:rPr>
          <w:rFonts w:cs="AdvTT6120e2aa"/>
        </w:rPr>
        <w:t>T</w:t>
      </w:r>
      <w:r w:rsidRPr="0075449C">
        <w:rPr>
          <w:rFonts w:cs="AdvTT6120e2aa"/>
        </w:rPr>
        <w:t xml:space="preserve">hey hypothesise that people have evolved adaptations to </w:t>
      </w:r>
      <w:r w:rsidR="00F6399F" w:rsidRPr="0075449C">
        <w:rPr>
          <w:rFonts w:cs="AdvTT6120e2aa"/>
        </w:rPr>
        <w:t xml:space="preserve">reduce their risk of </w:t>
      </w:r>
      <w:r w:rsidR="003A6CCB" w:rsidRPr="0075449C">
        <w:rPr>
          <w:rFonts w:cs="AdvTT6120e2aa"/>
        </w:rPr>
        <w:t>victimisation</w:t>
      </w:r>
      <w:r w:rsidRPr="0075449C">
        <w:rPr>
          <w:rFonts w:cs="AdvTT6120e2aa"/>
        </w:rPr>
        <w:t>. For example, wome</w:t>
      </w:r>
      <w:r w:rsidR="002A4169" w:rsidRPr="0075449C">
        <w:rPr>
          <w:rFonts w:cs="AdvTT6120e2aa"/>
        </w:rPr>
        <w:t>n’s mate selection criteria should, and indeed</w:t>
      </w:r>
      <w:r w:rsidR="00824617">
        <w:rPr>
          <w:rFonts w:cs="AdvTT6120e2aa"/>
        </w:rPr>
        <w:t>,</w:t>
      </w:r>
      <w:r w:rsidR="002A4169" w:rsidRPr="0075449C">
        <w:rPr>
          <w:rFonts w:cs="AdvTT6120e2aa"/>
        </w:rPr>
        <w:t xml:space="preserve"> </w:t>
      </w:r>
      <w:r w:rsidR="003A6CCB" w:rsidRPr="0075449C">
        <w:rPr>
          <w:rFonts w:cs="AdvTT6120e2aa"/>
        </w:rPr>
        <w:t>evidence suggests that it does</w:t>
      </w:r>
      <w:r w:rsidR="005108D6" w:rsidRPr="0075449C">
        <w:rPr>
          <w:rFonts w:cs="AdvTT6120e2aa"/>
        </w:rPr>
        <w:t>,</w:t>
      </w:r>
      <w:r w:rsidR="002A4169" w:rsidRPr="0075449C">
        <w:rPr>
          <w:rFonts w:cs="AdvTT6120e2aa"/>
        </w:rPr>
        <w:t xml:space="preserve"> include</w:t>
      </w:r>
      <w:r w:rsidRPr="0075449C">
        <w:rPr>
          <w:rFonts w:cs="AdvTT6120e2aa"/>
        </w:rPr>
        <w:t xml:space="preserve"> a preference for mates who can offer protection for themselves and their offspring (</w:t>
      </w:r>
      <w:r w:rsidR="003D6A12">
        <w:rPr>
          <w:rFonts w:cs="AdvTT6120e2aa"/>
        </w:rPr>
        <w:t>e.g.,</w:t>
      </w:r>
      <w:r w:rsidRPr="0075449C">
        <w:rPr>
          <w:rFonts w:cs="AdvTT6120e2aa"/>
        </w:rPr>
        <w:t xml:space="preserve"> Buss, 1994</w:t>
      </w:r>
      <w:r w:rsidR="00D826CD" w:rsidRPr="0075449C">
        <w:rPr>
          <w:rFonts w:cs="AdvTT6120e2aa"/>
        </w:rPr>
        <w:t xml:space="preserve">; </w:t>
      </w:r>
      <w:r w:rsidR="00D826CD" w:rsidRPr="0075449C">
        <w:rPr>
          <w:rFonts w:cs="Arial"/>
          <w:lang w:eastAsia="en-GB"/>
        </w:rPr>
        <w:t>Snyder</w:t>
      </w:r>
      <w:r w:rsidR="00797B63">
        <w:rPr>
          <w:rFonts w:cs="Arial"/>
          <w:lang w:eastAsia="en-GB"/>
        </w:rPr>
        <w:t xml:space="preserve"> et al. </w:t>
      </w:r>
      <w:r w:rsidR="00D826CD" w:rsidRPr="0075449C">
        <w:rPr>
          <w:rFonts w:cs="Arial"/>
          <w:lang w:eastAsia="en-GB"/>
        </w:rPr>
        <w:t>2011</w:t>
      </w:r>
      <w:r w:rsidRPr="0075449C">
        <w:rPr>
          <w:rFonts w:cs="AdvTT6120e2aa"/>
        </w:rPr>
        <w:t xml:space="preserve">) through being physically formidable and dominant, known as “the bodyguard hypothesis” (Wilson &amp; Mesnick, 1997). </w:t>
      </w:r>
      <w:r w:rsidRPr="0075449C">
        <w:rPr>
          <w:rFonts w:cs="Arial"/>
          <w:lang w:eastAsia="en-GB"/>
        </w:rPr>
        <w:t xml:space="preserve">For example, women prefer protective qualities in male friends (Bleske-Rechek &amp; Buss, 2001) and short-term or extra-pair mating partners (Buss &amp; Schmitt, 1993; Greiling &amp; Buss, 2000), supposedly due to the protection they can </w:t>
      </w:r>
      <w:r w:rsidR="00F6399F" w:rsidRPr="0075449C">
        <w:rPr>
          <w:rFonts w:cs="Arial"/>
          <w:lang w:eastAsia="en-GB"/>
        </w:rPr>
        <w:t>afford</w:t>
      </w:r>
      <w:r w:rsidRPr="0075449C">
        <w:rPr>
          <w:rFonts w:cs="Arial"/>
          <w:lang w:eastAsia="en-GB"/>
        </w:rPr>
        <w:t xml:space="preserve">. </w:t>
      </w:r>
      <w:r w:rsidR="008157A9" w:rsidRPr="0075449C">
        <w:rPr>
          <w:rFonts w:cs="Arial"/>
          <w:lang w:eastAsia="en-GB"/>
        </w:rPr>
        <w:t xml:space="preserve"> </w:t>
      </w:r>
    </w:p>
    <w:p w14:paraId="34562B99" w14:textId="77777777" w:rsidR="00E15DFF" w:rsidRPr="00D16124" w:rsidRDefault="00F42DF1" w:rsidP="00106F57">
      <w:pPr>
        <w:autoSpaceDE w:val="0"/>
        <w:autoSpaceDN w:val="0"/>
        <w:adjustRightInd w:val="0"/>
        <w:spacing w:after="0" w:line="480" w:lineRule="auto"/>
        <w:ind w:firstLine="720"/>
        <w:rPr>
          <w:rFonts w:cs="Baskerville"/>
        </w:rPr>
      </w:pPr>
      <w:r w:rsidRPr="0075449C">
        <w:rPr>
          <w:rFonts w:cs="Arial"/>
          <w:lang w:eastAsia="en-GB"/>
        </w:rPr>
        <w:t xml:space="preserve">However, </w:t>
      </w:r>
      <w:r w:rsidR="00225134" w:rsidRPr="0075449C">
        <w:rPr>
          <w:rFonts w:cs="Arial"/>
          <w:lang w:eastAsia="en-GB"/>
        </w:rPr>
        <w:t>men who have these</w:t>
      </w:r>
      <w:r w:rsidRPr="0075449C">
        <w:rPr>
          <w:rFonts w:cs="Arial"/>
          <w:lang w:eastAsia="en-GB"/>
        </w:rPr>
        <w:t xml:space="preserve"> protective qualities also </w:t>
      </w:r>
      <w:r w:rsidR="00225134" w:rsidRPr="0075449C">
        <w:rPr>
          <w:rFonts w:cs="Arial"/>
          <w:lang w:eastAsia="en-GB"/>
        </w:rPr>
        <w:t xml:space="preserve">have less desirable </w:t>
      </w:r>
      <w:r w:rsidRPr="0075449C">
        <w:rPr>
          <w:rFonts w:cs="Arial"/>
          <w:lang w:eastAsia="en-GB"/>
        </w:rPr>
        <w:t>traits</w:t>
      </w:r>
      <w:r w:rsidR="008157A9" w:rsidRPr="0075449C">
        <w:rPr>
          <w:rFonts w:cs="Arial"/>
          <w:lang w:eastAsia="en-GB"/>
        </w:rPr>
        <w:t xml:space="preserve"> </w:t>
      </w:r>
      <w:r w:rsidR="00225134" w:rsidRPr="0075449C">
        <w:rPr>
          <w:rFonts w:cs="Arial"/>
          <w:lang w:eastAsia="en-GB"/>
        </w:rPr>
        <w:t>that are</w:t>
      </w:r>
      <w:r w:rsidR="008157A9" w:rsidRPr="0075449C">
        <w:rPr>
          <w:rFonts w:cs="Arial"/>
          <w:lang w:eastAsia="en-GB"/>
        </w:rPr>
        <w:t xml:space="preserve"> </w:t>
      </w:r>
      <w:r w:rsidR="00225134" w:rsidRPr="0075449C">
        <w:rPr>
          <w:rFonts w:cs="Arial"/>
          <w:lang w:eastAsia="en-GB"/>
        </w:rPr>
        <w:t>costly to their mates</w:t>
      </w:r>
      <w:r w:rsidRPr="0075449C">
        <w:rPr>
          <w:rFonts w:cs="Arial"/>
          <w:lang w:eastAsia="en-GB"/>
        </w:rPr>
        <w:t xml:space="preserve">. Traits that enable protection, such as aggression, dominance and physical </w:t>
      </w:r>
      <w:r w:rsidRPr="0075449C">
        <w:rPr>
          <w:rFonts w:cs="Arial"/>
          <w:lang w:eastAsia="en-GB"/>
        </w:rPr>
        <w:lastRenderedPageBreak/>
        <w:t xml:space="preserve">formidability, can also be costly to partners (Snyder et al. 2011). </w:t>
      </w:r>
      <w:r w:rsidR="00917A83">
        <w:rPr>
          <w:rFonts w:cs="Arial"/>
          <w:lang w:eastAsia="en-GB"/>
        </w:rPr>
        <w:t>For example, a</w:t>
      </w:r>
      <w:r w:rsidRPr="0075449C">
        <w:rPr>
          <w:rFonts w:cs="Arial"/>
          <w:lang w:eastAsia="en-GB"/>
        </w:rPr>
        <w:t>ggressive traits (</w:t>
      </w:r>
      <w:r w:rsidR="003D6A12">
        <w:rPr>
          <w:rFonts w:cs="Arial"/>
          <w:lang w:eastAsia="en-GB"/>
        </w:rPr>
        <w:t>e.g.,</w:t>
      </w:r>
      <w:r w:rsidR="001242E7">
        <w:rPr>
          <w:rFonts w:cs="Arial"/>
          <w:lang w:eastAsia="en-GB"/>
        </w:rPr>
        <w:t xml:space="preserve"> </w:t>
      </w:r>
      <w:r w:rsidR="00517B93" w:rsidRPr="0075449C">
        <w:rPr>
          <w:rFonts w:cs="Arial"/>
          <w:lang w:eastAsia="en-GB"/>
        </w:rPr>
        <w:t>anti-sociability</w:t>
      </w:r>
      <w:r w:rsidR="00917A83">
        <w:rPr>
          <w:rFonts w:cs="Arial"/>
          <w:lang w:eastAsia="en-GB"/>
        </w:rPr>
        <w:t xml:space="preserve"> and</w:t>
      </w:r>
      <w:r w:rsidRPr="0075449C">
        <w:rPr>
          <w:rFonts w:cs="Arial"/>
          <w:lang w:eastAsia="en-GB"/>
        </w:rPr>
        <w:t xml:space="preserve"> anger</w:t>
      </w:r>
      <w:r w:rsidR="00917A83">
        <w:rPr>
          <w:rFonts w:cs="Arial"/>
          <w:lang w:eastAsia="en-GB"/>
        </w:rPr>
        <w:t>)</w:t>
      </w:r>
      <w:r w:rsidRPr="0075449C">
        <w:rPr>
          <w:rFonts w:cs="Arial"/>
          <w:lang w:eastAsia="en-GB"/>
        </w:rPr>
        <w:t xml:space="preserve"> </w:t>
      </w:r>
      <w:r w:rsidR="005108D6" w:rsidRPr="0075449C">
        <w:rPr>
          <w:rFonts w:cs="Arial"/>
          <w:lang w:eastAsia="en-GB"/>
        </w:rPr>
        <w:t>predict</w:t>
      </w:r>
      <w:r w:rsidRPr="0075449C">
        <w:rPr>
          <w:rFonts w:cs="Arial"/>
          <w:lang w:eastAsia="en-GB"/>
        </w:rPr>
        <w:t xml:space="preserve"> partner abuse (Lorber &amp; O’Leary, 2004) and </w:t>
      </w:r>
      <w:r w:rsidR="005108D6" w:rsidRPr="0075449C">
        <w:rPr>
          <w:rFonts w:cs="Arial"/>
          <w:lang w:eastAsia="en-GB"/>
        </w:rPr>
        <w:t>have been</w:t>
      </w:r>
      <w:r w:rsidRPr="0075449C">
        <w:rPr>
          <w:rFonts w:cs="Arial"/>
          <w:lang w:eastAsia="en-GB"/>
        </w:rPr>
        <w:t xml:space="preserve"> associated with coercion (</w:t>
      </w:r>
      <w:r w:rsidR="003D6A12">
        <w:rPr>
          <w:rFonts w:cs="Arial"/>
          <w:lang w:eastAsia="en-GB"/>
        </w:rPr>
        <w:t>e.g.,</w:t>
      </w:r>
      <w:r w:rsidRPr="0075449C">
        <w:rPr>
          <w:rFonts w:cs="Arial"/>
          <w:lang w:eastAsia="en-GB"/>
        </w:rPr>
        <w:t xml:space="preserve"> Hawley, 2003). Coercion, as well as increased anger, physical aggression</w:t>
      </w:r>
      <w:r w:rsidR="00126B24" w:rsidRPr="0075449C">
        <w:rPr>
          <w:rFonts w:cs="Arial"/>
          <w:lang w:eastAsia="en-GB"/>
        </w:rPr>
        <w:t>,</w:t>
      </w:r>
      <w:r w:rsidRPr="0075449C">
        <w:rPr>
          <w:rFonts w:cs="Arial"/>
          <w:lang w:eastAsia="en-GB"/>
        </w:rPr>
        <w:t xml:space="preserve"> and involvement in fights are also more prevalent in men who are </w:t>
      </w:r>
      <w:r w:rsidR="002B427A" w:rsidRPr="0075449C">
        <w:rPr>
          <w:rFonts w:cs="Arial"/>
          <w:lang w:eastAsia="en-GB"/>
        </w:rPr>
        <w:t xml:space="preserve">physically </w:t>
      </w:r>
      <w:r w:rsidRPr="0075449C">
        <w:rPr>
          <w:rFonts w:cs="Arial"/>
          <w:lang w:eastAsia="en-GB"/>
        </w:rPr>
        <w:t>stronger than average (Archer &amp; Thanzami, 2009; Sell</w:t>
      </w:r>
      <w:r w:rsidR="00797B63">
        <w:rPr>
          <w:rFonts w:cs="Arial"/>
          <w:lang w:eastAsia="en-GB"/>
        </w:rPr>
        <w:t xml:space="preserve"> et al. </w:t>
      </w:r>
      <w:r w:rsidRPr="0075449C">
        <w:rPr>
          <w:rFonts w:cs="Arial"/>
          <w:lang w:eastAsia="en-GB"/>
        </w:rPr>
        <w:t xml:space="preserve">2009). Moreover, </w:t>
      </w:r>
      <w:r w:rsidR="001827F6" w:rsidRPr="0075449C">
        <w:rPr>
          <w:rFonts w:cs="Arial"/>
          <w:lang w:eastAsia="en-GB"/>
        </w:rPr>
        <w:t xml:space="preserve">high testosterone in men </w:t>
      </w:r>
      <w:r w:rsidR="002B427A" w:rsidRPr="0075449C">
        <w:rPr>
          <w:rFonts w:cs="Arial"/>
          <w:lang w:eastAsia="en-GB"/>
        </w:rPr>
        <w:t xml:space="preserve">is </w:t>
      </w:r>
      <w:r w:rsidR="001827F6" w:rsidRPr="0075449C">
        <w:rPr>
          <w:rFonts w:cs="Arial"/>
          <w:lang w:eastAsia="en-GB"/>
        </w:rPr>
        <w:t>associated</w:t>
      </w:r>
      <w:r w:rsidR="002B427A" w:rsidRPr="0075449C">
        <w:rPr>
          <w:rFonts w:cs="Arial"/>
          <w:lang w:eastAsia="en-GB"/>
        </w:rPr>
        <w:t xml:space="preserve"> with </w:t>
      </w:r>
      <w:r w:rsidR="001827F6" w:rsidRPr="0075449C">
        <w:rPr>
          <w:rFonts w:cs="Arial"/>
          <w:lang w:eastAsia="en-GB"/>
        </w:rPr>
        <w:t>lower sympa</w:t>
      </w:r>
      <w:r w:rsidR="00A87CEC" w:rsidRPr="0075449C">
        <w:rPr>
          <w:rFonts w:cs="Arial"/>
          <w:lang w:eastAsia="en-GB"/>
        </w:rPr>
        <w:t xml:space="preserve">thy and </w:t>
      </w:r>
      <w:r w:rsidR="00126B24" w:rsidRPr="0075449C">
        <w:rPr>
          <w:rFonts w:cs="Arial"/>
          <w:lang w:eastAsia="en-GB"/>
        </w:rPr>
        <w:t xml:space="preserve">decreased </w:t>
      </w:r>
      <w:r w:rsidR="00A87CEC" w:rsidRPr="0075449C">
        <w:rPr>
          <w:rFonts w:cs="Arial"/>
          <w:lang w:eastAsia="en-GB"/>
        </w:rPr>
        <w:t>response to infant cries</w:t>
      </w:r>
      <w:r w:rsidRPr="0075449C">
        <w:rPr>
          <w:rFonts w:cs="Arial"/>
          <w:lang w:eastAsia="en-GB"/>
        </w:rPr>
        <w:t xml:space="preserve"> (Fleming</w:t>
      </w:r>
      <w:r w:rsidR="00797B63">
        <w:rPr>
          <w:rFonts w:cs="Arial"/>
          <w:lang w:eastAsia="en-GB"/>
        </w:rPr>
        <w:t xml:space="preserve"> </w:t>
      </w:r>
      <w:r w:rsidR="003D6A12">
        <w:rPr>
          <w:rFonts w:cs="Arial"/>
          <w:lang w:eastAsia="en-GB"/>
        </w:rPr>
        <w:t>et al.</w:t>
      </w:r>
      <w:r w:rsidRPr="0075449C">
        <w:rPr>
          <w:rFonts w:cs="Arial"/>
          <w:lang w:eastAsia="en-GB"/>
        </w:rPr>
        <w:t xml:space="preserve"> 2002). Despite these costs, some women still desire</w:t>
      </w:r>
      <w:r w:rsidR="001827F6" w:rsidRPr="0075449C">
        <w:rPr>
          <w:rFonts w:cs="Arial"/>
          <w:lang w:eastAsia="en-GB"/>
        </w:rPr>
        <w:t xml:space="preserve"> men with tr</w:t>
      </w:r>
      <w:r w:rsidR="00A87CEC" w:rsidRPr="0075449C">
        <w:rPr>
          <w:rFonts w:cs="Arial"/>
          <w:lang w:eastAsia="en-GB"/>
        </w:rPr>
        <w:t>aits associated with aggressive-</w:t>
      </w:r>
      <w:r w:rsidR="001827F6" w:rsidRPr="0075449C">
        <w:rPr>
          <w:rFonts w:cs="Arial"/>
          <w:lang w:eastAsia="en-GB"/>
        </w:rPr>
        <w:t>formidability</w:t>
      </w:r>
      <w:r w:rsidR="00A2407E" w:rsidRPr="0075449C">
        <w:rPr>
          <w:rFonts w:cs="Arial"/>
          <w:lang w:eastAsia="en-GB"/>
        </w:rPr>
        <w:t>.</w:t>
      </w:r>
      <w:r w:rsidR="00D16124">
        <w:rPr>
          <w:rFonts w:cs="Arial"/>
          <w:lang w:eastAsia="en-GB"/>
        </w:rPr>
        <w:t xml:space="preserve"> </w:t>
      </w:r>
    </w:p>
    <w:p w14:paraId="68D36525" w14:textId="262F2025" w:rsidR="007B19E7" w:rsidRPr="0075449C" w:rsidRDefault="00A2407E" w:rsidP="00E734FA">
      <w:pPr>
        <w:autoSpaceDE w:val="0"/>
        <w:autoSpaceDN w:val="0"/>
        <w:adjustRightInd w:val="0"/>
        <w:spacing w:after="0" w:line="480" w:lineRule="auto"/>
        <w:rPr>
          <w:rFonts w:cs="Helvetica"/>
          <w:lang w:val="en-US"/>
        </w:rPr>
      </w:pPr>
      <w:r w:rsidRPr="0075449C">
        <w:rPr>
          <w:rFonts w:cs="Helvetica"/>
          <w:lang w:val="en-US"/>
        </w:rPr>
        <w:tab/>
      </w:r>
      <w:r w:rsidR="00FB43C1" w:rsidRPr="0075449C">
        <w:rPr>
          <w:rFonts w:cs="Helvetica"/>
          <w:lang w:val="en-US"/>
        </w:rPr>
        <w:t xml:space="preserve">Snyder et al. </w:t>
      </w:r>
      <w:r w:rsidR="00824617">
        <w:rPr>
          <w:rFonts w:cs="Helvetica"/>
          <w:lang w:val="en-US"/>
        </w:rPr>
        <w:t>posit</w:t>
      </w:r>
      <w:r w:rsidR="00FB43C1" w:rsidRPr="0075449C">
        <w:rPr>
          <w:rFonts w:cs="Helvetica"/>
          <w:lang w:val="en-US"/>
        </w:rPr>
        <w:t xml:space="preserve"> that women’s long-term mate preferences </w:t>
      </w:r>
      <w:r w:rsidR="00F6399F" w:rsidRPr="0075449C">
        <w:rPr>
          <w:rFonts w:cs="Helvetica"/>
          <w:lang w:val="en-US"/>
        </w:rPr>
        <w:t>are the product of</w:t>
      </w:r>
      <w:r w:rsidR="00FB43C1" w:rsidRPr="0075449C">
        <w:rPr>
          <w:rFonts w:cs="Helvetica"/>
          <w:lang w:val="en-US"/>
        </w:rPr>
        <w:t xml:space="preserve"> evolved psychological mechanisms, wherein women who feel vulnerable to violence select mates with traits indicative of aggressive dominance and physical formidability. </w:t>
      </w:r>
      <w:r w:rsidR="007C0602" w:rsidRPr="0075449C">
        <w:rPr>
          <w:rFonts w:cs="Helvetica"/>
          <w:lang w:val="en-US"/>
        </w:rPr>
        <w:t>T</w:t>
      </w:r>
      <w:r w:rsidR="007C0602" w:rsidRPr="0075449C">
        <w:rPr>
          <w:rFonts w:cs="Arial"/>
          <w:lang w:eastAsia="en-GB"/>
        </w:rPr>
        <w:t xml:space="preserve">hey </w:t>
      </w:r>
      <w:r w:rsidR="00824617">
        <w:rPr>
          <w:rFonts w:cs="Arial"/>
          <w:lang w:eastAsia="en-GB"/>
        </w:rPr>
        <w:t>maintain</w:t>
      </w:r>
      <w:r w:rsidR="007C0602" w:rsidRPr="0075449C">
        <w:rPr>
          <w:rFonts w:cs="Arial"/>
          <w:lang w:eastAsia="en-GB"/>
        </w:rPr>
        <w:t xml:space="preserve"> that preferences for </w:t>
      </w:r>
      <w:r w:rsidR="00126B24" w:rsidRPr="0075449C">
        <w:rPr>
          <w:rFonts w:cs="Arial"/>
          <w:lang w:eastAsia="en-GB"/>
        </w:rPr>
        <w:t>physica</w:t>
      </w:r>
      <w:r w:rsidR="007900A1">
        <w:rPr>
          <w:rFonts w:cs="Arial"/>
          <w:lang w:eastAsia="en-GB"/>
        </w:rPr>
        <w:t>l</w:t>
      </w:r>
      <w:r w:rsidR="00126B24" w:rsidRPr="0075449C">
        <w:rPr>
          <w:rFonts w:cs="Arial"/>
          <w:lang w:eastAsia="en-GB"/>
        </w:rPr>
        <w:t>l</w:t>
      </w:r>
      <w:r w:rsidR="007900A1">
        <w:rPr>
          <w:rFonts w:cs="Arial"/>
          <w:lang w:eastAsia="en-GB"/>
        </w:rPr>
        <w:t>y</w:t>
      </w:r>
      <w:r w:rsidR="00126B24" w:rsidRPr="0075449C">
        <w:rPr>
          <w:rFonts w:cs="Arial"/>
          <w:lang w:eastAsia="en-GB"/>
        </w:rPr>
        <w:t xml:space="preserve"> </w:t>
      </w:r>
      <w:r w:rsidR="007C0602" w:rsidRPr="0075449C">
        <w:rPr>
          <w:rFonts w:cs="Arial"/>
          <w:lang w:eastAsia="en-GB"/>
        </w:rPr>
        <w:t xml:space="preserve">formidable </w:t>
      </w:r>
      <w:r w:rsidR="00126B24" w:rsidRPr="0075449C">
        <w:rPr>
          <w:rFonts w:cs="Arial"/>
          <w:lang w:eastAsia="en-GB"/>
        </w:rPr>
        <w:t xml:space="preserve">and dominant </w:t>
      </w:r>
      <w:r w:rsidR="007C0602" w:rsidRPr="0075449C">
        <w:rPr>
          <w:rFonts w:cs="Arial"/>
          <w:lang w:eastAsia="en-GB"/>
        </w:rPr>
        <w:t xml:space="preserve">males </w:t>
      </w:r>
      <w:r w:rsidR="00126B24" w:rsidRPr="0075449C">
        <w:rPr>
          <w:rFonts w:cs="Arial"/>
          <w:lang w:eastAsia="en-GB"/>
        </w:rPr>
        <w:t xml:space="preserve">(PPFDM) </w:t>
      </w:r>
      <w:r w:rsidR="007C0602" w:rsidRPr="0075449C">
        <w:rPr>
          <w:rFonts w:cs="Arial"/>
          <w:lang w:eastAsia="en-GB"/>
        </w:rPr>
        <w:t>adapt to women’s circumstances</w:t>
      </w:r>
      <w:r w:rsidR="00126B24" w:rsidRPr="0075449C">
        <w:rPr>
          <w:rFonts w:cs="Arial"/>
          <w:lang w:eastAsia="en-GB"/>
        </w:rPr>
        <w:t>,</w:t>
      </w:r>
      <w:r w:rsidR="007C0602" w:rsidRPr="0075449C">
        <w:rPr>
          <w:rFonts w:cs="Arial"/>
          <w:lang w:eastAsia="en-GB"/>
        </w:rPr>
        <w:t xml:space="preserve"> and may fluctuate as the need for protection varies</w:t>
      </w:r>
      <w:r w:rsidR="00EA5BD4" w:rsidRPr="0075449C">
        <w:rPr>
          <w:rFonts w:cs="Arial"/>
          <w:lang w:eastAsia="en-GB"/>
        </w:rPr>
        <w:t xml:space="preserve">. </w:t>
      </w:r>
      <w:r w:rsidR="00824617">
        <w:rPr>
          <w:rFonts w:cs="Arial"/>
          <w:lang w:eastAsia="en-GB"/>
        </w:rPr>
        <w:t>Furthermore,</w:t>
      </w:r>
      <w:r w:rsidR="00EA5BD4" w:rsidRPr="0075449C">
        <w:rPr>
          <w:rFonts w:cs="Arial"/>
          <w:lang w:eastAsia="en-GB"/>
        </w:rPr>
        <w:t xml:space="preserve"> </w:t>
      </w:r>
      <w:r w:rsidR="00EA5BD4" w:rsidRPr="0075449C">
        <w:rPr>
          <w:rFonts w:cs="Helvetica"/>
          <w:lang w:val="en-US"/>
        </w:rPr>
        <w:t xml:space="preserve">women base their perceptions of </w:t>
      </w:r>
      <w:r w:rsidR="00126B24" w:rsidRPr="0075449C">
        <w:rPr>
          <w:rFonts w:cs="Helvetica"/>
          <w:lang w:val="en-US"/>
        </w:rPr>
        <w:t xml:space="preserve">how at </w:t>
      </w:r>
      <w:r w:rsidR="00EA5BD4" w:rsidRPr="0075449C">
        <w:rPr>
          <w:rFonts w:cs="Helvetica"/>
          <w:lang w:val="en-US"/>
        </w:rPr>
        <w:t xml:space="preserve">risk </w:t>
      </w:r>
      <w:r w:rsidR="00126B24" w:rsidRPr="0075449C">
        <w:rPr>
          <w:rFonts w:cs="Helvetica"/>
          <w:lang w:val="en-US"/>
        </w:rPr>
        <w:t xml:space="preserve">they are </w:t>
      </w:r>
      <w:r w:rsidR="00EA5BD4" w:rsidRPr="0075449C">
        <w:rPr>
          <w:rFonts w:cs="Helvetica"/>
          <w:lang w:val="en-US"/>
        </w:rPr>
        <w:t xml:space="preserve">on </w:t>
      </w:r>
      <w:r w:rsidR="00824617">
        <w:rPr>
          <w:rFonts w:cs="Helvetica"/>
          <w:lang w:val="en-US"/>
        </w:rPr>
        <w:t>the prevalence</w:t>
      </w:r>
      <w:r w:rsidR="00EA5BD4" w:rsidRPr="0075449C">
        <w:rPr>
          <w:rFonts w:cs="Helvetica"/>
          <w:lang w:val="en-US"/>
        </w:rPr>
        <w:t xml:space="preserve"> </w:t>
      </w:r>
      <w:r w:rsidR="00824617">
        <w:rPr>
          <w:rFonts w:cs="Helvetica"/>
          <w:lang w:val="en-US"/>
        </w:rPr>
        <w:t xml:space="preserve">of </w:t>
      </w:r>
      <w:r w:rsidR="00EA5BD4" w:rsidRPr="0075449C">
        <w:rPr>
          <w:rFonts w:cs="Helvetica"/>
          <w:lang w:val="en-US"/>
        </w:rPr>
        <w:t xml:space="preserve">violence in their environment, and on their ability to defend against it, whether on their own, or via protection </w:t>
      </w:r>
      <w:r w:rsidR="00126B24" w:rsidRPr="0075449C">
        <w:rPr>
          <w:rFonts w:cs="Helvetica"/>
          <w:lang w:val="en-US"/>
        </w:rPr>
        <w:t xml:space="preserve">afforded by </w:t>
      </w:r>
      <w:r w:rsidR="00EA5BD4" w:rsidRPr="0075449C">
        <w:rPr>
          <w:rFonts w:cs="Helvetica"/>
          <w:lang w:val="en-US"/>
        </w:rPr>
        <w:t>others</w:t>
      </w:r>
      <w:r w:rsidR="007C0602" w:rsidRPr="0075449C">
        <w:rPr>
          <w:rFonts w:cs="Arial"/>
          <w:lang w:eastAsia="en-GB"/>
        </w:rPr>
        <w:t>.</w:t>
      </w:r>
      <w:r w:rsidR="00063B74">
        <w:rPr>
          <w:rFonts w:cs="Arial"/>
          <w:lang w:eastAsia="en-GB"/>
        </w:rPr>
        <w:t xml:space="preserve"> </w:t>
      </w:r>
      <w:r w:rsidR="00E734FA">
        <w:rPr>
          <w:rFonts w:cs="Arial"/>
          <w:lang w:eastAsia="en-GB"/>
        </w:rPr>
        <w:t>Optimally, women’s mate preferences would be periodically updated in keeping with environmental circumstances</w:t>
      </w:r>
      <w:r w:rsidR="00C75D12">
        <w:rPr>
          <w:rFonts w:cs="Arial"/>
          <w:lang w:eastAsia="en-GB"/>
        </w:rPr>
        <w:t xml:space="preserve">. </w:t>
      </w:r>
      <w:r w:rsidR="007B19E7" w:rsidRPr="0075449C">
        <w:rPr>
          <w:rFonts w:cs="Helvetica"/>
          <w:lang w:val="en-US"/>
        </w:rPr>
        <w:t xml:space="preserve">Based on this theoretical framework, </w:t>
      </w:r>
      <w:r w:rsidR="00F043ED">
        <w:rPr>
          <w:rFonts w:cs="Helvetica"/>
          <w:lang w:val="en-US"/>
        </w:rPr>
        <w:t>Snyder and colleagues hypothesis</w:t>
      </w:r>
      <w:r w:rsidR="007B19E7" w:rsidRPr="0075449C">
        <w:rPr>
          <w:rFonts w:cs="Helvetica"/>
          <w:lang w:val="en-US"/>
        </w:rPr>
        <w:t xml:space="preserve">ed that women’s vulnerability to violent crime would predict </w:t>
      </w:r>
      <w:r w:rsidR="00126B24" w:rsidRPr="0075449C">
        <w:rPr>
          <w:rFonts w:cs="Helvetica"/>
          <w:lang w:val="en-US"/>
        </w:rPr>
        <w:t>PPFDM</w:t>
      </w:r>
      <w:r w:rsidR="00C071C6">
        <w:rPr>
          <w:rFonts w:cs="Helvetica"/>
          <w:lang w:val="en-US"/>
        </w:rPr>
        <w:t>, particularly in relation to long-term partner preferences</w:t>
      </w:r>
      <w:r w:rsidR="007B19E7" w:rsidRPr="0075449C">
        <w:rPr>
          <w:rFonts w:cs="Arial"/>
          <w:lang w:eastAsia="en-GB"/>
        </w:rPr>
        <w:t xml:space="preserve">. </w:t>
      </w:r>
      <w:r w:rsidR="00C071C6">
        <w:rPr>
          <w:rFonts w:cs="Arial"/>
          <w:lang w:eastAsia="en-GB"/>
        </w:rPr>
        <w:t>Put differently</w:t>
      </w:r>
      <w:r w:rsidR="00EA5BD4" w:rsidRPr="0075449C">
        <w:rPr>
          <w:rFonts w:cs="Arial"/>
          <w:lang w:eastAsia="en-GB"/>
        </w:rPr>
        <w:t>,</w:t>
      </w:r>
      <w:r w:rsidR="007C0602" w:rsidRPr="0075449C">
        <w:rPr>
          <w:rFonts w:cs="Arial"/>
          <w:lang w:eastAsia="en-GB"/>
        </w:rPr>
        <w:t xml:space="preserve"> </w:t>
      </w:r>
      <w:r w:rsidR="004F5D52">
        <w:rPr>
          <w:rFonts w:cs="Arial"/>
          <w:lang w:eastAsia="en-GB"/>
        </w:rPr>
        <w:t xml:space="preserve">the relationship between vulnerability and </w:t>
      </w:r>
      <w:r w:rsidR="00126B24" w:rsidRPr="0075449C">
        <w:rPr>
          <w:rFonts w:cs="Arial"/>
          <w:lang w:eastAsia="en-GB"/>
        </w:rPr>
        <w:t xml:space="preserve">PPFDM </w:t>
      </w:r>
      <w:r w:rsidR="004F5D52">
        <w:rPr>
          <w:rFonts w:cs="Arial"/>
          <w:lang w:eastAsia="en-GB"/>
        </w:rPr>
        <w:t>is</w:t>
      </w:r>
      <w:r w:rsidR="00126B24" w:rsidRPr="0075449C">
        <w:rPr>
          <w:rFonts w:cs="Arial"/>
          <w:lang w:eastAsia="en-GB"/>
        </w:rPr>
        <w:t xml:space="preserve"> </w:t>
      </w:r>
      <w:r w:rsidR="00F6399F" w:rsidRPr="0075449C">
        <w:rPr>
          <w:rFonts w:cs="Arial"/>
          <w:lang w:eastAsia="en-GB"/>
        </w:rPr>
        <w:t>strongest</w:t>
      </w:r>
      <w:r w:rsidR="00126B24" w:rsidRPr="0075449C">
        <w:rPr>
          <w:rFonts w:cs="Arial"/>
          <w:lang w:eastAsia="en-GB"/>
        </w:rPr>
        <w:t xml:space="preserve"> </w:t>
      </w:r>
      <w:r w:rsidR="007C0602" w:rsidRPr="0075449C">
        <w:rPr>
          <w:rFonts w:cs="Arial"/>
          <w:lang w:eastAsia="en-GB"/>
        </w:rPr>
        <w:t xml:space="preserve">when the benefits of </w:t>
      </w:r>
      <w:r w:rsidR="007B19E7" w:rsidRPr="0075449C">
        <w:rPr>
          <w:rFonts w:cs="Arial"/>
          <w:lang w:eastAsia="en-GB"/>
        </w:rPr>
        <w:t>formidable mates</w:t>
      </w:r>
      <w:r w:rsidR="007C0602" w:rsidRPr="0075449C">
        <w:rPr>
          <w:rFonts w:cs="Arial"/>
          <w:lang w:eastAsia="en-GB"/>
        </w:rPr>
        <w:t>, such as increased access to resources and</w:t>
      </w:r>
      <w:r w:rsidR="007B19E7" w:rsidRPr="0075449C">
        <w:rPr>
          <w:rFonts w:cs="Arial"/>
          <w:lang w:eastAsia="en-GB"/>
        </w:rPr>
        <w:t xml:space="preserve"> protection, outweigh the costs</w:t>
      </w:r>
      <w:r w:rsidR="00FB43C1" w:rsidRPr="0075449C">
        <w:rPr>
          <w:rFonts w:cs="Helvetica"/>
          <w:lang w:val="en-US"/>
        </w:rPr>
        <w:t xml:space="preserve">. </w:t>
      </w:r>
    </w:p>
    <w:p w14:paraId="1ACC5F1D" w14:textId="77777777" w:rsidR="00E734FA" w:rsidRDefault="00FB43C1" w:rsidP="00E734FA">
      <w:pPr>
        <w:widowControl w:val="0"/>
        <w:autoSpaceDE w:val="0"/>
        <w:autoSpaceDN w:val="0"/>
        <w:adjustRightInd w:val="0"/>
        <w:spacing w:after="0" w:line="480" w:lineRule="auto"/>
        <w:ind w:firstLine="720"/>
        <w:rPr>
          <w:rFonts w:cs="Helvetica"/>
          <w:lang w:val="en-US"/>
        </w:rPr>
      </w:pPr>
      <w:r w:rsidRPr="0075449C">
        <w:rPr>
          <w:rFonts w:cs="Helvetica"/>
          <w:lang w:val="en-US"/>
        </w:rPr>
        <w:t>To investigate</w:t>
      </w:r>
      <w:r w:rsidR="00A86F66">
        <w:rPr>
          <w:rFonts w:cs="Helvetica"/>
          <w:lang w:val="en-US"/>
        </w:rPr>
        <w:t xml:space="preserve"> the relationship between fea</w:t>
      </w:r>
      <w:r w:rsidR="00B20862">
        <w:rPr>
          <w:rFonts w:cs="Helvetica"/>
          <w:lang w:val="en-US"/>
        </w:rPr>
        <w:t>r of crime and mate preferences</w:t>
      </w:r>
      <w:r w:rsidRPr="0075449C">
        <w:rPr>
          <w:rFonts w:cs="Helvetica"/>
          <w:lang w:val="en-US"/>
        </w:rPr>
        <w:t xml:space="preserve">, </w:t>
      </w:r>
      <w:r w:rsidR="00126B24" w:rsidRPr="0075449C">
        <w:rPr>
          <w:rFonts w:cs="Helvetica"/>
          <w:lang w:val="en-US"/>
        </w:rPr>
        <w:t xml:space="preserve">Snyder </w:t>
      </w:r>
      <w:r w:rsidR="00917A83">
        <w:rPr>
          <w:rFonts w:cs="Helvetica"/>
          <w:lang w:val="en-US"/>
        </w:rPr>
        <w:t>et al.</w:t>
      </w:r>
      <w:r w:rsidR="00797B63">
        <w:rPr>
          <w:rFonts w:cs="Helvetica"/>
          <w:lang w:val="en-US"/>
        </w:rPr>
        <w:t xml:space="preserve"> </w:t>
      </w:r>
      <w:r w:rsidR="00126B24" w:rsidRPr="0075449C">
        <w:rPr>
          <w:rFonts w:cs="Helvetica"/>
          <w:lang w:val="en-US"/>
        </w:rPr>
        <w:t xml:space="preserve">(2011) </w:t>
      </w:r>
      <w:r w:rsidRPr="0075449C">
        <w:rPr>
          <w:rFonts w:cs="Helvetica"/>
          <w:lang w:val="en-US"/>
        </w:rPr>
        <w:t xml:space="preserve">measured women’s </w:t>
      </w:r>
      <w:r w:rsidR="004F5D52">
        <w:rPr>
          <w:rFonts w:cs="Helvetica"/>
          <w:lang w:val="en-US"/>
        </w:rPr>
        <w:t xml:space="preserve">PPFDM as well as their </w:t>
      </w:r>
      <w:r w:rsidRPr="0075449C">
        <w:rPr>
          <w:rFonts w:cs="Helvetica"/>
          <w:lang w:val="en-US"/>
        </w:rPr>
        <w:t>subjective perceived vulnerability to crime, asking them how worried they were about becoming a victim of various types of crime</w:t>
      </w:r>
      <w:r w:rsidR="00A87CEC" w:rsidRPr="0075449C">
        <w:rPr>
          <w:rFonts w:cs="Helvetica"/>
          <w:lang w:val="en-US"/>
        </w:rPr>
        <w:t xml:space="preserve"> </w:t>
      </w:r>
      <w:r w:rsidRPr="0075449C">
        <w:rPr>
          <w:rFonts w:cs="Helvetica"/>
          <w:lang w:val="en-US"/>
        </w:rPr>
        <w:t>(mugging, violent attack, sexual assault, burglary, vehicle damage/vandalism, theft of personal property, motor vehicle theft, and general vandalism)</w:t>
      </w:r>
      <w:r w:rsidR="004F5D52">
        <w:rPr>
          <w:rFonts w:cs="Helvetica"/>
          <w:lang w:val="en-US"/>
        </w:rPr>
        <w:t>,</w:t>
      </w:r>
      <w:r w:rsidR="00A87CEC" w:rsidRPr="0075449C">
        <w:rPr>
          <w:rFonts w:cs="Helvetica"/>
          <w:lang w:val="en-US"/>
        </w:rPr>
        <w:t xml:space="preserve"> using the British Fear of Local Crime Survey</w:t>
      </w:r>
      <w:r w:rsidRPr="0075449C">
        <w:rPr>
          <w:rFonts w:cs="Helvetica"/>
          <w:lang w:val="en-US"/>
        </w:rPr>
        <w:t>. They also estimated, based on zip code, women’s actual risk of crime (</w:t>
      </w:r>
      <w:r w:rsidR="004F5D52">
        <w:rPr>
          <w:rFonts w:cs="Helvetica"/>
          <w:lang w:val="en-US"/>
        </w:rPr>
        <w:t>i.e., based on</w:t>
      </w:r>
      <w:r w:rsidRPr="0075449C">
        <w:rPr>
          <w:rFonts w:cs="Helvetica"/>
          <w:lang w:val="en-US"/>
        </w:rPr>
        <w:t xml:space="preserve"> property and violent crime levels</w:t>
      </w:r>
      <w:r w:rsidR="004F5D52">
        <w:rPr>
          <w:rFonts w:cs="Helvetica"/>
          <w:lang w:val="en-US"/>
        </w:rPr>
        <w:t xml:space="preserve"> combined</w:t>
      </w:r>
      <w:r w:rsidRPr="0075449C">
        <w:rPr>
          <w:rFonts w:cs="Helvetica"/>
          <w:lang w:val="en-US"/>
        </w:rPr>
        <w:t xml:space="preserve">) in their present environment and childhood environment, as well as median household </w:t>
      </w:r>
      <w:r w:rsidRPr="0075449C">
        <w:rPr>
          <w:rFonts w:cs="Helvetica"/>
          <w:lang w:val="en-US"/>
        </w:rPr>
        <w:lastRenderedPageBreak/>
        <w:t xml:space="preserve">income and income inequality. They found that </w:t>
      </w:r>
      <w:r w:rsidR="003F469F" w:rsidRPr="0075449C">
        <w:rPr>
          <w:rFonts w:cs="Helvetica"/>
          <w:lang w:val="en-US"/>
        </w:rPr>
        <w:t>PPFDM</w:t>
      </w:r>
      <w:r w:rsidRPr="0075449C">
        <w:rPr>
          <w:rFonts w:cs="Helvetica"/>
          <w:lang w:val="en-US"/>
        </w:rPr>
        <w:t xml:space="preserve"> was related to subjective perceptions of crime (</w:t>
      </w:r>
      <w:r w:rsidR="00797B63">
        <w:rPr>
          <w:rFonts w:cs="Helvetica"/>
          <w:lang w:val="en-US"/>
        </w:rPr>
        <w:t>S</w:t>
      </w:r>
      <w:r w:rsidRPr="0075449C">
        <w:rPr>
          <w:rFonts w:cs="Helvetica"/>
          <w:lang w:val="en-US"/>
        </w:rPr>
        <w:t xml:space="preserve">tudies 1 and 2), as well as actual childhood levels of violence (but only in </w:t>
      </w:r>
      <w:r w:rsidR="00797B63">
        <w:rPr>
          <w:rFonts w:cs="Helvetica"/>
          <w:lang w:val="en-US"/>
        </w:rPr>
        <w:t>S</w:t>
      </w:r>
      <w:r w:rsidRPr="0075449C">
        <w:rPr>
          <w:rFonts w:cs="Helvetica"/>
          <w:lang w:val="en-US"/>
        </w:rPr>
        <w:t xml:space="preserve">tudy 1). Preferences were not related to current actual levels of crime, to current income, or to current or childhood income inequality. In </w:t>
      </w:r>
      <w:r w:rsidR="00797B63">
        <w:rPr>
          <w:rFonts w:cs="Helvetica"/>
          <w:lang w:val="en-US"/>
        </w:rPr>
        <w:t>S</w:t>
      </w:r>
      <w:r w:rsidRPr="0075449C">
        <w:rPr>
          <w:rFonts w:cs="Helvetica"/>
          <w:lang w:val="en-US"/>
        </w:rPr>
        <w:t xml:space="preserve">tudy 3, they sought to prime women’s fear of crime, randomly assigning women to view photographs that portrayed </w:t>
      </w:r>
      <w:r w:rsidR="004F5D52">
        <w:rPr>
          <w:rFonts w:cs="Helvetica"/>
          <w:lang w:val="en-US"/>
        </w:rPr>
        <w:t xml:space="preserve">either </w:t>
      </w:r>
      <w:r w:rsidRPr="0075449C">
        <w:rPr>
          <w:rFonts w:cs="Helvetica"/>
          <w:lang w:val="en-US"/>
        </w:rPr>
        <w:t xml:space="preserve">danger or safety cues. They tested whether women who had been exposed to dangerous cues would show heightened levels of fear of crime, and stronger preferences </w:t>
      </w:r>
      <w:r w:rsidR="007900A1">
        <w:rPr>
          <w:rFonts w:cs="Helvetica"/>
          <w:lang w:val="en-US"/>
        </w:rPr>
        <w:t xml:space="preserve">for </w:t>
      </w:r>
      <w:r w:rsidRPr="0075449C">
        <w:rPr>
          <w:rFonts w:cs="Helvetica"/>
          <w:lang w:val="en-US"/>
        </w:rPr>
        <w:t>formidable mates. However, the priming manipulatio</w:t>
      </w:r>
      <w:r w:rsidR="004F5D52">
        <w:rPr>
          <w:rFonts w:cs="Helvetica"/>
          <w:lang w:val="en-US"/>
        </w:rPr>
        <w:t xml:space="preserve">n did not affect fear of crime </w:t>
      </w:r>
      <w:r w:rsidRPr="0075449C">
        <w:rPr>
          <w:rFonts w:cs="Helvetica"/>
          <w:lang w:val="en-US"/>
        </w:rPr>
        <w:t>or mate preferences. Rather, fear of crime predicted muscularity preferences, and subjective fear of crime predicted preference</w:t>
      </w:r>
      <w:r w:rsidR="004F5D52">
        <w:rPr>
          <w:rFonts w:cs="Helvetica"/>
          <w:lang w:val="en-US"/>
        </w:rPr>
        <w:t>s</w:t>
      </w:r>
      <w:r w:rsidRPr="0075449C">
        <w:rPr>
          <w:rFonts w:cs="Helvetica"/>
          <w:lang w:val="en-US"/>
        </w:rPr>
        <w:t xml:space="preserve"> for formidable mates. </w:t>
      </w:r>
    </w:p>
    <w:p w14:paraId="10DC311C" w14:textId="08EDF808" w:rsidR="0076477A" w:rsidRPr="008E01A1" w:rsidRDefault="00E734FA" w:rsidP="005C2E81">
      <w:pPr>
        <w:widowControl w:val="0"/>
        <w:autoSpaceDE w:val="0"/>
        <w:autoSpaceDN w:val="0"/>
        <w:adjustRightInd w:val="0"/>
        <w:spacing w:after="0" w:line="480" w:lineRule="auto"/>
        <w:ind w:firstLine="720"/>
        <w:rPr>
          <w:rFonts w:cs="Helvetica"/>
          <w:lang w:val="en-US"/>
        </w:rPr>
      </w:pPr>
      <w:r>
        <w:rPr>
          <w:rFonts w:cs="Helvetica"/>
          <w:lang w:val="en-US"/>
        </w:rPr>
        <w:t xml:space="preserve">Based on these findings, Snyder et al. </w:t>
      </w:r>
      <w:r w:rsidR="008628BA">
        <w:rPr>
          <w:rFonts w:cs="Helvetica"/>
          <w:lang w:val="en-US"/>
        </w:rPr>
        <w:t>suggested</w:t>
      </w:r>
      <w:r w:rsidR="00FB43C1" w:rsidRPr="0075449C">
        <w:rPr>
          <w:rFonts w:cs="Helvetica"/>
          <w:lang w:val="en-US"/>
        </w:rPr>
        <w:t xml:space="preserve"> that </w:t>
      </w:r>
      <w:r w:rsidR="004F5D52">
        <w:rPr>
          <w:rFonts w:cs="Helvetica"/>
          <w:lang w:val="en-US"/>
        </w:rPr>
        <w:t>PPFDM</w:t>
      </w:r>
      <w:r w:rsidR="00FB43C1" w:rsidRPr="0075449C">
        <w:rPr>
          <w:rFonts w:cs="Helvetica"/>
          <w:lang w:val="en-US"/>
        </w:rPr>
        <w:t xml:space="preserve"> is dependent on </w:t>
      </w:r>
      <w:r w:rsidR="00207ED7">
        <w:rPr>
          <w:rFonts w:cs="Helvetica"/>
          <w:lang w:val="en-US"/>
        </w:rPr>
        <w:t xml:space="preserve">a </w:t>
      </w:r>
      <w:r w:rsidR="00FB43C1" w:rsidRPr="0075449C">
        <w:rPr>
          <w:rFonts w:cs="Helvetica"/>
          <w:lang w:val="en-US"/>
        </w:rPr>
        <w:t xml:space="preserve">woman’s self-assessed vulnerability, rather than on actual prevailing rates of violence. </w:t>
      </w:r>
      <w:r>
        <w:rPr>
          <w:rFonts w:cs="Helvetica"/>
          <w:lang w:val="en-US"/>
        </w:rPr>
        <w:t>They</w:t>
      </w:r>
      <w:r w:rsidR="00682A38">
        <w:rPr>
          <w:rFonts w:cs="Helvetica"/>
          <w:lang w:val="en-US"/>
        </w:rPr>
        <w:t xml:space="preserve"> </w:t>
      </w:r>
      <w:r w:rsidR="00FB43C1" w:rsidRPr="0075449C">
        <w:rPr>
          <w:rFonts w:cs="Helvetica"/>
          <w:lang w:val="en-US"/>
        </w:rPr>
        <w:t xml:space="preserve">also </w:t>
      </w:r>
      <w:r w:rsidR="008628BA">
        <w:rPr>
          <w:rFonts w:cs="Helvetica"/>
          <w:lang w:val="en-US"/>
        </w:rPr>
        <w:t>proposed</w:t>
      </w:r>
      <w:r w:rsidR="008628BA" w:rsidRPr="0075449C">
        <w:rPr>
          <w:rFonts w:cs="Helvetica"/>
          <w:lang w:val="en-US"/>
        </w:rPr>
        <w:t xml:space="preserve"> </w:t>
      </w:r>
      <w:r w:rsidR="00FB43C1" w:rsidRPr="0075449C">
        <w:rPr>
          <w:rFonts w:cs="Helvetica"/>
          <w:lang w:val="en-US"/>
        </w:rPr>
        <w:t xml:space="preserve">that perceived vulnerability </w:t>
      </w:r>
      <w:r w:rsidR="00700DC3">
        <w:rPr>
          <w:rFonts w:cs="Helvetica"/>
          <w:lang w:val="en-US"/>
        </w:rPr>
        <w:t>may be</w:t>
      </w:r>
      <w:r w:rsidR="00FB43C1" w:rsidRPr="0075449C">
        <w:rPr>
          <w:rFonts w:cs="Helvetica"/>
          <w:lang w:val="en-US"/>
        </w:rPr>
        <w:t xml:space="preserve"> a relatively stable trait that is not sensitive to state perturbation, but rather </w:t>
      </w:r>
      <w:r w:rsidR="00700DC3">
        <w:rPr>
          <w:rFonts w:cs="Helvetica"/>
          <w:lang w:val="en-US"/>
        </w:rPr>
        <w:t xml:space="preserve">that is </w:t>
      </w:r>
      <w:r w:rsidR="00FB43C1" w:rsidRPr="0075449C">
        <w:rPr>
          <w:rFonts w:cs="Helvetica"/>
          <w:lang w:val="en-US"/>
        </w:rPr>
        <w:t>acquired in childhood via exposure to violence</w:t>
      </w:r>
      <w:r w:rsidR="00A220B5">
        <w:rPr>
          <w:rFonts w:cs="Helvetica"/>
          <w:lang w:val="en-US"/>
        </w:rPr>
        <w:t xml:space="preserve">. </w:t>
      </w:r>
      <w:r w:rsidR="00700DC3">
        <w:rPr>
          <w:rFonts w:cs="Helvetica"/>
          <w:lang w:val="en-US"/>
        </w:rPr>
        <w:t>L</w:t>
      </w:r>
      <w:r w:rsidR="00874D36">
        <w:rPr>
          <w:rFonts w:cs="Helvetica"/>
          <w:lang w:val="en-US"/>
        </w:rPr>
        <w:t xml:space="preserve">ife history models of attachment </w:t>
      </w:r>
      <w:r w:rsidR="00700DC3">
        <w:rPr>
          <w:rFonts w:cs="Helvetica"/>
          <w:lang w:val="en-US"/>
        </w:rPr>
        <w:t>posit</w:t>
      </w:r>
      <w:r w:rsidR="00874D36">
        <w:rPr>
          <w:rFonts w:cs="Helvetica"/>
          <w:lang w:val="en-US"/>
        </w:rPr>
        <w:t xml:space="preserve"> that early infancy provides crucial information about environmental risks</w:t>
      </w:r>
      <w:r w:rsidR="00700DC3">
        <w:rPr>
          <w:rFonts w:cs="Helvetica"/>
          <w:lang w:val="en-US"/>
        </w:rPr>
        <w:t xml:space="preserve"> </w:t>
      </w:r>
      <w:r w:rsidR="00874D36">
        <w:rPr>
          <w:rFonts w:cs="Helvetica"/>
          <w:lang w:val="en-US"/>
        </w:rPr>
        <w:t>(e.g., Del Giudice, 2009).</w:t>
      </w:r>
      <w:r w:rsidR="00682A38">
        <w:rPr>
          <w:rFonts w:cs="Helvetica"/>
          <w:lang w:val="en-US"/>
        </w:rPr>
        <w:t xml:space="preserve"> </w:t>
      </w:r>
      <w:r w:rsidR="00700DC3">
        <w:rPr>
          <w:rFonts w:cs="Helvetica"/>
          <w:lang w:val="en-US"/>
        </w:rPr>
        <w:t xml:space="preserve">Evidence supports this proposition. </w:t>
      </w:r>
      <w:r w:rsidR="00682A38">
        <w:rPr>
          <w:rFonts w:cs="Helvetica"/>
          <w:lang w:val="en-US"/>
        </w:rPr>
        <w:t>Sherman et al</w:t>
      </w:r>
      <w:r w:rsidR="008979D2">
        <w:rPr>
          <w:rFonts w:cs="Helvetica"/>
          <w:lang w:val="en-US"/>
        </w:rPr>
        <w:t>.</w:t>
      </w:r>
      <w:r w:rsidR="00682A38">
        <w:rPr>
          <w:rFonts w:cs="Helvetica"/>
          <w:lang w:val="en-US"/>
        </w:rPr>
        <w:t xml:space="preserve"> (2015)</w:t>
      </w:r>
      <w:r w:rsidR="008E01A1">
        <w:rPr>
          <w:rFonts w:cs="Helvetica"/>
          <w:lang w:val="en-US"/>
        </w:rPr>
        <w:t xml:space="preserve"> </w:t>
      </w:r>
      <w:r w:rsidR="00700DC3">
        <w:rPr>
          <w:rFonts w:cs="Helvetica"/>
          <w:lang w:val="en-US"/>
        </w:rPr>
        <w:t>found that the prevalence of</w:t>
      </w:r>
      <w:r w:rsidR="00682A38">
        <w:rPr>
          <w:rFonts w:cs="Helvetica"/>
          <w:lang w:val="en-US"/>
        </w:rPr>
        <w:t xml:space="preserve"> </w:t>
      </w:r>
      <w:r w:rsidR="008E01A1">
        <w:rPr>
          <w:rFonts w:cs="Helvetica"/>
          <w:lang w:val="en-US"/>
        </w:rPr>
        <w:t>registered sex offenders</w:t>
      </w:r>
      <w:r w:rsidR="00700DC3">
        <w:rPr>
          <w:rFonts w:cs="Helvetica"/>
          <w:lang w:val="en-US"/>
        </w:rPr>
        <w:t xml:space="preserve"> </w:t>
      </w:r>
      <w:r w:rsidR="008979D2">
        <w:rPr>
          <w:rFonts w:cs="Helvetica"/>
          <w:lang w:val="en-US"/>
        </w:rPr>
        <w:t xml:space="preserve">in </w:t>
      </w:r>
      <w:r w:rsidR="005C2E81">
        <w:rPr>
          <w:rFonts w:cs="Helvetica"/>
          <w:lang w:val="en-US"/>
        </w:rPr>
        <w:t>people</w:t>
      </w:r>
      <w:r w:rsidR="008979D2">
        <w:rPr>
          <w:rFonts w:cs="Helvetica"/>
          <w:lang w:val="en-US"/>
        </w:rPr>
        <w:t>’s childhood neighborhood</w:t>
      </w:r>
      <w:r w:rsidR="00A220B5">
        <w:rPr>
          <w:rFonts w:cs="Helvetica"/>
          <w:lang w:val="en-US"/>
        </w:rPr>
        <w:t xml:space="preserve"> </w:t>
      </w:r>
      <w:r w:rsidR="008979D2">
        <w:rPr>
          <w:rFonts w:cs="Helvetica"/>
          <w:lang w:val="en-US"/>
        </w:rPr>
        <w:t xml:space="preserve">was associated with </w:t>
      </w:r>
      <w:r w:rsidR="005C2E81">
        <w:rPr>
          <w:rFonts w:cs="Helvetica"/>
          <w:lang w:val="en-US"/>
        </w:rPr>
        <w:t>their</w:t>
      </w:r>
      <w:r w:rsidR="00682A38">
        <w:rPr>
          <w:rFonts w:cs="Helvetica"/>
          <w:lang w:val="en-US"/>
        </w:rPr>
        <w:t xml:space="preserve"> perception</w:t>
      </w:r>
      <w:r w:rsidR="008979D2">
        <w:rPr>
          <w:rFonts w:cs="Helvetica"/>
          <w:lang w:val="en-US"/>
        </w:rPr>
        <w:t>s of their own criminal victimisation risks</w:t>
      </w:r>
      <w:r w:rsidR="00682A38">
        <w:rPr>
          <w:rFonts w:cs="Helvetica"/>
          <w:lang w:val="en-US"/>
        </w:rPr>
        <w:t xml:space="preserve"> </w:t>
      </w:r>
      <w:r w:rsidR="005C2E81">
        <w:rPr>
          <w:rFonts w:cs="Helvetica"/>
          <w:lang w:val="en-US"/>
        </w:rPr>
        <w:t>as</w:t>
      </w:r>
      <w:r w:rsidR="00682A38">
        <w:rPr>
          <w:rFonts w:cs="Helvetica"/>
          <w:lang w:val="en-US"/>
        </w:rPr>
        <w:t xml:space="preserve"> adult</w:t>
      </w:r>
      <w:r w:rsidR="005C2E81">
        <w:rPr>
          <w:rFonts w:cs="Helvetica"/>
          <w:lang w:val="en-US"/>
        </w:rPr>
        <w:t>s</w:t>
      </w:r>
      <w:r w:rsidR="00682A38">
        <w:rPr>
          <w:rFonts w:cs="Helvetica"/>
          <w:lang w:val="en-US"/>
        </w:rPr>
        <w:t>.</w:t>
      </w:r>
      <w:r w:rsidR="008979D2">
        <w:rPr>
          <w:rFonts w:cs="Helvetica"/>
          <w:lang w:val="en-US"/>
        </w:rPr>
        <w:t xml:space="preserve"> </w:t>
      </w:r>
      <w:r w:rsidR="005C2E81">
        <w:rPr>
          <w:rFonts w:cs="Helvetica"/>
          <w:lang w:val="en-US"/>
        </w:rPr>
        <w:t>What is more</w:t>
      </w:r>
      <w:r w:rsidR="008979D2">
        <w:rPr>
          <w:rFonts w:cs="Helvetica"/>
          <w:lang w:val="en-US"/>
        </w:rPr>
        <w:t>, f</w:t>
      </w:r>
      <w:r w:rsidR="00700DC3">
        <w:rPr>
          <w:rFonts w:cs="Helvetica"/>
          <w:lang w:val="en-US"/>
        </w:rPr>
        <w:t>uture reproductive strategies might be based</w:t>
      </w:r>
      <w:r w:rsidR="005C2E81">
        <w:rPr>
          <w:rFonts w:cs="Helvetica"/>
          <w:lang w:val="en-US"/>
        </w:rPr>
        <w:t xml:space="preserve"> on childhood exposure to crime. However, it is only adaptive to base future reproductive strategies on childhood indicators of risk in relatively stable environments (Del Giudice, 2009). </w:t>
      </w:r>
      <w:r w:rsidR="005C2E81">
        <w:rPr>
          <w:rFonts w:cs="Baskerville"/>
        </w:rPr>
        <w:t xml:space="preserve">Marzoli and colleagues (2013) found current environmental factors, such as prevalence of violence, to directly influence mate preferences, such as preferences for dominance in a male partner.  </w:t>
      </w:r>
      <w:r w:rsidR="00700DC3">
        <w:rPr>
          <w:rFonts w:cs="Helvetica"/>
          <w:lang w:val="en-US"/>
        </w:rPr>
        <w:t xml:space="preserve"> </w:t>
      </w:r>
      <w:r w:rsidR="0076477A">
        <w:rPr>
          <w:rFonts w:cs="Baskerville"/>
        </w:rPr>
        <w:t xml:space="preserve">Therefore, </w:t>
      </w:r>
      <w:r w:rsidR="001E63E7">
        <w:rPr>
          <w:rFonts w:cs="Baskerville"/>
        </w:rPr>
        <w:t>the association between PPFDM and fear of crime may vary according to t</w:t>
      </w:r>
      <w:r w:rsidR="0076477A">
        <w:rPr>
          <w:rFonts w:cs="Baskerville"/>
        </w:rPr>
        <w:t>he likelihood and evolutionary costs of violence.</w:t>
      </w:r>
    </w:p>
    <w:p w14:paraId="6A54AB87" w14:textId="0AB7BF93" w:rsidR="00E72C23" w:rsidRPr="00850F46" w:rsidRDefault="00AA715C" w:rsidP="00BD4D8C">
      <w:pPr>
        <w:spacing w:line="480" w:lineRule="auto"/>
        <w:ind w:firstLine="720"/>
      </w:pPr>
      <w:r>
        <w:t xml:space="preserve">Another </w:t>
      </w:r>
      <w:r w:rsidR="00850F46">
        <w:t xml:space="preserve">explanation for the lack of correlation between current residential area and PPFDM found by Snyder et al. may be due to the possibility that women with high PPFDM generally feel more vulnerable regardless of where they currently live. Therefore, we will extend Snyder and </w:t>
      </w:r>
      <w:r w:rsidR="00850F46">
        <w:lastRenderedPageBreak/>
        <w:t xml:space="preserve">colleagues’ (2011) research by measuring women’s current PPFDM levels and assessing whether women with relatively higher PPFDM feel higher risk of criminal victimisation compared to women with lower PPFDM in response to cues of crime. </w:t>
      </w:r>
      <w:r w:rsidR="00850F46">
        <w:rPr>
          <w:rFonts w:cs="Helvetica"/>
          <w:lang w:val="en-US"/>
        </w:rPr>
        <w:t>We assess</w:t>
      </w:r>
      <w:r w:rsidR="009A4BD3" w:rsidRPr="000D048D">
        <w:rPr>
          <w:rFonts w:cs="Helvetica"/>
          <w:lang w:val="en-US"/>
        </w:rPr>
        <w:t xml:space="preserve"> </w:t>
      </w:r>
      <w:r w:rsidR="00F3329B" w:rsidRPr="000D048D">
        <w:rPr>
          <w:rFonts w:cs="Helvetica"/>
          <w:lang w:val="en-US"/>
        </w:rPr>
        <w:t xml:space="preserve">whether </w:t>
      </w:r>
      <w:r w:rsidR="00BD4D8C">
        <w:t xml:space="preserve">the impact of </w:t>
      </w:r>
      <w:r w:rsidR="00BD4D8C">
        <w:rPr>
          <w:rFonts w:cs="Helvetica"/>
          <w:lang w:val="en-US"/>
        </w:rPr>
        <w:t>crime cues on women’s fear of crime are predicted by PPFDM</w:t>
      </w:r>
      <w:r w:rsidR="00610E65" w:rsidRPr="000D048D">
        <w:t xml:space="preserve">. </w:t>
      </w:r>
      <w:r w:rsidR="00C071C6">
        <w:t>In particular</w:t>
      </w:r>
      <w:r w:rsidR="00610E65" w:rsidRPr="000D048D">
        <w:t xml:space="preserve">, we </w:t>
      </w:r>
      <w:r w:rsidR="001645C7" w:rsidRPr="000D048D">
        <w:t>studied</w:t>
      </w:r>
      <w:r w:rsidR="00610E65" w:rsidRPr="000D048D">
        <w:t xml:space="preserve"> </w:t>
      </w:r>
      <w:r w:rsidR="00FB5FF3" w:rsidRPr="000D048D">
        <w:t>whether PPF</w:t>
      </w:r>
      <w:r w:rsidR="00577AE3" w:rsidRPr="000D048D">
        <w:t>DM</w:t>
      </w:r>
      <w:r w:rsidR="00FB5FF3" w:rsidRPr="000D048D">
        <w:t xml:space="preserve"> </w:t>
      </w:r>
      <w:r w:rsidR="00BD4D8C">
        <w:t>is associated with</w:t>
      </w:r>
      <w:r w:rsidR="00BD4D8C" w:rsidRPr="000D048D">
        <w:t xml:space="preserve"> </w:t>
      </w:r>
      <w:r w:rsidR="00FB5FF3" w:rsidRPr="000D048D">
        <w:t xml:space="preserve">risk perceptions </w:t>
      </w:r>
      <w:r w:rsidR="00BD4D8C">
        <w:t>only when</w:t>
      </w:r>
      <w:r w:rsidR="00610E65" w:rsidRPr="000D048D">
        <w:t xml:space="preserve"> victimization risk </w:t>
      </w:r>
      <w:r w:rsidR="00C071C6">
        <w:t xml:space="preserve">is </w:t>
      </w:r>
      <w:r w:rsidR="00BD4D8C">
        <w:t xml:space="preserve">relatively </w:t>
      </w:r>
      <w:r w:rsidR="00C071C6">
        <w:t xml:space="preserve">high, and </w:t>
      </w:r>
      <w:r w:rsidR="00BD4D8C">
        <w:t xml:space="preserve">only </w:t>
      </w:r>
      <w:r w:rsidR="00610E65" w:rsidRPr="000D048D">
        <w:t xml:space="preserve">for </w:t>
      </w:r>
      <w:r w:rsidR="009A4BD3" w:rsidRPr="000D048D">
        <w:t>crime</w:t>
      </w:r>
      <w:r w:rsidR="00187038" w:rsidRPr="000D048D">
        <w:t>s</w:t>
      </w:r>
      <w:r w:rsidR="009A4BD3" w:rsidRPr="000D048D">
        <w:t xml:space="preserve"> that are evolutionarily more costly (i.e., male-perpetrated crime, </w:t>
      </w:r>
      <w:r w:rsidR="002B2608" w:rsidRPr="00E42F8C">
        <w:t xml:space="preserve">especially </w:t>
      </w:r>
      <w:r w:rsidR="009A4BD3" w:rsidRPr="000D048D">
        <w:t>rape)</w:t>
      </w:r>
      <w:r w:rsidR="00C96762" w:rsidRPr="000D048D">
        <w:t xml:space="preserve">. </w:t>
      </w:r>
      <w:r w:rsidR="00C071C6">
        <w:t xml:space="preserve">If PPFDM and risk perceptions correspond </w:t>
      </w:r>
      <w:r w:rsidR="00BD4D8C">
        <w:t xml:space="preserve">only </w:t>
      </w:r>
      <w:r w:rsidR="00C071C6">
        <w:t>when risk is high, this would suggest that women with relatively strong PPFDM are more sensitive to crime cues. On the other hand, i</w:t>
      </w:r>
      <w:r w:rsidR="00274010">
        <w:t>f</w:t>
      </w:r>
      <w:r w:rsidR="00E72C23" w:rsidRPr="000D048D">
        <w:rPr>
          <w:rFonts w:cs="Helvetica"/>
          <w:lang w:val="en-US"/>
        </w:rPr>
        <w:t xml:space="preserve"> PPF</w:t>
      </w:r>
      <w:r w:rsidR="00577AE3" w:rsidRPr="000D048D">
        <w:rPr>
          <w:rFonts w:cs="Helvetica"/>
          <w:lang w:val="en-US"/>
        </w:rPr>
        <w:t>D</w:t>
      </w:r>
      <w:r w:rsidR="00E72C23" w:rsidRPr="000D048D">
        <w:rPr>
          <w:rFonts w:cs="Helvetica"/>
          <w:lang w:val="en-US"/>
        </w:rPr>
        <w:t xml:space="preserve">M and risk perceptions are associated even when women are not at risk of crime, and for all types of crime, </w:t>
      </w:r>
      <w:r w:rsidR="00FB5FF3" w:rsidRPr="000D048D">
        <w:rPr>
          <w:rFonts w:cs="Helvetica"/>
          <w:lang w:val="en-US"/>
        </w:rPr>
        <w:t>even</w:t>
      </w:r>
      <w:r w:rsidR="00E72C23" w:rsidRPr="000D048D">
        <w:rPr>
          <w:rFonts w:cs="Helvetica"/>
          <w:lang w:val="en-US"/>
        </w:rPr>
        <w:t xml:space="preserve"> female-perpetrated crime, this would suggest the psychological mechanisms underlying </w:t>
      </w:r>
      <w:r w:rsidR="00577AE3" w:rsidRPr="000D048D">
        <w:rPr>
          <w:rFonts w:cs="Helvetica"/>
          <w:lang w:val="en-US"/>
        </w:rPr>
        <w:t>PPFDM</w:t>
      </w:r>
      <w:r w:rsidR="00C071C6">
        <w:rPr>
          <w:rFonts w:cs="Helvetica"/>
          <w:lang w:val="en-US"/>
        </w:rPr>
        <w:t xml:space="preserve"> and risk perceptions</w:t>
      </w:r>
      <w:r w:rsidR="00E72C23" w:rsidRPr="000D048D">
        <w:rPr>
          <w:rFonts w:cs="Helvetica"/>
          <w:lang w:val="en-US"/>
        </w:rPr>
        <w:t xml:space="preserve"> are more general in nature, with women who </w:t>
      </w:r>
      <w:r w:rsidR="00C071C6">
        <w:rPr>
          <w:rFonts w:cs="Helvetica"/>
          <w:lang w:val="en-US"/>
        </w:rPr>
        <w:t>prefer</w:t>
      </w:r>
      <w:r w:rsidR="00FB5FF3" w:rsidRPr="000D048D">
        <w:rPr>
          <w:rFonts w:cs="Helvetica"/>
          <w:lang w:val="en-US"/>
        </w:rPr>
        <w:t xml:space="preserve"> more physically dominant and formidable mates</w:t>
      </w:r>
      <w:r w:rsidR="00C071C6">
        <w:rPr>
          <w:rFonts w:cs="Helvetica"/>
          <w:lang w:val="en-US"/>
        </w:rPr>
        <w:t xml:space="preserve"> tending to </w:t>
      </w:r>
      <w:r w:rsidR="00C071C6" w:rsidRPr="000D048D">
        <w:rPr>
          <w:rFonts w:cs="Helvetica"/>
          <w:lang w:val="en-US"/>
        </w:rPr>
        <w:t xml:space="preserve">feel </w:t>
      </w:r>
      <w:r w:rsidR="00C071C6">
        <w:rPr>
          <w:rFonts w:cs="Helvetica"/>
          <w:lang w:val="en-US"/>
        </w:rPr>
        <w:t xml:space="preserve">more </w:t>
      </w:r>
      <w:r w:rsidR="00C071C6" w:rsidRPr="000D048D">
        <w:rPr>
          <w:rFonts w:cs="Helvetica"/>
          <w:lang w:val="en-US"/>
        </w:rPr>
        <w:t xml:space="preserve">vulnerable </w:t>
      </w:r>
      <w:r w:rsidR="00E72C23" w:rsidRPr="000D048D">
        <w:rPr>
          <w:rFonts w:cs="Helvetica"/>
          <w:lang w:val="en-US"/>
        </w:rPr>
        <w:t>no ma</w:t>
      </w:r>
      <w:r w:rsidR="00FB5FF3" w:rsidRPr="000D048D">
        <w:rPr>
          <w:rFonts w:cs="Helvetica"/>
          <w:lang w:val="en-US"/>
        </w:rPr>
        <w:t>tter what their circumstances</w:t>
      </w:r>
      <w:r w:rsidR="00E72C23" w:rsidRPr="000D048D">
        <w:rPr>
          <w:rFonts w:cs="Helvetica"/>
          <w:lang w:val="en-US"/>
        </w:rPr>
        <w:t>.</w:t>
      </w:r>
    </w:p>
    <w:p w14:paraId="4D454843" w14:textId="1F27D79F" w:rsidR="004B6FD2" w:rsidRDefault="00223C0F" w:rsidP="008979D2">
      <w:pPr>
        <w:widowControl w:val="0"/>
        <w:autoSpaceDE w:val="0"/>
        <w:autoSpaceDN w:val="0"/>
        <w:adjustRightInd w:val="0"/>
        <w:spacing w:after="0" w:line="480" w:lineRule="auto"/>
        <w:ind w:firstLine="720"/>
        <w:rPr>
          <w:rFonts w:cs="Helvetica"/>
          <w:lang w:val="en-US"/>
        </w:rPr>
      </w:pPr>
      <w:r w:rsidRPr="000D048D">
        <w:rPr>
          <w:rFonts w:cs="Helvetica"/>
          <w:lang w:val="en-US"/>
        </w:rPr>
        <w:t>To</w:t>
      </w:r>
      <w:r w:rsidR="00C96762" w:rsidRPr="000D048D">
        <w:rPr>
          <w:rFonts w:cs="Helvetica"/>
          <w:lang w:val="en-US"/>
        </w:rPr>
        <w:t xml:space="preserve"> investigate</w:t>
      </w:r>
      <w:r w:rsidR="00BF6689" w:rsidRPr="000D048D">
        <w:rPr>
          <w:rFonts w:cs="Helvetica"/>
          <w:lang w:val="en-US"/>
        </w:rPr>
        <w:t>,</w:t>
      </w:r>
      <w:r w:rsidR="001A3129" w:rsidRPr="000D048D">
        <w:rPr>
          <w:rFonts w:cs="Helvetica"/>
          <w:lang w:val="en-US"/>
        </w:rPr>
        <w:t xml:space="preserve"> </w:t>
      </w:r>
      <w:r w:rsidR="004F5D52" w:rsidRPr="000D048D">
        <w:rPr>
          <w:rFonts w:cs="Helvetica"/>
          <w:lang w:val="en-US"/>
        </w:rPr>
        <w:t>in Study 1, we presented women with images taken from a city centre that varied in relation to natural cues (</w:t>
      </w:r>
      <w:r w:rsidR="003D6A12">
        <w:rPr>
          <w:rFonts w:cs="Helvetica"/>
          <w:lang w:val="en-US"/>
        </w:rPr>
        <w:t>e.g.,</w:t>
      </w:r>
      <w:r w:rsidR="004F5D52" w:rsidRPr="000D048D">
        <w:rPr>
          <w:rFonts w:cs="Helvetica"/>
          <w:lang w:val="en-US"/>
        </w:rPr>
        <w:t xml:space="preserve"> alleyways, deserted backstreets, broken windows, a shadowy figure of a man) indicative of crime (see Jones</w:t>
      </w:r>
      <w:r w:rsidR="00797B63">
        <w:rPr>
          <w:rFonts w:cs="Helvetica"/>
          <w:lang w:val="en-US"/>
        </w:rPr>
        <w:t xml:space="preserve"> et al. </w:t>
      </w:r>
      <w:r w:rsidR="004F5D52" w:rsidRPr="000D048D">
        <w:rPr>
          <w:rFonts w:cs="Helvetica"/>
          <w:lang w:val="en-US"/>
        </w:rPr>
        <w:t xml:space="preserve">2011). </w:t>
      </w:r>
      <w:r w:rsidR="00D81EB4">
        <w:rPr>
          <w:rFonts w:cs="Helvetica"/>
          <w:lang w:val="en-US"/>
        </w:rPr>
        <w:t xml:space="preserve">Additionally, the images were taken during the day and at night. Women evaluated their risk of a violent victimization in the situation depicted in the image. </w:t>
      </w:r>
      <w:r w:rsidR="004F5D52" w:rsidRPr="000D048D">
        <w:rPr>
          <w:rFonts w:cs="Helvetica"/>
          <w:lang w:val="en-US"/>
        </w:rPr>
        <w:t xml:space="preserve">We relied on </w:t>
      </w:r>
      <w:r w:rsidR="004F5D52" w:rsidRPr="00E42F8C">
        <w:rPr>
          <w:rFonts w:cs="Helvetica"/>
          <w:lang w:val="en-US"/>
        </w:rPr>
        <w:t xml:space="preserve">these </w:t>
      </w:r>
      <w:r w:rsidR="00D81EB4">
        <w:rPr>
          <w:rFonts w:cs="Helvetica"/>
          <w:lang w:val="en-US"/>
        </w:rPr>
        <w:t xml:space="preserve">natural </w:t>
      </w:r>
      <w:r w:rsidR="004F5D52" w:rsidRPr="00E42F8C">
        <w:rPr>
          <w:rFonts w:cs="Helvetica"/>
          <w:lang w:val="en-US"/>
        </w:rPr>
        <w:t xml:space="preserve">cues to elicit </w:t>
      </w:r>
      <w:r w:rsidR="004F5D52" w:rsidRPr="000D048D">
        <w:rPr>
          <w:rFonts w:cs="AdvP7B6C"/>
        </w:rPr>
        <w:t>subjective feelings of being at risk of crime (see Abdullah et al. 2015; de Leon &amp; Cohen, 2005; Jone</w:t>
      </w:r>
      <w:r w:rsidR="00797B63">
        <w:rPr>
          <w:rFonts w:cs="AdvP7B6C"/>
        </w:rPr>
        <w:t>s et al.</w:t>
      </w:r>
      <w:r w:rsidR="004F5D52" w:rsidRPr="000D048D">
        <w:rPr>
          <w:rFonts w:cs="AdvP7B6C"/>
        </w:rPr>
        <w:t xml:space="preserve"> 2011).</w:t>
      </w:r>
      <w:r w:rsidR="004F5D52" w:rsidRPr="000D048D">
        <w:rPr>
          <w:rFonts w:cs="Helvetica"/>
          <w:lang w:val="en-US"/>
        </w:rPr>
        <w:t xml:space="preserve"> </w:t>
      </w:r>
      <w:r w:rsidR="00D81EB4">
        <w:rPr>
          <w:rFonts w:cs="Helvetica"/>
          <w:lang w:val="en-US"/>
        </w:rPr>
        <w:t>Rape is stereotypically associated with strange males and alleyways (</w:t>
      </w:r>
      <w:r w:rsidR="004A5FA2">
        <w:rPr>
          <w:rFonts w:cs="Helvetica"/>
          <w:lang w:val="en-US"/>
        </w:rPr>
        <w:t xml:space="preserve">e.g., </w:t>
      </w:r>
      <w:r w:rsidR="00843F7B">
        <w:rPr>
          <w:rFonts w:cs="Arial"/>
          <w:color w:val="222222"/>
          <w:lang w:eastAsia="en-GB"/>
        </w:rPr>
        <w:t>McKibbin</w:t>
      </w:r>
      <w:r w:rsidR="00797B63">
        <w:rPr>
          <w:rFonts w:cs="Arial"/>
          <w:color w:val="222222"/>
          <w:lang w:eastAsia="en-GB"/>
        </w:rPr>
        <w:t xml:space="preserve"> et al. </w:t>
      </w:r>
      <w:r w:rsidR="00843F7B">
        <w:rPr>
          <w:rFonts w:cs="Arial"/>
          <w:color w:val="222222"/>
          <w:lang w:eastAsia="en-GB"/>
        </w:rPr>
        <w:t>2009)</w:t>
      </w:r>
      <w:r w:rsidR="00843F7B">
        <w:rPr>
          <w:rFonts w:cs="Helvetica"/>
          <w:lang w:val="en-US"/>
        </w:rPr>
        <w:t>,</w:t>
      </w:r>
      <w:r w:rsidR="0084639E">
        <w:rPr>
          <w:rFonts w:cs="Helvetica"/>
          <w:lang w:val="en-US"/>
        </w:rPr>
        <w:t xml:space="preserve"> and </w:t>
      </w:r>
      <w:r w:rsidR="004B6FD2">
        <w:rPr>
          <w:rFonts w:cs="Helvetica"/>
          <w:lang w:val="en-US"/>
        </w:rPr>
        <w:t>t</w:t>
      </w:r>
      <w:r w:rsidR="00D81EB4">
        <w:rPr>
          <w:rFonts w:cs="Helvetica"/>
          <w:lang w:val="en-US"/>
        </w:rPr>
        <w:t>he risk of violent crime is higher at night compared to during the day (</w:t>
      </w:r>
      <w:r w:rsidR="000C68C3">
        <w:rPr>
          <w:rFonts w:cs="Helvetica"/>
          <w:lang w:val="en-US"/>
        </w:rPr>
        <w:t>Office for National Statistics, 2013</w:t>
      </w:r>
      <w:r w:rsidR="004C1124">
        <w:rPr>
          <w:rFonts w:cs="Helvetica"/>
          <w:lang w:val="en-US"/>
        </w:rPr>
        <w:t>)</w:t>
      </w:r>
      <w:r w:rsidR="004B6FD2">
        <w:rPr>
          <w:rFonts w:cs="Helvetica"/>
          <w:lang w:val="en-US"/>
        </w:rPr>
        <w:t xml:space="preserve">. Thus, </w:t>
      </w:r>
      <w:r w:rsidR="00D81EB4">
        <w:rPr>
          <w:rFonts w:cs="Helvetica"/>
          <w:lang w:val="en-US"/>
        </w:rPr>
        <w:t xml:space="preserve">women should feel </w:t>
      </w:r>
      <w:r w:rsidR="004B6FD2">
        <w:rPr>
          <w:rFonts w:cs="Helvetica"/>
          <w:lang w:val="en-US"/>
        </w:rPr>
        <w:t xml:space="preserve">particularly at risk of victimization in response to the images depicting </w:t>
      </w:r>
      <w:r w:rsidR="0084639E">
        <w:rPr>
          <w:rFonts w:cs="Helvetica"/>
          <w:lang w:val="en-US"/>
        </w:rPr>
        <w:t xml:space="preserve">these </w:t>
      </w:r>
      <w:r w:rsidR="004B6FD2">
        <w:rPr>
          <w:rFonts w:cs="Helvetica"/>
          <w:lang w:val="en-US"/>
        </w:rPr>
        <w:t>natural crime cues</w:t>
      </w:r>
      <w:r w:rsidR="0084639E">
        <w:rPr>
          <w:rFonts w:cs="Helvetica"/>
          <w:lang w:val="en-US"/>
        </w:rPr>
        <w:t xml:space="preserve">. </w:t>
      </w:r>
      <w:r w:rsidR="008979D2">
        <w:rPr>
          <w:rFonts w:cs="Helvetica"/>
          <w:lang w:val="en-US"/>
        </w:rPr>
        <w:t xml:space="preserve">Additionally, recent evidence suggests that there is a strong link between fear of crime and the prevailing crime rate within a 1.0 mile radius of people’s home address (Zhoa, Lawton, &amp; Longmire, 2015). </w:t>
      </w:r>
      <w:r w:rsidR="00C753BE">
        <w:rPr>
          <w:rFonts w:cs="Helvetica"/>
          <w:lang w:val="en-US"/>
        </w:rPr>
        <w:t xml:space="preserve">This suggests that </w:t>
      </w:r>
      <w:r w:rsidR="005C2E81">
        <w:rPr>
          <w:rFonts w:cs="Helvetica"/>
          <w:lang w:val="en-US"/>
        </w:rPr>
        <w:t xml:space="preserve">crime cues in one’s immediate environment impact on one’s perceived risk of victimization. </w:t>
      </w:r>
      <w:r w:rsidR="008979D2">
        <w:rPr>
          <w:rFonts w:cs="Helvetica"/>
          <w:lang w:val="en-US"/>
        </w:rPr>
        <w:t>Therefore, i</w:t>
      </w:r>
      <w:r w:rsidR="004F5D52" w:rsidRPr="000D048D">
        <w:rPr>
          <w:rFonts w:cs="Helvetica"/>
          <w:lang w:val="en-US"/>
        </w:rPr>
        <w:t>n S</w:t>
      </w:r>
      <w:r w:rsidR="001645C7" w:rsidRPr="000D048D">
        <w:rPr>
          <w:rFonts w:cs="Helvetica"/>
          <w:lang w:val="en-US"/>
        </w:rPr>
        <w:t xml:space="preserve">tudy 2, </w:t>
      </w:r>
      <w:r w:rsidR="00BF6689" w:rsidRPr="000D048D">
        <w:rPr>
          <w:rFonts w:cs="Helvetica"/>
          <w:lang w:val="en-US"/>
        </w:rPr>
        <w:t xml:space="preserve">we had women walk </w:t>
      </w:r>
      <w:r w:rsidR="00D86EF5" w:rsidRPr="000D048D">
        <w:rPr>
          <w:rFonts w:cs="Helvetica"/>
          <w:lang w:val="en-US"/>
        </w:rPr>
        <w:t>through a</w:t>
      </w:r>
      <w:r w:rsidRPr="000D048D">
        <w:rPr>
          <w:rFonts w:cs="Helvetica"/>
          <w:lang w:val="en-US"/>
        </w:rPr>
        <w:t xml:space="preserve"> city centre</w:t>
      </w:r>
      <w:r w:rsidR="00BF6689" w:rsidRPr="000D048D">
        <w:rPr>
          <w:rFonts w:cs="Helvetica"/>
          <w:lang w:val="en-US"/>
        </w:rPr>
        <w:t>, following a</w:t>
      </w:r>
      <w:r w:rsidRPr="00E42F8C">
        <w:rPr>
          <w:rFonts w:cs="Helvetica"/>
          <w:lang w:val="en-US"/>
        </w:rPr>
        <w:t xml:space="preserve"> route that </w:t>
      </w:r>
      <w:r w:rsidR="000C1574" w:rsidRPr="000D048D">
        <w:rPr>
          <w:rFonts w:cs="Helvetica"/>
          <w:lang w:val="en-US"/>
        </w:rPr>
        <w:t xml:space="preserve">varied with respect to </w:t>
      </w:r>
      <w:r w:rsidR="004F5D52" w:rsidRPr="000D048D">
        <w:rPr>
          <w:rFonts w:cs="Helvetica"/>
          <w:lang w:val="en-US"/>
        </w:rPr>
        <w:t>natural crime cues</w:t>
      </w:r>
      <w:r w:rsidR="004B6FD2">
        <w:rPr>
          <w:rFonts w:cs="Helvetica"/>
          <w:lang w:val="en-US"/>
        </w:rPr>
        <w:t xml:space="preserve">, and they indicated at several points </w:t>
      </w:r>
      <w:r w:rsidR="004B6FD2">
        <w:rPr>
          <w:rFonts w:cs="Helvetica"/>
          <w:lang w:val="en-US"/>
        </w:rPr>
        <w:lastRenderedPageBreak/>
        <w:t xml:space="preserve">along the route their risk of victimization for different types of crimes (rape, robbery, and assault), committed by a male versus female </w:t>
      </w:r>
      <w:r w:rsidR="0084639E">
        <w:rPr>
          <w:rFonts w:cs="Helvetica"/>
          <w:lang w:val="en-US"/>
        </w:rPr>
        <w:t>assailant</w:t>
      </w:r>
      <w:r w:rsidR="004F5D52" w:rsidRPr="000D048D">
        <w:rPr>
          <w:rFonts w:cs="Helvetica"/>
          <w:lang w:val="en-US"/>
        </w:rPr>
        <w:t xml:space="preserve">. </w:t>
      </w:r>
    </w:p>
    <w:p w14:paraId="75F21398" w14:textId="44920A93" w:rsidR="003D623E" w:rsidRDefault="00E72C23" w:rsidP="00C753BE">
      <w:pPr>
        <w:widowControl w:val="0"/>
        <w:autoSpaceDE w:val="0"/>
        <w:autoSpaceDN w:val="0"/>
        <w:adjustRightInd w:val="0"/>
        <w:spacing w:after="0" w:line="480" w:lineRule="auto"/>
        <w:ind w:firstLine="720"/>
        <w:rPr>
          <w:rFonts w:cs="Helvetica"/>
          <w:lang w:val="en-US"/>
        </w:rPr>
      </w:pPr>
      <w:r w:rsidRPr="000D048D">
        <w:rPr>
          <w:rFonts w:cs="AdvP7B6C"/>
        </w:rPr>
        <w:t xml:space="preserve">If </w:t>
      </w:r>
      <w:r w:rsidR="00274010">
        <w:rPr>
          <w:rFonts w:cs="AdvP7B6C"/>
        </w:rPr>
        <w:t>women with stronger</w:t>
      </w:r>
      <w:r w:rsidR="00D9224F">
        <w:rPr>
          <w:rFonts w:cs="AdvP7B6C"/>
        </w:rPr>
        <w:t xml:space="preserve"> PPFDM </w:t>
      </w:r>
      <w:r w:rsidR="00C071C6">
        <w:rPr>
          <w:rFonts w:cs="AdvP7B6C"/>
        </w:rPr>
        <w:t>are more sensitive to</w:t>
      </w:r>
      <w:r w:rsidR="00274010">
        <w:rPr>
          <w:rFonts w:cs="AdvP7B6C"/>
        </w:rPr>
        <w:t xml:space="preserve"> threats in their environment, then </w:t>
      </w:r>
      <w:r w:rsidR="00577AE3" w:rsidRPr="000D048D">
        <w:rPr>
          <w:rFonts w:cs="Helvetica"/>
          <w:lang w:val="en-US"/>
        </w:rPr>
        <w:t>PPFDM</w:t>
      </w:r>
      <w:r w:rsidRPr="000D048D">
        <w:rPr>
          <w:rFonts w:cs="Helvetica"/>
          <w:lang w:val="en-US"/>
        </w:rPr>
        <w:t xml:space="preserve"> and risk perceptions should </w:t>
      </w:r>
      <w:r w:rsidR="00274010">
        <w:rPr>
          <w:rFonts w:cs="Helvetica"/>
          <w:lang w:val="en-US"/>
        </w:rPr>
        <w:t xml:space="preserve">correspond </w:t>
      </w:r>
      <w:r w:rsidR="005576C6">
        <w:rPr>
          <w:rFonts w:cs="Helvetica"/>
          <w:lang w:val="en-US"/>
        </w:rPr>
        <w:t>when women are</w:t>
      </w:r>
      <w:r w:rsidR="00D81EB4">
        <w:rPr>
          <w:rFonts w:cs="Helvetica"/>
          <w:lang w:val="en-US"/>
        </w:rPr>
        <w:t xml:space="preserve"> </w:t>
      </w:r>
      <w:r w:rsidR="00274010">
        <w:rPr>
          <w:rFonts w:cs="Helvetica"/>
          <w:lang w:val="en-US"/>
        </w:rPr>
        <w:t xml:space="preserve">at the </w:t>
      </w:r>
      <w:r w:rsidR="00D81EB4">
        <w:rPr>
          <w:rFonts w:cs="Helvetica"/>
          <w:lang w:val="en-US"/>
        </w:rPr>
        <w:t>most risk</w:t>
      </w:r>
      <w:r w:rsidR="00274010">
        <w:rPr>
          <w:rFonts w:cs="Helvetica"/>
          <w:lang w:val="en-US"/>
        </w:rPr>
        <w:t xml:space="preserve"> of crime</w:t>
      </w:r>
      <w:r w:rsidR="00D81EB4">
        <w:rPr>
          <w:rFonts w:cs="Helvetica"/>
          <w:lang w:val="en-US"/>
        </w:rPr>
        <w:t>. Therefore,</w:t>
      </w:r>
      <w:r w:rsidR="00EC595C">
        <w:rPr>
          <w:rFonts w:cs="Helvetica"/>
          <w:lang w:val="en-US"/>
        </w:rPr>
        <w:t xml:space="preserve"> PPFDM should predict risk only</w:t>
      </w:r>
      <w:r w:rsidR="005576C6">
        <w:rPr>
          <w:rFonts w:cs="Helvetica"/>
          <w:lang w:val="en-US"/>
        </w:rPr>
        <w:t xml:space="preserve"> when there is a shadow</w:t>
      </w:r>
      <w:r w:rsidR="00D9224F">
        <w:rPr>
          <w:rFonts w:cs="Helvetica"/>
          <w:lang w:val="en-US"/>
        </w:rPr>
        <w:t xml:space="preserve">y male figure present and </w:t>
      </w:r>
      <w:r w:rsidR="00D81EB4">
        <w:rPr>
          <w:rFonts w:cs="Helvetica"/>
          <w:lang w:val="en-US"/>
        </w:rPr>
        <w:t>when there are cues indicative of crime present in the environment</w:t>
      </w:r>
      <w:r w:rsidR="00AA4868">
        <w:rPr>
          <w:rFonts w:cs="Helvetica"/>
          <w:lang w:val="en-US"/>
        </w:rPr>
        <w:t xml:space="preserve">, and not when </w:t>
      </w:r>
      <w:r w:rsidR="005576C6">
        <w:rPr>
          <w:rFonts w:cs="Helvetica"/>
          <w:lang w:val="en-US"/>
        </w:rPr>
        <w:t xml:space="preserve">these cues are </w:t>
      </w:r>
      <w:r w:rsidR="00AA4868">
        <w:rPr>
          <w:rFonts w:cs="Helvetica"/>
          <w:lang w:val="en-US"/>
        </w:rPr>
        <w:t>absent</w:t>
      </w:r>
      <w:r w:rsidR="0084639E">
        <w:rPr>
          <w:rFonts w:cs="Helvetica"/>
          <w:lang w:val="en-US"/>
        </w:rPr>
        <w:t xml:space="preserve"> </w:t>
      </w:r>
      <w:r w:rsidR="00566A38" w:rsidRPr="000D048D">
        <w:rPr>
          <w:rFonts w:cs="Helvetica"/>
          <w:lang w:val="en-US"/>
        </w:rPr>
        <w:t>(Hypothesis 1)</w:t>
      </w:r>
      <w:r w:rsidR="00C071C6">
        <w:rPr>
          <w:rFonts w:cs="Helvetica"/>
          <w:lang w:val="en-US"/>
        </w:rPr>
        <w:t>,</w:t>
      </w:r>
      <w:r w:rsidR="00D81EB4">
        <w:rPr>
          <w:rFonts w:cs="Helvetica"/>
          <w:lang w:val="en-US"/>
        </w:rPr>
        <w:t xml:space="preserve"> and at night time compared to the daytime (Hypothesis 2)</w:t>
      </w:r>
      <w:r w:rsidR="004B6FD2">
        <w:rPr>
          <w:rFonts w:cs="Helvetica"/>
          <w:lang w:val="en-US"/>
        </w:rPr>
        <w:t xml:space="preserve">. Additionally, </w:t>
      </w:r>
      <w:r w:rsidR="00AA4868">
        <w:rPr>
          <w:rFonts w:cs="Helvetica"/>
          <w:lang w:val="en-US"/>
        </w:rPr>
        <w:t xml:space="preserve">we also explored whether different types of crime distinctly impact women in relation to their PPDFM. Therefore, PPFDM and crime type should interact, showing that the relationship between </w:t>
      </w:r>
      <w:r w:rsidR="004271BF" w:rsidRPr="000D048D">
        <w:rPr>
          <w:rFonts w:cs="Helvetica"/>
          <w:lang w:val="en-US"/>
        </w:rPr>
        <w:t xml:space="preserve">PPFDM </w:t>
      </w:r>
      <w:r w:rsidR="00AA4868">
        <w:rPr>
          <w:rFonts w:cs="Helvetica"/>
          <w:lang w:val="en-US"/>
        </w:rPr>
        <w:t xml:space="preserve">and risk is larger for sexual assault than for physical assault and robbery, </w:t>
      </w:r>
      <w:r w:rsidR="00E8388B">
        <w:rPr>
          <w:rFonts w:cs="Helvetica"/>
          <w:lang w:val="en-US"/>
        </w:rPr>
        <w:t xml:space="preserve">because sexual assault </w:t>
      </w:r>
      <w:r w:rsidR="00760EA7" w:rsidRPr="000D048D">
        <w:rPr>
          <w:rFonts w:cs="Helvetica"/>
          <w:lang w:val="en-US"/>
        </w:rPr>
        <w:t>pose</w:t>
      </w:r>
      <w:r w:rsidR="00E8388B">
        <w:rPr>
          <w:rFonts w:cs="Helvetica"/>
          <w:lang w:val="en-US"/>
        </w:rPr>
        <w:t>s</w:t>
      </w:r>
      <w:r w:rsidR="00760EA7" w:rsidRPr="000D048D">
        <w:rPr>
          <w:rFonts w:cs="Helvetica"/>
          <w:lang w:val="en-US"/>
        </w:rPr>
        <w:t xml:space="preserve"> </w:t>
      </w:r>
      <w:r w:rsidR="00E8388B">
        <w:rPr>
          <w:rFonts w:cs="Helvetica"/>
          <w:lang w:val="en-US"/>
        </w:rPr>
        <w:t xml:space="preserve">a </w:t>
      </w:r>
      <w:r w:rsidR="00760EA7" w:rsidRPr="000D048D">
        <w:rPr>
          <w:rFonts w:cs="Helvetica"/>
          <w:lang w:val="en-US"/>
        </w:rPr>
        <w:t>larger</w:t>
      </w:r>
      <w:r w:rsidR="00E8388B">
        <w:rPr>
          <w:rFonts w:cs="Helvetica"/>
          <w:lang w:val="en-US"/>
        </w:rPr>
        <w:t xml:space="preserve"> potential evolutionary cost </w:t>
      </w:r>
      <w:r w:rsidR="004271BF" w:rsidRPr="000D048D">
        <w:rPr>
          <w:rFonts w:cs="Helvetica"/>
          <w:lang w:val="en-US"/>
        </w:rPr>
        <w:t xml:space="preserve">(Hypothesis </w:t>
      </w:r>
      <w:r w:rsidR="004B6FD2">
        <w:rPr>
          <w:rFonts w:cs="Helvetica"/>
          <w:lang w:val="en-US"/>
        </w:rPr>
        <w:t>3</w:t>
      </w:r>
      <w:r w:rsidR="004271BF" w:rsidRPr="000D048D">
        <w:rPr>
          <w:rFonts w:cs="Helvetica"/>
          <w:lang w:val="en-US"/>
        </w:rPr>
        <w:t>).</w:t>
      </w:r>
      <w:r w:rsidR="005B60A2" w:rsidRPr="000D048D">
        <w:rPr>
          <w:rFonts w:cs="Helvetica"/>
          <w:lang w:val="en-US"/>
        </w:rPr>
        <w:t xml:space="preserve"> </w:t>
      </w:r>
      <w:r w:rsidRPr="000D048D">
        <w:rPr>
          <w:rFonts w:cs="Helvetica"/>
          <w:lang w:val="en-US"/>
        </w:rPr>
        <w:t>What is more</w:t>
      </w:r>
      <w:r w:rsidR="005B60A2" w:rsidRPr="000D048D">
        <w:rPr>
          <w:rFonts w:cs="Helvetica"/>
          <w:lang w:val="en-US"/>
        </w:rPr>
        <w:t xml:space="preserve">, </w:t>
      </w:r>
      <w:r w:rsidR="005F5197" w:rsidRPr="000D048D">
        <w:rPr>
          <w:rFonts w:cs="Helvetica"/>
          <w:lang w:val="en-US"/>
        </w:rPr>
        <w:t>the Shadow of Sexual Assault Hypothesis (Ferraro, 1995;</w:t>
      </w:r>
      <w:r w:rsidR="00D50DF9" w:rsidRPr="000D048D">
        <w:rPr>
          <w:rFonts w:cs="Helvetica"/>
          <w:lang w:val="en-US"/>
        </w:rPr>
        <w:t xml:space="preserve"> </w:t>
      </w:r>
      <w:r w:rsidR="005F5197" w:rsidRPr="000D048D">
        <w:rPr>
          <w:rFonts w:cs="Helvetica"/>
          <w:lang w:val="en-US"/>
        </w:rPr>
        <w:t>1996</w:t>
      </w:r>
      <w:r w:rsidR="00D50DF9" w:rsidRPr="000D048D">
        <w:rPr>
          <w:rFonts w:cs="Helvetica"/>
          <w:lang w:val="en-US"/>
        </w:rPr>
        <w:t>; Warr, 1985</w:t>
      </w:r>
      <w:r w:rsidR="005F5197" w:rsidRPr="000D048D">
        <w:rPr>
          <w:rFonts w:cs="Helvetica"/>
          <w:lang w:val="en-US"/>
        </w:rPr>
        <w:t xml:space="preserve">) </w:t>
      </w:r>
      <w:r w:rsidR="00126B24" w:rsidRPr="00A06575">
        <w:rPr>
          <w:rFonts w:cs="Helvetica"/>
          <w:lang w:val="en-US"/>
        </w:rPr>
        <w:t xml:space="preserve">posits </w:t>
      </w:r>
      <w:r w:rsidR="005F5197" w:rsidRPr="00D12094">
        <w:rPr>
          <w:rFonts w:cs="Helvetica"/>
          <w:lang w:val="en-US"/>
        </w:rPr>
        <w:t>that women</w:t>
      </w:r>
      <w:r w:rsidR="00D50DF9" w:rsidRPr="00E42F8C">
        <w:rPr>
          <w:rFonts w:cs="Helvetica"/>
          <w:lang w:val="en-US"/>
        </w:rPr>
        <w:t xml:space="preserve"> </w:t>
      </w:r>
      <w:r w:rsidR="004271BF" w:rsidRPr="000D048D">
        <w:rPr>
          <w:rFonts w:cs="Helvetica"/>
          <w:lang w:val="en-US"/>
        </w:rPr>
        <w:t xml:space="preserve">show a </w:t>
      </w:r>
      <w:r w:rsidR="00D50DF9" w:rsidRPr="000D048D">
        <w:rPr>
          <w:rFonts w:cs="Helvetica"/>
          <w:lang w:val="en-US"/>
        </w:rPr>
        <w:t xml:space="preserve">heightened fear of crime in comparison to men </w:t>
      </w:r>
      <w:r w:rsidR="004271BF" w:rsidRPr="000D048D">
        <w:rPr>
          <w:rFonts w:cs="Helvetica"/>
          <w:lang w:val="en-US"/>
        </w:rPr>
        <w:t>because</w:t>
      </w:r>
      <w:r w:rsidR="005F5197" w:rsidRPr="000D048D">
        <w:rPr>
          <w:rFonts w:cs="Helvetica"/>
          <w:lang w:val="en-US"/>
        </w:rPr>
        <w:t xml:space="preserve"> all crimes,</w:t>
      </w:r>
      <w:r w:rsidR="00455A6C" w:rsidRPr="000D048D">
        <w:rPr>
          <w:rFonts w:cs="Helvetica"/>
          <w:lang w:val="en-US"/>
        </w:rPr>
        <w:t xml:space="preserve"> </w:t>
      </w:r>
      <w:r w:rsidR="005F5197" w:rsidRPr="000D048D">
        <w:rPr>
          <w:rFonts w:cs="Helvetica"/>
          <w:lang w:val="en-US"/>
        </w:rPr>
        <w:t>in particular male-perpetrated crimes</w:t>
      </w:r>
      <w:r w:rsidR="004271BF" w:rsidRPr="000D048D">
        <w:rPr>
          <w:rFonts w:cs="Helvetica"/>
          <w:lang w:val="en-US"/>
        </w:rPr>
        <w:t>,</w:t>
      </w:r>
      <w:r w:rsidR="005F5197" w:rsidRPr="000D048D">
        <w:rPr>
          <w:rFonts w:cs="Helvetica"/>
          <w:lang w:val="en-US"/>
        </w:rPr>
        <w:t xml:space="preserve"> </w:t>
      </w:r>
      <w:r w:rsidR="00455A6C" w:rsidRPr="000D048D">
        <w:rPr>
          <w:rFonts w:cs="Helvetica"/>
          <w:lang w:val="en-US"/>
        </w:rPr>
        <w:t>can escalate into sexual crimes</w:t>
      </w:r>
      <w:r w:rsidR="0041465B" w:rsidRPr="000D048D">
        <w:rPr>
          <w:rFonts w:cs="Helvetica"/>
          <w:lang w:val="en-US"/>
        </w:rPr>
        <w:t xml:space="preserve">. </w:t>
      </w:r>
      <w:r w:rsidR="004B6FD2">
        <w:rPr>
          <w:rFonts w:cs="Helvetica"/>
          <w:lang w:val="en-US"/>
        </w:rPr>
        <w:t>Therefore,</w:t>
      </w:r>
      <w:r w:rsidR="004271BF" w:rsidRPr="000D048D">
        <w:rPr>
          <w:rFonts w:cs="Helvetica"/>
          <w:lang w:val="en-US"/>
        </w:rPr>
        <w:t xml:space="preserve"> PPFDM </w:t>
      </w:r>
      <w:r w:rsidR="00AA4868">
        <w:rPr>
          <w:rFonts w:cs="Helvetica"/>
          <w:lang w:val="en-US"/>
        </w:rPr>
        <w:t xml:space="preserve">and perpetrator gender should have an interactive effect on risk perceptions, such that PPFDM </w:t>
      </w:r>
      <w:r w:rsidR="00C753BE">
        <w:rPr>
          <w:rFonts w:cs="Helvetica"/>
          <w:lang w:val="en-US"/>
        </w:rPr>
        <w:t xml:space="preserve">corresponds with risk perceptions only for </w:t>
      </w:r>
      <w:r w:rsidR="004271BF" w:rsidRPr="000D048D">
        <w:rPr>
          <w:rFonts w:cs="Helvetica"/>
          <w:lang w:val="en-US"/>
        </w:rPr>
        <w:t xml:space="preserve">male- as opposed to female-perpetrated crime (Hypothesis </w:t>
      </w:r>
      <w:r w:rsidR="004B6FD2">
        <w:rPr>
          <w:rFonts w:cs="Helvetica"/>
          <w:lang w:val="en-US"/>
        </w:rPr>
        <w:t>4</w:t>
      </w:r>
      <w:r w:rsidR="004271BF" w:rsidRPr="000D048D">
        <w:rPr>
          <w:rFonts w:cs="Helvetica"/>
          <w:lang w:val="en-US"/>
        </w:rPr>
        <w:t>)</w:t>
      </w:r>
      <w:r w:rsidR="0041465B" w:rsidRPr="000D048D">
        <w:rPr>
          <w:rFonts w:cs="Helvetica"/>
          <w:lang w:val="en-US"/>
        </w:rPr>
        <w:t xml:space="preserve">. </w:t>
      </w:r>
    </w:p>
    <w:p w14:paraId="62E6A594" w14:textId="77777777" w:rsidR="00274010" w:rsidRDefault="00274010" w:rsidP="00106F57">
      <w:pPr>
        <w:widowControl w:val="0"/>
        <w:autoSpaceDE w:val="0"/>
        <w:autoSpaceDN w:val="0"/>
        <w:adjustRightInd w:val="0"/>
        <w:spacing w:after="0" w:line="480" w:lineRule="auto"/>
        <w:jc w:val="center"/>
        <w:rPr>
          <w:rFonts w:cs="Helvetica"/>
          <w:lang w:val="en-US"/>
        </w:rPr>
      </w:pPr>
    </w:p>
    <w:p w14:paraId="456B063E" w14:textId="77777777" w:rsidR="001645C7" w:rsidRPr="000D048D" w:rsidRDefault="001645C7" w:rsidP="00106F57">
      <w:pPr>
        <w:widowControl w:val="0"/>
        <w:autoSpaceDE w:val="0"/>
        <w:autoSpaceDN w:val="0"/>
        <w:adjustRightInd w:val="0"/>
        <w:spacing w:after="0" w:line="480" w:lineRule="auto"/>
        <w:jc w:val="center"/>
        <w:rPr>
          <w:rFonts w:cs="Helvetica"/>
          <w:lang w:val="en-US"/>
        </w:rPr>
      </w:pPr>
      <w:r w:rsidRPr="000D048D">
        <w:rPr>
          <w:rFonts w:cs="Helvetica"/>
          <w:lang w:val="en-US"/>
        </w:rPr>
        <w:t>Study 1</w:t>
      </w:r>
    </w:p>
    <w:p w14:paraId="35DB4C72" w14:textId="77777777" w:rsidR="00883DF7" w:rsidRDefault="00883DF7" w:rsidP="00106F57">
      <w:pPr>
        <w:spacing w:line="480" w:lineRule="auto"/>
      </w:pPr>
      <w:r>
        <w:t>Method</w:t>
      </w:r>
    </w:p>
    <w:p w14:paraId="391075AD" w14:textId="77777777" w:rsidR="00883DF7" w:rsidRPr="00AE3940" w:rsidRDefault="00883DF7" w:rsidP="00106F57">
      <w:pPr>
        <w:spacing w:line="480" w:lineRule="auto"/>
        <w:rPr>
          <w:i/>
        </w:rPr>
      </w:pPr>
      <w:r w:rsidRPr="00AE3940">
        <w:rPr>
          <w:i/>
        </w:rPr>
        <w:t>Participants</w:t>
      </w:r>
    </w:p>
    <w:p w14:paraId="477F3388" w14:textId="77777777" w:rsidR="00883DF7" w:rsidRDefault="00883DF7" w:rsidP="00106F57">
      <w:pPr>
        <w:spacing w:line="480" w:lineRule="auto"/>
        <w:ind w:firstLine="720"/>
      </w:pPr>
      <w:r>
        <w:t xml:space="preserve">One hundred and fifty eight women, ranging in age from 19 to 62 (M= 32.19, SD= 10.04) participated via an online study in return for monetary compensation. The majority of women reported being White (70.3%), whilst other ethnicities were reported as South Asian (15.8%), East Asian (6.3%), Black (3.2%), Hispanic (1.3%), Latino (.6%) or other (2.5%). The online survey was designed to screen out </w:t>
      </w:r>
      <w:r w:rsidR="008302C7">
        <w:t xml:space="preserve">men. </w:t>
      </w:r>
    </w:p>
    <w:p w14:paraId="75E8BF65" w14:textId="77777777" w:rsidR="00883DF7" w:rsidRPr="00AE3940" w:rsidRDefault="00D12094" w:rsidP="00106F57">
      <w:pPr>
        <w:spacing w:line="480" w:lineRule="auto"/>
        <w:rPr>
          <w:i/>
        </w:rPr>
      </w:pPr>
      <w:r>
        <w:rPr>
          <w:i/>
        </w:rPr>
        <w:lastRenderedPageBreak/>
        <w:t>M</w:t>
      </w:r>
      <w:r w:rsidR="00883DF7" w:rsidRPr="00AE3940">
        <w:rPr>
          <w:i/>
        </w:rPr>
        <w:t>aterials and procedure</w:t>
      </w:r>
    </w:p>
    <w:p w14:paraId="7D038178" w14:textId="039C5056" w:rsidR="00883DF7" w:rsidRDefault="000D048D" w:rsidP="009576A8">
      <w:pPr>
        <w:spacing w:line="480" w:lineRule="auto"/>
        <w:ind w:firstLine="720"/>
      </w:pPr>
      <w:r>
        <w:t xml:space="preserve">The study was conducted online with Mechanical Turk participants. </w:t>
      </w:r>
      <w:r w:rsidR="00D12094">
        <w:t>At the recruitment stage, p</w:t>
      </w:r>
      <w:r w:rsidR="00883DF7">
        <w:t xml:space="preserve">articipants were </w:t>
      </w:r>
      <w:r w:rsidR="008302C7">
        <w:t xml:space="preserve">told </w:t>
      </w:r>
      <w:r>
        <w:t>that the study entailed evaluating images</w:t>
      </w:r>
      <w:r w:rsidR="008302C7">
        <w:t xml:space="preserve"> and that they had to complete the study on their own</w:t>
      </w:r>
      <w:r w:rsidR="00883DF7">
        <w:t xml:space="preserve">. </w:t>
      </w:r>
      <w:r w:rsidR="00D12094">
        <w:t>P</w:t>
      </w:r>
      <w:r>
        <w:t xml:space="preserve">articipants </w:t>
      </w:r>
      <w:r w:rsidR="00D12094">
        <w:t xml:space="preserve">first </w:t>
      </w:r>
      <w:r w:rsidR="008302C7">
        <w:t>provided</w:t>
      </w:r>
      <w:r>
        <w:t xml:space="preserve"> demographic </w:t>
      </w:r>
      <w:r w:rsidR="008302C7">
        <w:t>information</w:t>
      </w:r>
      <w:r>
        <w:t xml:space="preserve"> </w:t>
      </w:r>
      <w:r w:rsidR="00883DF7">
        <w:t xml:space="preserve">(i.e., age, </w:t>
      </w:r>
      <w:r w:rsidR="008302C7">
        <w:t xml:space="preserve">gender, </w:t>
      </w:r>
      <w:r w:rsidR="00883DF7">
        <w:t>relationship status, ethnicity, residential co</w:t>
      </w:r>
      <w:r w:rsidR="008302C7">
        <w:t>untry</w:t>
      </w:r>
      <w:r>
        <w:t xml:space="preserve">). Participants who indicated they were a woman </w:t>
      </w:r>
      <w:r w:rsidR="00883DF7">
        <w:t xml:space="preserve">were automatically directed </w:t>
      </w:r>
      <w:r>
        <w:t xml:space="preserve">to the online experiment. </w:t>
      </w:r>
      <w:r w:rsidR="00A06575">
        <w:t>The study concluded after the demographic survey for p</w:t>
      </w:r>
      <w:r>
        <w:t>articipants who indicated they were a man</w:t>
      </w:r>
      <w:r w:rsidR="00A06575">
        <w:t xml:space="preserve">. </w:t>
      </w:r>
      <w:r w:rsidR="008302C7">
        <w:t>We did not tell participants at any stage that we were interested in recruiting only women. This was to increase the validity of participants’ self-reports with respect to gender. Since the study was conducted online, we were not in a position to verify participant gender.</w:t>
      </w:r>
      <w:r w:rsidR="009576A8">
        <w:t xml:space="preserve"> Attention filter questions</w:t>
      </w:r>
      <w:r w:rsidR="004800ED">
        <w:t xml:space="preserve"> were included; </w:t>
      </w:r>
      <w:r w:rsidR="009576A8">
        <w:t xml:space="preserve">none of the participants failed these checks. Participants were remunerated </w:t>
      </w:r>
      <w:r w:rsidR="004D2E53">
        <w:t>$1.50</w:t>
      </w:r>
      <w:r w:rsidR="009576A8">
        <w:t xml:space="preserve"> for their participation.  </w:t>
      </w:r>
    </w:p>
    <w:p w14:paraId="0A8ADB7F" w14:textId="5EF81382" w:rsidR="00883DF7" w:rsidRDefault="00D12094" w:rsidP="00106F57">
      <w:pPr>
        <w:spacing w:line="480" w:lineRule="auto"/>
        <w:ind w:firstLine="720"/>
      </w:pPr>
      <w:r>
        <w:t>The experiment entailed the participant rating a series of images, which were presented in a random order. Across the images,</w:t>
      </w:r>
      <w:r w:rsidR="008302C7">
        <w:t xml:space="preserve"> crime</w:t>
      </w:r>
      <w:r>
        <w:t xml:space="preserve"> </w:t>
      </w:r>
      <w:r w:rsidR="008302C7">
        <w:t>risk</w:t>
      </w:r>
      <w:r>
        <w:t xml:space="preserve"> (</w:t>
      </w:r>
      <w:r w:rsidR="008302C7">
        <w:t xml:space="preserve">crime safespot, </w:t>
      </w:r>
      <w:r>
        <w:t>crime hotspot</w:t>
      </w:r>
      <w:r w:rsidR="008302C7">
        <w:t>, versus shadowy male</w:t>
      </w:r>
      <w:r>
        <w:t xml:space="preserve">) and time of day (daytime versus night time) were varied within subjects. </w:t>
      </w:r>
      <w:r w:rsidR="008302C7">
        <w:t>To vary these factors, t</w:t>
      </w:r>
      <w:r w:rsidR="00A06575">
        <w:t xml:space="preserve">he images </w:t>
      </w:r>
      <w:r>
        <w:t xml:space="preserve">were taken at various locations </w:t>
      </w:r>
      <w:r w:rsidR="00A06575">
        <w:t>around a</w:t>
      </w:r>
      <w:r w:rsidR="00883DF7">
        <w:t xml:space="preserve"> city centre</w:t>
      </w:r>
      <w:r w:rsidR="00A06575" w:rsidRPr="002407B3">
        <w:t xml:space="preserve">. For the safespots, there were </w:t>
      </w:r>
      <w:r w:rsidR="002407B3" w:rsidRPr="002407B3">
        <w:t xml:space="preserve">13 </w:t>
      </w:r>
      <w:r w:rsidR="00A06575" w:rsidRPr="002407B3">
        <w:t>images,</w:t>
      </w:r>
      <w:r w:rsidR="008302C7" w:rsidRPr="002407B3">
        <w:t xml:space="preserve"> all comprised of</w:t>
      </w:r>
      <w:r w:rsidR="00A06575" w:rsidRPr="002407B3">
        <w:t xml:space="preserve"> open spaces</w:t>
      </w:r>
      <w:r w:rsidR="002407B3">
        <w:t>. F</w:t>
      </w:r>
      <w:r w:rsidR="008302C7" w:rsidRPr="002407B3">
        <w:t xml:space="preserve">or the crime hotspots, there were </w:t>
      </w:r>
      <w:r w:rsidR="002407B3">
        <w:t>25</w:t>
      </w:r>
      <w:r w:rsidR="008302C7" w:rsidRPr="002407B3">
        <w:t xml:space="preserve"> images</w:t>
      </w:r>
      <w:r w:rsidR="00B93D2F">
        <w:t xml:space="preserve"> in total</w:t>
      </w:r>
      <w:r w:rsidR="008302C7" w:rsidRPr="002407B3">
        <w:t xml:space="preserve">, including </w:t>
      </w:r>
      <w:r w:rsidR="002407B3" w:rsidRPr="002407B3">
        <w:t xml:space="preserve">11 </w:t>
      </w:r>
      <w:r w:rsidR="008302C7" w:rsidRPr="002407B3">
        <w:t xml:space="preserve">images of alleyways, and </w:t>
      </w:r>
      <w:r w:rsidR="002407B3" w:rsidRPr="002407B3">
        <w:t>14</w:t>
      </w:r>
      <w:r w:rsidR="008302C7" w:rsidRPr="002407B3">
        <w:t xml:space="preserve"> of backstreets, and for the shadowy male figure, there were </w:t>
      </w:r>
      <w:r w:rsidR="002407B3" w:rsidRPr="002407B3">
        <w:t>11</w:t>
      </w:r>
      <w:r w:rsidR="008302C7" w:rsidRPr="002407B3">
        <w:t xml:space="preserve"> images</w:t>
      </w:r>
      <w:r w:rsidR="00A06575" w:rsidRPr="002407B3">
        <w:t>.</w:t>
      </w:r>
      <w:r w:rsidR="00A06575">
        <w:t xml:space="preserve"> Each location was photographed </w:t>
      </w:r>
      <w:r w:rsidR="00883DF7">
        <w:t>both during the daytime and the night time</w:t>
      </w:r>
      <w:r>
        <w:t xml:space="preserve">. </w:t>
      </w:r>
      <w:r w:rsidR="00883DF7">
        <w:t xml:space="preserve">Participants </w:t>
      </w:r>
      <w:r>
        <w:t xml:space="preserve">viewed each image for three </w:t>
      </w:r>
      <w:r w:rsidR="00883DF7">
        <w:t xml:space="preserve">seconds, after which they were asked to rate </w:t>
      </w:r>
      <w:r>
        <w:t>their risk of a violent victimization at that</w:t>
      </w:r>
      <w:r w:rsidR="008302C7">
        <w:t xml:space="preserve"> particular</w:t>
      </w:r>
      <w:r>
        <w:t xml:space="preserve"> location</w:t>
      </w:r>
      <w:r w:rsidR="008302C7">
        <w:t xml:space="preserve"> if they were there on their own</w:t>
      </w:r>
      <w:r>
        <w:t xml:space="preserve">, </w:t>
      </w:r>
      <w:r w:rsidR="00227874">
        <w:t xml:space="preserve">on an 11 point scale that was anchored from </w:t>
      </w:r>
      <w:r w:rsidR="00883DF7">
        <w:t>0% (not at all at risk) to 100% (absolutely at risk)</w:t>
      </w:r>
      <w:r w:rsidR="008302C7">
        <w:t>.</w:t>
      </w:r>
      <w:r>
        <w:t xml:space="preserve"> Participants also completed the preference for formidable mates</w:t>
      </w:r>
      <w:r w:rsidR="00114920">
        <w:t xml:space="preserve"> scale (see Snyder et al. 2011), which assessed</w:t>
      </w:r>
      <w:r w:rsidR="00114920" w:rsidRPr="0075449C">
        <w:t xml:space="preserve"> participants’ </w:t>
      </w:r>
      <w:r w:rsidR="00114920">
        <w:t xml:space="preserve">preferences for long term partners who were: </w:t>
      </w:r>
      <w:r w:rsidR="00114920" w:rsidRPr="0075449C">
        <w:t xml:space="preserve">dominant, domineering, commanding, over-bearing, tough-guy, bad-boy, strong, powerful, broad shoulders, tall, could win a fight if </w:t>
      </w:r>
      <w:r w:rsidR="00114920">
        <w:t>necessary. Women rated these traits</w:t>
      </w:r>
      <w:r w:rsidR="00114920" w:rsidRPr="0075449C">
        <w:t xml:space="preserve"> on a scale of 1 (not at all important) to 9 (extremely </w:t>
      </w:r>
      <w:r w:rsidR="00114920" w:rsidRPr="0075449C">
        <w:lastRenderedPageBreak/>
        <w:t>important)</w:t>
      </w:r>
      <w:r w:rsidR="00114920">
        <w:t xml:space="preserve">. </w:t>
      </w:r>
      <w:r>
        <w:t xml:space="preserve">The </w:t>
      </w:r>
      <w:r w:rsidR="008302C7">
        <w:t xml:space="preserve">order in which participants completed the </w:t>
      </w:r>
      <w:r>
        <w:t xml:space="preserve">image rating task and </w:t>
      </w:r>
      <w:r w:rsidR="008302C7">
        <w:t xml:space="preserve">formidable mates </w:t>
      </w:r>
      <w:r>
        <w:t xml:space="preserve">scale </w:t>
      </w:r>
      <w:r w:rsidR="008302C7">
        <w:t>was</w:t>
      </w:r>
      <w:r>
        <w:t xml:space="preserve"> counterbalanced across participants. The study took 15 minutes to complete.</w:t>
      </w:r>
    </w:p>
    <w:p w14:paraId="0C135734" w14:textId="77777777" w:rsidR="00C11CA5" w:rsidRPr="00797B63" w:rsidRDefault="00C11CA5" w:rsidP="00106F57">
      <w:pPr>
        <w:spacing w:line="480" w:lineRule="auto"/>
        <w:rPr>
          <w:i/>
        </w:rPr>
      </w:pPr>
      <w:r w:rsidRPr="00797B63">
        <w:rPr>
          <w:i/>
        </w:rPr>
        <w:t>Measures</w:t>
      </w:r>
      <w:r w:rsidR="005B7C40" w:rsidRPr="00797B63">
        <w:rPr>
          <w:i/>
        </w:rPr>
        <w:t xml:space="preserve"> and Data Analysis</w:t>
      </w:r>
    </w:p>
    <w:p w14:paraId="5D0524FB" w14:textId="77777777" w:rsidR="00F85376" w:rsidRDefault="00C11CA5" w:rsidP="008F5D1C">
      <w:pPr>
        <w:spacing w:line="480" w:lineRule="auto"/>
      </w:pPr>
      <w:r>
        <w:tab/>
        <w:t>For each participant, risk perception scores were averaged across images, conditioning the</w:t>
      </w:r>
      <w:r w:rsidR="008F5D1C">
        <w:t xml:space="preserve"> </w:t>
      </w:r>
      <w:r>
        <w:t xml:space="preserve">data on risk situation and time of day. To measure </w:t>
      </w:r>
      <w:r w:rsidR="001543A9">
        <w:t>PPFDM</w:t>
      </w:r>
      <w:r>
        <w:t xml:space="preserve">, responses to the preferences for formidable mates scale were summed across items for each participant. </w:t>
      </w:r>
      <w:r w:rsidR="005B7C40">
        <w:t xml:space="preserve">There was no significant difference in risk ratings, </w:t>
      </w:r>
      <w:r w:rsidR="005B7C40" w:rsidRPr="00683EC0">
        <w:rPr>
          <w:i/>
        </w:rPr>
        <w:t>t</w:t>
      </w:r>
      <w:r w:rsidR="005B7C40">
        <w:t xml:space="preserve">(156)= 3.71, </w:t>
      </w:r>
      <w:r w:rsidR="005B7C40" w:rsidRPr="00683EC0">
        <w:rPr>
          <w:i/>
        </w:rPr>
        <w:t>p</w:t>
      </w:r>
      <w:r w:rsidR="00986F50">
        <w:rPr>
          <w:i/>
        </w:rPr>
        <w:t xml:space="preserve"> </w:t>
      </w:r>
      <w:r w:rsidR="005B7C40">
        <w:t>=</w:t>
      </w:r>
      <w:r w:rsidR="00986F50">
        <w:t xml:space="preserve"> </w:t>
      </w:r>
      <w:r w:rsidR="005B7C40">
        <w:t xml:space="preserve">.711, or PPFDM scores, </w:t>
      </w:r>
      <w:r w:rsidR="005B7C40" w:rsidRPr="00683EC0">
        <w:rPr>
          <w:i/>
        </w:rPr>
        <w:t>t</w:t>
      </w:r>
      <w:r w:rsidR="005B7C40">
        <w:t>(156)</w:t>
      </w:r>
      <w:r w:rsidR="00986F50">
        <w:t xml:space="preserve"> </w:t>
      </w:r>
      <w:r w:rsidR="005B7C40">
        <w:t>=</w:t>
      </w:r>
      <w:r w:rsidR="00986F50">
        <w:t xml:space="preserve"> </w:t>
      </w:r>
      <w:r w:rsidR="005B7C40">
        <w:t xml:space="preserve">-1.068, </w:t>
      </w:r>
      <w:r w:rsidR="005B7C40" w:rsidRPr="00683EC0">
        <w:rPr>
          <w:i/>
        </w:rPr>
        <w:t>p</w:t>
      </w:r>
      <w:r w:rsidR="00986F50">
        <w:rPr>
          <w:i/>
        </w:rPr>
        <w:t xml:space="preserve"> </w:t>
      </w:r>
      <w:r w:rsidR="005B7C40">
        <w:t>=</w:t>
      </w:r>
      <w:r w:rsidR="00986F50">
        <w:t xml:space="preserve"> </w:t>
      </w:r>
      <w:r w:rsidR="005B7C40">
        <w:t xml:space="preserve">.287 according to the order in which they were completed. Hence, we did not include questionnaire order in any of the analyses that </w:t>
      </w:r>
      <w:r w:rsidR="00F85376">
        <w:t xml:space="preserve">will </w:t>
      </w:r>
      <w:r w:rsidR="005B7C40">
        <w:t>follow.</w:t>
      </w:r>
      <w:r w:rsidR="00F85376">
        <w:t xml:space="preserve"> </w:t>
      </w:r>
      <w:r w:rsidR="001543A9">
        <w:t>PPFDM</w:t>
      </w:r>
      <w:r>
        <w:t xml:space="preserve"> scores were </w:t>
      </w:r>
      <w:r w:rsidR="002407B3">
        <w:t>mean centred prior to analysis.</w:t>
      </w:r>
      <w:r>
        <w:t xml:space="preserve"> The risk perception data were analysed with a 2 time of day (day versus night) x 3 risk situation (hotspots, safespots, </w:t>
      </w:r>
      <w:r w:rsidR="00887759">
        <w:t xml:space="preserve">versus </w:t>
      </w:r>
      <w:r>
        <w:t xml:space="preserve">male presence) ANCOVA, with </w:t>
      </w:r>
      <w:r w:rsidR="001543A9">
        <w:t>PPFDM</w:t>
      </w:r>
      <w:r>
        <w:t xml:space="preserve"> as the covariate. Alpha was set to .05 in the analysis. </w:t>
      </w:r>
      <w:r w:rsidR="00887759">
        <w:t>Significant</w:t>
      </w:r>
      <w:r>
        <w:t xml:space="preserve"> results were</w:t>
      </w:r>
      <w:r w:rsidR="00887759">
        <w:t xml:space="preserve"> further</w:t>
      </w:r>
      <w:r>
        <w:t xml:space="preserve"> </w:t>
      </w:r>
      <w:r w:rsidR="00887759">
        <w:t>examined</w:t>
      </w:r>
      <w:r>
        <w:t xml:space="preserve"> with Bonferonni corrected t-tests</w:t>
      </w:r>
      <w:r w:rsidR="002D5815">
        <w:t xml:space="preserve"> and Pearson’s r</w:t>
      </w:r>
      <w:r>
        <w:t xml:space="preserve">. </w:t>
      </w:r>
    </w:p>
    <w:p w14:paraId="296888C7" w14:textId="77777777" w:rsidR="00883DF7" w:rsidRDefault="00883DF7" w:rsidP="00106F57">
      <w:pPr>
        <w:spacing w:line="480" w:lineRule="auto"/>
        <w:jc w:val="center"/>
      </w:pPr>
      <w:r>
        <w:t>Results</w:t>
      </w:r>
    </w:p>
    <w:p w14:paraId="52F4483F" w14:textId="539BAFE4" w:rsidR="001D3DC2" w:rsidRPr="00613009" w:rsidRDefault="001D3DC2" w:rsidP="00067F99">
      <w:pPr>
        <w:spacing w:line="480" w:lineRule="auto"/>
        <w:rPr>
          <w:i/>
        </w:rPr>
      </w:pPr>
      <w:r w:rsidRPr="0075449C">
        <w:rPr>
          <w:i/>
        </w:rPr>
        <w:t>Preliminary Analyses</w:t>
      </w:r>
    </w:p>
    <w:p w14:paraId="2620D3DD" w14:textId="437CB033" w:rsidR="00DB378C" w:rsidRDefault="00914399" w:rsidP="00805A02">
      <w:pPr>
        <w:spacing w:line="480" w:lineRule="auto"/>
        <w:ind w:firstLine="720"/>
      </w:pPr>
      <w:r>
        <w:t>On average, women’s risk perception scores fell around the mid-point of the scale (</w:t>
      </w:r>
      <w:r>
        <w:rPr>
          <w:i/>
        </w:rPr>
        <w:t xml:space="preserve">M </w:t>
      </w:r>
      <w:r w:rsidR="00132901">
        <w:t>= 5.14</w:t>
      </w:r>
      <w:r>
        <w:t xml:space="preserve">, </w:t>
      </w:r>
      <w:r w:rsidRPr="00965258">
        <w:rPr>
          <w:i/>
          <w:highlight w:val="yellow"/>
        </w:rPr>
        <w:t>S</w:t>
      </w:r>
      <w:r w:rsidR="00132901">
        <w:rPr>
          <w:i/>
          <w:highlight w:val="yellow"/>
        </w:rPr>
        <w:t>D</w:t>
      </w:r>
      <w:r w:rsidRPr="00965258">
        <w:rPr>
          <w:highlight w:val="yellow"/>
        </w:rPr>
        <w:t xml:space="preserve"> =</w:t>
      </w:r>
      <w:r w:rsidR="00132901">
        <w:t xml:space="preserve"> 1.88</w:t>
      </w:r>
      <w:r>
        <w:t xml:space="preserve">). </w:t>
      </w:r>
      <w:r w:rsidR="008E5C27">
        <w:t>There was a main effect for time of day; w</w:t>
      </w:r>
      <w:r w:rsidR="00883DF7">
        <w:t xml:space="preserve">omen rated their perceived risk of victimisation as higher </w:t>
      </w:r>
      <w:r w:rsidR="00525BC0">
        <w:t xml:space="preserve">for the night compared to the day images, </w:t>
      </w:r>
      <w:r w:rsidR="00883DF7">
        <w:t>(</w:t>
      </w:r>
      <w:r w:rsidR="00883DF7" w:rsidRPr="00822E5F">
        <w:rPr>
          <w:i/>
        </w:rPr>
        <w:t>M</w:t>
      </w:r>
      <w:r w:rsidR="000D1FF1">
        <w:rPr>
          <w:i/>
        </w:rPr>
        <w:t xml:space="preserve"> </w:t>
      </w:r>
      <w:r w:rsidR="001A465F">
        <w:t>=</w:t>
      </w:r>
      <w:r w:rsidR="000D1FF1">
        <w:t xml:space="preserve"> </w:t>
      </w:r>
      <w:r w:rsidR="001A465F">
        <w:t>4.60</w:t>
      </w:r>
      <w:r w:rsidR="00883DF7">
        <w:t xml:space="preserve">, </w:t>
      </w:r>
      <w:r w:rsidR="00883DF7" w:rsidRPr="00822E5F">
        <w:rPr>
          <w:i/>
        </w:rPr>
        <w:t>SE</w:t>
      </w:r>
      <w:r w:rsidR="00525BC0">
        <w:rPr>
          <w:i/>
        </w:rPr>
        <w:t>M</w:t>
      </w:r>
      <w:r w:rsidR="000D1FF1">
        <w:rPr>
          <w:i/>
        </w:rPr>
        <w:t xml:space="preserve"> </w:t>
      </w:r>
      <w:r w:rsidR="00883DF7">
        <w:t>=</w:t>
      </w:r>
      <w:r w:rsidR="000D1FF1">
        <w:t xml:space="preserve"> </w:t>
      </w:r>
      <w:r w:rsidR="00883DF7">
        <w:t>.15</w:t>
      </w:r>
      <w:r w:rsidR="00525BC0">
        <w:t xml:space="preserve"> versus </w:t>
      </w:r>
      <w:r w:rsidR="00525BC0" w:rsidRPr="000D1FF1">
        <w:rPr>
          <w:i/>
        </w:rPr>
        <w:t>M</w:t>
      </w:r>
      <w:r w:rsidR="000D1FF1">
        <w:t xml:space="preserve"> </w:t>
      </w:r>
      <w:r w:rsidR="00525BC0">
        <w:t>=</w:t>
      </w:r>
      <w:r w:rsidR="000D1FF1">
        <w:t xml:space="preserve"> </w:t>
      </w:r>
      <w:r w:rsidR="001A465F">
        <w:t>5.68</w:t>
      </w:r>
      <w:r w:rsidR="00525BC0">
        <w:t xml:space="preserve">, </w:t>
      </w:r>
      <w:r w:rsidR="00525BC0" w:rsidRPr="00525BC0">
        <w:rPr>
          <w:i/>
        </w:rPr>
        <w:t>SEM</w:t>
      </w:r>
      <w:r w:rsidR="000D1FF1">
        <w:rPr>
          <w:i/>
        </w:rPr>
        <w:t xml:space="preserve"> </w:t>
      </w:r>
      <w:r w:rsidR="00525BC0">
        <w:t>=</w:t>
      </w:r>
      <w:r w:rsidR="000D1FF1">
        <w:t xml:space="preserve"> </w:t>
      </w:r>
      <w:r w:rsidR="001A465F">
        <w:t>.13</w:t>
      </w:r>
      <w:r w:rsidR="00883DF7">
        <w:t>)</w:t>
      </w:r>
      <w:r w:rsidR="00525BC0">
        <w:t xml:space="preserve">, </w:t>
      </w:r>
      <w:r w:rsidR="00883DF7" w:rsidRPr="006344BF">
        <w:rPr>
          <w:i/>
        </w:rPr>
        <w:t>F</w:t>
      </w:r>
      <w:r w:rsidR="00525BC0">
        <w:t>(1, 156)= 2</w:t>
      </w:r>
      <w:r w:rsidR="001E6A76">
        <w:t>57.05</w:t>
      </w:r>
      <w:r w:rsidR="00883DF7">
        <w:t xml:space="preserve">, </w:t>
      </w:r>
      <w:r w:rsidR="00883DF7" w:rsidRPr="003E6CEF">
        <w:rPr>
          <w:i/>
        </w:rPr>
        <w:t>p</w:t>
      </w:r>
      <w:r w:rsidR="003C4AD2">
        <w:rPr>
          <w:i/>
        </w:rPr>
        <w:t xml:space="preserve"> </w:t>
      </w:r>
      <w:r w:rsidR="00883DF7">
        <w:t>&lt;</w:t>
      </w:r>
      <w:r w:rsidR="003C4AD2">
        <w:t xml:space="preserve"> </w:t>
      </w:r>
      <w:r w:rsidR="00883DF7">
        <w:t xml:space="preserve">.001, </w:t>
      </w:r>
      <w:r w:rsidR="00883DF7" w:rsidRPr="0075449C">
        <w:t>η</w:t>
      </w:r>
      <w:r w:rsidR="00883DF7" w:rsidRPr="0075449C">
        <w:rPr>
          <w:vertAlign w:val="subscript"/>
        </w:rPr>
        <w:t>p</w:t>
      </w:r>
      <w:r w:rsidR="00883DF7" w:rsidRPr="0075449C">
        <w:rPr>
          <w:vertAlign w:val="superscript"/>
        </w:rPr>
        <w:t>2</w:t>
      </w:r>
      <w:r w:rsidR="00883DF7">
        <w:rPr>
          <w:vertAlign w:val="superscript"/>
        </w:rPr>
        <w:t xml:space="preserve"> </w:t>
      </w:r>
      <w:r w:rsidR="00525BC0">
        <w:t>= .62</w:t>
      </w:r>
      <w:r w:rsidR="00883DF7">
        <w:t xml:space="preserve">. </w:t>
      </w:r>
      <w:r w:rsidR="00525BC0">
        <w:t xml:space="preserve">Risk perception scores also varied </w:t>
      </w:r>
      <w:r w:rsidR="00C11CA5">
        <w:t xml:space="preserve">significantly </w:t>
      </w:r>
      <w:r w:rsidR="00525BC0">
        <w:t xml:space="preserve">in relation </w:t>
      </w:r>
      <w:r w:rsidR="00C11CA5">
        <w:t xml:space="preserve">to </w:t>
      </w:r>
      <w:r w:rsidR="00525BC0">
        <w:t>risk</w:t>
      </w:r>
      <w:r w:rsidR="00C11CA5">
        <w:t xml:space="preserve"> situation</w:t>
      </w:r>
      <w:r w:rsidR="00525BC0">
        <w:t xml:space="preserve">, </w:t>
      </w:r>
      <w:r w:rsidR="00E80D74" w:rsidRPr="008F1B0D">
        <w:rPr>
          <w:i/>
        </w:rPr>
        <w:t>F</w:t>
      </w:r>
      <w:r w:rsidR="00567665" w:rsidRPr="009B112C">
        <w:t>(1, 37)</w:t>
      </w:r>
      <w:r w:rsidR="00E80D74">
        <w:t xml:space="preserve"> </w:t>
      </w:r>
      <w:r w:rsidR="001A465F">
        <w:t xml:space="preserve">= 254.38, </w:t>
      </w:r>
      <w:r w:rsidR="001A465F" w:rsidRPr="008F1B0D">
        <w:rPr>
          <w:i/>
        </w:rPr>
        <w:t>p</w:t>
      </w:r>
      <w:r w:rsidR="001A465F">
        <w:t xml:space="preserve"> &lt; .001, </w:t>
      </w:r>
      <w:r w:rsidR="001A465F" w:rsidRPr="0075449C">
        <w:t>η</w:t>
      </w:r>
      <w:r w:rsidR="001A465F" w:rsidRPr="0075449C">
        <w:rPr>
          <w:vertAlign w:val="subscript"/>
        </w:rPr>
        <w:t>p</w:t>
      </w:r>
      <w:r w:rsidR="001A465F" w:rsidRPr="0075449C">
        <w:rPr>
          <w:vertAlign w:val="superscript"/>
        </w:rPr>
        <w:t>2</w:t>
      </w:r>
      <w:r w:rsidR="001A465F">
        <w:t xml:space="preserve"> = .62. W</w:t>
      </w:r>
      <w:r w:rsidR="00E80D74">
        <w:t xml:space="preserve">omen perceived </w:t>
      </w:r>
      <w:r w:rsidR="002D5815">
        <w:t xml:space="preserve">their risk as higher for the </w:t>
      </w:r>
      <w:r w:rsidR="00910304">
        <w:t xml:space="preserve">male </w:t>
      </w:r>
      <w:r w:rsidR="002D5815">
        <w:t xml:space="preserve">images </w:t>
      </w:r>
      <w:r w:rsidR="001A465F">
        <w:t>(</w:t>
      </w:r>
      <w:r w:rsidR="001A465F" w:rsidRPr="001A465F">
        <w:rPr>
          <w:i/>
        </w:rPr>
        <w:t>M</w:t>
      </w:r>
      <w:r w:rsidR="001A465F">
        <w:t xml:space="preserve"> = 6.02, </w:t>
      </w:r>
      <w:r w:rsidR="001A465F" w:rsidRPr="001A465F">
        <w:rPr>
          <w:i/>
        </w:rPr>
        <w:t>SEM</w:t>
      </w:r>
      <w:r w:rsidR="00697E58">
        <w:rPr>
          <w:i/>
        </w:rPr>
        <w:t xml:space="preserve"> </w:t>
      </w:r>
      <w:r w:rsidR="001A465F">
        <w:t>=</w:t>
      </w:r>
      <w:r w:rsidR="00697E58">
        <w:t xml:space="preserve"> </w:t>
      </w:r>
      <w:r w:rsidR="001A465F">
        <w:t xml:space="preserve">.14) </w:t>
      </w:r>
      <w:r w:rsidR="00910304">
        <w:t xml:space="preserve">compared to </w:t>
      </w:r>
      <w:r w:rsidR="002D5815">
        <w:t xml:space="preserve">the </w:t>
      </w:r>
      <w:r w:rsidR="00910304">
        <w:t>crime</w:t>
      </w:r>
      <w:r w:rsidR="001A465F">
        <w:t xml:space="preserve"> </w:t>
      </w:r>
      <w:r w:rsidR="002D5815">
        <w:t>hotspot images</w:t>
      </w:r>
      <w:r w:rsidR="001A465F">
        <w:t xml:space="preserve"> (</w:t>
      </w:r>
      <w:r w:rsidR="001A465F" w:rsidRPr="001A465F">
        <w:rPr>
          <w:i/>
        </w:rPr>
        <w:t>M</w:t>
      </w:r>
      <w:r w:rsidR="001A465F">
        <w:t xml:space="preserve"> = 5.14, </w:t>
      </w:r>
      <w:r w:rsidR="001A465F" w:rsidRPr="001A465F">
        <w:rPr>
          <w:i/>
        </w:rPr>
        <w:t>SEM</w:t>
      </w:r>
      <w:r w:rsidR="000D1FF1">
        <w:rPr>
          <w:i/>
        </w:rPr>
        <w:t xml:space="preserve"> </w:t>
      </w:r>
      <w:r w:rsidR="001A465F">
        <w:t>=</w:t>
      </w:r>
      <w:r w:rsidR="00FB6DD6">
        <w:t xml:space="preserve"> </w:t>
      </w:r>
      <w:r w:rsidR="001A465F">
        <w:t xml:space="preserve">.14) and </w:t>
      </w:r>
      <w:r w:rsidR="002D5815">
        <w:t>the</w:t>
      </w:r>
      <w:r w:rsidR="001A465F">
        <w:t xml:space="preserve"> safe</w:t>
      </w:r>
      <w:r w:rsidR="002D5815">
        <w:t>spot images</w:t>
      </w:r>
      <w:r w:rsidR="001A465F">
        <w:t xml:space="preserve"> (</w:t>
      </w:r>
      <w:r w:rsidR="001A465F" w:rsidRPr="001A465F">
        <w:rPr>
          <w:i/>
        </w:rPr>
        <w:t>M</w:t>
      </w:r>
      <w:r w:rsidR="001A465F">
        <w:t xml:space="preserve"> = 4.26, </w:t>
      </w:r>
      <w:r w:rsidR="001A465F" w:rsidRPr="001A465F">
        <w:rPr>
          <w:i/>
        </w:rPr>
        <w:t>SEM</w:t>
      </w:r>
      <w:r w:rsidR="000D1FF1">
        <w:rPr>
          <w:i/>
        </w:rPr>
        <w:t xml:space="preserve"> </w:t>
      </w:r>
      <w:r w:rsidR="001A465F">
        <w:t>=</w:t>
      </w:r>
      <w:r w:rsidR="000D1FF1">
        <w:t xml:space="preserve"> </w:t>
      </w:r>
      <w:r w:rsidR="001A465F">
        <w:t>.14)</w:t>
      </w:r>
      <w:r w:rsidR="00910304">
        <w:t>;</w:t>
      </w:r>
      <w:r w:rsidR="001A465F">
        <w:t xml:space="preserve"> perceived risk was </w:t>
      </w:r>
      <w:r w:rsidR="00910304">
        <w:t xml:space="preserve">also </w:t>
      </w:r>
      <w:r w:rsidR="001A465F">
        <w:t xml:space="preserve">significantly higher for </w:t>
      </w:r>
      <w:r w:rsidR="002D5815">
        <w:t>the hotspot</w:t>
      </w:r>
      <w:r w:rsidR="001A465F">
        <w:t xml:space="preserve"> compared to </w:t>
      </w:r>
      <w:r w:rsidR="002D5815">
        <w:t>the safespot images</w:t>
      </w:r>
      <w:r w:rsidR="001A465F">
        <w:t>,</w:t>
      </w:r>
      <w:r w:rsidR="008F1B0D">
        <w:t xml:space="preserve"> all</w:t>
      </w:r>
      <w:r w:rsidR="001A465F">
        <w:t xml:space="preserve"> </w:t>
      </w:r>
      <w:r w:rsidR="001A465F" w:rsidRPr="008F1B0D">
        <w:rPr>
          <w:i/>
        </w:rPr>
        <w:t>p</w:t>
      </w:r>
      <w:r w:rsidR="001A465F">
        <w:t>’s &lt; .001</w:t>
      </w:r>
      <w:r w:rsidR="00E80D74">
        <w:t>.</w:t>
      </w:r>
      <w:r w:rsidR="001D3DC2">
        <w:t xml:space="preserve"> As such, the </w:t>
      </w:r>
      <w:r w:rsidR="002A05D3">
        <w:t>images</w:t>
      </w:r>
      <w:r w:rsidR="001D3DC2">
        <w:t xml:space="preserve"> affected feelings of risk in the manner that we had anticipated.</w:t>
      </w:r>
      <w:r w:rsidR="001611F6">
        <w:t xml:space="preserve"> The main effects, however, are qualified by significant interaction effects. Namely, a significant two-way interaction was obtained for risk situation and </w:t>
      </w:r>
      <w:r w:rsidR="001611F6">
        <w:lastRenderedPageBreak/>
        <w:t xml:space="preserve">time of day, </w:t>
      </w:r>
      <w:r w:rsidR="001611F6" w:rsidRPr="001A465F">
        <w:rPr>
          <w:i/>
        </w:rPr>
        <w:t>F</w:t>
      </w:r>
      <w:r w:rsidR="001611F6">
        <w:t xml:space="preserve">(1, 312) = 65.46, </w:t>
      </w:r>
      <w:r w:rsidR="001611F6" w:rsidRPr="001A465F">
        <w:rPr>
          <w:i/>
        </w:rPr>
        <w:t>p</w:t>
      </w:r>
      <w:r w:rsidR="001611F6">
        <w:t xml:space="preserve"> &lt; .001, </w:t>
      </w:r>
      <w:r w:rsidR="001611F6" w:rsidRPr="0075449C">
        <w:t>η</w:t>
      </w:r>
      <w:r w:rsidR="001611F6" w:rsidRPr="0075449C">
        <w:rPr>
          <w:vertAlign w:val="subscript"/>
        </w:rPr>
        <w:t>p</w:t>
      </w:r>
      <w:r w:rsidR="001611F6" w:rsidRPr="0075449C">
        <w:rPr>
          <w:vertAlign w:val="superscript"/>
        </w:rPr>
        <w:t>2</w:t>
      </w:r>
      <w:r w:rsidR="001611F6">
        <w:t xml:space="preserve"> = .29. Perceived risk was significantly higher at night compared to daytime for images of crime hotspots (mean difference = 1.15, </w:t>
      </w:r>
      <w:r w:rsidR="001611F6">
        <w:rPr>
          <w:i/>
        </w:rPr>
        <w:t>p</w:t>
      </w:r>
      <w:r w:rsidR="001611F6">
        <w:t xml:space="preserve"> &lt;.001), safespots (mean difference = .507, </w:t>
      </w:r>
      <w:r w:rsidR="001611F6">
        <w:rPr>
          <w:i/>
        </w:rPr>
        <w:t>p</w:t>
      </w:r>
      <w:r w:rsidR="001611F6">
        <w:t xml:space="preserve"> &lt;.001) and male presence (mean difference = 1.56, </w:t>
      </w:r>
      <w:r w:rsidR="001611F6">
        <w:rPr>
          <w:i/>
        </w:rPr>
        <w:t>p</w:t>
      </w:r>
      <w:r w:rsidR="001611F6">
        <w:t xml:space="preserve"> &lt;.001). There was a significant difference in perceived risk between each risk situation during both the day and night (all p’s &lt;.001)</w:t>
      </w:r>
    </w:p>
    <w:p w14:paraId="7EA50055" w14:textId="546C8054" w:rsidR="002A05D3" w:rsidRPr="009B112C" w:rsidRDefault="00FB6DD6" w:rsidP="00067F99">
      <w:pPr>
        <w:spacing w:line="480" w:lineRule="auto"/>
        <w:rPr>
          <w:i/>
        </w:rPr>
      </w:pPr>
      <w:r w:rsidRPr="009B112C">
        <w:rPr>
          <w:i/>
        </w:rPr>
        <w:t>PPFDM</w:t>
      </w:r>
    </w:p>
    <w:p w14:paraId="2A53FABC" w14:textId="2C2F3C98" w:rsidR="00525BC0" w:rsidRDefault="00FB6DD6" w:rsidP="00106F57">
      <w:pPr>
        <w:spacing w:line="480" w:lineRule="auto"/>
        <w:ind w:firstLine="720"/>
      </w:pPr>
      <w:r>
        <w:t>As can be seen in Figure 2, women’s risk perception scores were positively correlated with PPFDM in every risk situation, both during the day and during the night</w:t>
      </w:r>
      <w:r w:rsidR="001611F6">
        <w:t>.</w:t>
      </w:r>
      <w:r w:rsidR="00E80D74">
        <w:t xml:space="preserve"> Additionally, </w:t>
      </w:r>
      <w:r w:rsidR="001543A9">
        <w:t>PPFDM</w:t>
      </w:r>
      <w:r w:rsidR="00E80D74">
        <w:t xml:space="preserve"> was a significant predictor of risk perception scores</w:t>
      </w:r>
      <w:r w:rsidR="00525BC0">
        <w:t xml:space="preserve">, </w:t>
      </w:r>
      <w:r w:rsidR="001A465F" w:rsidRPr="001A465F">
        <w:rPr>
          <w:i/>
        </w:rPr>
        <w:t>F</w:t>
      </w:r>
      <w:r w:rsidR="001A465F">
        <w:t xml:space="preserve">(1, 156) = 29.25, </w:t>
      </w:r>
      <w:r w:rsidR="001A465F" w:rsidRPr="001A465F">
        <w:rPr>
          <w:i/>
        </w:rPr>
        <w:t>p</w:t>
      </w:r>
      <w:r w:rsidR="001A465F">
        <w:t xml:space="preserve"> &lt; .001, </w:t>
      </w:r>
      <w:r w:rsidR="001A465F" w:rsidRPr="0075449C">
        <w:t>η</w:t>
      </w:r>
      <w:r w:rsidR="001A465F" w:rsidRPr="0075449C">
        <w:rPr>
          <w:vertAlign w:val="subscript"/>
        </w:rPr>
        <w:t>p</w:t>
      </w:r>
      <w:r w:rsidR="001A465F" w:rsidRPr="0075449C">
        <w:rPr>
          <w:vertAlign w:val="superscript"/>
        </w:rPr>
        <w:t>2</w:t>
      </w:r>
      <w:r w:rsidR="001A465F">
        <w:t xml:space="preserve"> = .16</w:t>
      </w:r>
      <w:r w:rsidR="00525BC0">
        <w:t xml:space="preserve">. </w:t>
      </w:r>
      <w:r w:rsidR="00910304">
        <w:t xml:space="preserve">Women with relatively high </w:t>
      </w:r>
      <w:r w:rsidR="001543A9">
        <w:t>PPFDM</w:t>
      </w:r>
      <w:r w:rsidR="00910304">
        <w:t xml:space="preserve"> scores tended to perceive themselves as having a higher risk of </w:t>
      </w:r>
      <w:r w:rsidR="00910304" w:rsidRPr="003C4AD2">
        <w:t xml:space="preserve">victimisation </w:t>
      </w:r>
      <w:r w:rsidR="003C4AD2" w:rsidRPr="003C4AD2">
        <w:t>(</w:t>
      </w:r>
      <w:r w:rsidR="00910304" w:rsidRPr="003C4AD2">
        <w:rPr>
          <w:i/>
        </w:rPr>
        <w:t>r</w:t>
      </w:r>
      <w:r w:rsidR="003C4AD2" w:rsidRPr="003C4AD2">
        <w:t xml:space="preserve"> = .40, </w:t>
      </w:r>
      <w:r w:rsidR="003C4AD2" w:rsidRPr="003C4AD2">
        <w:rPr>
          <w:i/>
        </w:rPr>
        <w:t>p</w:t>
      </w:r>
      <w:r w:rsidR="003C4AD2" w:rsidRPr="003C4AD2">
        <w:t xml:space="preserve"> &lt; .001</w:t>
      </w:r>
      <w:r w:rsidR="00910304" w:rsidRPr="003C4AD2">
        <w:t xml:space="preserve">). </w:t>
      </w:r>
      <w:r w:rsidR="004375D8">
        <w:t xml:space="preserve">. In addition, </w:t>
      </w:r>
      <w:r w:rsidR="003C4AD2">
        <w:t xml:space="preserve">a significant </w:t>
      </w:r>
      <w:r w:rsidR="00525BC0">
        <w:t>three-way interaction was obtained for risk</w:t>
      </w:r>
      <w:r w:rsidR="00E80D74">
        <w:t xml:space="preserve"> situation</w:t>
      </w:r>
      <w:r w:rsidR="00525BC0">
        <w:t xml:space="preserve">, time of day, and </w:t>
      </w:r>
      <w:r w:rsidR="001543A9">
        <w:t>PPFDM</w:t>
      </w:r>
      <w:r w:rsidR="00525BC0">
        <w:t xml:space="preserve">, </w:t>
      </w:r>
      <w:r w:rsidR="003C4AD2" w:rsidRPr="001A465F">
        <w:rPr>
          <w:i/>
        </w:rPr>
        <w:t>F</w:t>
      </w:r>
      <w:r w:rsidR="003C4AD2">
        <w:t xml:space="preserve">(1, 312) = 5.86, </w:t>
      </w:r>
      <w:r w:rsidR="003C4AD2" w:rsidRPr="001A465F">
        <w:rPr>
          <w:i/>
        </w:rPr>
        <w:t>p</w:t>
      </w:r>
      <w:r w:rsidR="003C4AD2">
        <w:t xml:space="preserve"> &lt; . 01, </w:t>
      </w:r>
      <w:r w:rsidR="003C4AD2" w:rsidRPr="0075449C">
        <w:t>η</w:t>
      </w:r>
      <w:r w:rsidR="003C4AD2" w:rsidRPr="0075449C">
        <w:rPr>
          <w:vertAlign w:val="subscript"/>
        </w:rPr>
        <w:t>p</w:t>
      </w:r>
      <w:r w:rsidR="003C4AD2" w:rsidRPr="0075449C">
        <w:rPr>
          <w:vertAlign w:val="superscript"/>
        </w:rPr>
        <w:t>2</w:t>
      </w:r>
      <w:r w:rsidR="003C4AD2">
        <w:t xml:space="preserve"> = .04</w:t>
      </w:r>
      <w:r w:rsidR="004838F7">
        <w:t xml:space="preserve">. </w:t>
      </w:r>
      <w:r w:rsidR="005B7C40">
        <w:t>To investigate the three-way interaction effect, we analysed eac</w:t>
      </w:r>
      <w:r w:rsidR="00FD345B">
        <w:t>h situation separately, using repeated measures ANCOVAs</w:t>
      </w:r>
      <w:r w:rsidR="005B7C40">
        <w:t xml:space="preserve">, with time of day as the repeated measure and </w:t>
      </w:r>
      <w:r w:rsidR="001543A9">
        <w:t>PPFDM</w:t>
      </w:r>
      <w:r w:rsidR="005B7C40">
        <w:t xml:space="preserve"> as the covariate. Results indicated </w:t>
      </w:r>
      <w:r w:rsidR="00F85376">
        <w:t>that the</w:t>
      </w:r>
      <w:r w:rsidR="005B7C40">
        <w:t xml:space="preserve"> </w:t>
      </w:r>
      <w:r w:rsidR="00FD345B">
        <w:t xml:space="preserve">time of </w:t>
      </w:r>
      <w:r w:rsidR="005B7C40">
        <w:t xml:space="preserve">day x </w:t>
      </w:r>
      <w:r w:rsidR="001543A9">
        <w:t>PPFDM</w:t>
      </w:r>
      <w:r w:rsidR="005B7C40">
        <w:t xml:space="preserve"> interaction effect </w:t>
      </w:r>
      <w:r w:rsidR="00F85376">
        <w:t xml:space="preserve">was significant </w:t>
      </w:r>
      <w:r w:rsidR="005B7C40">
        <w:t xml:space="preserve">in only the male image condition, </w:t>
      </w:r>
      <w:r w:rsidR="00F85376" w:rsidRPr="00F85376">
        <w:rPr>
          <w:i/>
        </w:rPr>
        <w:t>F</w:t>
      </w:r>
      <w:r w:rsidR="00F85376">
        <w:t xml:space="preserve">(1, 156) = 8.43, </w:t>
      </w:r>
      <w:r w:rsidR="00F85376" w:rsidRPr="003C4AD2">
        <w:rPr>
          <w:i/>
        </w:rPr>
        <w:t>p</w:t>
      </w:r>
      <w:r w:rsidR="00F85376">
        <w:t xml:space="preserve"> </w:t>
      </w:r>
      <w:r w:rsidR="0013599D">
        <w:t>=</w:t>
      </w:r>
      <w:r w:rsidR="00F85376">
        <w:t xml:space="preserve"> .0</w:t>
      </w:r>
      <w:r w:rsidR="0013599D">
        <w:t>0</w:t>
      </w:r>
      <w:r w:rsidR="00F85376">
        <w:t xml:space="preserve">4, </w:t>
      </w:r>
      <w:r w:rsidR="00F85376" w:rsidRPr="0075449C">
        <w:t>η</w:t>
      </w:r>
      <w:r w:rsidR="00F85376" w:rsidRPr="0075449C">
        <w:rPr>
          <w:vertAlign w:val="subscript"/>
        </w:rPr>
        <w:t>p</w:t>
      </w:r>
      <w:r w:rsidR="00F85376" w:rsidRPr="0075449C">
        <w:rPr>
          <w:vertAlign w:val="superscript"/>
        </w:rPr>
        <w:t>2</w:t>
      </w:r>
      <w:r w:rsidR="00F85376">
        <w:t xml:space="preserve"> = .05</w:t>
      </w:r>
      <w:r w:rsidR="005B7C40">
        <w:t xml:space="preserve">. </w:t>
      </w:r>
      <w:r w:rsidR="00F85376">
        <w:t xml:space="preserve">As can be seen in Figure 2, the effect emerged because the </w:t>
      </w:r>
      <w:r w:rsidR="00525BC0">
        <w:t xml:space="preserve">correlation between risk perception and </w:t>
      </w:r>
      <w:r w:rsidR="001543A9">
        <w:t>PPFDM</w:t>
      </w:r>
      <w:r w:rsidR="00525BC0">
        <w:t xml:space="preserve"> was smaller for the situation in which </w:t>
      </w:r>
      <w:r w:rsidR="00E80D74">
        <w:t>there was</w:t>
      </w:r>
      <w:r w:rsidR="00525BC0">
        <w:t xml:space="preserve"> </w:t>
      </w:r>
      <w:r w:rsidR="00887759">
        <w:t xml:space="preserve">a </w:t>
      </w:r>
      <w:r w:rsidR="00525BC0">
        <w:t>shadowy figure of a male at night</w:t>
      </w:r>
      <w:r w:rsidR="00F85376">
        <w:t xml:space="preserve"> </w:t>
      </w:r>
      <w:r w:rsidR="008D46A8">
        <w:t xml:space="preserve">time compared to daytime </w:t>
      </w:r>
      <w:r w:rsidR="00F85376">
        <w:t>(</w:t>
      </w:r>
      <w:r w:rsidR="00F85376" w:rsidRPr="00F85376">
        <w:rPr>
          <w:i/>
        </w:rPr>
        <w:t>r</w:t>
      </w:r>
      <w:r w:rsidR="00F85376">
        <w:t xml:space="preserve"> = .39 versus </w:t>
      </w:r>
      <w:r w:rsidR="00F85376" w:rsidRPr="00F85376">
        <w:rPr>
          <w:i/>
        </w:rPr>
        <w:t>r</w:t>
      </w:r>
      <w:r w:rsidR="00F85376">
        <w:t xml:space="preserve"> = .80 versus, respectively)</w:t>
      </w:r>
      <w:r w:rsidR="00843757">
        <w:t xml:space="preserve">, </w:t>
      </w:r>
      <w:r w:rsidR="00843757" w:rsidRPr="006A34F3">
        <w:rPr>
          <w:i/>
        </w:rPr>
        <w:t>z</w:t>
      </w:r>
      <w:r w:rsidR="00843757">
        <w:t xml:space="preserve"> = 5.749, </w:t>
      </w:r>
      <w:r w:rsidR="00843757" w:rsidRPr="006A34F3">
        <w:rPr>
          <w:i/>
        </w:rPr>
        <w:t>p</w:t>
      </w:r>
      <w:r w:rsidR="00843757">
        <w:t xml:space="preserve"> &lt; .001</w:t>
      </w:r>
      <w:r w:rsidR="00CF2A1E">
        <w:t xml:space="preserve">. </w:t>
      </w:r>
      <w:r w:rsidR="007D2186">
        <w:t xml:space="preserve">All other interactions were </w:t>
      </w:r>
      <w:r w:rsidR="00BB7FA4">
        <w:t>nonsignificant</w:t>
      </w:r>
      <w:r w:rsidR="007D2186">
        <w:t>.</w:t>
      </w:r>
    </w:p>
    <w:p w14:paraId="72C6B9DD" w14:textId="77777777" w:rsidR="002D5815" w:rsidRDefault="002D5815" w:rsidP="000769EA">
      <w:pPr>
        <w:spacing w:line="480" w:lineRule="auto"/>
        <w:jc w:val="center"/>
      </w:pPr>
      <w:r>
        <w:t>Discussion</w:t>
      </w:r>
    </w:p>
    <w:p w14:paraId="4CD53CA2" w14:textId="1BF9AD92" w:rsidR="0022545E" w:rsidRDefault="0022545E" w:rsidP="00106F57">
      <w:pPr>
        <w:spacing w:line="480" w:lineRule="auto"/>
        <w:ind w:firstLine="720"/>
      </w:pPr>
      <w:r>
        <w:t>T</w:t>
      </w:r>
      <w:r w:rsidR="00CF2A1E">
        <w:t>he findings of Study 1 suggest</w:t>
      </w:r>
      <w:r w:rsidR="002D5815">
        <w:t xml:space="preserve"> that </w:t>
      </w:r>
      <w:r w:rsidR="00D81EB4">
        <w:t>the</w:t>
      </w:r>
      <w:r w:rsidR="002D5815">
        <w:t xml:space="preserve"> relationship between </w:t>
      </w:r>
      <w:r w:rsidR="001543A9">
        <w:t>PPFDM</w:t>
      </w:r>
      <w:r w:rsidR="002D5815">
        <w:t xml:space="preserve"> and risk perceptions</w:t>
      </w:r>
      <w:r w:rsidR="00D81EB4">
        <w:t xml:space="preserve"> is general in nature</w:t>
      </w:r>
      <w:r w:rsidR="002D5815">
        <w:t xml:space="preserve">. </w:t>
      </w:r>
      <w:r>
        <w:t xml:space="preserve">Contrary to Hypothesis 1, </w:t>
      </w:r>
      <w:r w:rsidR="001543A9">
        <w:t>PPFDM</w:t>
      </w:r>
      <w:r w:rsidR="00D81EB4">
        <w:t xml:space="preserve"> was positively c</w:t>
      </w:r>
      <w:r w:rsidR="00FD345B">
        <w:t>orrelated with risk perceptions</w:t>
      </w:r>
      <w:r w:rsidR="00D81EB4">
        <w:t xml:space="preserve"> in crime hotspots and safespots. Additionally, </w:t>
      </w:r>
      <w:r w:rsidR="00D9224F">
        <w:t>PPFDM was positively correlated with risk perceptions</w:t>
      </w:r>
      <w:r w:rsidR="00CF2A1E">
        <w:t xml:space="preserve"> in every situation, both at night and during the daytime</w:t>
      </w:r>
      <w:r w:rsidR="00556881">
        <w:t xml:space="preserve">. </w:t>
      </w:r>
      <w:r w:rsidR="00556881" w:rsidRPr="00270157">
        <w:t>T</w:t>
      </w:r>
      <w:r w:rsidR="00D9224F" w:rsidRPr="00270157">
        <w:t xml:space="preserve">he strength of the association </w:t>
      </w:r>
      <w:r w:rsidR="00CF2A1E" w:rsidRPr="00270157">
        <w:t xml:space="preserve">between </w:t>
      </w:r>
      <w:bookmarkStart w:id="0" w:name="_GoBack"/>
      <w:bookmarkEnd w:id="0"/>
      <w:r w:rsidR="001543A9" w:rsidRPr="00270157">
        <w:lastRenderedPageBreak/>
        <w:t>PPFDM</w:t>
      </w:r>
      <w:r w:rsidR="00CF2A1E" w:rsidRPr="00270157">
        <w:t xml:space="preserve"> and risk </w:t>
      </w:r>
      <w:r w:rsidR="00D9224F" w:rsidRPr="00270157">
        <w:t xml:space="preserve">was </w:t>
      </w:r>
      <w:r w:rsidR="00CF2A1E" w:rsidRPr="00270157">
        <w:t>smaller</w:t>
      </w:r>
      <w:r w:rsidR="00D9224F" w:rsidRPr="00270157">
        <w:t xml:space="preserve"> </w:t>
      </w:r>
      <w:r w:rsidR="00CF2A1E" w:rsidRPr="00270157">
        <w:t xml:space="preserve">when the image portrayed a lone man in the night </w:t>
      </w:r>
      <w:r w:rsidR="00D9224F" w:rsidRPr="00270157">
        <w:t xml:space="preserve">compared </w:t>
      </w:r>
      <w:r w:rsidR="00E911D3" w:rsidRPr="00270157">
        <w:t xml:space="preserve">to the </w:t>
      </w:r>
      <w:r w:rsidR="00D9224F" w:rsidRPr="00270157">
        <w:t>other si</w:t>
      </w:r>
      <w:r w:rsidR="00CF2A1E" w:rsidRPr="00270157">
        <w:t>tuations depicted</w:t>
      </w:r>
      <w:r w:rsidR="00E911D3" w:rsidRPr="00270157">
        <w:t xml:space="preserve">. </w:t>
      </w:r>
      <w:r w:rsidR="00914399">
        <w:t>This suggests that regardless of individual differences in risk perception, women by and large tended to perceive the image of a male figure as risky.</w:t>
      </w:r>
    </w:p>
    <w:p w14:paraId="20463595" w14:textId="7DD78254" w:rsidR="001D342A" w:rsidRDefault="0022545E" w:rsidP="00C753BE">
      <w:pPr>
        <w:spacing w:line="480" w:lineRule="auto"/>
        <w:ind w:firstLine="720"/>
      </w:pPr>
      <w:r>
        <w:t>Taken together, the results of Study 1 indicate that the</w:t>
      </w:r>
      <w:r w:rsidR="00EB3133">
        <w:t xml:space="preserve"> psychological</w:t>
      </w:r>
      <w:r>
        <w:t xml:space="preserve"> </w:t>
      </w:r>
      <w:r w:rsidR="00EB3133">
        <w:t>mechanism</w:t>
      </w:r>
      <w:r w:rsidR="00C071C6">
        <w:t>s</w:t>
      </w:r>
      <w:r w:rsidR="002407B3">
        <w:t xml:space="preserve"> that underlie</w:t>
      </w:r>
      <w:r w:rsidR="00EB3133">
        <w:t xml:space="preserve"> the </w:t>
      </w:r>
      <w:r>
        <w:t>relationship betwee</w:t>
      </w:r>
      <w:r w:rsidR="00C071C6">
        <w:t xml:space="preserve">n PPFDM and risk perceptions </w:t>
      </w:r>
      <w:r w:rsidR="00C753BE">
        <w:t xml:space="preserve">seem to be </w:t>
      </w:r>
      <w:r>
        <w:t xml:space="preserve">general rather than specific in nature. </w:t>
      </w:r>
      <w:r w:rsidR="00C071C6">
        <w:t xml:space="preserve">Women with stronger PPFDM tend to feel more at risk, regardless of the circumstances. </w:t>
      </w:r>
      <w:r w:rsidR="00683EC0">
        <w:t>Moreover, the order in which participants completed the risk perception measurements or the PPFDM scale did not influ</w:t>
      </w:r>
      <w:r w:rsidR="00911824">
        <w:t>ence scores, suggesting PPFDM may be</w:t>
      </w:r>
      <w:r w:rsidR="00683EC0">
        <w:t xml:space="preserve"> a stable trait, rather than being influenced by the images depicting varied risk of victimisation. </w:t>
      </w:r>
      <w:r>
        <w:t>However, perhaps we did not</w:t>
      </w:r>
      <w:r w:rsidR="002D5815">
        <w:t xml:space="preserve"> </w:t>
      </w:r>
      <w:r>
        <w:t>find</w:t>
      </w:r>
      <w:r w:rsidR="002D5815">
        <w:t xml:space="preserve"> evidence </w:t>
      </w:r>
      <w:r w:rsidR="00C071C6">
        <w:t xml:space="preserve">that women with higher PPFDM are more in tune with environmental risks </w:t>
      </w:r>
      <w:r>
        <w:t>because</w:t>
      </w:r>
      <w:r w:rsidR="00E911D3">
        <w:t xml:space="preserve"> </w:t>
      </w:r>
      <w:r>
        <w:t xml:space="preserve">the testing context did not afford a sensitive enough test. Specifically, had we </w:t>
      </w:r>
      <w:r w:rsidR="00E911D3">
        <w:t xml:space="preserve">tested women’s risk perceptions </w:t>
      </w:r>
      <w:r w:rsidR="002D5815">
        <w:t>in actual situations that varied with respect to victimisation risk</w:t>
      </w:r>
      <w:r w:rsidR="00EB3133">
        <w:t xml:space="preserve"> cues</w:t>
      </w:r>
      <w:r>
        <w:t>, we may have found that the relationship between women’s risk perceptions and PPFDM varied in relation to the level of risk present in the situation</w:t>
      </w:r>
      <w:r w:rsidR="002D5815">
        <w:t xml:space="preserve">. </w:t>
      </w:r>
    </w:p>
    <w:p w14:paraId="2B83FBAE" w14:textId="68330ABB" w:rsidR="00556881" w:rsidRDefault="002D5815" w:rsidP="00E31C85">
      <w:pPr>
        <w:spacing w:line="480" w:lineRule="auto"/>
        <w:ind w:firstLine="720"/>
        <w:rPr>
          <w:rFonts w:cs="GalliardBT"/>
        </w:rPr>
      </w:pPr>
      <w:r>
        <w:t>To address th</w:t>
      </w:r>
      <w:r w:rsidR="001D342A">
        <w:t>e</w:t>
      </w:r>
      <w:r>
        <w:t>s</w:t>
      </w:r>
      <w:r w:rsidR="001D342A">
        <w:t>e issues</w:t>
      </w:r>
      <w:r>
        <w:t xml:space="preserve">, in Study 2, we had women </w:t>
      </w:r>
      <w:r w:rsidR="00D14E4D">
        <w:t xml:space="preserve">evaluate their risk of victimisation as they </w:t>
      </w:r>
      <w:r>
        <w:t>walk</w:t>
      </w:r>
      <w:r w:rsidR="00D14E4D">
        <w:t>ed</w:t>
      </w:r>
      <w:r>
        <w:t xml:space="preserve"> through a city centre</w:t>
      </w:r>
      <w:r w:rsidR="00D14E4D">
        <w:t>, following a predetermined route that featured crime cues (</w:t>
      </w:r>
      <w:r w:rsidR="003D6A12">
        <w:t>e.g.,</w:t>
      </w:r>
      <w:r w:rsidR="00D14E4D">
        <w:t xml:space="preserve"> alleyways, broken windows)</w:t>
      </w:r>
      <w:r>
        <w:t xml:space="preserve">. </w:t>
      </w:r>
      <w:r w:rsidR="00D14E4D">
        <w:t xml:space="preserve">They evaluated their risk </w:t>
      </w:r>
      <w:r w:rsidR="001B2505">
        <w:t>in relation to several different types of crime (rape, robbery versus assault), perpetrated by a male versus female</w:t>
      </w:r>
      <w:r w:rsidR="00EB3133">
        <w:t xml:space="preserve"> assailant</w:t>
      </w:r>
      <w:r w:rsidR="001B2505">
        <w:t xml:space="preserve">. </w:t>
      </w:r>
      <w:r w:rsidR="001645C7">
        <w:rPr>
          <w:rFonts w:cs="Arial"/>
          <w:lang w:eastAsia="en-GB"/>
        </w:rPr>
        <w:t>We also</w:t>
      </w:r>
      <w:r w:rsidR="001645C7" w:rsidRPr="0075449C">
        <w:rPr>
          <w:rFonts w:cs="Helvetica"/>
          <w:lang w:val="en-US"/>
        </w:rPr>
        <w:t xml:space="preserve"> </w:t>
      </w:r>
      <w:r w:rsidR="001645C7">
        <w:rPr>
          <w:rFonts w:cs="Helvetica"/>
          <w:lang w:val="en-US"/>
        </w:rPr>
        <w:t xml:space="preserve">explored </w:t>
      </w:r>
      <w:r w:rsidR="00D14E4D">
        <w:rPr>
          <w:rFonts w:cs="Helvetica"/>
          <w:lang w:val="en-US"/>
        </w:rPr>
        <w:t xml:space="preserve">in Study 2 </w:t>
      </w:r>
      <w:r w:rsidR="00E911D3">
        <w:rPr>
          <w:rFonts w:cs="Helvetica"/>
          <w:lang w:val="en-US"/>
        </w:rPr>
        <w:t>the</w:t>
      </w:r>
      <w:r w:rsidR="00BF13D7">
        <w:rPr>
          <w:rFonts w:cs="Helvetica"/>
          <w:lang w:val="en-US"/>
        </w:rPr>
        <w:t xml:space="preserve"> multiple</w:t>
      </w:r>
      <w:r w:rsidR="001645C7">
        <w:rPr>
          <w:rFonts w:cs="Helvetica"/>
          <w:lang w:val="en-US"/>
        </w:rPr>
        <w:t xml:space="preserve"> psychological dimensions of fear </w:t>
      </w:r>
      <w:r w:rsidR="00E911D3">
        <w:rPr>
          <w:rFonts w:cs="Helvetica"/>
          <w:lang w:val="en-US"/>
        </w:rPr>
        <w:t xml:space="preserve">in relation </w:t>
      </w:r>
      <w:r w:rsidR="001645C7">
        <w:rPr>
          <w:rFonts w:cs="Helvetica"/>
          <w:lang w:val="en-US"/>
        </w:rPr>
        <w:t>to PPFDM</w:t>
      </w:r>
      <w:r w:rsidR="005A6B11">
        <w:rPr>
          <w:rFonts w:cs="Helvetica"/>
          <w:lang w:val="en-US"/>
        </w:rPr>
        <w:t>, including fear of crime, perceived consequence seriousness, and perceived risk of victimization. However, as e</w:t>
      </w:r>
      <w:r w:rsidR="001645C7">
        <w:rPr>
          <w:rFonts w:cs="Helvetica"/>
          <w:lang w:val="en-US"/>
        </w:rPr>
        <w:t>vidence</w:t>
      </w:r>
      <w:r w:rsidR="001645C7" w:rsidRPr="0075449C">
        <w:rPr>
          <w:rFonts w:cs="Helvetica"/>
          <w:lang w:val="en-US"/>
        </w:rPr>
        <w:t xml:space="preserve"> suggests that </w:t>
      </w:r>
      <w:r w:rsidR="005A6B11">
        <w:rPr>
          <w:rFonts w:cs="Helvetica"/>
          <w:lang w:val="en-US"/>
        </w:rPr>
        <w:t xml:space="preserve">perceived risk of victimization best defines </w:t>
      </w:r>
      <w:r w:rsidR="001645C7" w:rsidRPr="0075449C">
        <w:rPr>
          <w:rFonts w:cs="Arial"/>
          <w:lang w:eastAsia="en-GB"/>
        </w:rPr>
        <w:t>fear of crime (</w:t>
      </w:r>
      <w:r w:rsidR="003D6A12">
        <w:rPr>
          <w:rFonts w:cs="Arial"/>
          <w:lang w:eastAsia="en-GB"/>
        </w:rPr>
        <w:t>e.g.,</w:t>
      </w:r>
      <w:r w:rsidR="001645C7" w:rsidRPr="0075449C">
        <w:rPr>
          <w:rFonts w:cs="Arial"/>
          <w:lang w:eastAsia="en-GB"/>
        </w:rPr>
        <w:t xml:space="preserve"> Rountree &amp; Land, 1996; Gabriel &amp; Greve, 2003; Jackson, 200</w:t>
      </w:r>
      <w:r w:rsidR="001645C7" w:rsidRPr="00A0067B">
        <w:rPr>
          <w:rFonts w:cs="Arial"/>
          <w:lang w:eastAsia="en-GB"/>
        </w:rPr>
        <w:t>5</w:t>
      </w:r>
      <w:r w:rsidR="001645C7">
        <w:rPr>
          <w:rFonts w:cs="Arial"/>
          <w:lang w:eastAsia="en-GB"/>
        </w:rPr>
        <w:t xml:space="preserve">; </w:t>
      </w:r>
      <w:r w:rsidR="001645C7">
        <w:rPr>
          <w:rFonts w:cs="AdvSTP_PSTimR"/>
        </w:rPr>
        <w:t>Warr, 1987</w:t>
      </w:r>
      <w:r w:rsidR="001645C7">
        <w:rPr>
          <w:rFonts w:cs="Arial"/>
          <w:lang w:eastAsia="en-GB"/>
        </w:rPr>
        <w:t>)</w:t>
      </w:r>
      <w:r w:rsidR="005A6B11">
        <w:rPr>
          <w:rFonts w:cs="Helvetica"/>
          <w:lang w:val="en-US"/>
        </w:rPr>
        <w:t>,</w:t>
      </w:r>
      <w:r w:rsidR="007951C5">
        <w:rPr>
          <w:rFonts w:cs="AdvSTP_PSTimR"/>
        </w:rPr>
        <w:t xml:space="preserve"> </w:t>
      </w:r>
      <w:r w:rsidR="001645C7">
        <w:rPr>
          <w:rFonts w:cs="AdvSTP_PSTimR"/>
        </w:rPr>
        <w:t>is strongly</w:t>
      </w:r>
      <w:r w:rsidR="001645C7" w:rsidRPr="00784D7B">
        <w:rPr>
          <w:rFonts w:cs="AdvSTP_PSTimR"/>
        </w:rPr>
        <w:t xml:space="preserve"> associated with fear of crime (</w:t>
      </w:r>
      <w:r w:rsidR="003D6A12">
        <w:rPr>
          <w:rFonts w:cs="AdvSTP_PSTimR"/>
        </w:rPr>
        <w:t>e.g.,</w:t>
      </w:r>
      <w:r w:rsidR="001645C7" w:rsidRPr="00784D7B">
        <w:rPr>
          <w:rFonts w:cs="AdvSTP_PSTimR"/>
        </w:rPr>
        <w:t xml:space="preserve"> R</w:t>
      </w:r>
      <w:r w:rsidR="001645C7">
        <w:rPr>
          <w:rFonts w:cs="AdvSTP_PSTimR"/>
        </w:rPr>
        <w:t>a</w:t>
      </w:r>
      <w:r w:rsidR="001645C7" w:rsidRPr="00784D7B">
        <w:rPr>
          <w:rFonts w:cs="AdvSTP_PSTimR"/>
        </w:rPr>
        <w:t>d</w:t>
      </w:r>
      <w:r w:rsidR="001645C7">
        <w:rPr>
          <w:rFonts w:cs="AdvSTP_PSTimR"/>
        </w:rPr>
        <w:t>ar</w:t>
      </w:r>
      <w:r w:rsidR="001645C7" w:rsidRPr="00784D7B">
        <w:rPr>
          <w:rFonts w:cs="AdvSTP_PSTimR"/>
        </w:rPr>
        <w:t xml:space="preserve"> et al.</w:t>
      </w:r>
      <w:r w:rsidR="001645C7">
        <w:rPr>
          <w:rFonts w:cs="AdvSTP_PSTimR"/>
        </w:rPr>
        <w:t xml:space="preserve"> 2007), differs by crime </w:t>
      </w:r>
      <w:r w:rsidR="001645C7" w:rsidRPr="00111071">
        <w:rPr>
          <w:rFonts w:cs="AdvSTP_PSTimR"/>
        </w:rPr>
        <w:t>type (</w:t>
      </w:r>
      <w:r w:rsidR="001645C7" w:rsidRPr="00784D7B">
        <w:rPr>
          <w:rFonts w:cs="AdvSTP_PSTimR"/>
        </w:rPr>
        <w:t xml:space="preserve">Reid </w:t>
      </w:r>
      <w:r w:rsidR="001645C7">
        <w:rPr>
          <w:rFonts w:cs="AdvSTP_PSTimR"/>
        </w:rPr>
        <w:t xml:space="preserve">&amp; </w:t>
      </w:r>
      <w:r w:rsidR="001645C7" w:rsidRPr="00784D7B">
        <w:rPr>
          <w:rFonts w:cs="AdvSTP_PSTimR"/>
        </w:rPr>
        <w:t>Konrad, 2004)</w:t>
      </w:r>
      <w:r w:rsidR="001645C7" w:rsidRPr="00111071">
        <w:rPr>
          <w:rFonts w:cs="AdvSTP_PSTimR"/>
        </w:rPr>
        <w:t>,</w:t>
      </w:r>
      <w:r w:rsidR="001645C7">
        <w:rPr>
          <w:rFonts w:cs="AdvSTP_PSTimR"/>
        </w:rPr>
        <w:t xml:space="preserve"> almost entirely mediates the association between crime cues </w:t>
      </w:r>
      <w:r w:rsidR="001645C7">
        <w:t>(</w:t>
      </w:r>
      <w:r w:rsidR="003D6A12">
        <w:t>e.g.,</w:t>
      </w:r>
      <w:r w:rsidR="001645C7">
        <w:t xml:space="preserve"> broken windows, graffiti, anti-social behaviour) and fear of crime (Ferraro</w:t>
      </w:r>
      <w:r w:rsidR="00EF5B14">
        <w:t xml:space="preserve"> et al.</w:t>
      </w:r>
      <w:r w:rsidR="001645C7">
        <w:t xml:space="preserve"> 1992), </w:t>
      </w:r>
      <w:r w:rsidR="001645C7">
        <w:rPr>
          <w:rFonts w:cs="AdvSTP_PSTimR"/>
        </w:rPr>
        <w:t xml:space="preserve">and contributes, along with perceived offense seriousness, to overall fear </w:t>
      </w:r>
      <w:r w:rsidR="001645C7">
        <w:rPr>
          <w:rFonts w:cs="AdvSTP_PSTimR"/>
        </w:rPr>
        <w:lastRenderedPageBreak/>
        <w:t>of victimisation (Warr &amp; Stafford, 1983)</w:t>
      </w:r>
      <w:r w:rsidR="005A6B11">
        <w:rPr>
          <w:rFonts w:cs="AdvSTP_PSTimR"/>
        </w:rPr>
        <w:t>, we used perceived risk as our primary dependent variable to assess the relationship between feelings of vulnerability and PPFDM.</w:t>
      </w:r>
      <w:r w:rsidR="001645C7">
        <w:rPr>
          <w:rFonts w:cs="AdvSTP_PSTimR"/>
        </w:rPr>
        <w:t xml:space="preserve"> </w:t>
      </w:r>
      <w:r w:rsidR="001645C7" w:rsidRPr="00784D7B">
        <w:rPr>
          <w:rFonts w:cs="AdvSTP_PSTimR"/>
        </w:rPr>
        <w:t>Indeed, w</w:t>
      </w:r>
      <w:r w:rsidR="001645C7">
        <w:rPr>
          <w:rFonts w:cs="AdvSTP_PSTimR"/>
        </w:rPr>
        <w:t>omen’s fear of sexual assault seems to be</w:t>
      </w:r>
      <w:r w:rsidR="001645C7" w:rsidRPr="00784D7B">
        <w:rPr>
          <w:rFonts w:cs="AdvSTP_PSTimR"/>
        </w:rPr>
        <w:t xml:space="preserve"> based </w:t>
      </w:r>
      <w:r w:rsidR="001645C7">
        <w:rPr>
          <w:rFonts w:cs="AdvSTP_PSTimR"/>
        </w:rPr>
        <w:t xml:space="preserve">largely </w:t>
      </w:r>
      <w:r w:rsidR="001645C7" w:rsidRPr="00784D7B">
        <w:rPr>
          <w:rFonts w:cs="AdvSTP_PSTimR"/>
        </w:rPr>
        <w:t>on their perceived risk (Fisher &amp;</w:t>
      </w:r>
      <w:r w:rsidR="001645C7" w:rsidRPr="00A0067B">
        <w:rPr>
          <w:rFonts w:cs="AdvSTP_PSTimR"/>
        </w:rPr>
        <w:t xml:space="preserve"> Sloan</w:t>
      </w:r>
      <w:r w:rsidR="001645C7" w:rsidRPr="00784D7B">
        <w:rPr>
          <w:rFonts w:cs="AdvSTP_PSTimR"/>
        </w:rPr>
        <w:t>,</w:t>
      </w:r>
      <w:r w:rsidR="001645C7">
        <w:rPr>
          <w:rFonts w:cs="AdvSTP_PSTimR"/>
        </w:rPr>
        <w:t xml:space="preserve"> </w:t>
      </w:r>
      <w:r w:rsidR="001645C7" w:rsidRPr="00784D7B">
        <w:rPr>
          <w:rFonts w:cs="AdvSTP_PSTimR"/>
        </w:rPr>
        <w:t>2003; Wilcox et al. 2006)</w:t>
      </w:r>
      <w:r w:rsidR="001645C7">
        <w:rPr>
          <w:rFonts w:cs="AdvSTP_PSTimR"/>
        </w:rPr>
        <w:t xml:space="preserve">, which also contributes largely to behaviours to </w:t>
      </w:r>
      <w:r w:rsidR="001645C7" w:rsidRPr="00784D7B">
        <w:rPr>
          <w:rFonts w:cs="AdvSTP_PSTimR"/>
        </w:rPr>
        <w:t>avoid victimisation (Ferraro, 1995)</w:t>
      </w:r>
      <w:r w:rsidR="001645C7">
        <w:rPr>
          <w:rFonts w:cs="AdvSTP_PSTimR"/>
        </w:rPr>
        <w:t xml:space="preserve">. </w:t>
      </w:r>
      <w:r w:rsidR="00556881">
        <w:rPr>
          <w:rFonts w:cs="AdvSTP_PSTimR"/>
        </w:rPr>
        <w:t xml:space="preserve">Finally, Snyder et al. 2011 posit that </w:t>
      </w:r>
      <w:r w:rsidR="00240FB0">
        <w:rPr>
          <w:rFonts w:cs="AdvSTP_PSTimR"/>
        </w:rPr>
        <w:t xml:space="preserve">there are likely to be individual differences across </w:t>
      </w:r>
      <w:r w:rsidR="00556881">
        <w:rPr>
          <w:rFonts w:cs="AdvSTP_PSTimR"/>
        </w:rPr>
        <w:t>women in</w:t>
      </w:r>
      <w:r w:rsidR="00240FB0">
        <w:rPr>
          <w:rFonts w:cs="AdvSTP_PSTimR"/>
        </w:rPr>
        <w:t xml:space="preserve"> the benefits afforded by a formidable mate. For example, women vary in</w:t>
      </w:r>
      <w:r w:rsidR="00556881">
        <w:rPr>
          <w:rFonts w:cs="AdvSTP_PSTimR"/>
        </w:rPr>
        <w:t xml:space="preserve"> both their attractiveness to assailants and their abilities to protect themselves from victimisation</w:t>
      </w:r>
      <w:r w:rsidR="00556881" w:rsidRPr="00556881">
        <w:rPr>
          <w:rFonts w:cs="AdvSTP_PSTimR"/>
        </w:rPr>
        <w:t>.</w:t>
      </w:r>
      <w:r w:rsidR="00914399">
        <w:rPr>
          <w:rFonts w:cs="AdvSTP_PSTimR"/>
        </w:rPr>
        <w:t xml:space="preserve"> Likewise, research shows variations in women’s preferences for masculinity in males (e.g., Gangestad et al. 2004; Gildersleeve et al. 2013), </w:t>
      </w:r>
      <w:r w:rsidR="00E31C85">
        <w:rPr>
          <w:rFonts w:cs="AdvSTP_PSTimR"/>
        </w:rPr>
        <w:t xml:space="preserve">in their </w:t>
      </w:r>
      <w:r w:rsidR="002751D7">
        <w:rPr>
          <w:rFonts w:cs="AdvSTP_PSTimR"/>
        </w:rPr>
        <w:t xml:space="preserve">risk perceptions (Šuklová &amp; Sarmány-Schuller, 2011) </w:t>
      </w:r>
      <w:r w:rsidR="00914399">
        <w:rPr>
          <w:rFonts w:cs="AdvSTP_PSTimR"/>
        </w:rPr>
        <w:t xml:space="preserve">and </w:t>
      </w:r>
      <w:r w:rsidR="00E31C85">
        <w:rPr>
          <w:rFonts w:cs="AdvSTP_PSTimR"/>
        </w:rPr>
        <w:t xml:space="preserve">in </w:t>
      </w:r>
      <w:r w:rsidR="00914399">
        <w:rPr>
          <w:rFonts w:cs="AdvSTP_PSTimR"/>
        </w:rPr>
        <w:t xml:space="preserve">their avoidance of risky situations (e.g., Chavanne &amp; Gallup, 1998; </w:t>
      </w:r>
      <w:r w:rsidR="00914399" w:rsidRPr="006213AE">
        <w:rPr>
          <w:rFonts w:cs="Arial"/>
          <w:lang w:eastAsia="en-GB"/>
        </w:rPr>
        <w:t>Bröder &amp; Hohmann, 2003</w:t>
      </w:r>
      <w:r w:rsidR="00914399">
        <w:rPr>
          <w:rFonts w:cs="Arial"/>
          <w:lang w:eastAsia="en-GB"/>
        </w:rPr>
        <w:t>) over the menstrual cycle.</w:t>
      </w:r>
      <w:r w:rsidR="00914399">
        <w:rPr>
          <w:rFonts w:cs="AdvSTP_PSTimR"/>
        </w:rPr>
        <w:t xml:space="preserve"> </w:t>
      </w:r>
      <w:r w:rsidR="00240FB0">
        <w:rPr>
          <w:rFonts w:cs="AdvSTP_PSTimR"/>
        </w:rPr>
        <w:t xml:space="preserve"> </w:t>
      </w:r>
      <w:r w:rsidR="00E31C85">
        <w:rPr>
          <w:rFonts w:cs="AdvSTP_PSTimR"/>
        </w:rPr>
        <w:t>To take account of potential cycle effects, we ensured that equal numbers of women participated in the high versus low fertility phase of the menstrual cycle. W</w:t>
      </w:r>
      <w:r w:rsidR="00556881" w:rsidRPr="00556881">
        <w:rPr>
          <w:rFonts w:cs="AdvSTP_PSTimR"/>
        </w:rPr>
        <w:t xml:space="preserve">e also assessed women’s </w:t>
      </w:r>
      <w:r w:rsidR="00DE2F2B">
        <w:rPr>
          <w:rFonts w:cs="AdvSTP_PSTimR"/>
        </w:rPr>
        <w:t xml:space="preserve">general anxieties and </w:t>
      </w:r>
      <w:r w:rsidR="00556881" w:rsidRPr="00556881">
        <w:rPr>
          <w:rFonts w:cs="AdvSTP_PSTimR"/>
        </w:rPr>
        <w:t>body mass index (BMI) in Study 2.</w:t>
      </w:r>
      <w:r w:rsidR="00556881">
        <w:rPr>
          <w:rFonts w:cs="AdvSTP_PSTimR"/>
        </w:rPr>
        <w:t xml:space="preserve"> BMI has been</w:t>
      </w:r>
      <w:r w:rsidR="00556881">
        <w:rPr>
          <w:rFonts w:cs="GalliardBT"/>
        </w:rPr>
        <w:t xml:space="preserve"> shown to be related to fear of crime </w:t>
      </w:r>
      <w:r w:rsidR="00320264">
        <w:rPr>
          <w:rFonts w:cs="GalliardBT"/>
        </w:rPr>
        <w:t>(Brown</w:t>
      </w:r>
      <w:r w:rsidR="003D6A12">
        <w:rPr>
          <w:rFonts w:cs="GalliardBT"/>
        </w:rPr>
        <w:t xml:space="preserve"> et al.</w:t>
      </w:r>
      <w:r w:rsidR="00320264">
        <w:rPr>
          <w:rFonts w:cs="GalliardBT"/>
        </w:rPr>
        <w:t xml:space="preserve"> 2014; Kodjebacheva</w:t>
      </w:r>
      <w:r w:rsidR="00EF5B14">
        <w:rPr>
          <w:rFonts w:cs="GalliardBT"/>
        </w:rPr>
        <w:t xml:space="preserve"> </w:t>
      </w:r>
      <w:r w:rsidR="003D6A12">
        <w:rPr>
          <w:rFonts w:cs="GalliardBT"/>
        </w:rPr>
        <w:t>et al.</w:t>
      </w:r>
      <w:r w:rsidR="00320264">
        <w:rPr>
          <w:rFonts w:cs="GalliardBT"/>
        </w:rPr>
        <w:t xml:space="preserve"> 2015)</w:t>
      </w:r>
      <w:r w:rsidR="006E2C8B">
        <w:rPr>
          <w:rFonts w:cs="GalliardBT"/>
        </w:rPr>
        <w:t xml:space="preserve"> </w:t>
      </w:r>
      <w:r w:rsidR="00556881">
        <w:rPr>
          <w:rFonts w:cs="GalliardBT"/>
        </w:rPr>
        <w:t>and feelings of vulnerability (Killias &amp; Clerici, 2000).</w:t>
      </w:r>
    </w:p>
    <w:p w14:paraId="3053DD7B" w14:textId="44778FF2" w:rsidR="00954EE8" w:rsidRPr="00377A28" w:rsidRDefault="00954EE8" w:rsidP="00954EE8">
      <w:pPr>
        <w:spacing w:line="480" w:lineRule="auto"/>
        <w:rPr>
          <w:rFonts w:cs="AdvSTP_PSTimR"/>
        </w:rPr>
      </w:pPr>
      <w:r>
        <w:rPr>
          <w:rFonts w:cs="GalliardBT"/>
        </w:rPr>
        <w:t>Study 2</w:t>
      </w:r>
    </w:p>
    <w:p w14:paraId="015AFA1D" w14:textId="77777777" w:rsidR="00223C0F" w:rsidRPr="0075449C" w:rsidRDefault="00223C0F" w:rsidP="00106F57">
      <w:pPr>
        <w:spacing w:line="480" w:lineRule="auto"/>
      </w:pPr>
      <w:r w:rsidRPr="0075449C">
        <w:t>Method</w:t>
      </w:r>
    </w:p>
    <w:p w14:paraId="1A39CAFB" w14:textId="77777777" w:rsidR="00F42E22" w:rsidRPr="0075449C" w:rsidRDefault="00186A57" w:rsidP="00106F57">
      <w:pPr>
        <w:spacing w:line="480" w:lineRule="auto"/>
        <w:rPr>
          <w:i/>
        </w:rPr>
      </w:pPr>
      <w:r w:rsidRPr="0075449C">
        <w:rPr>
          <w:i/>
        </w:rPr>
        <w:t>Participants</w:t>
      </w:r>
    </w:p>
    <w:p w14:paraId="59DFB699" w14:textId="2CB47E17" w:rsidR="00936B0F" w:rsidRDefault="00936B0F" w:rsidP="00936B0F">
      <w:pPr>
        <w:spacing w:line="480" w:lineRule="auto"/>
        <w:ind w:firstLine="720"/>
      </w:pPr>
      <w:r w:rsidRPr="0075449C">
        <w:t xml:space="preserve">An eligible sample of forty </w:t>
      </w:r>
      <w:r>
        <w:t xml:space="preserve">naturally and regularly cycling </w:t>
      </w:r>
      <w:r w:rsidRPr="0075449C">
        <w:t>women, ranging in age from 18 to 35 (</w:t>
      </w:r>
      <w:r w:rsidRPr="00965258">
        <w:rPr>
          <w:i/>
        </w:rPr>
        <w:t>M</w:t>
      </w:r>
      <w:r w:rsidR="00795CED">
        <w:rPr>
          <w:i/>
        </w:rPr>
        <w:t xml:space="preserve"> </w:t>
      </w:r>
      <w:r w:rsidRPr="0075449C">
        <w:t>= 19.8</w:t>
      </w:r>
      <w:r>
        <w:t>0</w:t>
      </w:r>
      <w:r w:rsidRPr="0075449C">
        <w:t xml:space="preserve"> years, </w:t>
      </w:r>
      <w:r w:rsidRPr="00965258">
        <w:rPr>
          <w:i/>
        </w:rPr>
        <w:t>SD</w:t>
      </w:r>
      <w:r w:rsidR="00795CED">
        <w:rPr>
          <w:i/>
        </w:rPr>
        <w:t xml:space="preserve"> </w:t>
      </w:r>
      <w:r w:rsidRPr="0075449C">
        <w:t>= 3.3</w:t>
      </w:r>
      <w:r>
        <w:t>7</w:t>
      </w:r>
      <w:r w:rsidRPr="0075449C">
        <w:t xml:space="preserve">) participated in the study in return for course credit or payment. Informed consent was obtained </w:t>
      </w:r>
      <w:r>
        <w:t>from all women before participating, and t</w:t>
      </w:r>
      <w:r w:rsidRPr="00C62AC9">
        <w:t xml:space="preserve">he project received </w:t>
      </w:r>
      <w:r w:rsidRPr="00211024">
        <w:t>full ethical approval</w:t>
      </w:r>
      <w:r>
        <w:t xml:space="preserve">, as reviewed by the University of x’s research ethics committee. Participants were recruited from a larger sample of women which responded to a prescreening questionnaire which checked eligibility for participation. </w:t>
      </w:r>
      <w:r w:rsidRPr="0075449C">
        <w:t xml:space="preserve">Eligibility requirements included being between 18 and 35 years </w:t>
      </w:r>
      <w:r w:rsidRPr="0075449C">
        <w:lastRenderedPageBreak/>
        <w:t>old, not using any form of hormonal contraceptive</w:t>
      </w:r>
      <w:r>
        <w:t>s,</w:t>
      </w:r>
      <w:r w:rsidRPr="0075449C">
        <w:t xml:space="preserve"> and having a regular menstrual cycle (i.e., menses consistently occurring every 26-32 days)</w:t>
      </w:r>
      <w:r>
        <w:t>.</w:t>
      </w:r>
    </w:p>
    <w:p w14:paraId="766D0018" w14:textId="77777777" w:rsidR="00936B0F" w:rsidRPr="00965258" w:rsidRDefault="00936B0F" w:rsidP="00936B0F">
      <w:pPr>
        <w:spacing w:line="480" w:lineRule="auto"/>
        <w:ind w:firstLine="720"/>
        <w:rPr>
          <w:i/>
        </w:rPr>
      </w:pPr>
      <w:r w:rsidRPr="0075449C">
        <w:t>Women were randomly assigned to participate on either days 1-3 (nonfertile phase</w:t>
      </w:r>
      <w:r>
        <w:t xml:space="preserve">, </w:t>
      </w:r>
      <w:r w:rsidRPr="00573BBA">
        <w:rPr>
          <w:i/>
        </w:rPr>
        <w:t>n</w:t>
      </w:r>
      <w:r>
        <w:t xml:space="preserve"> = 21</w:t>
      </w:r>
      <w:r w:rsidRPr="0075449C">
        <w:t>) or days 12-16 (fertile phase</w:t>
      </w:r>
      <w:r>
        <w:t xml:space="preserve">, </w:t>
      </w:r>
      <w:r w:rsidRPr="00573BBA">
        <w:rPr>
          <w:i/>
        </w:rPr>
        <w:t>n</w:t>
      </w:r>
      <w:r>
        <w:t xml:space="preserve"> = 19</w:t>
      </w:r>
      <w:r w:rsidRPr="0075449C">
        <w:t xml:space="preserve">) of their menstrual cycle. This was calculated using the forward cycle method (Grammer, 1993; </w:t>
      </w:r>
      <w:r>
        <w:rPr>
          <w:rFonts w:cs="AdvTT5235d5a9"/>
        </w:rPr>
        <w:t>Wideman et al.</w:t>
      </w:r>
      <w:r w:rsidRPr="0075449C">
        <w:rPr>
          <w:rFonts w:cs="AdvTT5235d5a9"/>
        </w:rPr>
        <w:t xml:space="preserve"> 2013</w:t>
      </w:r>
      <w:r w:rsidRPr="0075449C">
        <w:t>) using information provided in the prescreening questionnaire. Participants were asked and reminded to inform the experimenter once their next menses had begun to further verify menstrual cycle phase during participation using the. Sixteen participants responded with their date of onset of next menses, 12 of which had participated in the fertile phase</w:t>
      </w:r>
      <w:r w:rsidRPr="0075449C">
        <w:rPr>
          <w:rStyle w:val="EndnoteReference"/>
        </w:rPr>
        <w:endnoteReference w:id="1"/>
      </w:r>
      <w:r w:rsidRPr="0075449C">
        <w:t>. Ovulatory status was confirmed at the end of the study using</w:t>
      </w:r>
      <w:r>
        <w:t xml:space="preserve"> the</w:t>
      </w:r>
      <w:r w:rsidRPr="0075449C">
        <w:t xml:space="preserve"> backwards count method (Haselton &amp; Gangestad, 2006)</w:t>
      </w:r>
      <w:r>
        <w:t xml:space="preserve"> and </w:t>
      </w:r>
      <w:r w:rsidRPr="0075449C">
        <w:t xml:space="preserve">a self-administered urine-based ovulation test. </w:t>
      </w:r>
    </w:p>
    <w:p w14:paraId="5441CEE9" w14:textId="77777777" w:rsidR="00936B0F" w:rsidRPr="00C62AC9" w:rsidRDefault="00936B0F" w:rsidP="00106F57">
      <w:pPr>
        <w:spacing w:line="480" w:lineRule="auto"/>
        <w:ind w:firstLine="720"/>
      </w:pPr>
    </w:p>
    <w:p w14:paraId="6F8C0F80" w14:textId="77777777" w:rsidR="004037A5" w:rsidRPr="0075449C" w:rsidRDefault="001F484E" w:rsidP="00106F57">
      <w:pPr>
        <w:spacing w:line="480" w:lineRule="auto"/>
        <w:rPr>
          <w:i/>
        </w:rPr>
      </w:pPr>
      <w:r w:rsidRPr="0075449C">
        <w:rPr>
          <w:i/>
        </w:rPr>
        <w:t>Materials and Procedure</w:t>
      </w:r>
    </w:p>
    <w:p w14:paraId="6B3B9257" w14:textId="0136F56F" w:rsidR="00683EC0" w:rsidRDefault="008C3BF3" w:rsidP="00106F57">
      <w:pPr>
        <w:spacing w:line="480" w:lineRule="auto"/>
        <w:ind w:firstLine="720"/>
      </w:pPr>
      <w:r>
        <w:t xml:space="preserve">Participants reported to a laboratory at the start of the study. </w:t>
      </w:r>
      <w:r w:rsidR="001F484E" w:rsidRPr="0075449C">
        <w:t xml:space="preserve">They were told that they were taking part in a project in collaboration with Leicestershire Police to understand </w:t>
      </w:r>
      <w:r w:rsidR="00E8642D" w:rsidRPr="0075449C">
        <w:t>feelings of</w:t>
      </w:r>
      <w:r w:rsidR="001F484E" w:rsidRPr="0075449C">
        <w:t xml:space="preserve"> personal safety in Leicester city centre. This </w:t>
      </w:r>
      <w:r>
        <w:t xml:space="preserve">cover story was employed to </w:t>
      </w:r>
      <w:r w:rsidR="001F484E" w:rsidRPr="0075449C">
        <w:t xml:space="preserve">avoid disclosing </w:t>
      </w:r>
      <w:r>
        <w:t xml:space="preserve">to the participant </w:t>
      </w:r>
      <w:r w:rsidR="001F484E" w:rsidRPr="0075449C">
        <w:t xml:space="preserve">the </w:t>
      </w:r>
      <w:r>
        <w:t xml:space="preserve">true </w:t>
      </w:r>
      <w:r w:rsidR="001F484E" w:rsidRPr="0075449C">
        <w:t>aims of the research</w:t>
      </w:r>
      <w:r>
        <w:t xml:space="preserve">. </w:t>
      </w:r>
      <w:r w:rsidR="001F484E" w:rsidRPr="0075449C">
        <w:t xml:space="preserve">After providing their consent, participants completed a pre-route questionnaire. This included questions about themselves (i.e., age, </w:t>
      </w:r>
      <w:r w:rsidR="00914399">
        <w:t xml:space="preserve">menstrual cycle, </w:t>
      </w:r>
      <w:r w:rsidR="001F484E" w:rsidRPr="0075449C">
        <w:t>sexual o</w:t>
      </w:r>
      <w:r>
        <w:t xml:space="preserve">rientation, relationship status and </w:t>
      </w:r>
      <w:r w:rsidR="001F484E" w:rsidRPr="0075449C">
        <w:t>living arrangements), along with distractor questions</w:t>
      </w:r>
      <w:r>
        <w:t>,</w:t>
      </w:r>
      <w:r w:rsidR="001F484E" w:rsidRPr="0075449C">
        <w:t xml:space="preserve"> regarding their health and general lifestyle to disguise the research aims. Inc</w:t>
      </w:r>
      <w:r w:rsidR="00114920">
        <w:t xml:space="preserve">luded in the questionnaire was the PPFDM scale measuring </w:t>
      </w:r>
      <w:r w:rsidR="001F484E" w:rsidRPr="0075449C">
        <w:t>preference for formidable mates (see Snyder</w:t>
      </w:r>
      <w:r w:rsidR="00E8642D" w:rsidRPr="0075449C">
        <w:t xml:space="preserve"> </w:t>
      </w:r>
      <w:r w:rsidR="003D6A12">
        <w:t>et al.</w:t>
      </w:r>
      <w:r w:rsidR="00E8642D" w:rsidRPr="0075449C">
        <w:t xml:space="preserve"> </w:t>
      </w:r>
      <w:r w:rsidR="00114920">
        <w:t>2011), as in Study 1</w:t>
      </w:r>
      <w:r w:rsidR="00106557" w:rsidRPr="0075449C">
        <w:t xml:space="preserve">. </w:t>
      </w:r>
      <w:r w:rsidR="00683EC0" w:rsidRPr="00114920">
        <w:t xml:space="preserve">The order in which the </w:t>
      </w:r>
      <w:r w:rsidR="00114920" w:rsidRPr="00114920">
        <w:t xml:space="preserve">PPFDM </w:t>
      </w:r>
      <w:r w:rsidR="00683EC0" w:rsidRPr="00114920">
        <w:t xml:space="preserve">scale </w:t>
      </w:r>
      <w:r w:rsidR="00114920">
        <w:t>and the risk perception assessments were</w:t>
      </w:r>
      <w:r w:rsidR="00683EC0" w:rsidRPr="00114920">
        <w:t xml:space="preserve"> presented did not affect</w:t>
      </w:r>
      <w:r w:rsidR="00114920">
        <w:t xml:space="preserve"> responses</w:t>
      </w:r>
      <w:r w:rsidR="00911824">
        <w:t xml:space="preserve"> in Study 1</w:t>
      </w:r>
      <w:r w:rsidR="00114920">
        <w:t>. As such, the PPFDM scale was completed once, before participants went on the route around the city centre</w:t>
      </w:r>
      <w:r w:rsidR="008B19B1">
        <w:t xml:space="preserve"> to assess how variations in vulnerability and risk perceptions would predict PPFDM. </w:t>
      </w:r>
    </w:p>
    <w:p w14:paraId="676A02B9" w14:textId="45C4480D" w:rsidR="001F484E" w:rsidRPr="00A71FCF" w:rsidRDefault="0007316B" w:rsidP="00911824">
      <w:pPr>
        <w:spacing w:line="480" w:lineRule="auto"/>
        <w:ind w:firstLine="720"/>
      </w:pPr>
      <w:r w:rsidRPr="0075449C">
        <w:rPr>
          <w:rFonts w:cs="GalliardBT"/>
        </w:rPr>
        <w:lastRenderedPageBreak/>
        <w:t xml:space="preserve">We also included </w:t>
      </w:r>
      <w:r w:rsidR="001F484E" w:rsidRPr="0075449C">
        <w:rPr>
          <w:rFonts w:cs="GalliardBT"/>
        </w:rPr>
        <w:t>the Positive and Negative Affect Schedule (Watson</w:t>
      </w:r>
      <w:r w:rsidR="00EF5B14">
        <w:rPr>
          <w:rFonts w:cs="GalliardBT"/>
        </w:rPr>
        <w:t xml:space="preserve"> et al.</w:t>
      </w:r>
      <w:r w:rsidR="001F484E" w:rsidRPr="0075449C">
        <w:rPr>
          <w:rFonts w:cs="GalliardBT"/>
        </w:rPr>
        <w:t xml:space="preserve"> 1988) and the SF-12; a shorter form of the SF-36 (Ware</w:t>
      </w:r>
      <w:r w:rsidR="00EF5B14">
        <w:rPr>
          <w:rFonts w:cs="GalliardBT"/>
        </w:rPr>
        <w:t xml:space="preserve"> et al.</w:t>
      </w:r>
      <w:r w:rsidR="001F484E" w:rsidRPr="0075449C">
        <w:rPr>
          <w:rFonts w:cs="GalliardBT"/>
        </w:rPr>
        <w:t xml:space="preserve"> 1996), which is composed of two scales for assessin</w:t>
      </w:r>
      <w:r w:rsidR="00911824">
        <w:rPr>
          <w:rFonts w:cs="GalliardBT"/>
        </w:rPr>
        <w:t>g physical and mental health.</w:t>
      </w:r>
      <w:r w:rsidR="00A71FCF">
        <w:rPr>
          <w:rFonts w:cs="GalliardBT"/>
        </w:rPr>
        <w:t xml:space="preserve"> These measures were included to</w:t>
      </w:r>
      <w:r w:rsidR="00A71FCF">
        <w:rPr>
          <w:rFonts w:cs="Times-Roman"/>
        </w:rPr>
        <w:t xml:space="preserve"> allow us to</w:t>
      </w:r>
      <w:r w:rsidR="00F85D35">
        <w:rPr>
          <w:rFonts w:cs="Times-Roman"/>
        </w:rPr>
        <w:t xml:space="preserve"> assess</w:t>
      </w:r>
      <w:r w:rsidR="001B2505">
        <w:rPr>
          <w:rFonts w:cs="Times-Roman"/>
        </w:rPr>
        <w:t xml:space="preserve"> </w:t>
      </w:r>
      <w:r w:rsidR="00F85D35">
        <w:rPr>
          <w:rFonts w:cs="Times-Roman"/>
        </w:rPr>
        <w:t>the influence of</w:t>
      </w:r>
      <w:r w:rsidR="00A71FCF">
        <w:rPr>
          <w:rFonts w:cs="Times-Roman"/>
        </w:rPr>
        <w:t xml:space="preserve"> mood and fee</w:t>
      </w:r>
      <w:r w:rsidR="00D14E4D">
        <w:rPr>
          <w:rFonts w:cs="Times-Roman"/>
        </w:rPr>
        <w:t xml:space="preserve">lings of anxiety </w:t>
      </w:r>
      <w:r w:rsidR="00911824">
        <w:rPr>
          <w:rFonts w:cs="Times-Roman"/>
        </w:rPr>
        <w:t>on fear of crime.</w:t>
      </w:r>
      <w:r w:rsidR="00720EC0">
        <w:rPr>
          <w:rFonts w:cs="Times-Roman"/>
        </w:rPr>
        <w:t xml:space="preserve"> </w:t>
      </w:r>
      <w:r w:rsidR="00720EC0" w:rsidRPr="00F42DF1">
        <w:rPr>
          <w:rFonts w:cs="GalliardBT"/>
        </w:rPr>
        <w:t>After completing the questionnaire, participants’ height and weight were recorded to calculate body mass index (BMI)</w:t>
      </w:r>
      <w:r w:rsidR="00556881">
        <w:rPr>
          <w:rFonts w:cs="GalliardBT"/>
        </w:rPr>
        <w:t>.</w:t>
      </w:r>
    </w:p>
    <w:p w14:paraId="68F75B6E" w14:textId="77777777" w:rsidR="005F658B" w:rsidRPr="0075449C" w:rsidRDefault="001F484E" w:rsidP="00106F57">
      <w:pPr>
        <w:spacing w:line="480" w:lineRule="auto"/>
        <w:ind w:firstLine="720"/>
        <w:rPr>
          <w:noProof/>
          <w:lang w:eastAsia="en-GB"/>
        </w:rPr>
      </w:pPr>
      <w:r w:rsidRPr="0075449C">
        <w:rPr>
          <w:rFonts w:cs="GalliardBT"/>
        </w:rPr>
        <w:t xml:space="preserve">A </w:t>
      </w:r>
      <w:r w:rsidR="00671B90">
        <w:rPr>
          <w:rFonts w:cs="GalliardBT"/>
        </w:rPr>
        <w:t xml:space="preserve">1.7 mile </w:t>
      </w:r>
      <w:r w:rsidRPr="0075449C">
        <w:rPr>
          <w:rFonts w:cs="GalliardBT"/>
        </w:rPr>
        <w:t>route was selected to include a range of</w:t>
      </w:r>
      <w:r w:rsidR="00671B90">
        <w:rPr>
          <w:rFonts w:cs="GalliardBT"/>
        </w:rPr>
        <w:t xml:space="preserve"> geographical locations across </w:t>
      </w:r>
      <w:r w:rsidR="00D14E4D">
        <w:rPr>
          <w:rFonts w:cs="GalliardBT"/>
        </w:rPr>
        <w:t>the</w:t>
      </w:r>
      <w:r w:rsidRPr="0075449C">
        <w:rPr>
          <w:rFonts w:cs="GalliardBT"/>
        </w:rPr>
        <w:t xml:space="preserve"> city centre</w:t>
      </w:r>
      <w:r w:rsidR="00671B90">
        <w:rPr>
          <w:rFonts w:cs="GalliardBT"/>
        </w:rPr>
        <w:t>,</w:t>
      </w:r>
      <w:r w:rsidRPr="0075449C">
        <w:rPr>
          <w:rFonts w:cs="GalliardBT"/>
        </w:rPr>
        <w:t xml:space="preserve"> including alleyways, backstreets, open areas and shopping areas (</w:t>
      </w:r>
      <w:r w:rsidR="003D6A12">
        <w:rPr>
          <w:rFonts w:cs="GalliardBT"/>
        </w:rPr>
        <w:t>e.g.,</w:t>
      </w:r>
      <w:r w:rsidRPr="0075449C">
        <w:rPr>
          <w:rFonts w:cs="GalliardBT"/>
        </w:rPr>
        <w:t xml:space="preserve"> market stalls</w:t>
      </w:r>
      <w:r w:rsidR="00671B90">
        <w:rPr>
          <w:rFonts w:cs="GalliardBT"/>
        </w:rPr>
        <w:t xml:space="preserve"> and retail stores</w:t>
      </w:r>
      <w:r w:rsidRPr="0075449C">
        <w:rPr>
          <w:rFonts w:cs="GalliardBT"/>
        </w:rPr>
        <w:t>).</w:t>
      </w:r>
      <w:r w:rsidR="006627B9" w:rsidRPr="0075449C">
        <w:rPr>
          <w:rFonts w:cs="GalliardBT"/>
        </w:rPr>
        <w:t xml:space="preserve"> </w:t>
      </w:r>
      <w:r w:rsidR="00671B90">
        <w:rPr>
          <w:rFonts w:cs="GalliardBT"/>
        </w:rPr>
        <w:t xml:space="preserve">The route featured nine key points, including five </w:t>
      </w:r>
      <w:r w:rsidRPr="0075449C">
        <w:rPr>
          <w:rFonts w:cs="GalliardBT"/>
        </w:rPr>
        <w:t xml:space="preserve">crime </w:t>
      </w:r>
      <w:r w:rsidR="00573BBA">
        <w:rPr>
          <w:rFonts w:cs="GalliardBT"/>
        </w:rPr>
        <w:t>hotspot</w:t>
      </w:r>
      <w:r w:rsidRPr="0075449C">
        <w:rPr>
          <w:rFonts w:cs="GalliardBT"/>
        </w:rPr>
        <w:t>s</w:t>
      </w:r>
      <w:r w:rsidR="005D1E97" w:rsidRPr="0075449C">
        <w:rPr>
          <w:rFonts w:cs="GalliardBT"/>
        </w:rPr>
        <w:t xml:space="preserve"> (</w:t>
      </w:r>
      <w:r w:rsidR="003D6A12">
        <w:rPr>
          <w:rFonts w:cs="GalliardBT"/>
        </w:rPr>
        <w:t>e.g.,</w:t>
      </w:r>
      <w:r w:rsidR="00671B90">
        <w:rPr>
          <w:rFonts w:cs="GalliardBT"/>
        </w:rPr>
        <w:t xml:space="preserve"> alleyways and </w:t>
      </w:r>
      <w:r w:rsidR="005D1E97" w:rsidRPr="0075449C">
        <w:rPr>
          <w:rFonts w:cs="GalliardBT"/>
        </w:rPr>
        <w:t>back streets</w:t>
      </w:r>
      <w:r w:rsidR="009F1696" w:rsidRPr="0075449C">
        <w:rPr>
          <w:rFonts w:cs="GalliardBT"/>
        </w:rPr>
        <w:t>,</w:t>
      </w:r>
      <w:r w:rsidR="00AF72EB" w:rsidRPr="0075449C">
        <w:rPr>
          <w:rFonts w:cs="GalliardBT"/>
        </w:rPr>
        <w:t xml:space="preserve"> </w:t>
      </w:r>
      <w:r w:rsidR="00671B90">
        <w:rPr>
          <w:rFonts w:cs="GalliardBT"/>
        </w:rPr>
        <w:t xml:space="preserve">see </w:t>
      </w:r>
      <w:r w:rsidR="00AF72EB" w:rsidRPr="0075449C">
        <w:rPr>
          <w:rFonts w:cs="GalliardBT"/>
        </w:rPr>
        <w:t xml:space="preserve">Figure </w:t>
      </w:r>
      <w:r w:rsidR="00770993">
        <w:rPr>
          <w:rFonts w:cs="GalliardBT"/>
        </w:rPr>
        <w:t>1</w:t>
      </w:r>
      <w:r w:rsidR="00671B90">
        <w:rPr>
          <w:rFonts w:cs="GalliardBT"/>
        </w:rPr>
        <w:t xml:space="preserve">), and four </w:t>
      </w:r>
      <w:r w:rsidR="00573BBA">
        <w:rPr>
          <w:rFonts w:cs="GalliardBT"/>
        </w:rPr>
        <w:t>safespots</w:t>
      </w:r>
      <w:r w:rsidR="005D1E97" w:rsidRPr="0075449C">
        <w:rPr>
          <w:rFonts w:cs="GalliardBT"/>
        </w:rPr>
        <w:t xml:space="preserve"> (</w:t>
      </w:r>
      <w:r w:rsidR="003D6A12">
        <w:rPr>
          <w:rFonts w:cs="GalliardBT"/>
        </w:rPr>
        <w:t>e.g.,</w:t>
      </w:r>
      <w:r w:rsidR="00320CDD" w:rsidRPr="0075449C">
        <w:rPr>
          <w:rFonts w:cs="GalliardBT"/>
        </w:rPr>
        <w:t xml:space="preserve"> including</w:t>
      </w:r>
      <w:r w:rsidR="00695A6A">
        <w:rPr>
          <w:rFonts w:cs="GalliardBT"/>
        </w:rPr>
        <w:t xml:space="preserve"> </w:t>
      </w:r>
      <w:r w:rsidR="005D1E97" w:rsidRPr="0075449C">
        <w:rPr>
          <w:rFonts w:cs="GalliardBT"/>
        </w:rPr>
        <w:t xml:space="preserve">open areas, </w:t>
      </w:r>
      <w:r w:rsidR="00320CDD" w:rsidRPr="0075449C">
        <w:rPr>
          <w:rFonts w:cs="GalliardBT"/>
        </w:rPr>
        <w:t xml:space="preserve">and </w:t>
      </w:r>
      <w:r w:rsidR="005D1E97" w:rsidRPr="0075449C">
        <w:rPr>
          <w:rFonts w:cs="GalliardBT"/>
        </w:rPr>
        <w:t>busy shopping areas</w:t>
      </w:r>
      <w:r w:rsidR="00671B90">
        <w:rPr>
          <w:rFonts w:cs="GalliardBT"/>
        </w:rPr>
        <w:t>, see figure x</w:t>
      </w:r>
      <w:r w:rsidR="00320CDD" w:rsidRPr="0075449C">
        <w:rPr>
          <w:rFonts w:cs="GalliardBT"/>
        </w:rPr>
        <w:t>)</w:t>
      </w:r>
      <w:r w:rsidR="005D1E97" w:rsidRPr="0075449C">
        <w:rPr>
          <w:rFonts w:cs="GalliardBT"/>
        </w:rPr>
        <w:t>.</w:t>
      </w:r>
      <w:r w:rsidR="00AD13C6">
        <w:rPr>
          <w:rStyle w:val="FootnoteReference"/>
          <w:rFonts w:cs="GalliardBT"/>
        </w:rPr>
        <w:footnoteReference w:id="1"/>
      </w:r>
      <w:r w:rsidR="00671B90">
        <w:rPr>
          <w:rFonts w:cs="GalliardBT"/>
        </w:rPr>
        <w:t xml:space="preserve"> A female research assistant escorted the research participant from the lab to the start of the route, and then walked with </w:t>
      </w:r>
      <w:r w:rsidR="00A33079">
        <w:rPr>
          <w:rFonts w:cs="GalliardBT"/>
        </w:rPr>
        <w:t xml:space="preserve">the </w:t>
      </w:r>
      <w:r w:rsidR="00671B90">
        <w:rPr>
          <w:rFonts w:cs="GalliardBT"/>
        </w:rPr>
        <w:t xml:space="preserve">participant along the route. </w:t>
      </w:r>
      <w:r w:rsidR="006B3CBB" w:rsidRPr="0075449C">
        <w:rPr>
          <w:rFonts w:cs="GalliardBT"/>
        </w:rPr>
        <w:t xml:space="preserve">We </w:t>
      </w:r>
      <w:r w:rsidR="00C37E32" w:rsidRPr="0075449C">
        <w:rPr>
          <w:rFonts w:cs="GalliardBT"/>
        </w:rPr>
        <w:t xml:space="preserve">opted </w:t>
      </w:r>
      <w:r w:rsidR="006B3CBB" w:rsidRPr="0075449C">
        <w:rPr>
          <w:rFonts w:cs="GalliardBT"/>
        </w:rPr>
        <w:t>to</w:t>
      </w:r>
      <w:r w:rsidR="00C37E32" w:rsidRPr="0075449C">
        <w:rPr>
          <w:rFonts w:cs="GalliardBT"/>
        </w:rPr>
        <w:t xml:space="preserve"> only</w:t>
      </w:r>
      <w:r w:rsidR="006B3CBB" w:rsidRPr="0075449C">
        <w:rPr>
          <w:rFonts w:cs="GalliardBT"/>
        </w:rPr>
        <w:t xml:space="preserve"> use fe</w:t>
      </w:r>
      <w:r w:rsidR="00EF4F3F" w:rsidRPr="0075449C">
        <w:rPr>
          <w:rFonts w:cs="GalliardBT"/>
        </w:rPr>
        <w:t xml:space="preserve">male </w:t>
      </w:r>
      <w:r w:rsidR="00A55ADF" w:rsidRPr="0075449C">
        <w:rPr>
          <w:rFonts w:cs="GalliardBT"/>
        </w:rPr>
        <w:t>research assistants</w:t>
      </w:r>
      <w:r w:rsidR="00FF3389">
        <w:rPr>
          <w:rFonts w:cs="GalliardBT"/>
        </w:rPr>
        <w:t xml:space="preserve"> to reduce variability,</w:t>
      </w:r>
      <w:r w:rsidR="004F68CC" w:rsidRPr="0075449C">
        <w:rPr>
          <w:rFonts w:cs="GalliardBT"/>
        </w:rPr>
        <w:t xml:space="preserve"> </w:t>
      </w:r>
      <w:r w:rsidR="006627B9" w:rsidRPr="0075449C">
        <w:rPr>
          <w:rFonts w:cs="GalliardBT"/>
        </w:rPr>
        <w:t>as</w:t>
      </w:r>
      <w:r w:rsidR="004F68CC" w:rsidRPr="0075449C">
        <w:rPr>
          <w:rFonts w:cs="GalliardBT"/>
        </w:rPr>
        <w:t xml:space="preserve"> interviewer gender can impact fear of crime reports (</w:t>
      </w:r>
      <w:r w:rsidR="003D6A12">
        <w:rPr>
          <w:rFonts w:cs="GalliardBT"/>
        </w:rPr>
        <w:t>e.g.,</w:t>
      </w:r>
      <w:r w:rsidR="004F68CC" w:rsidRPr="0075449C">
        <w:rPr>
          <w:rFonts w:cs="GalliardBT"/>
        </w:rPr>
        <w:t xml:space="preserve"> </w:t>
      </w:r>
      <w:r w:rsidR="004F68CC" w:rsidRPr="0075449C">
        <w:rPr>
          <w:rFonts w:cs="Arial"/>
          <w:lang w:eastAsia="en-GB"/>
        </w:rPr>
        <w:t>Killias, &amp; Clerici, 2000)</w:t>
      </w:r>
      <w:r w:rsidR="006627B9" w:rsidRPr="0075449C">
        <w:rPr>
          <w:rFonts w:cs="Arial"/>
          <w:lang w:eastAsia="en-GB"/>
        </w:rPr>
        <w:t>.</w:t>
      </w:r>
      <w:r w:rsidR="00EF4F3F" w:rsidRPr="0075449C">
        <w:rPr>
          <w:rFonts w:cs="GalliardBT"/>
        </w:rPr>
        <w:t xml:space="preserve"> </w:t>
      </w:r>
      <w:r w:rsidR="00C37E32" w:rsidRPr="0075449C">
        <w:rPr>
          <w:rFonts w:cs="GalliardBT"/>
        </w:rPr>
        <w:t>T</w:t>
      </w:r>
      <w:r w:rsidR="00EF4F3F" w:rsidRPr="0075449C">
        <w:rPr>
          <w:rFonts w:cs="GalliardBT"/>
        </w:rPr>
        <w:t xml:space="preserve">he </w:t>
      </w:r>
      <w:r w:rsidR="00A55ADF" w:rsidRPr="0075449C">
        <w:rPr>
          <w:rFonts w:cs="GalliardBT"/>
        </w:rPr>
        <w:t xml:space="preserve">research assistants </w:t>
      </w:r>
      <w:r w:rsidR="001161DD" w:rsidRPr="0075449C">
        <w:rPr>
          <w:rFonts w:cs="GalliardBT"/>
        </w:rPr>
        <w:t xml:space="preserve">were blind to </w:t>
      </w:r>
      <w:r w:rsidR="00A55ADF" w:rsidRPr="0075449C">
        <w:rPr>
          <w:rFonts w:cs="GalliardBT"/>
        </w:rPr>
        <w:t>participant responses on the previously aforementioned scales</w:t>
      </w:r>
      <w:r w:rsidR="00705184" w:rsidRPr="0075449C">
        <w:rPr>
          <w:rFonts w:cs="GalliardBT"/>
        </w:rPr>
        <w:t>.</w:t>
      </w:r>
      <w:r w:rsidR="001161DD" w:rsidRPr="0075449C">
        <w:rPr>
          <w:rFonts w:cs="GalliardBT"/>
        </w:rPr>
        <w:t xml:space="preserve"> </w:t>
      </w:r>
      <w:r w:rsidR="00705184" w:rsidRPr="0075449C">
        <w:rPr>
          <w:rFonts w:cs="GalliardBT"/>
        </w:rPr>
        <w:t xml:space="preserve">Research </w:t>
      </w:r>
      <w:r w:rsidR="0078677D" w:rsidRPr="0075449C">
        <w:rPr>
          <w:rFonts w:cs="GalliardBT"/>
        </w:rPr>
        <w:t>assistants</w:t>
      </w:r>
      <w:r w:rsidR="00A55ADF" w:rsidRPr="0075449C">
        <w:rPr>
          <w:rFonts w:cs="GalliardBT"/>
        </w:rPr>
        <w:t xml:space="preserve"> </w:t>
      </w:r>
      <w:r w:rsidR="00EF4F3F" w:rsidRPr="0075449C">
        <w:rPr>
          <w:rFonts w:cs="GalliardBT"/>
        </w:rPr>
        <w:t>were instructed to</w:t>
      </w:r>
      <w:r w:rsidR="006627B9" w:rsidRPr="0075449C">
        <w:rPr>
          <w:rFonts w:cs="GalliardBT"/>
        </w:rPr>
        <w:t xml:space="preserve"> avoid</w:t>
      </w:r>
      <w:r w:rsidR="00EF4F3F" w:rsidRPr="0075449C">
        <w:rPr>
          <w:rFonts w:cs="GalliardBT"/>
        </w:rPr>
        <w:t xml:space="preserve"> </w:t>
      </w:r>
      <w:r w:rsidR="00C37E32" w:rsidRPr="0075449C">
        <w:rPr>
          <w:rFonts w:cs="GalliardBT"/>
        </w:rPr>
        <w:t xml:space="preserve">unnecessary </w:t>
      </w:r>
      <w:r w:rsidR="00EF4F3F" w:rsidRPr="0075449C">
        <w:rPr>
          <w:rFonts w:cs="GalliardBT"/>
        </w:rPr>
        <w:t xml:space="preserve">conversation with the participant </w:t>
      </w:r>
      <w:r w:rsidR="00C37E32" w:rsidRPr="0075449C">
        <w:rPr>
          <w:rFonts w:cs="GalliardBT"/>
        </w:rPr>
        <w:t xml:space="preserve">along the route </w:t>
      </w:r>
      <w:r w:rsidR="00705184" w:rsidRPr="0075449C">
        <w:rPr>
          <w:rFonts w:cs="GalliardBT"/>
        </w:rPr>
        <w:t xml:space="preserve">so as </w:t>
      </w:r>
      <w:r w:rsidR="00EF4F3F" w:rsidRPr="0075449C">
        <w:rPr>
          <w:rFonts w:cs="GalliardBT"/>
        </w:rPr>
        <w:t>to avoid distracting the</w:t>
      </w:r>
      <w:r w:rsidR="00705184" w:rsidRPr="0075449C">
        <w:rPr>
          <w:rFonts w:cs="GalliardBT"/>
        </w:rPr>
        <w:t xml:space="preserve"> participant</w:t>
      </w:r>
      <w:r w:rsidR="00EF4F3F" w:rsidRPr="0075449C">
        <w:rPr>
          <w:rFonts w:cs="GalliardBT"/>
        </w:rPr>
        <w:t xml:space="preserve"> from </w:t>
      </w:r>
      <w:r w:rsidR="00705184" w:rsidRPr="0075449C">
        <w:rPr>
          <w:rFonts w:cs="GalliardBT"/>
        </w:rPr>
        <w:t xml:space="preserve">her </w:t>
      </w:r>
      <w:r w:rsidR="00EF4F3F" w:rsidRPr="0075449C">
        <w:rPr>
          <w:rFonts w:cs="GalliardBT"/>
        </w:rPr>
        <w:t>surroundings</w:t>
      </w:r>
      <w:r w:rsidR="00671B90">
        <w:rPr>
          <w:rFonts w:cs="GalliardBT"/>
        </w:rPr>
        <w:t>,</w:t>
      </w:r>
      <w:r w:rsidR="00EF4F3F" w:rsidRPr="0075449C">
        <w:rPr>
          <w:rFonts w:cs="GalliardBT"/>
        </w:rPr>
        <w:t xml:space="preserve"> and </w:t>
      </w:r>
      <w:r w:rsidR="001161DD" w:rsidRPr="0075449C">
        <w:rPr>
          <w:rFonts w:cs="GalliardBT"/>
        </w:rPr>
        <w:t xml:space="preserve">to </w:t>
      </w:r>
      <w:r w:rsidR="00705184" w:rsidRPr="0075449C">
        <w:rPr>
          <w:rFonts w:cs="GalliardBT"/>
        </w:rPr>
        <w:t xml:space="preserve">provoke </w:t>
      </w:r>
      <w:r w:rsidR="00C37E32" w:rsidRPr="0075449C">
        <w:rPr>
          <w:rFonts w:cs="GalliardBT"/>
        </w:rPr>
        <w:t>feelings of being alone</w:t>
      </w:r>
      <w:r w:rsidR="00EF4F3F" w:rsidRPr="0075449C">
        <w:rPr>
          <w:rFonts w:cs="GalliardBT"/>
        </w:rPr>
        <w:t xml:space="preserve">. </w:t>
      </w:r>
      <w:r w:rsidR="006B3CBB" w:rsidRPr="0075449C">
        <w:rPr>
          <w:rFonts w:cs="GalliardBT"/>
        </w:rPr>
        <w:t xml:space="preserve">The </w:t>
      </w:r>
      <w:r w:rsidR="006D3655" w:rsidRPr="0075449C">
        <w:rPr>
          <w:rFonts w:cs="GalliardBT"/>
        </w:rPr>
        <w:t xml:space="preserve">experimenter </w:t>
      </w:r>
      <w:r w:rsidR="006627B9" w:rsidRPr="0075449C">
        <w:rPr>
          <w:rFonts w:cs="GalliardBT"/>
        </w:rPr>
        <w:t xml:space="preserve">and participant </w:t>
      </w:r>
      <w:r w:rsidR="006D3655" w:rsidRPr="0075449C">
        <w:rPr>
          <w:rFonts w:cs="GalliardBT"/>
        </w:rPr>
        <w:t>stop</w:t>
      </w:r>
      <w:r w:rsidR="006627B9" w:rsidRPr="0075449C">
        <w:rPr>
          <w:rFonts w:cs="GalliardBT"/>
        </w:rPr>
        <w:t>ped</w:t>
      </w:r>
      <w:r w:rsidR="006B3CBB" w:rsidRPr="0075449C">
        <w:rPr>
          <w:rFonts w:cs="GalliardBT"/>
        </w:rPr>
        <w:t xml:space="preserve"> </w:t>
      </w:r>
      <w:r w:rsidR="00705184" w:rsidRPr="0075449C">
        <w:rPr>
          <w:rFonts w:cs="GalliardBT"/>
        </w:rPr>
        <w:t>at</w:t>
      </w:r>
      <w:r w:rsidR="006B3CBB" w:rsidRPr="0075449C">
        <w:rPr>
          <w:rFonts w:cs="GalliardBT"/>
        </w:rPr>
        <w:t xml:space="preserve"> each of the</w:t>
      </w:r>
      <w:r w:rsidR="006627B9" w:rsidRPr="0075449C">
        <w:rPr>
          <w:rFonts w:cs="GalliardBT"/>
        </w:rPr>
        <w:t xml:space="preserve"> nine</w:t>
      </w:r>
      <w:r w:rsidR="006B3CBB" w:rsidRPr="0075449C">
        <w:rPr>
          <w:rFonts w:cs="GalliardBT"/>
        </w:rPr>
        <w:t xml:space="preserve"> key points</w:t>
      </w:r>
      <w:r w:rsidR="006627B9" w:rsidRPr="0075449C">
        <w:rPr>
          <w:rFonts w:cs="GalliardBT"/>
        </w:rPr>
        <w:t xml:space="preserve">, in which the participant was asked to record their responses to the questions measuring their fear of crime </w:t>
      </w:r>
      <w:r w:rsidR="00EA4C8B" w:rsidRPr="0075449C">
        <w:rPr>
          <w:rFonts w:cs="GalliardBT"/>
        </w:rPr>
        <w:t>on a sheet of paper</w:t>
      </w:r>
      <w:r w:rsidR="006B3CBB" w:rsidRPr="0075449C">
        <w:rPr>
          <w:rFonts w:cs="GalliardBT"/>
        </w:rPr>
        <w:t>.</w:t>
      </w:r>
      <w:r w:rsidR="00EA4C8B" w:rsidRPr="0075449C">
        <w:rPr>
          <w:rFonts w:cs="GalliardBT"/>
        </w:rPr>
        <w:t xml:space="preserve"> The experimenter </w:t>
      </w:r>
      <w:r w:rsidR="001161DD" w:rsidRPr="0075449C">
        <w:rPr>
          <w:rFonts w:cs="GalliardBT"/>
        </w:rPr>
        <w:t>was unaware of the responses recorded by the participants</w:t>
      </w:r>
      <w:r w:rsidR="0042536E">
        <w:t>.</w:t>
      </w:r>
    </w:p>
    <w:p w14:paraId="747B7E33" w14:textId="77777777" w:rsidR="00EF4F3F" w:rsidRPr="0075449C" w:rsidRDefault="004037A5" w:rsidP="00106F57">
      <w:pPr>
        <w:spacing w:line="480" w:lineRule="auto"/>
        <w:ind w:firstLine="720"/>
      </w:pPr>
      <w:r w:rsidRPr="0075449C">
        <w:lastRenderedPageBreak/>
        <w:t>A questionnaire was desi</w:t>
      </w:r>
      <w:r w:rsidR="001F484E" w:rsidRPr="0075449C">
        <w:t xml:space="preserve">gned by the researchers based </w:t>
      </w:r>
      <w:r w:rsidR="00EF4F3F" w:rsidRPr="0075449C">
        <w:t>on</w:t>
      </w:r>
      <w:r w:rsidR="007B1015" w:rsidRPr="0075449C">
        <w:t xml:space="preserve"> fear of crime </w:t>
      </w:r>
      <w:r w:rsidR="00A443F5" w:rsidRPr="0075449C">
        <w:t>research</w:t>
      </w:r>
      <w:r w:rsidR="007B1015" w:rsidRPr="0075449C">
        <w:t xml:space="preserve"> </w:t>
      </w:r>
      <w:r w:rsidR="00A443F5" w:rsidRPr="0075449C">
        <w:t>(</w:t>
      </w:r>
      <w:r w:rsidR="001F484E" w:rsidRPr="0075449C">
        <w:t>see</w:t>
      </w:r>
      <w:r w:rsidR="002E5663" w:rsidRPr="0075449C">
        <w:t xml:space="preserve"> </w:t>
      </w:r>
      <w:r w:rsidR="003D6A12">
        <w:t>e.g.,</w:t>
      </w:r>
      <w:r w:rsidR="007B1015" w:rsidRPr="0075449C">
        <w:t xml:space="preserve"> </w:t>
      </w:r>
      <w:r w:rsidR="00A443F5" w:rsidRPr="0075449C">
        <w:t xml:space="preserve">Gabriel &amp; Greve, 2003; </w:t>
      </w:r>
      <w:r w:rsidR="007B1015" w:rsidRPr="0075449C">
        <w:t>Jackson, 2005</w:t>
      </w:r>
      <w:r w:rsidR="00A443F5" w:rsidRPr="0075449C">
        <w:t>; Killias &amp; Clerici, 2000; Rountree &amp; Land, 1996</w:t>
      </w:r>
      <w:r w:rsidR="007B1015" w:rsidRPr="0075449C">
        <w:t>)</w:t>
      </w:r>
      <w:r w:rsidR="00EF4F3F" w:rsidRPr="0075449C">
        <w:t>. Participants were asked to respon</w:t>
      </w:r>
      <w:r w:rsidR="00EB3133">
        <w:t xml:space="preserve">d as if they were alone </w:t>
      </w:r>
      <w:r w:rsidR="00EF4F3F" w:rsidRPr="0075449C">
        <w:t>in that particular location</w:t>
      </w:r>
      <w:r w:rsidR="00EB3133">
        <w:t xml:space="preserve"> at the present time</w:t>
      </w:r>
      <w:r w:rsidR="00EF4F3F" w:rsidRPr="0075449C">
        <w:t xml:space="preserve">. </w:t>
      </w:r>
      <w:r w:rsidR="002E5663" w:rsidRPr="0075449C">
        <w:t xml:space="preserve">The questionnaire began by asking participants to state </w:t>
      </w:r>
      <w:r w:rsidR="00705184" w:rsidRPr="0075449C">
        <w:t xml:space="preserve">in </w:t>
      </w:r>
      <w:r w:rsidR="002E5663" w:rsidRPr="0075449C">
        <w:t>wh</w:t>
      </w:r>
      <w:r w:rsidR="00E439CA" w:rsidRPr="0075449C">
        <w:t>ich</w:t>
      </w:r>
      <w:r w:rsidR="002E5663" w:rsidRPr="0075449C">
        <w:t xml:space="preserve"> type of location they were (</w:t>
      </w:r>
      <w:r w:rsidR="003D6A12">
        <w:t>e.g.,</w:t>
      </w:r>
      <w:r w:rsidR="002E5663" w:rsidRPr="0075449C">
        <w:t xml:space="preserve"> residential street, alleyway, shop) to </w:t>
      </w:r>
      <w:r w:rsidR="0029528D" w:rsidRPr="0075449C">
        <w:t xml:space="preserve">verify </w:t>
      </w:r>
      <w:r w:rsidR="002E5663" w:rsidRPr="0075449C">
        <w:t xml:space="preserve">their perception of that location </w:t>
      </w:r>
      <w:r w:rsidR="00705184" w:rsidRPr="0075449C">
        <w:t>was veridical</w:t>
      </w:r>
      <w:r w:rsidR="0078677D" w:rsidRPr="0075449C">
        <w:t xml:space="preserve">. </w:t>
      </w:r>
      <w:r w:rsidR="002E5663" w:rsidRPr="0075449C">
        <w:t>The questionnaire proceeded to ask how safe they felt on a scale from 0</w:t>
      </w:r>
      <w:r w:rsidR="007F656D" w:rsidRPr="0075449C">
        <w:t xml:space="preserve"> (very unsafe) to </w:t>
      </w:r>
      <w:r w:rsidR="002E5663" w:rsidRPr="0075449C">
        <w:t>10</w:t>
      </w:r>
      <w:r w:rsidR="007F656D" w:rsidRPr="0075449C">
        <w:t xml:space="preserve"> (</w:t>
      </w:r>
      <w:r w:rsidR="002E5663" w:rsidRPr="0075449C">
        <w:t>very safe</w:t>
      </w:r>
      <w:r w:rsidR="007F656D" w:rsidRPr="0075449C">
        <w:t>)</w:t>
      </w:r>
      <w:r w:rsidR="002E5663" w:rsidRPr="0075449C">
        <w:t>.</w:t>
      </w:r>
      <w:r w:rsidR="00EF4F3F" w:rsidRPr="0075449C">
        <w:t xml:space="preserve"> </w:t>
      </w:r>
      <w:r w:rsidR="006D3655" w:rsidRPr="0075449C">
        <w:t>They were then asked about the extent of their fear of crime in that area</w:t>
      </w:r>
      <w:r w:rsidR="007F656D" w:rsidRPr="0075449C">
        <w:t>, from</w:t>
      </w:r>
      <w:r w:rsidR="006D3655" w:rsidRPr="0075449C">
        <w:t xml:space="preserve"> 0 </w:t>
      </w:r>
      <w:r w:rsidR="007F656D" w:rsidRPr="0075449C">
        <w:t>(n</w:t>
      </w:r>
      <w:r w:rsidR="006D3655" w:rsidRPr="0075449C">
        <w:t>o fear at all</w:t>
      </w:r>
      <w:r w:rsidR="007F656D" w:rsidRPr="0075449C">
        <w:t xml:space="preserve">) to </w:t>
      </w:r>
      <w:r w:rsidR="006D3655" w:rsidRPr="0075449C">
        <w:t xml:space="preserve">10 </w:t>
      </w:r>
      <w:r w:rsidR="007F656D" w:rsidRPr="0075449C">
        <w:t>(</w:t>
      </w:r>
      <w:r w:rsidR="006D3655" w:rsidRPr="0075449C">
        <w:t>highly fearful</w:t>
      </w:r>
      <w:r w:rsidR="007F656D" w:rsidRPr="0075449C">
        <w:t>)</w:t>
      </w:r>
      <w:r w:rsidR="006D3655" w:rsidRPr="0075449C">
        <w:t>. Afterwards, open-ended questions were asked regarding which particular crime they felt most afraid of becoming victim to in that location, and for what reason</w:t>
      </w:r>
      <w:r w:rsidR="00EE5A56" w:rsidRPr="0075449C">
        <w:t>-</w:t>
      </w:r>
      <w:r w:rsidR="006D3655" w:rsidRPr="0075449C">
        <w:t xml:space="preserve"> that is, what outcome or consequence they fear</w:t>
      </w:r>
      <w:r w:rsidR="007F656D" w:rsidRPr="0075449C">
        <w:t xml:space="preserve">ed as a result of becoming victim to </w:t>
      </w:r>
      <w:r w:rsidR="006D3655" w:rsidRPr="0075449C">
        <w:t>that crime (</w:t>
      </w:r>
      <w:r w:rsidR="003D6A12">
        <w:t>e.g.,</w:t>
      </w:r>
      <w:r w:rsidR="006D3655" w:rsidRPr="0075449C">
        <w:t xml:space="preserve"> injury). They were then asked to rate the perceived seriousness of that consequence on a scale from 0 (no negative consequences) to 10 (very serious consequences). </w:t>
      </w:r>
    </w:p>
    <w:p w14:paraId="40A5524E" w14:textId="77777777" w:rsidR="00CE5AEF" w:rsidRPr="0075449C" w:rsidRDefault="006D3655" w:rsidP="00106F57">
      <w:pPr>
        <w:spacing w:line="480" w:lineRule="auto"/>
        <w:ind w:firstLine="720"/>
      </w:pPr>
      <w:r w:rsidRPr="0075449C">
        <w:t>To measure perceived risk, participants were asked to report how likely on a scale of 0 (not likely at a</w:t>
      </w:r>
      <w:r w:rsidR="004110C1" w:rsidRPr="0075449C">
        <w:t>l</w:t>
      </w:r>
      <w:r w:rsidRPr="0075449C">
        <w:t xml:space="preserve">l) to 10 (extremely likely) </w:t>
      </w:r>
      <w:r w:rsidR="004110C1" w:rsidRPr="0075449C">
        <w:t xml:space="preserve">they perceived their risk of becoming </w:t>
      </w:r>
      <w:r w:rsidR="006F4CF3" w:rsidRPr="0075449C">
        <w:t xml:space="preserve">a </w:t>
      </w:r>
      <w:r w:rsidR="00FD1217">
        <w:t>victim of</w:t>
      </w:r>
      <w:r w:rsidR="004110C1" w:rsidRPr="0075449C">
        <w:t xml:space="preserve"> </w:t>
      </w:r>
      <w:r w:rsidR="007F656D" w:rsidRPr="0075449C">
        <w:t>each crime</w:t>
      </w:r>
      <w:r w:rsidR="004110C1" w:rsidRPr="0075449C">
        <w:t>. The crimes included</w:t>
      </w:r>
      <w:r w:rsidR="00FD1217">
        <w:t>:</w:t>
      </w:r>
      <w:r w:rsidR="004110C1" w:rsidRPr="0075449C">
        <w:t xml:space="preserve"> rape by a man, robbery by a man, robbery by a woman, physical assault by a man</w:t>
      </w:r>
      <w:r w:rsidR="00FD1217">
        <w:t>,</w:t>
      </w:r>
      <w:r w:rsidR="004110C1" w:rsidRPr="0075449C">
        <w:t xml:space="preserve"> and physical assault by a woman. Finally, they were asked about their feelings of vulnerability with regard to becoming a victim of crime on a scale from 0</w:t>
      </w:r>
      <w:r w:rsidR="007F656D" w:rsidRPr="0075449C">
        <w:t xml:space="preserve"> (not vulnerable at all) to 10 (</w:t>
      </w:r>
      <w:r w:rsidR="004110C1" w:rsidRPr="0075449C">
        <w:t>extremely vulnerable</w:t>
      </w:r>
      <w:r w:rsidR="007F656D" w:rsidRPr="0075449C">
        <w:t>)</w:t>
      </w:r>
      <w:r w:rsidR="004110C1" w:rsidRPr="0075449C">
        <w:t>, and an open-ended question about which crime they felt particularly</w:t>
      </w:r>
      <w:r w:rsidR="006F4CF3" w:rsidRPr="0075449C">
        <w:t xml:space="preserve"> vulnerable to in that location</w:t>
      </w:r>
      <w:r w:rsidR="004110C1" w:rsidRPr="0075449C">
        <w:t>.</w:t>
      </w:r>
    </w:p>
    <w:p w14:paraId="215343D8" w14:textId="7F3DAC6F" w:rsidR="00166BB9" w:rsidRPr="0075449C" w:rsidRDefault="003B7F15" w:rsidP="00106F57">
      <w:pPr>
        <w:spacing w:line="480" w:lineRule="auto"/>
        <w:ind w:firstLine="720"/>
      </w:pPr>
      <w:r w:rsidRPr="0075449C">
        <w:t>On completion of the route, the participant and experi</w:t>
      </w:r>
      <w:r w:rsidR="006F4CF3" w:rsidRPr="0075449C">
        <w:t>menter returned to the lab</w:t>
      </w:r>
      <w:r w:rsidR="001B2505">
        <w:t>,</w:t>
      </w:r>
      <w:r w:rsidR="006F4CF3" w:rsidRPr="0075449C">
        <w:t xml:space="preserve"> wherein</w:t>
      </w:r>
      <w:r w:rsidRPr="0075449C">
        <w:t xml:space="preserve"> the </w:t>
      </w:r>
      <w:r w:rsidR="00CE5AEF" w:rsidRPr="0075449C">
        <w:t xml:space="preserve">participant </w:t>
      </w:r>
      <w:r w:rsidR="005A2D30">
        <w:t xml:space="preserve">took a self-administered urine based ovulation test and </w:t>
      </w:r>
      <w:r w:rsidR="00842E2C">
        <w:t>was given a full</w:t>
      </w:r>
      <w:r w:rsidR="00CE5AEF" w:rsidRPr="0075449C">
        <w:t xml:space="preserve"> debrief detailing the true aims </w:t>
      </w:r>
      <w:r w:rsidR="00842E2C">
        <w:t>of the research.</w:t>
      </w:r>
    </w:p>
    <w:p w14:paraId="125E7037" w14:textId="77777777" w:rsidR="00166BB9" w:rsidRPr="0075449C" w:rsidRDefault="00166BB9" w:rsidP="00106F57">
      <w:pPr>
        <w:spacing w:line="480" w:lineRule="auto"/>
        <w:rPr>
          <w:i/>
        </w:rPr>
      </w:pPr>
      <w:r w:rsidRPr="0075449C">
        <w:rPr>
          <w:i/>
        </w:rPr>
        <w:t>Data analysis</w:t>
      </w:r>
    </w:p>
    <w:p w14:paraId="4C03B10A" w14:textId="77777777" w:rsidR="00D7543C" w:rsidRPr="0075449C" w:rsidRDefault="00FD1217" w:rsidP="00106F57">
      <w:pPr>
        <w:spacing w:line="480" w:lineRule="auto"/>
        <w:ind w:firstLine="720"/>
      </w:pPr>
      <w:r>
        <w:lastRenderedPageBreak/>
        <w:t>W</w:t>
      </w:r>
      <w:r w:rsidR="00695A6A">
        <w:t>e averaged</w:t>
      </w:r>
      <w:r w:rsidR="0029528D" w:rsidRPr="0075449C">
        <w:t xml:space="preserve"> </w:t>
      </w:r>
      <w:r>
        <w:t>women’s risk perception scores, conditioning the data on location, crime type and perpetrator gender</w:t>
      </w:r>
      <w:r w:rsidR="00681EF2" w:rsidRPr="0075449C">
        <w:t xml:space="preserve">. </w:t>
      </w:r>
      <w:r>
        <w:t xml:space="preserve">To measure </w:t>
      </w:r>
      <w:r w:rsidR="00577AE3">
        <w:t>PPFDM</w:t>
      </w:r>
      <w:r>
        <w:t>, w</w:t>
      </w:r>
      <w:r w:rsidR="0029528D" w:rsidRPr="0075449C">
        <w:t xml:space="preserve">e </w:t>
      </w:r>
      <w:r>
        <w:t xml:space="preserve">summed </w:t>
      </w:r>
      <w:r w:rsidR="0029528D" w:rsidRPr="0075449C">
        <w:t xml:space="preserve">the ratings </w:t>
      </w:r>
      <w:r w:rsidR="00BA2F27">
        <w:t xml:space="preserve">women gave on the </w:t>
      </w:r>
      <w:r w:rsidR="0029528D" w:rsidRPr="0075449C">
        <w:t xml:space="preserve">preferences for </w:t>
      </w:r>
      <w:r w:rsidR="00BA2F27">
        <w:t xml:space="preserve">physically </w:t>
      </w:r>
      <w:r w:rsidR="00195E7C">
        <w:t xml:space="preserve">formidable and </w:t>
      </w:r>
      <w:r w:rsidR="00BA2F27">
        <w:t xml:space="preserve">dominant </w:t>
      </w:r>
      <w:r w:rsidR="0029528D" w:rsidRPr="0075449C">
        <w:t>mates</w:t>
      </w:r>
      <w:r w:rsidR="00BA2F27">
        <w:t xml:space="preserve"> scale</w:t>
      </w:r>
      <w:r w:rsidR="0029528D" w:rsidRPr="0075449C">
        <w:t>.</w:t>
      </w:r>
      <w:r w:rsidR="00681EF2" w:rsidRPr="0075449C">
        <w:t xml:space="preserve"> Finally, following guidelines for analysing the PANAS, we calculated scores for negative and positive affect separately (see </w:t>
      </w:r>
      <w:r w:rsidR="003473C9" w:rsidRPr="0075449C">
        <w:rPr>
          <w:rFonts w:cs="GalliardBT"/>
        </w:rPr>
        <w:t>Watson</w:t>
      </w:r>
      <w:r w:rsidR="00EF5B14">
        <w:rPr>
          <w:rFonts w:cs="GalliardBT"/>
        </w:rPr>
        <w:t xml:space="preserve"> et al.</w:t>
      </w:r>
      <w:r w:rsidR="003473C9" w:rsidRPr="0075449C">
        <w:rPr>
          <w:rFonts w:cs="GalliardBT"/>
        </w:rPr>
        <w:t xml:space="preserve"> 1988</w:t>
      </w:r>
      <w:r w:rsidR="00681EF2" w:rsidRPr="0075449C">
        <w:t xml:space="preserve">). </w:t>
      </w:r>
      <w:r w:rsidR="00666187" w:rsidRPr="0075449C">
        <w:t>Only 6 participants were i</w:t>
      </w:r>
      <w:r>
        <w:t xml:space="preserve">n a relationship; </w:t>
      </w:r>
      <w:r w:rsidR="00666187" w:rsidRPr="0075449C">
        <w:t>thus</w:t>
      </w:r>
      <w:r>
        <w:t>,</w:t>
      </w:r>
      <w:r w:rsidR="00FA7E34" w:rsidRPr="0075449C">
        <w:t xml:space="preserve"> </w:t>
      </w:r>
      <w:r>
        <w:t xml:space="preserve">it was not possible to analyse </w:t>
      </w:r>
      <w:r w:rsidR="00FA7E34" w:rsidRPr="0075449C">
        <w:t>current</w:t>
      </w:r>
      <w:r>
        <w:t xml:space="preserve"> relationship status in relation to any of the other study variables. </w:t>
      </w:r>
    </w:p>
    <w:p w14:paraId="44ABBC47" w14:textId="77777777" w:rsidR="00D7543C" w:rsidRPr="0075449C" w:rsidRDefault="00D7543C" w:rsidP="00106F57">
      <w:pPr>
        <w:spacing w:line="480" w:lineRule="auto"/>
        <w:jc w:val="center"/>
      </w:pPr>
      <w:r w:rsidRPr="0075449C">
        <w:t>Results</w:t>
      </w:r>
    </w:p>
    <w:p w14:paraId="0B62BC00" w14:textId="77777777" w:rsidR="00D7543C" w:rsidRPr="0075449C" w:rsidRDefault="00D7543C" w:rsidP="00106F57">
      <w:pPr>
        <w:spacing w:line="480" w:lineRule="auto"/>
        <w:rPr>
          <w:i/>
        </w:rPr>
      </w:pPr>
      <w:r w:rsidRPr="0075449C">
        <w:rPr>
          <w:i/>
        </w:rPr>
        <w:t>Preliminary Analyses</w:t>
      </w:r>
    </w:p>
    <w:p w14:paraId="65D2F50F" w14:textId="77777777" w:rsidR="00D7543C" w:rsidRPr="0075449C" w:rsidRDefault="00D7543C" w:rsidP="00106F57">
      <w:pPr>
        <w:spacing w:line="480" w:lineRule="auto"/>
        <w:ind w:firstLine="720"/>
      </w:pPr>
      <w:r w:rsidRPr="0075449C">
        <w:t xml:space="preserve">First we assessed whether women had interpreted the visual cues along the route in the manner that we had hoped. Towards this end, we conducted repeated measures t-tests on women’s ratings of safety, fear </w:t>
      </w:r>
      <w:r w:rsidR="00FD1217">
        <w:t>of crime, vulnerability</w:t>
      </w:r>
      <w:r w:rsidRPr="0075449C">
        <w:t xml:space="preserve">, and </w:t>
      </w:r>
      <w:r w:rsidR="00F10903">
        <w:t>victimization</w:t>
      </w:r>
      <w:r w:rsidRPr="0075449C">
        <w:t xml:space="preserve"> consequences, with location as the repeated measures factor</w:t>
      </w:r>
      <w:r w:rsidR="00A8424C">
        <w:t xml:space="preserve">. Effect sizes were calculated using Cohen’s </w:t>
      </w:r>
      <w:r w:rsidR="00A8424C">
        <w:rPr>
          <w:i/>
        </w:rPr>
        <w:t xml:space="preserve">d </w:t>
      </w:r>
      <w:r w:rsidR="00A8424C">
        <w:t>(Cohen, 1988), with the Morris and DeShon's (2002) equation 8 correction for dependence among means for within-subjects designs</w:t>
      </w:r>
      <w:r w:rsidR="00B82E00">
        <w:t>.</w:t>
      </w:r>
      <w:r w:rsidRPr="0075449C">
        <w:t xml:space="preserve"> The results are presented in Table 1. As shown, women felt significantly less safe, reported higher levels of fear, felt more vulnerable, and perceived that the consequences of crime would be more serious for them in the crime </w:t>
      </w:r>
      <w:r w:rsidR="00573BBA">
        <w:t>hotspot</w:t>
      </w:r>
      <w:r w:rsidRPr="0075449C">
        <w:t xml:space="preserve">s compared to </w:t>
      </w:r>
      <w:r w:rsidR="00573BBA">
        <w:t>safespots</w:t>
      </w:r>
      <w:r w:rsidRPr="0075449C">
        <w:t xml:space="preserve">. </w:t>
      </w:r>
      <w:r w:rsidR="00EB3133">
        <w:t xml:space="preserve">Additionally, we verified and found based on women’s written responses that their perceptions were veridical with being in a hotspot versus safespot. </w:t>
      </w:r>
      <w:r w:rsidRPr="0075449C">
        <w:t>Thus, women had perceived the visual cues of crime in the manner we had expecte</w:t>
      </w:r>
      <w:r w:rsidR="00BC765F" w:rsidRPr="0075449C">
        <w:t>d.</w:t>
      </w:r>
    </w:p>
    <w:p w14:paraId="69102EF7" w14:textId="77777777" w:rsidR="00D7543C" w:rsidRDefault="00D7543C" w:rsidP="00106F57">
      <w:pPr>
        <w:spacing w:line="480" w:lineRule="auto"/>
        <w:ind w:firstLine="720"/>
      </w:pPr>
      <w:r w:rsidRPr="0075449C">
        <w:t xml:space="preserve">We also </w:t>
      </w:r>
      <w:r w:rsidR="00EB3133">
        <w:t>performed bivariate analyse</w:t>
      </w:r>
      <w:r w:rsidR="00F10903">
        <w:t xml:space="preserve">s of the </w:t>
      </w:r>
      <w:r w:rsidR="00EB3133">
        <w:t xml:space="preserve">fear of crime measures taken in hotspots and safespots in relation to PPFDM, negative affect and positive affect. </w:t>
      </w:r>
      <w:r w:rsidR="00F10903">
        <w:t>The</w:t>
      </w:r>
      <w:r w:rsidRPr="0075449C">
        <w:t xml:space="preserve"> results are </w:t>
      </w:r>
      <w:r w:rsidR="00EB3133">
        <w:t>shown</w:t>
      </w:r>
      <w:r w:rsidRPr="0075449C">
        <w:t xml:space="preserve"> in Table 2. </w:t>
      </w:r>
      <w:r w:rsidR="001F4547" w:rsidRPr="0075449C">
        <w:t>PPFDM</w:t>
      </w:r>
      <w:r w:rsidR="001F4547" w:rsidRPr="0075449C" w:rsidDel="001F4547">
        <w:t xml:space="preserve"> </w:t>
      </w:r>
      <w:r w:rsidR="00F411C3" w:rsidRPr="0075449C">
        <w:t xml:space="preserve">was positively </w:t>
      </w:r>
      <w:r w:rsidR="00F10903">
        <w:t xml:space="preserve">and significantly </w:t>
      </w:r>
      <w:r w:rsidR="00F411C3" w:rsidRPr="0075449C">
        <w:t xml:space="preserve">associated with negative affect. </w:t>
      </w:r>
      <w:r w:rsidR="001D1F0D" w:rsidRPr="0075449C">
        <w:t>As such,</w:t>
      </w:r>
      <w:r w:rsidRPr="0075449C">
        <w:t xml:space="preserve"> in the analyses that follow, we modelled the dependent variables with </w:t>
      </w:r>
      <w:r w:rsidR="00F10903">
        <w:t>both PPFDM and negative affect</w:t>
      </w:r>
      <w:r w:rsidR="00764B29" w:rsidRPr="0075449C">
        <w:t xml:space="preserve"> included</w:t>
      </w:r>
      <w:r w:rsidRPr="0075449C">
        <w:t xml:space="preserve">. </w:t>
      </w:r>
      <w:r w:rsidR="001F4547" w:rsidRPr="0075449C">
        <w:t>PPFDM</w:t>
      </w:r>
      <w:r w:rsidR="001F4547" w:rsidRPr="0075449C" w:rsidDel="001F4547">
        <w:t xml:space="preserve"> </w:t>
      </w:r>
      <w:r w:rsidR="00764B29" w:rsidRPr="0075449C">
        <w:t xml:space="preserve">was significantly and positively </w:t>
      </w:r>
      <w:r w:rsidR="00896560" w:rsidRPr="0075449C">
        <w:t>correlated with</w:t>
      </w:r>
      <w:r w:rsidR="001D1F0D" w:rsidRPr="0075449C">
        <w:t xml:space="preserve"> </w:t>
      </w:r>
      <w:r w:rsidR="00764B29" w:rsidRPr="0075449C">
        <w:t xml:space="preserve">the </w:t>
      </w:r>
      <w:r w:rsidR="00896560" w:rsidRPr="0075449C">
        <w:t xml:space="preserve">crime </w:t>
      </w:r>
      <w:r w:rsidR="00573BBA">
        <w:t>hotspot</w:t>
      </w:r>
      <w:r w:rsidR="00896560" w:rsidRPr="0075449C">
        <w:t xml:space="preserve"> </w:t>
      </w:r>
      <w:r w:rsidR="00764B29" w:rsidRPr="0075449C">
        <w:t xml:space="preserve">data, including perceptions of risk, </w:t>
      </w:r>
      <w:r w:rsidR="00764B29" w:rsidRPr="0075449C">
        <w:lastRenderedPageBreak/>
        <w:t>vulnerability, and seriousness</w:t>
      </w:r>
      <w:r w:rsidR="00F411C3" w:rsidRPr="0075449C">
        <w:t xml:space="preserve"> of consequences of victimisation</w:t>
      </w:r>
      <w:r w:rsidR="00764B29" w:rsidRPr="0075449C">
        <w:t xml:space="preserve">. </w:t>
      </w:r>
      <w:r w:rsidR="00896560" w:rsidRPr="0075449C">
        <w:t xml:space="preserve">For the </w:t>
      </w:r>
      <w:r w:rsidR="00F10903">
        <w:t>safe</w:t>
      </w:r>
      <w:r w:rsidR="00573BBA">
        <w:t>spot</w:t>
      </w:r>
      <w:r w:rsidR="00896560" w:rsidRPr="0075449C">
        <w:t xml:space="preserve"> data</w:t>
      </w:r>
      <w:r w:rsidR="00764B29" w:rsidRPr="0075449C">
        <w:t xml:space="preserve">, </w:t>
      </w:r>
      <w:r w:rsidR="003F469F" w:rsidRPr="0075449C">
        <w:t>PPFDM</w:t>
      </w:r>
      <w:r w:rsidR="00896560" w:rsidRPr="0075449C">
        <w:t xml:space="preserve"> </w:t>
      </w:r>
      <w:r w:rsidR="00764B29" w:rsidRPr="0075449C">
        <w:t xml:space="preserve">was significantly and positively correlated </w:t>
      </w:r>
      <w:r w:rsidR="00896560" w:rsidRPr="0075449C">
        <w:t xml:space="preserve">only </w:t>
      </w:r>
      <w:r w:rsidR="00764B29" w:rsidRPr="0075449C">
        <w:t xml:space="preserve">with </w:t>
      </w:r>
      <w:r w:rsidR="0075043F">
        <w:t xml:space="preserve">the </w:t>
      </w:r>
      <w:r w:rsidR="00764B29" w:rsidRPr="0075449C">
        <w:t>perception of seriousness.</w:t>
      </w:r>
      <w:r w:rsidR="00B97BED" w:rsidRPr="0075449C">
        <w:t xml:space="preserve"> </w:t>
      </w:r>
    </w:p>
    <w:p w14:paraId="0935B406" w14:textId="2917881F" w:rsidR="00C6581D" w:rsidRPr="0075449C" w:rsidRDefault="00C6581D" w:rsidP="00E31C85">
      <w:pPr>
        <w:spacing w:line="480" w:lineRule="auto"/>
        <w:ind w:firstLine="720"/>
      </w:pPr>
      <w:r>
        <w:t>The correlation between fertility status and PPFDM was assessed using Spearman’s rho. PPFDM</w:t>
      </w:r>
      <w:r w:rsidDel="001F4547">
        <w:t xml:space="preserve"> </w:t>
      </w:r>
      <w:r>
        <w:t>and fertility status were significantly and positively associated</w:t>
      </w:r>
      <w:r w:rsidRPr="0057294C">
        <w:t xml:space="preserve">, </w:t>
      </w:r>
      <w:r w:rsidRPr="00805A02">
        <w:rPr>
          <w:i/>
        </w:rPr>
        <w:t>r</w:t>
      </w:r>
      <w:r w:rsidR="00192C7E" w:rsidRPr="00805A02">
        <w:rPr>
          <w:i/>
          <w:vertAlign w:val="subscript"/>
        </w:rPr>
        <w:t>s</w:t>
      </w:r>
      <w:r w:rsidR="00B06ECB" w:rsidRPr="00805A02">
        <w:t xml:space="preserve"> (38) </w:t>
      </w:r>
      <w:r w:rsidRPr="00805A02">
        <w:t xml:space="preserve">= </w:t>
      </w:r>
      <w:r w:rsidR="00192C7E" w:rsidRPr="00805A02">
        <w:t>.</w:t>
      </w:r>
      <w:r w:rsidRPr="00805A02">
        <w:t xml:space="preserve">361, </w:t>
      </w:r>
      <w:r w:rsidRPr="00805A02">
        <w:rPr>
          <w:i/>
        </w:rPr>
        <w:t>p</w:t>
      </w:r>
      <w:r w:rsidR="00192C7E" w:rsidRPr="00805A02">
        <w:t xml:space="preserve"> = .033</w:t>
      </w:r>
      <w:r w:rsidR="00E31C85" w:rsidRPr="0057294C">
        <w:t>,</w:t>
      </w:r>
      <w:r w:rsidR="00E31C85">
        <w:t xml:space="preserve"> indicating that</w:t>
      </w:r>
      <w:r w:rsidR="00ED33E2">
        <w:t xml:space="preserve"> </w:t>
      </w:r>
      <w:r w:rsidR="00E31C85">
        <w:t>f</w:t>
      </w:r>
      <w:r>
        <w:t>ertile women preferred aggressive-formidability in mates</w:t>
      </w:r>
      <w:r w:rsidR="00A2264E">
        <w:t xml:space="preserve">. However, fertility status was not </w:t>
      </w:r>
      <w:r w:rsidR="00E31C85">
        <w:t>was not significantly related to</w:t>
      </w:r>
      <w:r w:rsidR="00A2264E">
        <w:t xml:space="preserve"> </w:t>
      </w:r>
      <w:r w:rsidR="00E31C85">
        <w:t xml:space="preserve">women’s </w:t>
      </w:r>
      <w:r w:rsidR="00A2264E">
        <w:t>risk perceptions</w:t>
      </w:r>
      <w:r w:rsidR="00192C7E">
        <w:t xml:space="preserve"> in either crime hotspots, </w:t>
      </w:r>
      <w:r w:rsidR="00192C7E">
        <w:rPr>
          <w:i/>
        </w:rPr>
        <w:t>r</w:t>
      </w:r>
      <w:r w:rsidR="00192C7E">
        <w:rPr>
          <w:vertAlign w:val="subscript"/>
        </w:rPr>
        <w:t>s</w:t>
      </w:r>
      <w:r w:rsidR="00B06ECB">
        <w:rPr>
          <w:vertAlign w:val="subscript"/>
        </w:rPr>
        <w:t xml:space="preserve"> </w:t>
      </w:r>
      <w:r w:rsidR="00B06ECB">
        <w:t>(38)</w:t>
      </w:r>
      <w:r w:rsidR="00192C7E">
        <w:rPr>
          <w:vertAlign w:val="subscript"/>
        </w:rPr>
        <w:t xml:space="preserve"> </w:t>
      </w:r>
      <w:r w:rsidR="00192C7E">
        <w:t xml:space="preserve">= .069, </w:t>
      </w:r>
      <w:r w:rsidR="00192C7E">
        <w:rPr>
          <w:i/>
        </w:rPr>
        <w:t xml:space="preserve">p </w:t>
      </w:r>
      <w:r w:rsidR="00192C7E" w:rsidRPr="00805A02">
        <w:t>=</w:t>
      </w:r>
      <w:r w:rsidR="00192C7E">
        <w:rPr>
          <w:i/>
        </w:rPr>
        <w:t xml:space="preserve"> .</w:t>
      </w:r>
      <w:r w:rsidR="00192C7E" w:rsidRPr="00805A02">
        <w:t>67</w:t>
      </w:r>
      <w:r w:rsidR="00192C7E">
        <w:t xml:space="preserve">, or safespots, </w:t>
      </w:r>
      <w:r w:rsidR="00192C7E">
        <w:rPr>
          <w:i/>
        </w:rPr>
        <w:t>r</w:t>
      </w:r>
      <w:r w:rsidR="00192C7E">
        <w:rPr>
          <w:vertAlign w:val="subscript"/>
        </w:rPr>
        <w:t>s</w:t>
      </w:r>
      <w:r w:rsidR="00FE2811">
        <w:rPr>
          <w:vertAlign w:val="subscript"/>
        </w:rPr>
        <w:t xml:space="preserve"> </w:t>
      </w:r>
      <w:r w:rsidR="00FE2811">
        <w:t>(38)</w:t>
      </w:r>
      <w:r w:rsidR="00192C7E">
        <w:rPr>
          <w:vertAlign w:val="subscript"/>
        </w:rPr>
        <w:t xml:space="preserve"> </w:t>
      </w:r>
      <w:r w:rsidR="00192C7E">
        <w:t xml:space="preserve">= -.011, </w:t>
      </w:r>
      <w:r w:rsidR="00192C7E">
        <w:rPr>
          <w:i/>
        </w:rPr>
        <w:t xml:space="preserve">p </w:t>
      </w:r>
      <w:r w:rsidR="00192C7E" w:rsidRPr="0032357D">
        <w:t>=</w:t>
      </w:r>
      <w:r w:rsidR="00192C7E">
        <w:rPr>
          <w:i/>
        </w:rPr>
        <w:t xml:space="preserve"> .</w:t>
      </w:r>
      <w:r w:rsidR="00192C7E">
        <w:t>95</w:t>
      </w:r>
      <w:r w:rsidR="00E31C85">
        <w:t xml:space="preserve">), nor did it significantly interact with any of the other predictor variables in predicting risk perceptions. Thus, fertility status will not be discussed any further. </w:t>
      </w:r>
    </w:p>
    <w:p w14:paraId="2CE6B6DD" w14:textId="77777777" w:rsidR="00D7543C" w:rsidRPr="0075449C" w:rsidRDefault="0075043F" w:rsidP="00106F57">
      <w:pPr>
        <w:spacing w:line="480" w:lineRule="auto"/>
      </w:pPr>
      <w:r>
        <w:rPr>
          <w:i/>
        </w:rPr>
        <w:t xml:space="preserve">PPFDM and </w:t>
      </w:r>
      <w:r w:rsidR="00D7543C" w:rsidRPr="0075449C">
        <w:rPr>
          <w:i/>
        </w:rPr>
        <w:t xml:space="preserve">Perceived Risk of Robbery and Physical Assault </w:t>
      </w:r>
      <w:r w:rsidR="00967454" w:rsidRPr="0075449C">
        <w:rPr>
          <w:i/>
        </w:rPr>
        <w:t xml:space="preserve">by Male and Female Perpetrators </w:t>
      </w:r>
    </w:p>
    <w:p w14:paraId="2A01FCCD" w14:textId="77777777" w:rsidR="00D7543C" w:rsidRPr="0075449C" w:rsidRDefault="0099315F" w:rsidP="00106F57">
      <w:pPr>
        <w:spacing w:line="480" w:lineRule="auto"/>
        <w:ind w:firstLine="720"/>
      </w:pPr>
      <w:r>
        <w:t>We began our analysis by examining</w:t>
      </w:r>
      <w:r w:rsidR="00201DAF" w:rsidRPr="0075449C">
        <w:t xml:space="preserve"> </w:t>
      </w:r>
      <w:r w:rsidR="00D7543C" w:rsidRPr="0075449C">
        <w:t xml:space="preserve">women’s reports regarding their perceived risk of crime as they walked through crime </w:t>
      </w:r>
      <w:r w:rsidR="00573BBA">
        <w:t>hotspot</w:t>
      </w:r>
      <w:r w:rsidR="00D7543C" w:rsidRPr="0075449C">
        <w:t xml:space="preserve">s and </w:t>
      </w:r>
      <w:r w:rsidR="00573BBA">
        <w:t>safespots</w:t>
      </w:r>
      <w:r w:rsidR="00D7543C" w:rsidRPr="0075449C">
        <w:t xml:space="preserve"> in the city centre. To test our hypotheses, we conducted a 2 (location) x 2 (assailant gender) x 2 (crime type) </w:t>
      </w:r>
      <w:r>
        <w:t>repeated measures</w:t>
      </w:r>
      <w:r w:rsidR="00D7543C" w:rsidRPr="0075449C">
        <w:t xml:space="preserve"> ANCOVA on the personal risk perception scores, with </w:t>
      </w:r>
      <w:r w:rsidR="000F03E4" w:rsidRPr="0075449C">
        <w:t xml:space="preserve">the mean centred </w:t>
      </w:r>
      <w:r w:rsidR="003F469F" w:rsidRPr="0075449C">
        <w:t>PPFDM</w:t>
      </w:r>
      <w:r w:rsidR="00896560" w:rsidRPr="0075449C">
        <w:t xml:space="preserve"> </w:t>
      </w:r>
      <w:r w:rsidR="000F03E4" w:rsidRPr="0075449C">
        <w:t xml:space="preserve">and negative affect scores entered as </w:t>
      </w:r>
      <w:r w:rsidR="00D7543C" w:rsidRPr="0075449C">
        <w:t>covariate</w:t>
      </w:r>
      <w:r w:rsidR="000F03E4" w:rsidRPr="0075449C">
        <w:t>s</w:t>
      </w:r>
      <w:r w:rsidR="00D7543C" w:rsidRPr="0075449C">
        <w:t xml:space="preserve">. </w:t>
      </w:r>
    </w:p>
    <w:p w14:paraId="294C0703" w14:textId="448FB3C1" w:rsidR="00290664" w:rsidRDefault="000F03E4" w:rsidP="00106F57">
      <w:pPr>
        <w:spacing w:line="480" w:lineRule="auto"/>
        <w:ind w:firstLine="720"/>
      </w:pPr>
      <w:r w:rsidRPr="0075449C">
        <w:t xml:space="preserve">A significant main effect was obtained for </w:t>
      </w:r>
      <w:r w:rsidR="003F469F" w:rsidRPr="0075449C">
        <w:t>PPFDM</w:t>
      </w:r>
      <w:r w:rsidRPr="0075449C">
        <w:t xml:space="preserve">, </w:t>
      </w:r>
      <w:r w:rsidRPr="0075449C">
        <w:rPr>
          <w:i/>
        </w:rPr>
        <w:t>F</w:t>
      </w:r>
      <w:r w:rsidR="00290664">
        <w:t>(1, 37</w:t>
      </w:r>
      <w:r w:rsidRPr="0075449C">
        <w:t>) = 5.</w:t>
      </w:r>
      <w:r w:rsidR="00CF2A1E">
        <w:t>21</w:t>
      </w:r>
      <w:r w:rsidRPr="0075449C">
        <w:t xml:space="preserve">, </w:t>
      </w:r>
      <w:r w:rsidRPr="0075449C">
        <w:rPr>
          <w:i/>
        </w:rPr>
        <w:t>p</w:t>
      </w:r>
      <w:r w:rsidRPr="0075449C">
        <w:t xml:space="preserve"> &lt; .05, η</w:t>
      </w:r>
      <w:r w:rsidRPr="0075449C">
        <w:rPr>
          <w:vertAlign w:val="subscript"/>
        </w:rPr>
        <w:t>p</w:t>
      </w:r>
      <w:r w:rsidRPr="0075449C">
        <w:rPr>
          <w:vertAlign w:val="superscript"/>
        </w:rPr>
        <w:t xml:space="preserve">2 </w:t>
      </w:r>
      <w:r w:rsidRPr="0075449C">
        <w:t xml:space="preserve">= .12. </w:t>
      </w:r>
      <w:r w:rsidR="004C16DF">
        <w:t>W</w:t>
      </w:r>
      <w:r w:rsidRPr="0075449C">
        <w:t>ome</w:t>
      </w:r>
      <w:r w:rsidR="00EB3133">
        <w:t>n who reported relatively high</w:t>
      </w:r>
      <w:r w:rsidRPr="0075449C">
        <w:t xml:space="preserve"> rates of perceived risk tended to score higher on</w:t>
      </w:r>
      <w:r w:rsidR="003F469F" w:rsidRPr="0075449C">
        <w:t xml:space="preserve"> the</w:t>
      </w:r>
      <w:r w:rsidRPr="0075449C">
        <w:t xml:space="preserve"> </w:t>
      </w:r>
      <w:r w:rsidR="003F469F" w:rsidRPr="0075449C">
        <w:t>PPFDM scale</w:t>
      </w:r>
      <w:r w:rsidR="00F515A5" w:rsidRPr="0075449C">
        <w:t xml:space="preserve">, </w:t>
      </w:r>
      <w:r w:rsidRPr="0075449C">
        <w:rPr>
          <w:i/>
        </w:rPr>
        <w:t>r</w:t>
      </w:r>
      <w:r w:rsidRPr="0075449C">
        <w:t xml:space="preserve"> = </w:t>
      </w:r>
      <w:r w:rsidR="00F515A5" w:rsidRPr="0075449C">
        <w:t xml:space="preserve">.35, </w:t>
      </w:r>
      <w:r w:rsidR="00F515A5" w:rsidRPr="0075449C">
        <w:rPr>
          <w:i/>
        </w:rPr>
        <w:t>p</w:t>
      </w:r>
      <w:r w:rsidR="00F515A5" w:rsidRPr="0075449C">
        <w:t xml:space="preserve"> &lt; .05</w:t>
      </w:r>
      <w:r w:rsidR="00842E2C">
        <w:t xml:space="preserve">. </w:t>
      </w:r>
      <w:r w:rsidR="00290664">
        <w:t xml:space="preserve">Negative affect was not associated with risk perceptions, </w:t>
      </w:r>
      <w:r w:rsidR="00290664" w:rsidRPr="00290664">
        <w:rPr>
          <w:i/>
        </w:rPr>
        <w:t>F</w:t>
      </w:r>
      <w:r w:rsidR="00290664">
        <w:t>(1,</w:t>
      </w:r>
      <w:r w:rsidR="003B4036">
        <w:t xml:space="preserve"> </w:t>
      </w:r>
      <w:r w:rsidR="00290664">
        <w:t xml:space="preserve">37) = .26, </w:t>
      </w:r>
      <w:r w:rsidR="00290664" w:rsidRPr="0075449C">
        <w:t>η</w:t>
      </w:r>
      <w:r w:rsidR="00290664" w:rsidRPr="0075449C">
        <w:rPr>
          <w:vertAlign w:val="subscript"/>
        </w:rPr>
        <w:t>p</w:t>
      </w:r>
      <w:r w:rsidR="00290664" w:rsidRPr="0075449C">
        <w:rPr>
          <w:vertAlign w:val="superscript"/>
        </w:rPr>
        <w:t>2</w:t>
      </w:r>
      <w:r w:rsidR="00290664">
        <w:t xml:space="preserve"> =.00. W</w:t>
      </w:r>
      <w:r w:rsidR="00D7543C" w:rsidRPr="0075449C">
        <w:t xml:space="preserve">omen perceived their risk of crime as being significantly higher in crime </w:t>
      </w:r>
      <w:r w:rsidR="00573BBA">
        <w:t>hotspot</w:t>
      </w:r>
      <w:r w:rsidR="00D7543C" w:rsidRPr="0075449C">
        <w:t xml:space="preserve">s compared to </w:t>
      </w:r>
      <w:r w:rsidR="00573BBA">
        <w:t>safespots</w:t>
      </w:r>
      <w:r w:rsidR="00D7543C" w:rsidRPr="0075449C">
        <w:t xml:space="preserve"> (</w:t>
      </w:r>
      <w:r w:rsidR="00D7543C" w:rsidRPr="0075449C">
        <w:rPr>
          <w:i/>
        </w:rPr>
        <w:t>M</w:t>
      </w:r>
      <w:r w:rsidR="00D7543C" w:rsidRPr="0075449C">
        <w:t xml:space="preserve"> = </w:t>
      </w:r>
      <w:r w:rsidR="00290664">
        <w:t>5.77</w:t>
      </w:r>
      <w:r w:rsidR="00D7543C" w:rsidRPr="0075449C">
        <w:t xml:space="preserve">, </w:t>
      </w:r>
      <w:r w:rsidR="00D7543C" w:rsidRPr="0075449C">
        <w:rPr>
          <w:i/>
        </w:rPr>
        <w:t>SEM</w:t>
      </w:r>
      <w:r w:rsidR="00290664">
        <w:t xml:space="preserve"> = .25</w:t>
      </w:r>
      <w:r w:rsidR="00D7543C" w:rsidRPr="0075449C">
        <w:t xml:space="preserve"> versus </w:t>
      </w:r>
      <w:r w:rsidR="00D7543C" w:rsidRPr="0075449C">
        <w:rPr>
          <w:i/>
        </w:rPr>
        <w:t>M</w:t>
      </w:r>
      <w:r w:rsidR="00290664">
        <w:t xml:space="preserve"> = 3.66</w:t>
      </w:r>
      <w:r w:rsidR="00D7543C" w:rsidRPr="0075449C">
        <w:t xml:space="preserve">, </w:t>
      </w:r>
      <w:r w:rsidR="00D7543C" w:rsidRPr="0075449C">
        <w:rPr>
          <w:i/>
        </w:rPr>
        <w:t>SEM</w:t>
      </w:r>
      <w:r w:rsidR="00290664">
        <w:t xml:space="preserve"> = .21</w:t>
      </w:r>
      <w:r w:rsidR="00D7543C" w:rsidRPr="0075449C">
        <w:t xml:space="preserve">, respectively), a significant main effect for location, </w:t>
      </w:r>
      <w:r w:rsidR="00D7543C" w:rsidRPr="0075449C">
        <w:rPr>
          <w:i/>
        </w:rPr>
        <w:t>F</w:t>
      </w:r>
      <w:r w:rsidR="00290664">
        <w:t>(1, 37) = 64.66</w:t>
      </w:r>
      <w:r w:rsidR="00D7543C" w:rsidRPr="0075449C">
        <w:t xml:space="preserve">, </w:t>
      </w:r>
      <w:r w:rsidR="00D7543C" w:rsidRPr="0075449C">
        <w:rPr>
          <w:i/>
        </w:rPr>
        <w:t>p</w:t>
      </w:r>
      <w:r w:rsidR="00D7543C" w:rsidRPr="0075449C">
        <w:t xml:space="preserve"> &lt; .001, η</w:t>
      </w:r>
      <w:r w:rsidR="00D7543C" w:rsidRPr="0075449C">
        <w:rPr>
          <w:vertAlign w:val="subscript"/>
        </w:rPr>
        <w:t>p</w:t>
      </w:r>
      <w:r w:rsidR="00D7543C" w:rsidRPr="0075449C">
        <w:rPr>
          <w:vertAlign w:val="superscript"/>
        </w:rPr>
        <w:t>2</w:t>
      </w:r>
      <w:r w:rsidRPr="0075449C">
        <w:t xml:space="preserve"> = .64</w:t>
      </w:r>
      <w:r w:rsidR="00D7543C" w:rsidRPr="0075449C">
        <w:t xml:space="preserve">. </w:t>
      </w:r>
      <w:r w:rsidR="00290664">
        <w:t xml:space="preserve">Women also </w:t>
      </w:r>
      <w:r w:rsidR="00290664" w:rsidRPr="0075449C">
        <w:t xml:space="preserve">perceived themselves as having a </w:t>
      </w:r>
      <w:r w:rsidR="00290664">
        <w:t xml:space="preserve">significantly </w:t>
      </w:r>
      <w:r w:rsidR="00290664" w:rsidRPr="0075449C">
        <w:t>higher risk of being attacked by a male compared to female assailant (</w:t>
      </w:r>
      <w:r w:rsidR="00290664" w:rsidRPr="0075449C">
        <w:rPr>
          <w:i/>
        </w:rPr>
        <w:t>M</w:t>
      </w:r>
      <w:r w:rsidR="00290664">
        <w:t xml:space="preserve"> = 5.29</w:t>
      </w:r>
      <w:r w:rsidR="00290664" w:rsidRPr="0075449C">
        <w:t xml:space="preserve">, </w:t>
      </w:r>
      <w:r w:rsidR="00290664" w:rsidRPr="0075449C">
        <w:rPr>
          <w:i/>
        </w:rPr>
        <w:t>SEM</w:t>
      </w:r>
      <w:r w:rsidR="00290664">
        <w:t xml:space="preserve"> = .21</w:t>
      </w:r>
      <w:r w:rsidR="00290664" w:rsidRPr="0075449C">
        <w:t xml:space="preserve"> versus </w:t>
      </w:r>
      <w:r w:rsidR="00290664" w:rsidRPr="0075449C">
        <w:rPr>
          <w:i/>
        </w:rPr>
        <w:t>M</w:t>
      </w:r>
      <w:r w:rsidR="00290664" w:rsidRPr="0075449C">
        <w:t xml:space="preserve"> = 4.14, </w:t>
      </w:r>
      <w:r w:rsidR="00290664" w:rsidRPr="0075449C">
        <w:rPr>
          <w:i/>
        </w:rPr>
        <w:t>SEM</w:t>
      </w:r>
      <w:r w:rsidR="00290664" w:rsidRPr="0075449C">
        <w:t xml:space="preserve"> = .23, respectively), a significant main effect for assailant gender, </w:t>
      </w:r>
      <w:r w:rsidR="00290664" w:rsidRPr="0075449C">
        <w:rPr>
          <w:i/>
        </w:rPr>
        <w:t>F</w:t>
      </w:r>
      <w:r w:rsidR="00290664">
        <w:t>(1, 37) = 35.15</w:t>
      </w:r>
      <w:r w:rsidR="00290664" w:rsidRPr="0075449C">
        <w:t xml:space="preserve">, </w:t>
      </w:r>
      <w:r w:rsidR="00290664" w:rsidRPr="0075449C">
        <w:rPr>
          <w:i/>
        </w:rPr>
        <w:t>p</w:t>
      </w:r>
      <w:r w:rsidR="00290664" w:rsidRPr="0075449C">
        <w:t xml:space="preserve"> &lt; .001, η</w:t>
      </w:r>
      <w:r w:rsidR="00290664" w:rsidRPr="0075449C">
        <w:rPr>
          <w:vertAlign w:val="subscript"/>
        </w:rPr>
        <w:t>p</w:t>
      </w:r>
      <w:r w:rsidR="00290664" w:rsidRPr="0075449C">
        <w:rPr>
          <w:vertAlign w:val="superscript"/>
        </w:rPr>
        <w:t>2</w:t>
      </w:r>
      <w:r w:rsidR="00290664" w:rsidRPr="0075449C">
        <w:t xml:space="preserve"> = .49. </w:t>
      </w:r>
      <w:r w:rsidR="00290664" w:rsidRPr="00290664">
        <w:t xml:space="preserve">Finally, a significant main effect for crime type was also obtained, with women rating their risk of </w:t>
      </w:r>
      <w:r w:rsidR="00290664" w:rsidRPr="00290664">
        <w:lastRenderedPageBreak/>
        <w:t>robbery as higher than their risk of physical assault</w:t>
      </w:r>
      <w:r w:rsidR="00290664">
        <w:t xml:space="preserve"> </w:t>
      </w:r>
      <w:r w:rsidR="00290664" w:rsidRPr="0075449C">
        <w:t>(</w:t>
      </w:r>
      <w:r w:rsidR="00290664" w:rsidRPr="0075449C">
        <w:rPr>
          <w:i/>
        </w:rPr>
        <w:t>M</w:t>
      </w:r>
      <w:r w:rsidR="00290664">
        <w:t xml:space="preserve"> = 5.14</w:t>
      </w:r>
      <w:r w:rsidR="00290664" w:rsidRPr="0075449C">
        <w:t xml:space="preserve">, </w:t>
      </w:r>
      <w:r w:rsidR="00290664" w:rsidRPr="0075449C">
        <w:rPr>
          <w:i/>
        </w:rPr>
        <w:t>SEM</w:t>
      </w:r>
      <w:r w:rsidR="00290664">
        <w:t xml:space="preserve"> = .21</w:t>
      </w:r>
      <w:r w:rsidR="00290664" w:rsidRPr="0075449C">
        <w:t xml:space="preserve"> versus </w:t>
      </w:r>
      <w:r w:rsidR="00290664" w:rsidRPr="0075449C">
        <w:rPr>
          <w:i/>
        </w:rPr>
        <w:t>M</w:t>
      </w:r>
      <w:r w:rsidR="00290664">
        <w:t xml:space="preserve"> = 4.29</w:t>
      </w:r>
      <w:r w:rsidR="00290664" w:rsidRPr="0075449C">
        <w:t xml:space="preserve">, </w:t>
      </w:r>
      <w:r w:rsidR="00290664" w:rsidRPr="0075449C">
        <w:rPr>
          <w:i/>
        </w:rPr>
        <w:t>SEM</w:t>
      </w:r>
      <w:r w:rsidR="00290664">
        <w:t xml:space="preserve"> = .20</w:t>
      </w:r>
      <w:r w:rsidR="00290664" w:rsidRPr="0075449C">
        <w:t>, respectively)</w:t>
      </w:r>
      <w:r w:rsidR="00290664" w:rsidRPr="00290664">
        <w:t xml:space="preserve">, </w:t>
      </w:r>
      <w:r w:rsidR="00290664" w:rsidRPr="003923C6">
        <w:rPr>
          <w:i/>
        </w:rPr>
        <w:t>F</w:t>
      </w:r>
      <w:r w:rsidR="00290664" w:rsidRPr="00290664">
        <w:t xml:space="preserve">(1, 37) = 38.41, p &lt; .001, </w:t>
      </w:r>
      <w:r w:rsidR="00290664" w:rsidRPr="0075449C">
        <w:t>η</w:t>
      </w:r>
      <w:r w:rsidR="00290664" w:rsidRPr="0075449C">
        <w:rPr>
          <w:vertAlign w:val="subscript"/>
        </w:rPr>
        <w:t>p</w:t>
      </w:r>
      <w:r w:rsidR="00290664" w:rsidRPr="0075449C">
        <w:rPr>
          <w:vertAlign w:val="superscript"/>
        </w:rPr>
        <w:t>2</w:t>
      </w:r>
      <w:r w:rsidR="00290664" w:rsidRPr="00290664">
        <w:t xml:space="preserve"> = .51.  </w:t>
      </w:r>
    </w:p>
    <w:p w14:paraId="64B5BCF4" w14:textId="7692A164" w:rsidR="00F10903" w:rsidRDefault="00290664" w:rsidP="00106F57">
      <w:pPr>
        <w:spacing w:line="480" w:lineRule="auto"/>
        <w:ind w:firstLine="720"/>
      </w:pPr>
      <w:r w:rsidRPr="0075449C">
        <w:t>Figure 3 displays the relationship between PPFDM and fear of crime by assailant gender and location.</w:t>
      </w:r>
      <w:r>
        <w:t xml:space="preserve"> The</w:t>
      </w:r>
      <w:r w:rsidR="004C16DF">
        <w:t xml:space="preserve"> interaction between PPFDM and location was not significant; thus, Hypothesis 1</w:t>
      </w:r>
      <w:r w:rsidR="0075043F">
        <w:t xml:space="preserve">, which stated the relationship between PPFDM and risk </w:t>
      </w:r>
      <w:r w:rsidR="00EB3133">
        <w:t>is</w:t>
      </w:r>
      <w:r w:rsidR="0075043F">
        <w:t xml:space="preserve"> stronger in hotspots compared to safespots</w:t>
      </w:r>
      <w:r w:rsidR="00EB3133">
        <w:t>,</w:t>
      </w:r>
      <w:r w:rsidR="004C16DF">
        <w:t xml:space="preserve"> was not supported.</w:t>
      </w:r>
      <w:r>
        <w:t xml:space="preserve"> Additionally</w:t>
      </w:r>
      <w:r w:rsidR="00D7543C" w:rsidRPr="0075449C">
        <w:t xml:space="preserve">, the interaction between </w:t>
      </w:r>
      <w:r w:rsidR="003F469F" w:rsidRPr="0075449C">
        <w:t>PPFDM</w:t>
      </w:r>
      <w:r w:rsidR="00896560" w:rsidRPr="0075449C">
        <w:t xml:space="preserve"> </w:t>
      </w:r>
      <w:r w:rsidR="00D7543C" w:rsidRPr="0075449C">
        <w:t xml:space="preserve">and assailant gender </w:t>
      </w:r>
      <w:r w:rsidR="0075043F">
        <w:t>did not reach statistical significance</w:t>
      </w:r>
      <w:r w:rsidR="00D7543C" w:rsidRPr="0075449C">
        <w:t xml:space="preserve">, </w:t>
      </w:r>
      <w:r w:rsidR="00D7543C" w:rsidRPr="0075449C">
        <w:rPr>
          <w:i/>
        </w:rPr>
        <w:t>F</w:t>
      </w:r>
      <w:r>
        <w:t>(1, 37) = 2.08</w:t>
      </w:r>
      <w:r w:rsidR="00D7543C" w:rsidRPr="0075449C">
        <w:t xml:space="preserve">, </w:t>
      </w:r>
      <w:r w:rsidR="00D7543C" w:rsidRPr="0075449C">
        <w:rPr>
          <w:i/>
        </w:rPr>
        <w:t>p</w:t>
      </w:r>
      <w:r>
        <w:t xml:space="preserve"> = .16</w:t>
      </w:r>
      <w:r w:rsidR="00F515A5" w:rsidRPr="0075449C">
        <w:t xml:space="preserve">, </w:t>
      </w:r>
      <w:r w:rsidR="00D7543C" w:rsidRPr="0075449C">
        <w:t xml:space="preserve"> </w:t>
      </w:r>
      <w:r w:rsidR="00F515A5" w:rsidRPr="0075449C">
        <w:t>η</w:t>
      </w:r>
      <w:r w:rsidR="00F515A5" w:rsidRPr="0075449C">
        <w:rPr>
          <w:vertAlign w:val="subscript"/>
        </w:rPr>
        <w:t>p</w:t>
      </w:r>
      <w:r w:rsidR="00F515A5" w:rsidRPr="0075449C">
        <w:rPr>
          <w:vertAlign w:val="superscript"/>
        </w:rPr>
        <w:t xml:space="preserve">2 </w:t>
      </w:r>
      <w:r>
        <w:t>= .05</w:t>
      </w:r>
      <w:r w:rsidR="007F6FBF">
        <w:t>.</w:t>
      </w:r>
      <w:r w:rsidR="00F10903">
        <w:t xml:space="preserve"> Therefore, H</w:t>
      </w:r>
      <w:r w:rsidR="00D7543C" w:rsidRPr="0075449C">
        <w:t xml:space="preserve">ypothesis </w:t>
      </w:r>
      <w:r w:rsidR="0075043F">
        <w:t>2</w:t>
      </w:r>
      <w:r w:rsidR="004C16DF">
        <w:t>, which predicted a stronger relationship between PPFDM and risk for male- compared to female-perpetrated crimes,</w:t>
      </w:r>
      <w:r w:rsidR="00A40E7B" w:rsidRPr="0075449C">
        <w:t xml:space="preserve"> </w:t>
      </w:r>
      <w:r w:rsidR="00D7543C" w:rsidRPr="0075449C">
        <w:t xml:space="preserve">was not supported. </w:t>
      </w:r>
    </w:p>
    <w:p w14:paraId="2B1EC5B1" w14:textId="26298617" w:rsidR="004921D2" w:rsidRPr="0075449C" w:rsidRDefault="00F10903" w:rsidP="00106F57">
      <w:pPr>
        <w:spacing w:line="480" w:lineRule="auto"/>
        <w:ind w:firstLine="720"/>
      </w:pPr>
      <w:r>
        <w:t>T</w:t>
      </w:r>
      <w:r w:rsidR="00D7543C" w:rsidRPr="0075449C">
        <w:t>here were several 2-way interaction</w:t>
      </w:r>
      <w:r w:rsidR="004C16DF">
        <w:t xml:space="preserve"> effect</w:t>
      </w:r>
      <w:r w:rsidR="00D7543C" w:rsidRPr="0075449C">
        <w:t xml:space="preserve">s: assailant gender and location, </w:t>
      </w:r>
      <w:r w:rsidR="00D7543C" w:rsidRPr="0075449C">
        <w:rPr>
          <w:i/>
        </w:rPr>
        <w:t>F</w:t>
      </w:r>
      <w:r w:rsidR="00290664">
        <w:t>(1, 37) = 12.39</w:t>
      </w:r>
      <w:r w:rsidR="00D7543C" w:rsidRPr="0075449C">
        <w:t xml:space="preserve">, </w:t>
      </w:r>
      <w:r w:rsidR="00D7543C" w:rsidRPr="0075449C">
        <w:rPr>
          <w:i/>
        </w:rPr>
        <w:t>p</w:t>
      </w:r>
      <w:r w:rsidR="00D7543C" w:rsidRPr="0075449C">
        <w:t xml:space="preserve"> &lt; .0</w:t>
      </w:r>
      <w:r w:rsidR="00F515A5" w:rsidRPr="0075449C">
        <w:t>0</w:t>
      </w:r>
      <w:r w:rsidR="00D7543C" w:rsidRPr="0075449C">
        <w:t>1, η</w:t>
      </w:r>
      <w:r w:rsidR="00D7543C" w:rsidRPr="0075449C">
        <w:rPr>
          <w:vertAlign w:val="subscript"/>
        </w:rPr>
        <w:t>p</w:t>
      </w:r>
      <w:r w:rsidR="00D7543C" w:rsidRPr="0075449C">
        <w:rPr>
          <w:vertAlign w:val="superscript"/>
        </w:rPr>
        <w:t>2</w:t>
      </w:r>
      <w:r w:rsidR="00F515A5" w:rsidRPr="0075449C">
        <w:t xml:space="preserve"> = .25</w:t>
      </w:r>
      <w:r w:rsidR="00D7543C" w:rsidRPr="0075449C">
        <w:t xml:space="preserve">, assailant gender and crime type, </w:t>
      </w:r>
      <w:r w:rsidR="00D7543C" w:rsidRPr="0075449C">
        <w:rPr>
          <w:i/>
        </w:rPr>
        <w:t>F</w:t>
      </w:r>
      <w:r w:rsidR="00290664">
        <w:t>(1, 37) = 5.76</w:t>
      </w:r>
      <w:r w:rsidR="00D7543C" w:rsidRPr="0075449C">
        <w:t xml:space="preserve">, </w:t>
      </w:r>
      <w:r w:rsidR="00D7543C" w:rsidRPr="0075449C">
        <w:rPr>
          <w:i/>
        </w:rPr>
        <w:t>p</w:t>
      </w:r>
      <w:r w:rsidR="00D7543C" w:rsidRPr="0075449C">
        <w:t xml:space="preserve"> &lt; .05, η</w:t>
      </w:r>
      <w:r w:rsidR="00D7543C" w:rsidRPr="0075449C">
        <w:rPr>
          <w:vertAlign w:val="subscript"/>
        </w:rPr>
        <w:t>p</w:t>
      </w:r>
      <w:r w:rsidR="00D7543C" w:rsidRPr="0075449C">
        <w:rPr>
          <w:vertAlign w:val="superscript"/>
        </w:rPr>
        <w:t>2</w:t>
      </w:r>
      <w:r w:rsidR="00F515A5" w:rsidRPr="0075449C">
        <w:t xml:space="preserve"> = .14</w:t>
      </w:r>
      <w:r w:rsidR="00D7543C" w:rsidRPr="0075449C">
        <w:t xml:space="preserve">, and location and crime type, </w:t>
      </w:r>
      <w:r w:rsidR="00D7543C" w:rsidRPr="0075449C">
        <w:rPr>
          <w:i/>
        </w:rPr>
        <w:t>F</w:t>
      </w:r>
      <w:r w:rsidR="00290664">
        <w:t>(1, 37) = 11.69</w:t>
      </w:r>
      <w:r w:rsidR="00D7543C" w:rsidRPr="0075449C">
        <w:t xml:space="preserve">, </w:t>
      </w:r>
      <w:r w:rsidR="00D7543C" w:rsidRPr="0075449C">
        <w:rPr>
          <w:i/>
        </w:rPr>
        <w:t>p</w:t>
      </w:r>
      <w:r w:rsidR="00D7543C" w:rsidRPr="0075449C">
        <w:t xml:space="preserve"> </w:t>
      </w:r>
      <w:r w:rsidR="003C6CAD">
        <w:t>&lt; .01</w:t>
      </w:r>
      <w:r w:rsidR="00D7543C" w:rsidRPr="0075449C">
        <w:t>, η</w:t>
      </w:r>
      <w:r w:rsidR="00D7543C" w:rsidRPr="0075449C">
        <w:rPr>
          <w:vertAlign w:val="subscript"/>
        </w:rPr>
        <w:t>p</w:t>
      </w:r>
      <w:r w:rsidR="00D7543C" w:rsidRPr="0075449C">
        <w:rPr>
          <w:vertAlign w:val="superscript"/>
        </w:rPr>
        <w:t>2</w:t>
      </w:r>
      <w:r w:rsidR="00F515A5" w:rsidRPr="0075449C">
        <w:t xml:space="preserve"> = .24</w:t>
      </w:r>
      <w:r w:rsidR="00D7543C" w:rsidRPr="0075449C">
        <w:t xml:space="preserve">. These relationships are depicted in Figure </w:t>
      </w:r>
      <w:r w:rsidR="001F48DD" w:rsidRPr="0075449C">
        <w:t>4</w:t>
      </w:r>
      <w:r w:rsidR="00CF1947" w:rsidRPr="0075449C">
        <w:t xml:space="preserve">. </w:t>
      </w:r>
      <w:r w:rsidR="004921D2" w:rsidRPr="0075449C">
        <w:t xml:space="preserve">Pairwise comparisons adjusted for multiple comparisons using the Bonferroni correction were used to </w:t>
      </w:r>
      <w:r w:rsidR="00977887" w:rsidRPr="0075449C">
        <w:t xml:space="preserve">examine </w:t>
      </w:r>
      <w:r w:rsidR="004921D2" w:rsidRPr="0075449C">
        <w:t xml:space="preserve">these interactions. The assailant gender by location interaction showed that whilst there was a significant difference in perceived risk of male- versus female-perpetrated crimes in both hotspots and safespots, the gender difference was larger in hotspots </w:t>
      </w:r>
      <w:r w:rsidR="004805A5">
        <w:t xml:space="preserve">(mean difference = 1.44, </w:t>
      </w:r>
      <w:r w:rsidR="004805A5" w:rsidRPr="004805A5">
        <w:rPr>
          <w:i/>
        </w:rPr>
        <w:t>SE</w:t>
      </w:r>
      <w:r w:rsidR="004805A5">
        <w:t xml:space="preserve"> = .24</w:t>
      </w:r>
      <w:r w:rsidR="0047085B" w:rsidRPr="0075449C">
        <w:t xml:space="preserve">. </w:t>
      </w:r>
      <w:r w:rsidR="0047085B" w:rsidRPr="004805A5">
        <w:rPr>
          <w:i/>
        </w:rPr>
        <w:t>p</w:t>
      </w:r>
      <w:r w:rsidR="004805A5">
        <w:t xml:space="preserve"> </w:t>
      </w:r>
      <w:r w:rsidR="0047085B" w:rsidRPr="0075449C">
        <w:t>&lt;</w:t>
      </w:r>
      <w:r w:rsidR="004805A5">
        <w:t xml:space="preserve"> </w:t>
      </w:r>
      <w:r w:rsidR="0047085B" w:rsidRPr="0075449C">
        <w:t xml:space="preserve">.001) compared to </w:t>
      </w:r>
      <w:r w:rsidR="004805A5">
        <w:t>safespots (mean difference = .85</w:t>
      </w:r>
      <w:r w:rsidR="0047085B" w:rsidRPr="0075449C">
        <w:t xml:space="preserve">, </w:t>
      </w:r>
      <w:r w:rsidR="0047085B" w:rsidRPr="004805A5">
        <w:rPr>
          <w:i/>
        </w:rPr>
        <w:t>SE</w:t>
      </w:r>
      <w:r w:rsidR="004805A5">
        <w:t xml:space="preserve"> </w:t>
      </w:r>
      <w:r w:rsidR="0047085B" w:rsidRPr="0075449C">
        <w:t>=</w:t>
      </w:r>
      <w:r w:rsidR="004805A5">
        <w:t xml:space="preserve"> </w:t>
      </w:r>
      <w:r w:rsidR="0047085B" w:rsidRPr="0075449C">
        <w:t>.</w:t>
      </w:r>
      <w:r w:rsidR="004805A5">
        <w:t>17</w:t>
      </w:r>
      <w:r w:rsidR="0047085B" w:rsidRPr="0075449C">
        <w:t xml:space="preserve">, </w:t>
      </w:r>
      <w:r w:rsidR="0047085B" w:rsidRPr="004805A5">
        <w:rPr>
          <w:i/>
        </w:rPr>
        <w:t>p</w:t>
      </w:r>
      <w:r w:rsidR="004805A5">
        <w:rPr>
          <w:i/>
        </w:rPr>
        <w:t xml:space="preserve"> </w:t>
      </w:r>
      <w:r w:rsidR="0047085B" w:rsidRPr="0075449C">
        <w:t>&lt;</w:t>
      </w:r>
      <w:r w:rsidR="004805A5">
        <w:t xml:space="preserve"> </w:t>
      </w:r>
      <w:r w:rsidR="0047085B" w:rsidRPr="0075449C">
        <w:t>.001).</w:t>
      </w:r>
      <w:r w:rsidR="003C6CAD">
        <w:t xml:space="preserve"> </w:t>
      </w:r>
      <w:r w:rsidR="00F16B89">
        <w:t xml:space="preserve">Similarly, whilst perceived risk was significantly higher in hotspots compared to safespots regardless of perpetrator gender, the location difference was larger for male (mean difference = 2.4, </w:t>
      </w:r>
      <w:r w:rsidR="00F16B89">
        <w:rPr>
          <w:i/>
        </w:rPr>
        <w:t xml:space="preserve">p </w:t>
      </w:r>
      <w:r w:rsidR="00F16B89">
        <w:t xml:space="preserve">&lt; .001) compared to female-perpetrated crimes (mean difference = 1.81, </w:t>
      </w:r>
      <w:r w:rsidR="00F16B89">
        <w:rPr>
          <w:i/>
        </w:rPr>
        <w:t xml:space="preserve">p </w:t>
      </w:r>
      <w:r w:rsidR="00F16B89">
        <w:t xml:space="preserve">&lt; .001). </w:t>
      </w:r>
      <w:r w:rsidR="004921D2" w:rsidRPr="0075449C">
        <w:t xml:space="preserve">Secondly, although the perceived risk of a male compared to a female perpetrator was higher for both robbery </w:t>
      </w:r>
      <w:r w:rsidR="004805A5">
        <w:t xml:space="preserve">(mean difference= 1.00, </w:t>
      </w:r>
      <w:r w:rsidR="004805A5" w:rsidRPr="004805A5">
        <w:rPr>
          <w:i/>
        </w:rPr>
        <w:t>SE</w:t>
      </w:r>
      <w:r w:rsidR="004805A5">
        <w:t xml:space="preserve"> = .20</w:t>
      </w:r>
      <w:r w:rsidR="0047085B" w:rsidRPr="0075449C">
        <w:t xml:space="preserve">, </w:t>
      </w:r>
      <w:r w:rsidR="0047085B" w:rsidRPr="004805A5">
        <w:rPr>
          <w:i/>
        </w:rPr>
        <w:t>p</w:t>
      </w:r>
      <w:r w:rsidR="004805A5">
        <w:rPr>
          <w:i/>
        </w:rPr>
        <w:t xml:space="preserve"> </w:t>
      </w:r>
      <w:r w:rsidR="0047085B" w:rsidRPr="0075449C">
        <w:t>&lt;</w:t>
      </w:r>
      <w:r w:rsidR="004805A5">
        <w:t xml:space="preserve"> </w:t>
      </w:r>
      <w:r w:rsidR="0047085B" w:rsidRPr="0075449C">
        <w:t>.001) and physical</w:t>
      </w:r>
      <w:r w:rsidR="004805A5">
        <w:t xml:space="preserve"> assault (mean difference= 1.28</w:t>
      </w:r>
      <w:r w:rsidR="0047085B" w:rsidRPr="0075449C">
        <w:t xml:space="preserve">, </w:t>
      </w:r>
      <w:r w:rsidR="0047085B" w:rsidRPr="004805A5">
        <w:rPr>
          <w:i/>
        </w:rPr>
        <w:t>SE</w:t>
      </w:r>
      <w:r w:rsidR="004805A5">
        <w:t xml:space="preserve"> </w:t>
      </w:r>
      <w:r w:rsidR="0047085B" w:rsidRPr="0075449C">
        <w:t>=</w:t>
      </w:r>
      <w:r w:rsidR="004805A5">
        <w:t xml:space="preserve"> </w:t>
      </w:r>
      <w:r w:rsidR="0047085B" w:rsidRPr="0075449C">
        <w:t xml:space="preserve">.201, </w:t>
      </w:r>
      <w:r w:rsidR="0047085B" w:rsidRPr="004805A5">
        <w:rPr>
          <w:i/>
        </w:rPr>
        <w:t>p</w:t>
      </w:r>
      <w:r w:rsidR="004805A5">
        <w:t xml:space="preserve"> </w:t>
      </w:r>
      <w:r w:rsidR="0047085B" w:rsidRPr="0075449C">
        <w:t>&lt;</w:t>
      </w:r>
      <w:r w:rsidR="004805A5">
        <w:t xml:space="preserve"> </w:t>
      </w:r>
      <w:r w:rsidR="0047085B" w:rsidRPr="0075449C">
        <w:t>.001)</w:t>
      </w:r>
      <w:r w:rsidR="00E8388B">
        <w:t>,</w:t>
      </w:r>
      <w:r w:rsidR="0047085B" w:rsidRPr="0075449C">
        <w:t xml:space="preserve"> </w:t>
      </w:r>
      <w:r w:rsidR="004921D2" w:rsidRPr="0075449C">
        <w:t xml:space="preserve">the gender difference was slightly </w:t>
      </w:r>
      <w:r w:rsidR="0047085B" w:rsidRPr="0075449C">
        <w:t>greater</w:t>
      </w:r>
      <w:r w:rsidR="004921D2" w:rsidRPr="0075449C">
        <w:t xml:space="preserve"> for physical assault. </w:t>
      </w:r>
      <w:r w:rsidR="00E86E95">
        <w:t xml:space="preserve">The risk of robbery was perceived as higher than the risk of assault regardless of gender, but the crime type difference was slightly higher for female-perpetrated (mean difference = .991, </w:t>
      </w:r>
      <w:r w:rsidR="00E86E95">
        <w:rPr>
          <w:i/>
        </w:rPr>
        <w:t xml:space="preserve">p </w:t>
      </w:r>
      <w:r w:rsidR="00E86E95">
        <w:t xml:space="preserve">&lt; .001) compared to male-perpetrated crimes mean </w:t>
      </w:r>
      <w:r w:rsidR="00E86E95">
        <w:lastRenderedPageBreak/>
        <w:t xml:space="preserve">difference = .71, </w:t>
      </w:r>
      <w:r w:rsidR="00E86E95">
        <w:rPr>
          <w:i/>
        </w:rPr>
        <w:t xml:space="preserve">p </w:t>
      </w:r>
      <w:r w:rsidR="00E86E95">
        <w:t xml:space="preserve">&lt; .001). </w:t>
      </w:r>
      <w:r w:rsidR="004921D2" w:rsidRPr="0075449C">
        <w:t>Finally, whilst the perceived risk of robbery was significantly higher than perceived ri</w:t>
      </w:r>
      <w:r w:rsidR="00E8388B">
        <w:t xml:space="preserve">sk of physical assault in </w:t>
      </w:r>
      <w:r w:rsidR="0047085B" w:rsidRPr="0075449C">
        <w:t>hotspots (me</w:t>
      </w:r>
      <w:r w:rsidR="004805A5">
        <w:t xml:space="preserve">an difference= .43, </w:t>
      </w:r>
      <w:r w:rsidR="004805A5" w:rsidRPr="004805A5">
        <w:rPr>
          <w:i/>
        </w:rPr>
        <w:t>SE</w:t>
      </w:r>
      <w:r w:rsidR="004805A5">
        <w:t xml:space="preserve">= .13, </w:t>
      </w:r>
      <w:r w:rsidR="004805A5" w:rsidRPr="004805A5">
        <w:rPr>
          <w:i/>
        </w:rPr>
        <w:t>p</w:t>
      </w:r>
      <w:r w:rsidR="004805A5">
        <w:t xml:space="preserve"> &lt; .01</w:t>
      </w:r>
      <w:r w:rsidR="0047085B" w:rsidRPr="0075449C">
        <w:t>) and s</w:t>
      </w:r>
      <w:r w:rsidR="004805A5">
        <w:t>afespots (mean difference = 1.28</w:t>
      </w:r>
      <w:r w:rsidR="0047085B" w:rsidRPr="0075449C">
        <w:t xml:space="preserve">, </w:t>
      </w:r>
      <w:r w:rsidR="0047085B" w:rsidRPr="004805A5">
        <w:rPr>
          <w:i/>
        </w:rPr>
        <w:t>SE</w:t>
      </w:r>
      <w:r w:rsidR="004805A5">
        <w:t xml:space="preserve"> </w:t>
      </w:r>
      <w:r w:rsidR="0047085B" w:rsidRPr="0075449C">
        <w:t xml:space="preserve">= .231, </w:t>
      </w:r>
      <w:r w:rsidR="0047085B" w:rsidRPr="004805A5">
        <w:rPr>
          <w:i/>
        </w:rPr>
        <w:t>p</w:t>
      </w:r>
      <w:r w:rsidR="004805A5">
        <w:t xml:space="preserve"> </w:t>
      </w:r>
      <w:r w:rsidR="0047085B" w:rsidRPr="0075449C">
        <w:t>&lt;</w:t>
      </w:r>
      <w:r w:rsidR="004805A5">
        <w:t xml:space="preserve"> </w:t>
      </w:r>
      <w:r w:rsidR="0047085B" w:rsidRPr="0075449C">
        <w:t>.001)</w:t>
      </w:r>
      <w:r w:rsidR="004921D2" w:rsidRPr="0075449C">
        <w:t xml:space="preserve">, robbery was perceived as being particularly </w:t>
      </w:r>
      <w:r w:rsidR="00E8388B">
        <w:t xml:space="preserve">more </w:t>
      </w:r>
      <w:r w:rsidR="004921D2" w:rsidRPr="0075449C">
        <w:t>likely compared to physical assault in the safespots.</w:t>
      </w:r>
      <w:r w:rsidR="00E86E95">
        <w:t xml:space="preserve"> The difference in perceived risk according to location was greater for physical assault crimes (mean difference = 2.54, </w:t>
      </w:r>
      <w:r w:rsidR="00E86E95">
        <w:rPr>
          <w:i/>
        </w:rPr>
        <w:t xml:space="preserve">p </w:t>
      </w:r>
      <w:r w:rsidR="00E86E95">
        <w:t xml:space="preserve">&lt; .001) compared to robbery </w:t>
      </w:r>
      <w:r w:rsidR="00C12623">
        <w:t>(</w:t>
      </w:r>
      <w:r w:rsidR="00E86E95">
        <w:t xml:space="preserve">mean difference = 1.68, </w:t>
      </w:r>
      <w:r w:rsidR="00E86E95">
        <w:rPr>
          <w:i/>
        </w:rPr>
        <w:t xml:space="preserve">p </w:t>
      </w:r>
      <w:r w:rsidR="00E86E95">
        <w:t>&lt; .001).</w:t>
      </w:r>
    </w:p>
    <w:p w14:paraId="5692E41A" w14:textId="77777777" w:rsidR="004921D2" w:rsidRPr="0075449C" w:rsidRDefault="000E7EF5" w:rsidP="00106F57">
      <w:pPr>
        <w:spacing w:line="480" w:lineRule="auto"/>
      </w:pPr>
      <w:r w:rsidRPr="0075449C">
        <w:rPr>
          <w:i/>
        </w:rPr>
        <w:t xml:space="preserve">Perceived Personal Risk of Rape versus Robbery and Physical Assault by Male Perpetrators </w:t>
      </w:r>
    </w:p>
    <w:p w14:paraId="64D1B46E" w14:textId="77777777" w:rsidR="00086C31" w:rsidRDefault="00D7543C" w:rsidP="00106F57">
      <w:pPr>
        <w:spacing w:line="480" w:lineRule="auto"/>
        <w:ind w:firstLine="720"/>
      </w:pPr>
      <w:r w:rsidRPr="0075449C">
        <w:t xml:space="preserve">To test </w:t>
      </w:r>
      <w:r w:rsidR="004C16DF">
        <w:t xml:space="preserve">Hypothesis 3, which posited that the relationship between PPFDM and risk perceptions is stronger for sexual assault compared to other crimes, </w:t>
      </w:r>
      <w:r w:rsidR="00E8388B">
        <w:t xml:space="preserve">we conducted a 2 (location) </w:t>
      </w:r>
      <w:r w:rsidR="00967454" w:rsidRPr="0075449C">
        <w:t>x 3 (crime type—</w:t>
      </w:r>
      <w:r w:rsidR="00495723" w:rsidRPr="0075449C">
        <w:t xml:space="preserve">for only </w:t>
      </w:r>
      <w:r w:rsidR="00967454" w:rsidRPr="0075449C">
        <w:t>male-</w:t>
      </w:r>
      <w:r w:rsidR="00495723" w:rsidRPr="0075449C">
        <w:t>perpetrated crime</w:t>
      </w:r>
      <w:r w:rsidR="00967454" w:rsidRPr="0075449C">
        <w:t xml:space="preserve">) </w:t>
      </w:r>
      <w:r w:rsidRPr="0075449C">
        <w:t xml:space="preserve">mixed model ANCOVA on the personal risk of </w:t>
      </w:r>
      <w:r w:rsidR="00495723" w:rsidRPr="0075449C">
        <w:t xml:space="preserve">crime </w:t>
      </w:r>
      <w:r w:rsidRPr="0075449C">
        <w:t xml:space="preserve">scores, entering </w:t>
      </w:r>
      <w:r w:rsidR="00967454" w:rsidRPr="0075449C">
        <w:t xml:space="preserve">the mean centred </w:t>
      </w:r>
      <w:r w:rsidR="003F469F" w:rsidRPr="0075449C">
        <w:t>PPFDM</w:t>
      </w:r>
      <w:r w:rsidR="00896560" w:rsidRPr="0075449C">
        <w:t xml:space="preserve"> </w:t>
      </w:r>
      <w:r w:rsidR="00967454" w:rsidRPr="0075449C">
        <w:t xml:space="preserve">and negative affect scores </w:t>
      </w:r>
      <w:r w:rsidRPr="0075449C">
        <w:t>as the covariate</w:t>
      </w:r>
      <w:r w:rsidR="00967454" w:rsidRPr="0075449C">
        <w:t>s</w:t>
      </w:r>
      <w:r w:rsidRPr="0075449C">
        <w:t xml:space="preserve">. Figure </w:t>
      </w:r>
      <w:r w:rsidR="000910F8" w:rsidRPr="0075449C">
        <w:t>3</w:t>
      </w:r>
      <w:r w:rsidRPr="0075449C">
        <w:t xml:space="preserve"> displays the results. </w:t>
      </w:r>
    </w:p>
    <w:p w14:paraId="5C459A40" w14:textId="0D2A8CB8" w:rsidR="0075043F" w:rsidRPr="0075043F" w:rsidRDefault="004C16DF" w:rsidP="00106F57">
      <w:pPr>
        <w:spacing w:line="480" w:lineRule="auto"/>
        <w:ind w:firstLine="720"/>
      </w:pPr>
      <w:r>
        <w:t xml:space="preserve">In keeping with the previous results, </w:t>
      </w:r>
      <w:r w:rsidR="003F469F" w:rsidRPr="0075449C">
        <w:t>PPFDM</w:t>
      </w:r>
      <w:r w:rsidR="00896560" w:rsidRPr="0075449C">
        <w:t xml:space="preserve"> </w:t>
      </w:r>
      <w:r w:rsidR="00D7543C" w:rsidRPr="0075449C">
        <w:t>was a significant predictor</w:t>
      </w:r>
      <w:r w:rsidR="002F4D8C">
        <w:t xml:space="preserve"> of perceived risk</w:t>
      </w:r>
      <w:r w:rsidR="00D7543C" w:rsidRPr="0075449C">
        <w:t xml:space="preserve">, </w:t>
      </w:r>
      <w:r w:rsidR="00D7543C" w:rsidRPr="0075449C">
        <w:rPr>
          <w:i/>
        </w:rPr>
        <w:t>F</w:t>
      </w:r>
      <w:r w:rsidR="00AE4EC8">
        <w:t>(1, 37) = 7.37</w:t>
      </w:r>
      <w:r w:rsidR="00D7543C" w:rsidRPr="0075449C">
        <w:t xml:space="preserve">, </w:t>
      </w:r>
      <w:r w:rsidR="00D7543C" w:rsidRPr="0075449C">
        <w:rPr>
          <w:i/>
        </w:rPr>
        <w:t>p</w:t>
      </w:r>
      <w:r w:rsidR="00AE4EC8">
        <w:t xml:space="preserve"> &lt; .05</w:t>
      </w:r>
      <w:r w:rsidR="00D7543C" w:rsidRPr="0075449C">
        <w:t>, η</w:t>
      </w:r>
      <w:r w:rsidR="00D7543C" w:rsidRPr="0075449C">
        <w:rPr>
          <w:vertAlign w:val="subscript"/>
        </w:rPr>
        <w:t>p</w:t>
      </w:r>
      <w:r w:rsidR="00D7543C" w:rsidRPr="0075449C">
        <w:rPr>
          <w:vertAlign w:val="superscript"/>
        </w:rPr>
        <w:t>2</w:t>
      </w:r>
      <w:r w:rsidR="00AE4EC8">
        <w:t xml:space="preserve"> = .17</w:t>
      </w:r>
      <w:r w:rsidR="004805A5">
        <w:t xml:space="preserve">. </w:t>
      </w:r>
      <w:r>
        <w:t>W</w:t>
      </w:r>
      <w:r w:rsidR="00D7543C" w:rsidRPr="0075449C">
        <w:t xml:space="preserve">omen who expressed a stronger preference for formidable mates also tended to perceive themselves as having a higher risk of </w:t>
      </w:r>
      <w:r w:rsidR="00967454" w:rsidRPr="0075449C">
        <w:t>crime</w:t>
      </w:r>
      <w:r w:rsidR="00D7543C" w:rsidRPr="0075449C">
        <w:t xml:space="preserve">, </w:t>
      </w:r>
      <w:r w:rsidR="00D7543C" w:rsidRPr="0075449C">
        <w:rPr>
          <w:i/>
        </w:rPr>
        <w:t>r</w:t>
      </w:r>
      <w:r w:rsidR="00D7543C" w:rsidRPr="0075449C">
        <w:t xml:space="preserve"> = .</w:t>
      </w:r>
      <w:r w:rsidR="00495723" w:rsidRPr="0075449C">
        <w:t>40</w:t>
      </w:r>
      <w:r w:rsidR="00D7543C" w:rsidRPr="0075449C">
        <w:t xml:space="preserve">, </w:t>
      </w:r>
      <w:r w:rsidR="00D7543C" w:rsidRPr="0075449C">
        <w:rPr>
          <w:i/>
        </w:rPr>
        <w:t>p</w:t>
      </w:r>
      <w:r w:rsidR="0075043F">
        <w:t xml:space="preserve"> &lt; .05. </w:t>
      </w:r>
      <w:r w:rsidR="00AE4EC8">
        <w:t xml:space="preserve">Risk was not associated with negative affect, </w:t>
      </w:r>
      <w:r w:rsidR="00AE4EC8" w:rsidRPr="00AE4EC8">
        <w:rPr>
          <w:i/>
        </w:rPr>
        <w:t>F</w:t>
      </w:r>
      <w:r w:rsidR="00AE4EC8">
        <w:t xml:space="preserve">(1, 37) = .38, </w:t>
      </w:r>
      <w:r w:rsidR="00AE4EC8" w:rsidRPr="00AE4EC8">
        <w:rPr>
          <w:i/>
        </w:rPr>
        <w:t>p</w:t>
      </w:r>
      <w:r w:rsidR="00AE4EC8">
        <w:t xml:space="preserve"> = .54, </w:t>
      </w:r>
      <w:r w:rsidR="00AE4EC8" w:rsidRPr="0075449C">
        <w:t>η</w:t>
      </w:r>
      <w:r w:rsidR="00AE4EC8" w:rsidRPr="0075449C">
        <w:rPr>
          <w:vertAlign w:val="subscript"/>
        </w:rPr>
        <w:t>p</w:t>
      </w:r>
      <w:r w:rsidR="00AE4EC8" w:rsidRPr="0075449C">
        <w:rPr>
          <w:vertAlign w:val="superscript"/>
        </w:rPr>
        <w:t>2</w:t>
      </w:r>
      <w:r w:rsidR="00AE4EC8">
        <w:t xml:space="preserve"> = .01. </w:t>
      </w:r>
      <w:r w:rsidR="002F4D8C">
        <w:t>However, w</w:t>
      </w:r>
      <w:r w:rsidR="002F4D8C" w:rsidRPr="0075449C">
        <w:t xml:space="preserve">omen perceived themselves as having a greater risk of crime in </w:t>
      </w:r>
      <w:r w:rsidR="002F4D8C">
        <w:t>hotspot</w:t>
      </w:r>
      <w:r w:rsidR="002F4D8C" w:rsidRPr="0075449C">
        <w:t xml:space="preserve">s compared to </w:t>
      </w:r>
      <w:r w:rsidR="002F4D8C">
        <w:t>safespots</w:t>
      </w:r>
      <w:r w:rsidR="002F4D8C" w:rsidRPr="0075449C">
        <w:t xml:space="preserve"> (</w:t>
      </w:r>
      <w:r w:rsidR="002F4D8C" w:rsidRPr="0075449C">
        <w:rPr>
          <w:i/>
        </w:rPr>
        <w:t>M</w:t>
      </w:r>
      <w:r w:rsidR="002F4D8C" w:rsidRPr="0075449C">
        <w:t xml:space="preserve"> = </w:t>
      </w:r>
      <w:r w:rsidR="002F4D8C">
        <w:t>6.48</w:t>
      </w:r>
      <w:r w:rsidR="002F4D8C" w:rsidRPr="0075449C">
        <w:t xml:space="preserve">, </w:t>
      </w:r>
      <w:r w:rsidR="002F4D8C" w:rsidRPr="0075449C">
        <w:rPr>
          <w:i/>
        </w:rPr>
        <w:t>SEM</w:t>
      </w:r>
      <w:r w:rsidR="002F4D8C">
        <w:t xml:space="preserve"> = .27</w:t>
      </w:r>
      <w:r w:rsidR="002F4D8C" w:rsidRPr="0075449C">
        <w:t xml:space="preserve"> versus </w:t>
      </w:r>
      <w:r w:rsidR="002F4D8C" w:rsidRPr="0075449C">
        <w:rPr>
          <w:i/>
        </w:rPr>
        <w:t>M</w:t>
      </w:r>
      <w:r w:rsidR="002F4D8C">
        <w:t xml:space="preserve"> = 3.56</w:t>
      </w:r>
      <w:r w:rsidR="002F4D8C" w:rsidRPr="0075449C">
        <w:t xml:space="preserve">, </w:t>
      </w:r>
      <w:r w:rsidR="002F4D8C" w:rsidRPr="0075449C">
        <w:rPr>
          <w:i/>
        </w:rPr>
        <w:t>SEM</w:t>
      </w:r>
      <w:r w:rsidR="002F4D8C">
        <w:t>= .21</w:t>
      </w:r>
      <w:r w:rsidR="002F4D8C" w:rsidRPr="0075449C">
        <w:t xml:space="preserve">, respectively), </w:t>
      </w:r>
      <w:r w:rsidR="002F4D8C" w:rsidRPr="0075449C">
        <w:rPr>
          <w:i/>
        </w:rPr>
        <w:t>F</w:t>
      </w:r>
      <w:r w:rsidR="002F4D8C">
        <w:t>(1, 37</w:t>
      </w:r>
      <w:r w:rsidR="002F4D8C" w:rsidRPr="0075449C">
        <w:t xml:space="preserve">) = </w:t>
      </w:r>
      <w:r w:rsidR="002F4D8C">
        <w:t>101.79</w:t>
      </w:r>
      <w:r w:rsidR="002F4D8C" w:rsidRPr="0075449C">
        <w:t xml:space="preserve">, </w:t>
      </w:r>
      <w:r w:rsidR="002F4D8C" w:rsidRPr="0075449C">
        <w:rPr>
          <w:i/>
        </w:rPr>
        <w:t>p</w:t>
      </w:r>
      <w:r w:rsidR="002F4D8C" w:rsidRPr="0075449C">
        <w:t xml:space="preserve"> &lt; .001, η</w:t>
      </w:r>
      <w:r w:rsidR="002F4D8C" w:rsidRPr="0075449C">
        <w:rPr>
          <w:vertAlign w:val="subscript"/>
        </w:rPr>
        <w:t>p</w:t>
      </w:r>
      <w:r w:rsidR="002F4D8C" w:rsidRPr="0075449C">
        <w:rPr>
          <w:vertAlign w:val="superscript"/>
        </w:rPr>
        <w:t>2</w:t>
      </w:r>
      <w:r w:rsidR="002F4D8C" w:rsidRPr="0075449C">
        <w:t xml:space="preserve"> = .73</w:t>
      </w:r>
      <w:r w:rsidR="002F4D8C">
        <w:t xml:space="preserve">, and women’s risk perceptions </w:t>
      </w:r>
      <w:r w:rsidR="00AE4EC8">
        <w:t>significantly var</w:t>
      </w:r>
      <w:r w:rsidR="002F4D8C">
        <w:t>ied</w:t>
      </w:r>
      <w:r w:rsidR="00967454" w:rsidRPr="0075449C">
        <w:t xml:space="preserve"> in relation to crime type</w:t>
      </w:r>
      <w:r w:rsidR="00AE4EC8">
        <w:t xml:space="preserve"> (rape </w:t>
      </w:r>
      <w:r w:rsidR="00AE4EC8" w:rsidRPr="00AE4EC8">
        <w:rPr>
          <w:i/>
        </w:rPr>
        <w:t>M</w:t>
      </w:r>
      <w:r w:rsidR="00AE4EC8">
        <w:t xml:space="preserve"> = 4.49, </w:t>
      </w:r>
      <w:r w:rsidR="00AE4EC8" w:rsidRPr="00AE4EC8">
        <w:rPr>
          <w:i/>
        </w:rPr>
        <w:t>SEM</w:t>
      </w:r>
      <w:r w:rsidR="00AE4EC8">
        <w:t xml:space="preserve"> = .21; robbery </w:t>
      </w:r>
      <w:r w:rsidR="00AE4EC8" w:rsidRPr="00AE4EC8">
        <w:rPr>
          <w:i/>
        </w:rPr>
        <w:t>M</w:t>
      </w:r>
      <w:r w:rsidR="00AE4EC8">
        <w:t xml:space="preserve"> = 5.65, </w:t>
      </w:r>
      <w:r w:rsidR="00AE4EC8" w:rsidRPr="00AE4EC8">
        <w:rPr>
          <w:i/>
        </w:rPr>
        <w:t>SEM</w:t>
      </w:r>
      <w:r w:rsidR="00AE4EC8">
        <w:t xml:space="preserve"> = .21; assault </w:t>
      </w:r>
      <w:r w:rsidR="00AE4EC8" w:rsidRPr="00AE4EC8">
        <w:rPr>
          <w:i/>
        </w:rPr>
        <w:t>M</w:t>
      </w:r>
      <w:r w:rsidR="00AE4EC8">
        <w:t xml:space="preserve"> = 4.94, </w:t>
      </w:r>
      <w:r w:rsidR="00AE4EC8" w:rsidRPr="00AE4EC8">
        <w:rPr>
          <w:i/>
        </w:rPr>
        <w:t>SEM</w:t>
      </w:r>
      <w:r w:rsidR="00AE4EC8">
        <w:t xml:space="preserve"> = .22)</w:t>
      </w:r>
      <w:r w:rsidR="00967454" w:rsidRPr="0075449C">
        <w:t xml:space="preserve">, </w:t>
      </w:r>
      <w:r w:rsidR="00967454" w:rsidRPr="0075449C">
        <w:rPr>
          <w:i/>
        </w:rPr>
        <w:t>F</w:t>
      </w:r>
      <w:r w:rsidR="00AE4EC8">
        <w:t>(1, 37</w:t>
      </w:r>
      <w:r w:rsidR="00967454" w:rsidRPr="0075449C">
        <w:t xml:space="preserve">) = </w:t>
      </w:r>
      <w:r w:rsidR="00AE4EC8">
        <w:t>26.99</w:t>
      </w:r>
      <w:r w:rsidR="00967454" w:rsidRPr="0075449C">
        <w:t xml:space="preserve">, </w:t>
      </w:r>
      <w:r w:rsidR="00967454" w:rsidRPr="0075449C">
        <w:rPr>
          <w:i/>
        </w:rPr>
        <w:t>p</w:t>
      </w:r>
      <w:r w:rsidR="00252785" w:rsidRPr="0075449C">
        <w:t xml:space="preserve"> &lt; .001</w:t>
      </w:r>
      <w:r w:rsidR="00967454" w:rsidRPr="0075449C">
        <w:t>, η</w:t>
      </w:r>
      <w:r w:rsidR="00967454" w:rsidRPr="0075449C">
        <w:rPr>
          <w:vertAlign w:val="subscript"/>
        </w:rPr>
        <w:t>p</w:t>
      </w:r>
      <w:r w:rsidR="00967454" w:rsidRPr="0075449C">
        <w:rPr>
          <w:vertAlign w:val="superscript"/>
        </w:rPr>
        <w:t>2</w:t>
      </w:r>
      <w:r w:rsidR="0075043F">
        <w:t xml:space="preserve"> = .42. </w:t>
      </w:r>
      <w:r w:rsidR="0075043F" w:rsidRPr="0075043F">
        <w:t xml:space="preserve">PPFDM </w:t>
      </w:r>
      <w:r w:rsidR="0075043F">
        <w:t xml:space="preserve">did not interact with location however, </w:t>
      </w:r>
      <w:r w:rsidR="00AE4EC8" w:rsidRPr="0075449C">
        <w:rPr>
          <w:i/>
        </w:rPr>
        <w:t>F</w:t>
      </w:r>
      <w:r w:rsidR="00AE4EC8">
        <w:t>(2, 74</w:t>
      </w:r>
      <w:r w:rsidR="00AE4EC8" w:rsidRPr="0075449C">
        <w:t xml:space="preserve">) = </w:t>
      </w:r>
      <w:r w:rsidR="00AE4EC8">
        <w:t>.8</w:t>
      </w:r>
      <w:r w:rsidR="00AE4EC8" w:rsidRPr="0075449C">
        <w:t xml:space="preserve">2, </w:t>
      </w:r>
      <w:r w:rsidR="00AE4EC8" w:rsidRPr="0075449C">
        <w:rPr>
          <w:i/>
        </w:rPr>
        <w:t>p</w:t>
      </w:r>
      <w:r w:rsidR="00AE4EC8">
        <w:t xml:space="preserve"> =</w:t>
      </w:r>
      <w:r w:rsidR="00AE4EC8" w:rsidRPr="0075449C">
        <w:t xml:space="preserve"> .</w:t>
      </w:r>
      <w:r w:rsidR="00AE4EC8">
        <w:t>44</w:t>
      </w:r>
      <w:r w:rsidR="00AE4EC8" w:rsidRPr="0075449C">
        <w:t>, η</w:t>
      </w:r>
      <w:r w:rsidR="00AE4EC8" w:rsidRPr="0075449C">
        <w:rPr>
          <w:vertAlign w:val="subscript"/>
        </w:rPr>
        <w:t>p</w:t>
      </w:r>
      <w:r w:rsidR="00AE4EC8" w:rsidRPr="0075449C">
        <w:rPr>
          <w:vertAlign w:val="superscript"/>
        </w:rPr>
        <w:t>2</w:t>
      </w:r>
      <w:r w:rsidR="00AE4EC8">
        <w:t xml:space="preserve"> = .02</w:t>
      </w:r>
      <w:r w:rsidR="0075043F" w:rsidRPr="0075043F">
        <w:t xml:space="preserve">. </w:t>
      </w:r>
      <w:r w:rsidR="004838F7">
        <w:t>As shown in Figure 3</w:t>
      </w:r>
      <w:r w:rsidR="0075043F">
        <w:t xml:space="preserve">, the strength of the association between PPFDM and risk perceptions was similar across crime type. </w:t>
      </w:r>
      <w:r w:rsidR="0075043F" w:rsidRPr="0075043F">
        <w:t>Thus, support for Hypothesis 3</w:t>
      </w:r>
      <w:r w:rsidR="0092473B">
        <w:t>, which proposed that PPFDM would be especially predictive of risk perceptions for rape compared to other types of crimes,</w:t>
      </w:r>
      <w:r w:rsidR="0075043F" w:rsidRPr="0075043F">
        <w:t xml:space="preserve"> was not found. </w:t>
      </w:r>
    </w:p>
    <w:p w14:paraId="753B7D29" w14:textId="6274BF08" w:rsidR="0099315F" w:rsidRDefault="0075043F" w:rsidP="00106F57">
      <w:pPr>
        <w:spacing w:line="480" w:lineRule="auto"/>
        <w:ind w:firstLine="720"/>
      </w:pPr>
      <w:r>
        <w:lastRenderedPageBreak/>
        <w:t>There was a significant</w:t>
      </w:r>
      <w:r w:rsidR="00252785" w:rsidRPr="0075449C">
        <w:t xml:space="preserve"> lo</w:t>
      </w:r>
      <w:r w:rsidR="00495723" w:rsidRPr="0075449C">
        <w:t>cation x crime type interaction</w:t>
      </w:r>
      <w:r w:rsidR="00252785" w:rsidRPr="0075449C">
        <w:t xml:space="preserve">, </w:t>
      </w:r>
      <w:r w:rsidR="00252785" w:rsidRPr="0075449C">
        <w:rPr>
          <w:i/>
        </w:rPr>
        <w:t>F</w:t>
      </w:r>
      <w:r w:rsidR="00AE4EC8">
        <w:t>(2, 74</w:t>
      </w:r>
      <w:r w:rsidR="00252785" w:rsidRPr="0075449C">
        <w:t>) = 25.</w:t>
      </w:r>
      <w:r w:rsidR="00AE4EC8">
        <w:t>02</w:t>
      </w:r>
      <w:r w:rsidR="00252785" w:rsidRPr="0075449C">
        <w:t xml:space="preserve">, </w:t>
      </w:r>
      <w:r w:rsidR="00252785" w:rsidRPr="0075449C">
        <w:rPr>
          <w:i/>
        </w:rPr>
        <w:t>p</w:t>
      </w:r>
      <w:r w:rsidR="00252785" w:rsidRPr="0075449C">
        <w:t xml:space="preserve"> &lt; .001, η</w:t>
      </w:r>
      <w:r w:rsidR="00252785" w:rsidRPr="0075449C">
        <w:rPr>
          <w:vertAlign w:val="subscript"/>
        </w:rPr>
        <w:t>p</w:t>
      </w:r>
      <w:r w:rsidR="00252785" w:rsidRPr="0075449C">
        <w:rPr>
          <w:vertAlign w:val="superscript"/>
        </w:rPr>
        <w:t>2</w:t>
      </w:r>
      <w:r w:rsidR="00AE4EC8">
        <w:t xml:space="preserve"> = .40</w:t>
      </w:r>
      <w:r w:rsidR="00252785" w:rsidRPr="0075449C">
        <w:t>.</w:t>
      </w:r>
      <w:r w:rsidR="00967454" w:rsidRPr="0075449C">
        <w:t xml:space="preserve"> </w:t>
      </w:r>
      <w:r w:rsidR="00065F9D" w:rsidRPr="0075449C">
        <w:t xml:space="preserve">Pairwise comparisons adjusted for multiple comparisons using the Bonferroni correction showed that perceived risk was significantly higher for hotspots compared to safespots for all crimes (all </w:t>
      </w:r>
      <w:r w:rsidR="00065F9D" w:rsidRPr="004805A5">
        <w:rPr>
          <w:i/>
        </w:rPr>
        <w:t>p</w:t>
      </w:r>
      <w:r w:rsidR="00065F9D" w:rsidRPr="0075449C">
        <w:t>’s &lt;.001). However, whilst there was no differe</w:t>
      </w:r>
      <w:r w:rsidR="00EF5B14">
        <w:t>nce in perceived risk for</w:t>
      </w:r>
      <w:r w:rsidR="00E8388B">
        <w:t xml:space="preserve"> </w:t>
      </w:r>
      <w:r w:rsidR="00065F9D" w:rsidRPr="0075449C">
        <w:t xml:space="preserve">male-perpetrated robbery, assault or rape in the hotspots (all </w:t>
      </w:r>
      <w:r w:rsidR="00065F9D" w:rsidRPr="004805A5">
        <w:rPr>
          <w:i/>
        </w:rPr>
        <w:t>p</w:t>
      </w:r>
      <w:r w:rsidR="00065F9D" w:rsidRPr="0075449C">
        <w:t>’s &gt; .122), perceived r</w:t>
      </w:r>
      <w:r w:rsidR="00E8388B">
        <w:t>isk for</w:t>
      </w:r>
      <w:r w:rsidR="00065F9D" w:rsidRPr="0075449C">
        <w:t xml:space="preserve"> these male-perpetrated crimes differed significantly in </w:t>
      </w:r>
      <w:r w:rsidR="00E8388B">
        <w:t>the safespots. Perceived risk for</w:t>
      </w:r>
      <w:r w:rsidR="00065F9D" w:rsidRPr="0075449C">
        <w:t xml:space="preserve"> male-perpetrated robbery was significant</w:t>
      </w:r>
      <w:r w:rsidR="00E8388B">
        <w:t>ly higher than perceived risk for</w:t>
      </w:r>
      <w:r w:rsidR="00065F9D" w:rsidRPr="0075449C">
        <w:t xml:space="preserve"> male-perpetrat</w:t>
      </w:r>
      <w:r w:rsidR="004805A5">
        <w:t>ed rape (mean difference = 2.16</w:t>
      </w:r>
      <w:r w:rsidR="00065F9D" w:rsidRPr="0075449C">
        <w:t xml:space="preserve">, </w:t>
      </w:r>
      <w:r w:rsidR="00065F9D" w:rsidRPr="004805A5">
        <w:rPr>
          <w:i/>
        </w:rPr>
        <w:t>SE</w:t>
      </w:r>
      <w:r w:rsidR="004805A5">
        <w:t xml:space="preserve"> </w:t>
      </w:r>
      <w:r w:rsidR="00AE4EC8">
        <w:t>mean difference</w:t>
      </w:r>
      <w:r w:rsidR="00065F9D" w:rsidRPr="0075449C">
        <w:t>=</w:t>
      </w:r>
      <w:r w:rsidR="004805A5">
        <w:t xml:space="preserve"> .32</w:t>
      </w:r>
      <w:r w:rsidR="00065F9D" w:rsidRPr="0075449C">
        <w:t xml:space="preserve">, </w:t>
      </w:r>
      <w:r w:rsidR="00065F9D" w:rsidRPr="004805A5">
        <w:rPr>
          <w:i/>
        </w:rPr>
        <w:t>p</w:t>
      </w:r>
      <w:r w:rsidR="004805A5">
        <w:t xml:space="preserve"> </w:t>
      </w:r>
      <w:r w:rsidR="00065F9D" w:rsidRPr="0075449C">
        <w:t>&lt;</w:t>
      </w:r>
      <w:r w:rsidR="004805A5">
        <w:t xml:space="preserve"> </w:t>
      </w:r>
      <w:r w:rsidR="00065F9D" w:rsidRPr="0075449C">
        <w:t xml:space="preserve">.001) and </w:t>
      </w:r>
      <w:r w:rsidR="00E8388B">
        <w:t xml:space="preserve">for </w:t>
      </w:r>
      <w:r w:rsidR="00065F9D" w:rsidRPr="0075449C">
        <w:t>physical</w:t>
      </w:r>
      <w:r w:rsidR="004805A5">
        <w:t xml:space="preserve"> assault (mean difference = 1.16</w:t>
      </w:r>
      <w:r w:rsidR="00065F9D" w:rsidRPr="0075449C">
        <w:t xml:space="preserve">, </w:t>
      </w:r>
      <w:r w:rsidR="00065F9D" w:rsidRPr="004805A5">
        <w:rPr>
          <w:i/>
        </w:rPr>
        <w:t>SE</w:t>
      </w:r>
      <w:r w:rsidR="004805A5">
        <w:t xml:space="preserve"> </w:t>
      </w:r>
      <w:r w:rsidR="00AE4EC8">
        <w:t>mean difference</w:t>
      </w:r>
      <w:r w:rsidR="00AE4EC8" w:rsidRPr="0075449C">
        <w:t xml:space="preserve"> </w:t>
      </w:r>
      <w:r w:rsidR="00065F9D" w:rsidRPr="0075449C">
        <w:t>=</w:t>
      </w:r>
      <w:r w:rsidR="004805A5">
        <w:t xml:space="preserve"> .25</w:t>
      </w:r>
      <w:r w:rsidR="00065F9D" w:rsidRPr="0075449C">
        <w:t xml:space="preserve">, </w:t>
      </w:r>
      <w:r w:rsidR="00065F9D" w:rsidRPr="004805A5">
        <w:rPr>
          <w:i/>
        </w:rPr>
        <w:t>p</w:t>
      </w:r>
      <w:r w:rsidR="004805A5">
        <w:t xml:space="preserve"> </w:t>
      </w:r>
      <w:r w:rsidR="00065F9D" w:rsidRPr="0075449C">
        <w:t>&lt;</w:t>
      </w:r>
      <w:r w:rsidR="004805A5">
        <w:t xml:space="preserve"> </w:t>
      </w:r>
      <w:r w:rsidR="00065F9D" w:rsidRPr="0075449C">
        <w:t xml:space="preserve">.001). Perceived risk of male-perpetrated physical assault was significantly higher than perceived risk of rape (mean difference=.995, </w:t>
      </w:r>
      <w:r w:rsidR="00065F9D" w:rsidRPr="00AE4EC8">
        <w:rPr>
          <w:i/>
        </w:rPr>
        <w:t>SE</w:t>
      </w:r>
      <w:r w:rsidR="00AE4EC8">
        <w:t xml:space="preserve"> mean difference</w:t>
      </w:r>
      <w:r w:rsidR="00AE4EC8" w:rsidRPr="0075449C">
        <w:t xml:space="preserve"> </w:t>
      </w:r>
      <w:r w:rsidR="00065F9D" w:rsidRPr="0075449C">
        <w:t>= .194, p&lt;.001</w:t>
      </w:r>
      <w:r w:rsidR="00065F9D" w:rsidRPr="0075043F">
        <w:t>).</w:t>
      </w:r>
      <w:r w:rsidR="00C01FB0" w:rsidRPr="0075043F">
        <w:t xml:space="preserve"> </w:t>
      </w:r>
      <w:r w:rsidRPr="0075043F">
        <w:t>No other statistically significant relationships were found (</w:t>
      </w:r>
      <w:r w:rsidRPr="0075043F">
        <w:rPr>
          <w:i/>
        </w:rPr>
        <w:t>F</w:t>
      </w:r>
      <w:r w:rsidRPr="0075043F">
        <w:t xml:space="preserve">’s &lt; 1.40). </w:t>
      </w:r>
    </w:p>
    <w:p w14:paraId="063D8E07" w14:textId="77777777" w:rsidR="00A81783" w:rsidRPr="0075449C" w:rsidRDefault="00DA183C" w:rsidP="00106F57">
      <w:pPr>
        <w:spacing w:line="480" w:lineRule="auto"/>
        <w:jc w:val="center"/>
      </w:pPr>
      <w:r>
        <w:t>Discussion</w:t>
      </w:r>
    </w:p>
    <w:p w14:paraId="027E470A" w14:textId="1A841FE8" w:rsidR="007B7AB4" w:rsidRDefault="0028573F" w:rsidP="009576A8">
      <w:pPr>
        <w:spacing w:line="480" w:lineRule="auto"/>
        <w:ind w:firstLine="720"/>
      </w:pPr>
      <w:r w:rsidRPr="0075449C">
        <w:t xml:space="preserve">Previous research </w:t>
      </w:r>
      <w:r w:rsidR="0092473B">
        <w:t>has found that</w:t>
      </w:r>
      <w:r w:rsidRPr="0075449C">
        <w:t xml:space="preserve"> fear of crime is related to </w:t>
      </w:r>
      <w:r w:rsidR="000821C6" w:rsidRPr="0075449C">
        <w:t>preference</w:t>
      </w:r>
      <w:r w:rsidR="007B7AB4">
        <w:t>s</w:t>
      </w:r>
      <w:r w:rsidR="000821C6" w:rsidRPr="0075449C">
        <w:t xml:space="preserve"> for physically formidable and dominant mates (Snyder et al. 2011). </w:t>
      </w:r>
      <w:r w:rsidR="001A0124">
        <w:t>Life history models suggest that cues of environmental risk during childhood, including attachment styles and psychos</w:t>
      </w:r>
      <w:r w:rsidR="00BF13D7">
        <w:t>o</w:t>
      </w:r>
      <w:r w:rsidR="001A0124">
        <w:t>c</w:t>
      </w:r>
      <w:r w:rsidR="00BF13D7">
        <w:t>i</w:t>
      </w:r>
      <w:r w:rsidR="001A0124">
        <w:t xml:space="preserve">al stress, predict reproductive strategies in later adulthood (e.g., see Del Giudice, 2009). </w:t>
      </w:r>
      <w:r w:rsidR="00BF13D7">
        <w:t>Further</w:t>
      </w:r>
      <w:r w:rsidR="001A0124">
        <w:t xml:space="preserve">, </w:t>
      </w:r>
      <w:r w:rsidR="004A320A" w:rsidRPr="0075449C">
        <w:t xml:space="preserve">Snyder and colleagues </w:t>
      </w:r>
      <w:r w:rsidR="00C62AC9">
        <w:t>found evidence</w:t>
      </w:r>
      <w:r w:rsidR="00C62AC9" w:rsidRPr="0075449C">
        <w:t xml:space="preserve"> </w:t>
      </w:r>
      <w:r w:rsidR="000821C6" w:rsidRPr="0075449C">
        <w:t>that PPFDM is a relatively stable trait</w:t>
      </w:r>
      <w:r w:rsidR="00C62AC9">
        <w:t>, with PPFDM p</w:t>
      </w:r>
      <w:r w:rsidR="000821C6" w:rsidRPr="0075449C">
        <w:t xml:space="preserve">redicted by prevalence of crime during childhood and subjective fear of crime rather than current </w:t>
      </w:r>
      <w:r w:rsidR="00C62AC9">
        <w:t xml:space="preserve">actual </w:t>
      </w:r>
      <w:r w:rsidR="000821C6" w:rsidRPr="0075449C">
        <w:t xml:space="preserve">crime levels. They </w:t>
      </w:r>
      <w:r w:rsidR="00C62AC9">
        <w:t>proposed</w:t>
      </w:r>
      <w:r w:rsidR="00C62AC9" w:rsidRPr="0075449C">
        <w:t xml:space="preserve"> </w:t>
      </w:r>
      <w:r w:rsidR="000821C6" w:rsidRPr="0075449C">
        <w:t xml:space="preserve">that feelings of worry in relation to becoming a </w:t>
      </w:r>
      <w:r w:rsidR="00C62AC9">
        <w:t xml:space="preserve">crime </w:t>
      </w:r>
      <w:r w:rsidR="000821C6" w:rsidRPr="0075449C">
        <w:t xml:space="preserve">victim </w:t>
      </w:r>
      <w:r w:rsidR="00C62AC9">
        <w:t>are</w:t>
      </w:r>
      <w:r w:rsidR="000821C6" w:rsidRPr="0075449C">
        <w:t xml:space="preserve"> related to PPFDM due to the protection </w:t>
      </w:r>
      <w:r w:rsidR="00C62AC9">
        <w:t xml:space="preserve">that </w:t>
      </w:r>
      <w:r w:rsidR="000821C6" w:rsidRPr="0075449C">
        <w:t>a physically formidable mate c</w:t>
      </w:r>
      <w:r w:rsidR="00EE7F2D">
        <w:t>an offer.</w:t>
      </w:r>
      <w:r w:rsidR="00220627">
        <w:t xml:space="preserve"> However, it has been suggested that repro</w:t>
      </w:r>
      <w:r w:rsidR="00BF13D7">
        <w:t xml:space="preserve">ductive strategies may </w:t>
      </w:r>
      <w:r w:rsidR="009576A8">
        <w:t>adjust</w:t>
      </w:r>
      <w:r w:rsidR="00BF13D7">
        <w:t xml:space="preserve"> with</w:t>
      </w:r>
      <w:r w:rsidR="00220627">
        <w:t xml:space="preserve"> changing environments (see Del Giudice, 2009).</w:t>
      </w:r>
      <w:r w:rsidR="00EE7F2D">
        <w:t xml:space="preserve"> Therefore, as PPFDM seems to be</w:t>
      </w:r>
      <w:r w:rsidR="000821C6" w:rsidRPr="0075449C">
        <w:t xml:space="preserve"> related to vulnerability, we </w:t>
      </w:r>
      <w:r w:rsidR="00C62AC9">
        <w:t>tested</w:t>
      </w:r>
      <w:r w:rsidR="000821C6" w:rsidRPr="0075449C">
        <w:t xml:space="preserve"> whether the strength of the association between PPFDM and fear of crime </w:t>
      </w:r>
      <w:r w:rsidR="00EE7F2D">
        <w:t>is</w:t>
      </w:r>
      <w:r w:rsidR="00C62AC9">
        <w:t xml:space="preserve"> stronger for </w:t>
      </w:r>
      <w:r w:rsidR="008302DB">
        <w:t xml:space="preserve">situations </w:t>
      </w:r>
      <w:r w:rsidR="00C62AC9">
        <w:t>in which the</w:t>
      </w:r>
      <w:r w:rsidR="008302DB">
        <w:t xml:space="preserve"> risk and</w:t>
      </w:r>
      <w:r w:rsidR="00C62AC9">
        <w:t xml:space="preserve"> costs of victimisation, and hence, the need for protection, are higher.</w:t>
      </w:r>
      <w:r w:rsidR="000821C6" w:rsidRPr="0075449C">
        <w:t xml:space="preserve"> </w:t>
      </w:r>
      <w:r w:rsidR="00EE7F2D">
        <w:t xml:space="preserve">If women with a high PPFDM are particularly sensitive to cues indicative of victimisation risk, then PPFDM and risk perceptions </w:t>
      </w:r>
      <w:r w:rsidR="00EE7F2D">
        <w:lastRenderedPageBreak/>
        <w:t>should correspond most strongly when the risk of crime is high. On the other hand, if PPFDM is predictive of risk, even in safe environments, this would suggest that women with strong PPFDM generally feel more vulnerable compared to their counterparts. To investigate, w</w:t>
      </w:r>
      <w:r w:rsidRPr="0075449C">
        <w:t xml:space="preserve">e had women </w:t>
      </w:r>
      <w:r w:rsidR="00EE7F2D">
        <w:t xml:space="preserve">evaluate their risk of crime in situations depicted in images that varied in the presence of crime risk cues </w:t>
      </w:r>
      <w:r w:rsidR="0092473B">
        <w:t>(Study 1)</w:t>
      </w:r>
      <w:r w:rsidR="00EE7F2D">
        <w:t xml:space="preserve">. We also had women rate their risk of victimisation </w:t>
      </w:r>
      <w:r w:rsidR="0092473B">
        <w:t xml:space="preserve">as they </w:t>
      </w:r>
      <w:r w:rsidRPr="0075449C">
        <w:t>walk</w:t>
      </w:r>
      <w:r w:rsidR="004354FD">
        <w:t xml:space="preserve">ed </w:t>
      </w:r>
      <w:r w:rsidRPr="0075449C">
        <w:t xml:space="preserve">through crime </w:t>
      </w:r>
      <w:r w:rsidR="00573BBA">
        <w:t>hotspot</w:t>
      </w:r>
      <w:r w:rsidRPr="0075449C">
        <w:t xml:space="preserve">s and </w:t>
      </w:r>
      <w:r w:rsidR="00573BBA">
        <w:t>safespots</w:t>
      </w:r>
      <w:r w:rsidRPr="0075449C">
        <w:t xml:space="preserve"> </w:t>
      </w:r>
      <w:r w:rsidR="004354FD">
        <w:t>in a city centre</w:t>
      </w:r>
      <w:r w:rsidR="0092473B">
        <w:t xml:space="preserve"> (Study 2)</w:t>
      </w:r>
      <w:r w:rsidR="00EE7F2D">
        <w:t xml:space="preserve">. </w:t>
      </w:r>
    </w:p>
    <w:p w14:paraId="4177E95B" w14:textId="77777777" w:rsidR="0092473B" w:rsidRDefault="0092473B" w:rsidP="00106F57">
      <w:pPr>
        <w:spacing w:line="480" w:lineRule="auto"/>
        <w:ind w:firstLine="720"/>
      </w:pPr>
      <w:r>
        <w:t>In Study 1, we found that women evaluated their risk of victimisation as higher in situations where there was a lone shadowy male figure and when there were other cues indicative of crime (</w:t>
      </w:r>
      <w:r w:rsidR="003D6A12">
        <w:t>e.g.,</w:t>
      </w:r>
      <w:r>
        <w:t xml:space="preserve"> alle</w:t>
      </w:r>
      <w:r w:rsidR="00081B7F">
        <w:t>yways, night time). In Study 2,</w:t>
      </w:r>
      <w:r>
        <w:t xml:space="preserve"> w</w:t>
      </w:r>
      <w:r w:rsidR="007B7AB4">
        <w:t xml:space="preserve">e found that women felt </w:t>
      </w:r>
      <w:r w:rsidR="0028573F" w:rsidRPr="0075449C">
        <w:t>more vulnerab</w:t>
      </w:r>
      <w:r w:rsidR="00912A6C">
        <w:t>le</w:t>
      </w:r>
      <w:r w:rsidR="0028573F" w:rsidRPr="0075449C">
        <w:t xml:space="preserve">, </w:t>
      </w:r>
      <w:r w:rsidR="007B7AB4">
        <w:t xml:space="preserve">felt less safe, perceived their risk of crime to be higher, and they were more concerned about the victimisation seriousness </w:t>
      </w:r>
      <w:r w:rsidR="0028573F" w:rsidRPr="0075449C">
        <w:t>(hereby</w:t>
      </w:r>
      <w:r w:rsidR="007B7AB4">
        <w:t>, these results will be</w:t>
      </w:r>
      <w:r w:rsidR="0028573F" w:rsidRPr="0075449C">
        <w:t xml:space="preserve"> collectively </w:t>
      </w:r>
      <w:r w:rsidR="007B7AB4">
        <w:t>referred to as</w:t>
      </w:r>
      <w:r w:rsidR="0028573F" w:rsidRPr="0075449C">
        <w:t xml:space="preserve"> ‘fear of crime’) in the crime </w:t>
      </w:r>
      <w:r w:rsidR="00ED016A" w:rsidRPr="0075449C">
        <w:t>hot</w:t>
      </w:r>
      <w:r w:rsidR="00201DAF" w:rsidRPr="0075449C">
        <w:t>spot</w:t>
      </w:r>
      <w:r w:rsidR="007B7AB4">
        <w:t xml:space="preserve">s compared to </w:t>
      </w:r>
      <w:r w:rsidR="00ED016A" w:rsidRPr="0075449C">
        <w:t>safe</w:t>
      </w:r>
      <w:r w:rsidR="00201DAF" w:rsidRPr="0075449C">
        <w:t>spot</w:t>
      </w:r>
      <w:r w:rsidR="0028573F" w:rsidRPr="0075449C">
        <w:t xml:space="preserve">s. Therefore, </w:t>
      </w:r>
      <w:r w:rsidR="007B7AB4">
        <w:t>women</w:t>
      </w:r>
      <w:r w:rsidR="00F85376">
        <w:t xml:space="preserve"> as a whole</w:t>
      </w:r>
      <w:r w:rsidR="007B7AB4">
        <w:t xml:space="preserve"> were sensitive to the cues in their environment</w:t>
      </w:r>
      <w:r w:rsidR="0028573F" w:rsidRPr="0075449C">
        <w:t xml:space="preserve">, </w:t>
      </w:r>
      <w:r w:rsidR="007B7AB4">
        <w:t xml:space="preserve">which in turn affected their </w:t>
      </w:r>
      <w:r>
        <w:t xml:space="preserve">perceptions of risk and </w:t>
      </w:r>
      <w:r w:rsidR="007B7AB4">
        <w:t>fear of crime</w:t>
      </w:r>
      <w:r w:rsidR="0028573F" w:rsidRPr="0075449C">
        <w:t>.</w:t>
      </w:r>
      <w:r w:rsidR="00C41AE5" w:rsidRPr="0075449C">
        <w:t xml:space="preserve"> </w:t>
      </w:r>
    </w:p>
    <w:p w14:paraId="30400DAC" w14:textId="3C988A4E" w:rsidR="00263E6E" w:rsidRDefault="001E1298" w:rsidP="00106F57">
      <w:pPr>
        <w:spacing w:line="480" w:lineRule="auto"/>
        <w:ind w:firstLine="720"/>
      </w:pPr>
      <w:r w:rsidRPr="0075449C">
        <w:rPr>
          <w:rFonts w:cs="Tahoma"/>
        </w:rPr>
        <w:t xml:space="preserve">We </w:t>
      </w:r>
      <w:r w:rsidR="0092473B">
        <w:rPr>
          <w:rFonts w:cs="Tahoma"/>
        </w:rPr>
        <w:t xml:space="preserve">tested </w:t>
      </w:r>
      <w:r w:rsidR="00EE7F2D">
        <w:rPr>
          <w:rFonts w:cs="Tahoma"/>
        </w:rPr>
        <w:t>whether</w:t>
      </w:r>
      <w:r w:rsidR="0092473B">
        <w:rPr>
          <w:rFonts w:cs="Tahoma"/>
        </w:rPr>
        <w:t xml:space="preserve"> strong preferences for dominant and formidable mates </w:t>
      </w:r>
      <w:r w:rsidR="00EE7F2D">
        <w:rPr>
          <w:rFonts w:cs="Tahoma"/>
        </w:rPr>
        <w:t xml:space="preserve">was associated with greater perceived victimisation risk, particularly in situations in which the </w:t>
      </w:r>
      <w:r w:rsidR="0092473B">
        <w:rPr>
          <w:rFonts w:cs="Tahoma"/>
        </w:rPr>
        <w:t xml:space="preserve">risk of victimisation is highest, including situations in which there are crime cues, the assailant is male, and the crime is </w:t>
      </w:r>
      <w:r w:rsidR="00C67EBB">
        <w:rPr>
          <w:rFonts w:cs="Tahoma"/>
        </w:rPr>
        <w:t>sexual assault.</w:t>
      </w:r>
      <w:r w:rsidR="0092473B">
        <w:rPr>
          <w:rFonts w:cs="Tahoma"/>
        </w:rPr>
        <w:t xml:space="preserve"> </w:t>
      </w:r>
      <w:r w:rsidR="002C6B59">
        <w:t>T</w:t>
      </w:r>
      <w:r w:rsidR="001F48DD" w:rsidRPr="0075449C">
        <w:t>he findings</w:t>
      </w:r>
      <w:r w:rsidR="008F1880" w:rsidRPr="0075449C">
        <w:t xml:space="preserve"> suggest that the psychological mechanism underlying the association between </w:t>
      </w:r>
      <w:r w:rsidR="00B421A0">
        <w:t>perceived risk of victimisation</w:t>
      </w:r>
      <w:r w:rsidR="008F1880" w:rsidRPr="0075449C">
        <w:t xml:space="preserve"> and PPFDM is</w:t>
      </w:r>
      <w:r w:rsidR="00FD5A8D" w:rsidRPr="0075449C">
        <w:t xml:space="preserve"> </w:t>
      </w:r>
      <w:r w:rsidR="008F1880" w:rsidRPr="0075449C">
        <w:t xml:space="preserve">general </w:t>
      </w:r>
      <w:r w:rsidR="0092473B">
        <w:t xml:space="preserve">in nature. Women who tended to </w:t>
      </w:r>
      <w:r w:rsidR="00FD5A8D" w:rsidRPr="0075449C">
        <w:t xml:space="preserve">fear </w:t>
      </w:r>
      <w:r w:rsidR="0092473B">
        <w:t xml:space="preserve">crime the most and who viewed themselves as having a relatively high </w:t>
      </w:r>
      <w:r w:rsidR="00134D27">
        <w:t xml:space="preserve">victimization risk, </w:t>
      </w:r>
      <w:r w:rsidR="00FD5A8D" w:rsidRPr="0075449C">
        <w:t>tend</w:t>
      </w:r>
      <w:r w:rsidR="00CB394D">
        <w:t>ed</w:t>
      </w:r>
      <w:r w:rsidR="00FD5A8D" w:rsidRPr="0075449C">
        <w:t xml:space="preserve"> to prefer physically formidable and dominant mates</w:t>
      </w:r>
      <w:r w:rsidR="00134D27">
        <w:t xml:space="preserve"> more strongly than other women.</w:t>
      </w:r>
      <w:r w:rsidR="00134D27" w:rsidRPr="00134D27">
        <w:t xml:space="preserve"> </w:t>
      </w:r>
      <w:r w:rsidR="00134D27">
        <w:t>Thus</w:t>
      </w:r>
      <w:r w:rsidR="00134D27" w:rsidRPr="0075449C">
        <w:t xml:space="preserve">, </w:t>
      </w:r>
      <w:r w:rsidR="00134D27">
        <w:t xml:space="preserve">our results are in keeping with </w:t>
      </w:r>
      <w:r w:rsidR="00134D27" w:rsidRPr="0075449C">
        <w:t xml:space="preserve">Snyder </w:t>
      </w:r>
      <w:r w:rsidR="00134D27">
        <w:t>and colleagues’</w:t>
      </w:r>
      <w:r w:rsidR="00134D27" w:rsidRPr="0075449C">
        <w:t xml:space="preserve"> (2011)</w:t>
      </w:r>
      <w:r w:rsidR="00134D27">
        <w:t xml:space="preserve"> proposal that </w:t>
      </w:r>
      <w:r w:rsidR="00B678D1">
        <w:rPr>
          <w:rFonts w:cs="Helvetica"/>
          <w:lang w:val="en-US"/>
        </w:rPr>
        <w:t xml:space="preserve">PPFDM </w:t>
      </w:r>
      <w:r w:rsidR="006B6AB0">
        <w:rPr>
          <w:rFonts w:cs="Helvetica"/>
          <w:lang w:val="en-US"/>
        </w:rPr>
        <w:t xml:space="preserve">may not be related to actual prevailing rates of violence, but rather appears to be </w:t>
      </w:r>
      <w:r w:rsidR="00134D27" w:rsidRPr="0075449C">
        <w:rPr>
          <w:rFonts w:cs="Helvetica"/>
          <w:lang w:val="en-US"/>
        </w:rPr>
        <w:t xml:space="preserve">dependent on </w:t>
      </w:r>
      <w:r w:rsidR="00134D27">
        <w:rPr>
          <w:rFonts w:cs="Helvetica"/>
          <w:lang w:val="en-US"/>
        </w:rPr>
        <w:t xml:space="preserve">a </w:t>
      </w:r>
      <w:r w:rsidR="00134D27" w:rsidRPr="0075449C">
        <w:rPr>
          <w:rFonts w:cs="Helvetica"/>
          <w:lang w:val="en-US"/>
        </w:rPr>
        <w:t>woman’s self-assessed vulnerability</w:t>
      </w:r>
      <w:r w:rsidR="006B6AB0">
        <w:rPr>
          <w:rFonts w:cs="Helvetica"/>
          <w:lang w:val="en-US"/>
        </w:rPr>
        <w:t>.</w:t>
      </w:r>
    </w:p>
    <w:p w14:paraId="48140099" w14:textId="092B4351" w:rsidR="00C23E65" w:rsidRPr="00E6005E" w:rsidRDefault="00C23E65" w:rsidP="00E6005E">
      <w:pPr>
        <w:spacing w:line="480" w:lineRule="auto"/>
        <w:ind w:firstLine="720"/>
      </w:pPr>
      <w:r>
        <w:t xml:space="preserve">Previous research suggests that women avoid risky situations during phases of peak fertility (e.g., Bröder &amp; Hohmann, 2003; Chavanne &amp; Gallup, 1998), when sexual victimisation is arguably </w:t>
      </w:r>
      <w:r>
        <w:lastRenderedPageBreak/>
        <w:t>more costly due to the increased chance of conception.</w:t>
      </w:r>
      <w:r w:rsidR="008302DB" w:rsidRPr="008302DB">
        <w:t xml:space="preserve"> </w:t>
      </w:r>
      <w:r w:rsidR="008302DB" w:rsidRPr="0075449C">
        <w:t>Fessler and colleagues (2014)</w:t>
      </w:r>
      <w:r w:rsidR="008302DB">
        <w:t xml:space="preserve"> suggest that a woman’s assets </w:t>
      </w:r>
      <w:r w:rsidR="008302DB" w:rsidRPr="0075449C">
        <w:t>e.g., reproductive fitness and survival, are more at risk of incurring costs of victimisation at peak fertility</w:t>
      </w:r>
      <w:r w:rsidR="008302DB">
        <w:t>.</w:t>
      </w:r>
      <w:r>
        <w:t xml:space="preserve"> Whilst we did not find fertility status to be associated with perceptions of risk or fear of victimisation, fertility status was associated with PPFDM. </w:t>
      </w:r>
      <w:r w:rsidRPr="0075449C">
        <w:t>Snyder et al. (2011) suggest that women with higher vulnerability to crime victimisation should have higher p</w:t>
      </w:r>
      <w:r>
        <w:t>references for formidable mates</w:t>
      </w:r>
      <w:r w:rsidRPr="0075449C">
        <w:t xml:space="preserve">.. Fertile compared to nonfertile women indeed reported a higher PPFDM. This finding may suggest that the higher asset risks associated with ovulation, and thus increased vulnerability to crime is associated with a higher need for protection from a formidable mate. </w:t>
      </w:r>
      <w:r w:rsidR="00466157">
        <w:t xml:space="preserve">However, </w:t>
      </w:r>
      <w:r w:rsidR="00466157" w:rsidRPr="0075449C">
        <w:t xml:space="preserve">some traits associated with a formidable mate such as tall and broad shoulders are associated with masculinity, which signals quality genetics (Tybur &amp; Gangestad, 2011; Scott, Clark, Boothroyd &amp; Penton-Voak, 2013). </w:t>
      </w:r>
      <w:r w:rsidR="00466157" w:rsidRPr="0075449C">
        <w:rPr>
          <w:rFonts w:cs="DejaVuLGCSerif"/>
        </w:rPr>
        <w:t xml:space="preserve">Preference for such </w:t>
      </w:r>
      <w:r w:rsidR="00466157" w:rsidRPr="0075449C">
        <w:t>traits do vary over the menstrual cycle</w:t>
      </w:r>
      <w:r w:rsidR="00466157">
        <w:t xml:space="preserve"> (e.g, Gangestad et al. 2004; Gildersleeve et al. 2013). Further examination of the influence of fertility status on PPFDM would be an interesting avenue for further research. </w:t>
      </w:r>
    </w:p>
    <w:p w14:paraId="24594026" w14:textId="00DEB728" w:rsidR="0028573F" w:rsidRDefault="00C04662" w:rsidP="00106F57">
      <w:pPr>
        <w:autoSpaceDE w:val="0"/>
        <w:autoSpaceDN w:val="0"/>
        <w:adjustRightInd w:val="0"/>
        <w:spacing w:after="0" w:line="480" w:lineRule="auto"/>
        <w:ind w:firstLine="720"/>
        <w:rPr>
          <w:rFonts w:cs="Times-Roman"/>
        </w:rPr>
      </w:pPr>
      <w:r w:rsidRPr="0075449C">
        <w:rPr>
          <w:rFonts w:cs="Times-Roman"/>
        </w:rPr>
        <w:t xml:space="preserve">Negative affect was significantly associated with PPFDM. </w:t>
      </w:r>
      <w:r w:rsidR="00263E6E" w:rsidRPr="0075449C">
        <w:rPr>
          <w:rFonts w:cs="Times-Roman"/>
        </w:rPr>
        <w:t>The emotions</w:t>
      </w:r>
      <w:r w:rsidRPr="0075449C">
        <w:rPr>
          <w:rFonts w:cs="Times-Roman"/>
        </w:rPr>
        <w:t xml:space="preserve"> scared, nervous, jittery and afraid</w:t>
      </w:r>
      <w:r w:rsidR="00263E6E" w:rsidRPr="0075449C">
        <w:rPr>
          <w:rFonts w:cs="Times-Roman"/>
        </w:rPr>
        <w:t xml:space="preserve"> contribute to the measure of negative affect in the PANAS, and f</w:t>
      </w:r>
      <w:r w:rsidRPr="0075449C">
        <w:rPr>
          <w:rFonts w:cs="Times-Roman"/>
        </w:rPr>
        <w:t>ear has been shown to be one of two main components of the ne</w:t>
      </w:r>
      <w:r w:rsidR="00670A1A">
        <w:rPr>
          <w:rFonts w:cs="Times-Roman"/>
        </w:rPr>
        <w:t xml:space="preserve">gative affect scale (Ebesutani et al. </w:t>
      </w:r>
      <w:r w:rsidRPr="0075449C">
        <w:rPr>
          <w:rFonts w:cs="Times-Roman"/>
        </w:rPr>
        <w:t>2011). The</w:t>
      </w:r>
      <w:r w:rsidR="00263E6E" w:rsidRPr="0075449C">
        <w:rPr>
          <w:rFonts w:cs="Times-Roman"/>
        </w:rPr>
        <w:t xml:space="preserve">refore, </w:t>
      </w:r>
      <w:r w:rsidR="00CB394D">
        <w:rPr>
          <w:rFonts w:cs="Times-Roman"/>
        </w:rPr>
        <w:t>our results</w:t>
      </w:r>
      <w:r w:rsidR="00CB394D" w:rsidRPr="0075449C">
        <w:rPr>
          <w:rFonts w:cs="Times-Roman"/>
        </w:rPr>
        <w:t xml:space="preserve"> </w:t>
      </w:r>
      <w:r w:rsidR="00CB394D">
        <w:rPr>
          <w:rFonts w:cs="Times-Roman"/>
        </w:rPr>
        <w:t>are</w:t>
      </w:r>
      <w:r w:rsidR="00CB394D" w:rsidRPr="0075449C">
        <w:rPr>
          <w:rFonts w:cs="Times-Roman"/>
        </w:rPr>
        <w:t xml:space="preserve"> </w:t>
      </w:r>
      <w:r w:rsidR="00263E6E" w:rsidRPr="0075449C">
        <w:rPr>
          <w:rFonts w:cs="Times-Roman"/>
        </w:rPr>
        <w:t xml:space="preserve">in </w:t>
      </w:r>
      <w:r w:rsidR="002C6B59">
        <w:rPr>
          <w:rFonts w:cs="Times-Roman"/>
        </w:rPr>
        <w:t>step</w:t>
      </w:r>
      <w:r w:rsidR="00263E6E" w:rsidRPr="0075449C">
        <w:rPr>
          <w:rFonts w:cs="Times-Roman"/>
        </w:rPr>
        <w:t xml:space="preserve"> with p</w:t>
      </w:r>
      <w:r w:rsidRPr="0075449C">
        <w:rPr>
          <w:rFonts w:cs="Times-Roman"/>
        </w:rPr>
        <w:t>r</w:t>
      </w:r>
      <w:r w:rsidR="00263E6E" w:rsidRPr="0075449C">
        <w:rPr>
          <w:rFonts w:cs="Times-Roman"/>
        </w:rPr>
        <w:t>evious findings</w:t>
      </w:r>
      <w:r w:rsidR="002C6B59">
        <w:rPr>
          <w:rFonts w:cs="Times-Roman"/>
        </w:rPr>
        <w:t>, showing</w:t>
      </w:r>
      <w:r w:rsidRPr="0075449C">
        <w:rPr>
          <w:rFonts w:cs="Times-Roman"/>
        </w:rPr>
        <w:t xml:space="preserve"> that negative affect and </w:t>
      </w:r>
      <w:r w:rsidR="00134D27">
        <w:rPr>
          <w:rFonts w:cs="Times-Roman"/>
        </w:rPr>
        <w:t>fear</w:t>
      </w:r>
      <w:r w:rsidRPr="0075449C">
        <w:rPr>
          <w:rFonts w:cs="Times-Roman"/>
        </w:rPr>
        <w:t xml:space="preserve"> are correlated. This finding may suggest that preference for physically formidable and dominant mates </w:t>
      </w:r>
      <w:r w:rsidR="00134D27">
        <w:rPr>
          <w:rFonts w:cs="Times-Roman"/>
        </w:rPr>
        <w:t>is tied to a general individual differences factor, with</w:t>
      </w:r>
      <w:r w:rsidRPr="0075449C">
        <w:rPr>
          <w:rFonts w:cs="Times-Roman"/>
        </w:rPr>
        <w:t xml:space="preserve"> women who </w:t>
      </w:r>
      <w:r w:rsidR="00134D27">
        <w:rPr>
          <w:rFonts w:cs="Times-Roman"/>
        </w:rPr>
        <w:t>feel the most afraid</w:t>
      </w:r>
      <w:r w:rsidRPr="0075449C">
        <w:rPr>
          <w:rFonts w:cs="Times-Roman"/>
        </w:rPr>
        <w:t xml:space="preserve"> </w:t>
      </w:r>
      <w:r w:rsidR="00134D27">
        <w:rPr>
          <w:rFonts w:cs="Times-Roman"/>
        </w:rPr>
        <w:t>and vulnerable</w:t>
      </w:r>
      <w:r w:rsidRPr="0075449C">
        <w:rPr>
          <w:rFonts w:cs="Times-Roman"/>
        </w:rPr>
        <w:t xml:space="preserve"> </w:t>
      </w:r>
      <w:r w:rsidR="00D348AC">
        <w:rPr>
          <w:rFonts w:cs="Times-Roman"/>
        </w:rPr>
        <w:t>having strong preferences for physically formidable and dominant mates</w:t>
      </w:r>
      <w:r w:rsidR="00134D27">
        <w:rPr>
          <w:rFonts w:cs="Times-Roman"/>
        </w:rPr>
        <w:t>.</w:t>
      </w:r>
      <w:r w:rsidR="007E01D4" w:rsidRPr="007E01D4">
        <w:rPr>
          <w:rFonts w:cs="Times-Roman"/>
        </w:rPr>
        <w:t xml:space="preserve"> </w:t>
      </w:r>
      <w:r w:rsidR="007E01D4">
        <w:rPr>
          <w:rFonts w:cs="Times-Roman"/>
        </w:rPr>
        <w:t>The data suggest that women who generally feel more vulnerable, regardless of the situation, have a high PPFDM, and women who generally feel less vulnerable have a lower PPFDM</w:t>
      </w:r>
      <w:r w:rsidR="001E63E7">
        <w:rPr>
          <w:rFonts w:cs="Times-Roman"/>
        </w:rPr>
        <w:t xml:space="preserve">. This may suggest overall individual differences in risk assessments, which in turn influence mate preferences. </w:t>
      </w:r>
    </w:p>
    <w:p w14:paraId="0EFEC248" w14:textId="4FAA05F2" w:rsidR="003350C3" w:rsidRDefault="003350C3" w:rsidP="00106F57">
      <w:pPr>
        <w:autoSpaceDE w:val="0"/>
        <w:autoSpaceDN w:val="0"/>
        <w:adjustRightInd w:val="0"/>
        <w:spacing w:after="0" w:line="480" w:lineRule="auto"/>
        <w:ind w:firstLine="720"/>
        <w:rPr>
          <w:rFonts w:cs="Baskerville"/>
        </w:rPr>
      </w:pPr>
      <w:r>
        <w:rPr>
          <w:rFonts w:cs="Baskerville"/>
        </w:rPr>
        <w:t>W</w:t>
      </w:r>
      <w:r w:rsidRPr="003350C3">
        <w:rPr>
          <w:rFonts w:cs="Baskerville"/>
        </w:rPr>
        <w:t xml:space="preserve">omen are likely to vary in their own abilities to defend against a potential antagonist and the importance they place on a formidable mate. </w:t>
      </w:r>
      <w:r w:rsidR="00E17FCA">
        <w:rPr>
          <w:rFonts w:cs="Baskerville"/>
        </w:rPr>
        <w:t>One way w</w:t>
      </w:r>
      <w:r w:rsidR="00D348AC">
        <w:rPr>
          <w:rFonts w:cs="Baskerville"/>
        </w:rPr>
        <w:t>e assess</w:t>
      </w:r>
      <w:r w:rsidR="00E17FCA">
        <w:rPr>
          <w:rFonts w:cs="Baskerville"/>
        </w:rPr>
        <w:t>ed</w:t>
      </w:r>
      <w:r w:rsidR="00D348AC">
        <w:rPr>
          <w:rFonts w:cs="Baskerville"/>
        </w:rPr>
        <w:t xml:space="preserve"> this possibility</w:t>
      </w:r>
      <w:r>
        <w:rPr>
          <w:rFonts w:cs="Baskerville"/>
        </w:rPr>
        <w:t xml:space="preserve"> </w:t>
      </w:r>
      <w:r w:rsidR="00E17FCA">
        <w:rPr>
          <w:rFonts w:cs="Baskerville"/>
        </w:rPr>
        <w:t xml:space="preserve">to estimate women’s ability to defend themselves </w:t>
      </w:r>
      <w:r w:rsidR="00757C47">
        <w:rPr>
          <w:rFonts w:cs="Baskerville"/>
        </w:rPr>
        <w:t xml:space="preserve">was </w:t>
      </w:r>
      <w:r w:rsidR="00D348AC">
        <w:rPr>
          <w:rFonts w:cs="Baskerville"/>
        </w:rPr>
        <w:t>through</w:t>
      </w:r>
      <w:r>
        <w:rPr>
          <w:rFonts w:cs="Baskerville"/>
        </w:rPr>
        <w:t xml:space="preserve"> BMI</w:t>
      </w:r>
      <w:r w:rsidR="00E17FCA">
        <w:rPr>
          <w:rFonts w:cs="Baskerville"/>
        </w:rPr>
        <w:t xml:space="preserve"> measurements, and we found that </w:t>
      </w:r>
      <w:r>
        <w:rPr>
          <w:rFonts w:cs="Baskerville"/>
        </w:rPr>
        <w:t xml:space="preserve">BMI </w:t>
      </w:r>
      <w:r w:rsidR="00E17FCA">
        <w:rPr>
          <w:rFonts w:cs="Baskerville"/>
        </w:rPr>
        <w:t xml:space="preserve">was </w:t>
      </w:r>
      <w:r w:rsidR="00E17FCA">
        <w:rPr>
          <w:rFonts w:cs="Baskerville"/>
        </w:rPr>
        <w:lastRenderedPageBreak/>
        <w:t>not</w:t>
      </w:r>
      <w:r>
        <w:rPr>
          <w:rFonts w:cs="Baskerville"/>
        </w:rPr>
        <w:t xml:space="preserve"> associated with either fear of crime or PPFDM. However, there may</w:t>
      </w:r>
      <w:r w:rsidR="00081B7F">
        <w:rPr>
          <w:rFonts w:cs="Baskerville"/>
        </w:rPr>
        <w:t xml:space="preserve"> be other individual difference factors</w:t>
      </w:r>
      <w:r>
        <w:rPr>
          <w:rFonts w:cs="Baskerville"/>
        </w:rPr>
        <w:t xml:space="preserve"> that </w:t>
      </w:r>
      <w:r w:rsidR="00E17FCA">
        <w:rPr>
          <w:rFonts w:cs="Baskerville"/>
        </w:rPr>
        <w:t xml:space="preserve">underlie </w:t>
      </w:r>
      <w:r>
        <w:rPr>
          <w:rFonts w:cs="Baskerville"/>
        </w:rPr>
        <w:t>the relationship between PPFDM and fear of crime</w:t>
      </w:r>
      <w:r w:rsidR="00E17FCA">
        <w:rPr>
          <w:rFonts w:cs="Baskerville"/>
        </w:rPr>
        <w:t xml:space="preserve">, and this </w:t>
      </w:r>
      <w:r>
        <w:rPr>
          <w:rFonts w:cs="Baskerville"/>
        </w:rPr>
        <w:t>warrant</w:t>
      </w:r>
      <w:r w:rsidR="00E17FCA">
        <w:rPr>
          <w:rFonts w:cs="Baskerville"/>
        </w:rPr>
        <w:t>s</w:t>
      </w:r>
      <w:r>
        <w:rPr>
          <w:rFonts w:cs="Baskerville"/>
        </w:rPr>
        <w:t xml:space="preserve"> further examination.</w:t>
      </w:r>
      <w:r w:rsidR="00D348AC">
        <w:rPr>
          <w:rFonts w:cs="Baskerville"/>
        </w:rPr>
        <w:t xml:space="preserve"> Women </w:t>
      </w:r>
      <w:r w:rsidR="00E17FCA">
        <w:rPr>
          <w:rFonts w:cs="Baskerville"/>
        </w:rPr>
        <w:t>feel</w:t>
      </w:r>
      <w:r w:rsidR="00D348AC">
        <w:rPr>
          <w:rFonts w:cs="Baskerville"/>
        </w:rPr>
        <w:t xml:space="preserve"> more or less vulnerable to victimisation for </w:t>
      </w:r>
      <w:r w:rsidR="00E17FCA">
        <w:rPr>
          <w:rFonts w:cs="Baskerville"/>
        </w:rPr>
        <w:t xml:space="preserve">a number </w:t>
      </w:r>
      <w:r w:rsidR="00DB1D05">
        <w:rPr>
          <w:rFonts w:cs="Baskerville"/>
        </w:rPr>
        <w:t>of</w:t>
      </w:r>
      <w:r w:rsidR="00E17FCA">
        <w:rPr>
          <w:rFonts w:cs="Baskerville"/>
        </w:rPr>
        <w:t xml:space="preserve"> reasons. </w:t>
      </w:r>
      <w:r w:rsidR="00DB1D05">
        <w:rPr>
          <w:rFonts w:cs="Baskerville"/>
        </w:rPr>
        <w:t>First, childhood experiences with physical threats may play a large role, and may explain the stability of PPFDM into adulthood</w:t>
      </w:r>
      <w:r w:rsidR="00C87209">
        <w:rPr>
          <w:rFonts w:cs="Baskerville"/>
        </w:rPr>
        <w:t xml:space="preserve"> (e.g., Sherman et al. 2015)</w:t>
      </w:r>
      <w:r w:rsidR="00DB1D05">
        <w:rPr>
          <w:rFonts w:cs="Baskerville"/>
        </w:rPr>
        <w:t xml:space="preserve">. For example, an interesting avenue for future research would be to examine the development of PPFDM as a function of childhood experiences of crime, heightened vulnerability, and limited protection. Other factors that might affect women’s PPFDM could include the </w:t>
      </w:r>
      <w:r w:rsidR="00E17FCA">
        <w:rPr>
          <w:rFonts w:cs="Baskerville"/>
        </w:rPr>
        <w:t>psycholog</w:t>
      </w:r>
      <w:r w:rsidR="00925D41">
        <w:rPr>
          <w:rFonts w:cs="Baskerville"/>
        </w:rPr>
        <w:t>ical</w:t>
      </w:r>
      <w:r w:rsidR="00E17FCA">
        <w:rPr>
          <w:rFonts w:cs="Baskerville"/>
        </w:rPr>
        <w:t xml:space="preserve"> ability</w:t>
      </w:r>
      <w:r w:rsidR="00D348AC">
        <w:rPr>
          <w:rFonts w:cs="Baskerville"/>
        </w:rPr>
        <w:t xml:space="preserve"> to cope with </w:t>
      </w:r>
      <w:r w:rsidR="00E17FCA">
        <w:rPr>
          <w:rFonts w:cs="Baskerville"/>
        </w:rPr>
        <w:t>threat</w:t>
      </w:r>
      <w:r w:rsidR="00DB1D05">
        <w:rPr>
          <w:rFonts w:cs="Baskerville"/>
        </w:rPr>
        <w:t xml:space="preserve">, the perceived value of a women’s assets </w:t>
      </w:r>
      <w:r w:rsidR="00E17FCA">
        <w:rPr>
          <w:rFonts w:cs="Baskerville"/>
        </w:rPr>
        <w:t>(</w:t>
      </w:r>
      <w:r w:rsidR="003D6A12">
        <w:rPr>
          <w:rFonts w:cs="Baskerville"/>
        </w:rPr>
        <w:t>e.g.,</w:t>
      </w:r>
      <w:r w:rsidR="006A34F3">
        <w:rPr>
          <w:rFonts w:cs="Baskerville"/>
        </w:rPr>
        <w:t xml:space="preserve"> the</w:t>
      </w:r>
      <w:r w:rsidR="00843757">
        <w:rPr>
          <w:rFonts w:cs="Baskerville"/>
        </w:rPr>
        <w:t xml:space="preserve"> ability to defend herself</w:t>
      </w:r>
      <w:r w:rsidR="006A34F3">
        <w:rPr>
          <w:rFonts w:cs="Baskerville"/>
        </w:rPr>
        <w:t xml:space="preserve"> and</w:t>
      </w:r>
      <w:r w:rsidR="00843757">
        <w:rPr>
          <w:rFonts w:cs="Baskerville"/>
        </w:rPr>
        <w:t xml:space="preserve"> the evolutionary costs to fitness that she is likely to suffer from violent victimisation, </w:t>
      </w:r>
      <w:r w:rsidR="00DB1D05">
        <w:rPr>
          <w:rFonts w:cs="Baskerville"/>
        </w:rPr>
        <w:t>see</w:t>
      </w:r>
      <w:r w:rsidR="00925D41">
        <w:rPr>
          <w:rFonts w:cs="Baskerville"/>
        </w:rPr>
        <w:t xml:space="preserve"> </w:t>
      </w:r>
      <w:r w:rsidR="00925D41" w:rsidRPr="0075449C">
        <w:rPr>
          <w:rFonts w:cs="Arial"/>
          <w:lang w:eastAsia="en-GB"/>
        </w:rPr>
        <w:t>Fe</w:t>
      </w:r>
      <w:r w:rsidR="00670A1A">
        <w:rPr>
          <w:rFonts w:cs="Arial"/>
          <w:lang w:eastAsia="en-GB"/>
        </w:rPr>
        <w:t xml:space="preserve">ssler et al. </w:t>
      </w:r>
      <w:r w:rsidR="00922135">
        <w:rPr>
          <w:rFonts w:cs="Arial"/>
          <w:lang w:eastAsia="en-GB"/>
        </w:rPr>
        <w:t>2015</w:t>
      </w:r>
      <w:r w:rsidR="00925D41" w:rsidRPr="0075449C">
        <w:rPr>
          <w:rFonts w:cs="Arial"/>
          <w:lang w:eastAsia="en-GB"/>
        </w:rPr>
        <w:t>)</w:t>
      </w:r>
      <w:r w:rsidR="00843757">
        <w:rPr>
          <w:rFonts w:cs="Baskerville"/>
        </w:rPr>
        <w:t xml:space="preserve"> or </w:t>
      </w:r>
      <w:r w:rsidR="00DB1D05">
        <w:rPr>
          <w:rFonts w:cs="Baskerville"/>
        </w:rPr>
        <w:t xml:space="preserve">past victimisation experiences with strangers versus mates </w:t>
      </w:r>
      <w:r w:rsidR="00670A1A">
        <w:rPr>
          <w:rFonts w:cs="Baskerville"/>
        </w:rPr>
        <w:t>(Cate et al.</w:t>
      </w:r>
      <w:r w:rsidRPr="003350C3">
        <w:rPr>
          <w:rFonts w:cs="Baskerville"/>
        </w:rPr>
        <w:t xml:space="preserve"> 2003).</w:t>
      </w:r>
      <w:r w:rsidR="00EE691A">
        <w:rPr>
          <w:rFonts w:cs="Baskerville"/>
        </w:rPr>
        <w:t xml:space="preserve"> </w:t>
      </w:r>
    </w:p>
    <w:p w14:paraId="4EA7C291" w14:textId="140AB8EF" w:rsidR="0012578A" w:rsidRDefault="00790B80" w:rsidP="008302DB">
      <w:pPr>
        <w:widowControl w:val="0"/>
        <w:autoSpaceDE w:val="0"/>
        <w:autoSpaceDN w:val="0"/>
        <w:adjustRightInd w:val="0"/>
        <w:spacing w:after="0" w:line="480" w:lineRule="auto"/>
        <w:ind w:firstLine="720"/>
        <w:rPr>
          <w:rFonts w:cs="Baskerville"/>
        </w:rPr>
      </w:pPr>
      <w:r>
        <w:t>Based on their research, Snyder et al (2011) suggested that subjective fear of crime was a relatively stable trait, which is unlikely to vary over short time spans. However, they argued that before definitive conclusions could be made regarding the stability of fear of crime, it was necessary to assess fear of crime with more ecologically valid primes. Indeed, using real life crime hotspots versus safespots</w:t>
      </w:r>
      <w:r w:rsidR="00DB1D05">
        <w:t>,</w:t>
      </w:r>
      <w:r>
        <w:t xml:space="preserve"> w</w:t>
      </w:r>
      <w:r w:rsidR="0028573F" w:rsidRPr="0075449C">
        <w:t xml:space="preserve">e found fear to </w:t>
      </w:r>
      <w:r w:rsidR="000D1B4B" w:rsidRPr="0075449C">
        <w:t xml:space="preserve">be more </w:t>
      </w:r>
      <w:r w:rsidR="00C708CF" w:rsidRPr="0075449C">
        <w:t xml:space="preserve">variable; fear varied in </w:t>
      </w:r>
      <w:r w:rsidR="00033225" w:rsidRPr="0075449C">
        <w:t>response to the environment</w:t>
      </w:r>
      <w:r w:rsidR="0028573F" w:rsidRPr="0075449C">
        <w:t xml:space="preserve">. As women walked around </w:t>
      </w:r>
      <w:r w:rsidR="00C708CF" w:rsidRPr="0075449C">
        <w:t>the</w:t>
      </w:r>
      <w:r w:rsidR="00925D41">
        <w:t xml:space="preserve"> city centre,</w:t>
      </w:r>
      <w:r w:rsidR="0028573F" w:rsidRPr="0075449C">
        <w:t xml:space="preserve"> fear of crime</w:t>
      </w:r>
      <w:r w:rsidR="00925D41">
        <w:t xml:space="preserve"> ratings</w:t>
      </w:r>
      <w:r w:rsidR="0028573F" w:rsidRPr="0075449C">
        <w:t xml:space="preserve"> differed between crime </w:t>
      </w:r>
      <w:r w:rsidR="00573BBA">
        <w:t>hotspot</w:t>
      </w:r>
      <w:r w:rsidR="0028573F" w:rsidRPr="0075449C">
        <w:t xml:space="preserve">s and </w:t>
      </w:r>
      <w:r w:rsidR="00573BBA">
        <w:t>safespots</w:t>
      </w:r>
      <w:r w:rsidR="0028573F" w:rsidRPr="0075449C">
        <w:t xml:space="preserve">, suggesting </w:t>
      </w:r>
      <w:r w:rsidR="00033225" w:rsidRPr="0075449C">
        <w:t xml:space="preserve">that </w:t>
      </w:r>
      <w:r w:rsidR="00F45158" w:rsidRPr="0075449C">
        <w:t>fear of crime may not be a</w:t>
      </w:r>
      <w:r w:rsidR="0028573F" w:rsidRPr="0075449C">
        <w:t xml:space="preserve"> stable trait.</w:t>
      </w:r>
      <w:r w:rsidR="00DA609F">
        <w:t xml:space="preserve"> P</w:t>
      </w:r>
      <w:r w:rsidR="00DA609F" w:rsidRPr="0075449C">
        <w:t xml:space="preserve">erceived risk </w:t>
      </w:r>
      <w:r w:rsidR="00DA609F">
        <w:t>appeared</w:t>
      </w:r>
      <w:r w:rsidR="00DA609F" w:rsidRPr="0075449C">
        <w:t xml:space="preserve"> to reflect actual crime rates; perceived risk of robbery was higher than perceived risk of physical assault and sexual assault</w:t>
      </w:r>
      <w:r w:rsidR="00DA609F">
        <w:t>,</w:t>
      </w:r>
      <w:r w:rsidR="00DA609F" w:rsidRPr="0075449C">
        <w:t xml:space="preserve"> which is in line with crime statistics for Leicester</w:t>
      </w:r>
      <w:r w:rsidR="00DA609F">
        <w:t>shire</w:t>
      </w:r>
      <w:r w:rsidR="00DA609F" w:rsidRPr="0075449C">
        <w:t>.</w:t>
      </w:r>
      <w:r w:rsidR="00DA609F">
        <w:rPr>
          <w:rStyle w:val="FootnoteReference"/>
        </w:rPr>
        <w:footnoteReference w:id="2"/>
      </w:r>
      <w:r w:rsidR="00DA609F" w:rsidRPr="0075449C">
        <w:t xml:space="preserve"> </w:t>
      </w:r>
      <w:r w:rsidR="00DA609F">
        <w:t>However, despite</w:t>
      </w:r>
      <w:r w:rsidR="00DA609F" w:rsidRPr="0075449C">
        <w:t xml:space="preserve"> </w:t>
      </w:r>
      <w:r w:rsidR="00DA609F">
        <w:t>finding</w:t>
      </w:r>
      <w:r w:rsidR="00DA609F" w:rsidRPr="0075449C">
        <w:t xml:space="preserve"> </w:t>
      </w:r>
      <w:r w:rsidR="00DA609F">
        <w:t>PPFDM</w:t>
      </w:r>
      <w:r w:rsidR="00DA609F" w:rsidRPr="0075449C">
        <w:t xml:space="preserve"> to </w:t>
      </w:r>
      <w:r w:rsidR="00DA609F">
        <w:t xml:space="preserve">be higher in women that report higher </w:t>
      </w:r>
      <w:r w:rsidR="00DA609F" w:rsidRPr="0075449C">
        <w:t xml:space="preserve">perceived risk of victimisation, </w:t>
      </w:r>
      <w:r w:rsidR="00DA609F">
        <w:t xml:space="preserve">the association between PPFDM and perceived risk of victimisation did not vary according to location and crime </w:t>
      </w:r>
      <w:r w:rsidR="00DA609F">
        <w:lastRenderedPageBreak/>
        <w:t xml:space="preserve">type. As such, our findings regarding the stability of PPFDM are in keeping with </w:t>
      </w:r>
      <w:r w:rsidR="00DA609F" w:rsidRPr="0075449C">
        <w:t>Snyder et al</w:t>
      </w:r>
      <w:r w:rsidR="00DA609F">
        <w:t>.’s</w:t>
      </w:r>
      <w:r w:rsidR="00DA609F" w:rsidRPr="0075449C">
        <w:t xml:space="preserve"> (</w:t>
      </w:r>
      <w:r w:rsidR="00DA609F">
        <w:t>2011), suggesting</w:t>
      </w:r>
      <w:r w:rsidR="00DA609F" w:rsidRPr="0075449C">
        <w:t xml:space="preserve"> that </w:t>
      </w:r>
      <w:r w:rsidR="00DA609F">
        <w:t>PPFDM</w:t>
      </w:r>
      <w:r w:rsidR="00DA609F" w:rsidRPr="0075449C">
        <w:t xml:space="preserve"> </w:t>
      </w:r>
      <w:r w:rsidR="00DA609F">
        <w:t>is</w:t>
      </w:r>
      <w:r w:rsidR="00DA609F" w:rsidRPr="0075449C">
        <w:t xml:space="preserve"> </w:t>
      </w:r>
      <w:r w:rsidR="00DA609F">
        <w:t xml:space="preserve">a </w:t>
      </w:r>
      <w:r w:rsidR="00DA609F" w:rsidRPr="0075449C">
        <w:t>stable</w:t>
      </w:r>
      <w:r w:rsidR="00DA609F">
        <w:t xml:space="preserve"> </w:t>
      </w:r>
      <w:r w:rsidR="00B678D1">
        <w:t>trait</w:t>
      </w:r>
      <w:r w:rsidR="00794499">
        <w:t>. However, our findings are not in line with</w:t>
      </w:r>
      <w:r w:rsidR="0012578A">
        <w:t xml:space="preserve"> Marzoli et al</w:t>
      </w:r>
      <w:r w:rsidR="001522CA">
        <w:t xml:space="preserve">’s </w:t>
      </w:r>
      <w:r w:rsidR="0012578A">
        <w:t xml:space="preserve">(2013) who found </w:t>
      </w:r>
      <w:r w:rsidR="0012578A">
        <w:rPr>
          <w:rFonts w:cs="Baskerville"/>
        </w:rPr>
        <w:t xml:space="preserve">primes regarding the prevalence of violence to influence mate preferences. </w:t>
      </w:r>
    </w:p>
    <w:p w14:paraId="36C81651" w14:textId="0AA2FB29" w:rsidR="0019760E" w:rsidRDefault="0012578A" w:rsidP="00E52733">
      <w:pPr>
        <w:widowControl w:val="0"/>
        <w:autoSpaceDE w:val="0"/>
        <w:autoSpaceDN w:val="0"/>
        <w:adjustRightInd w:val="0"/>
        <w:spacing w:after="0" w:line="480" w:lineRule="auto"/>
        <w:ind w:firstLine="720"/>
        <w:rPr>
          <w:rFonts w:cs="Baskerville"/>
        </w:rPr>
      </w:pPr>
      <w:r>
        <w:rPr>
          <w:rFonts w:cs="Baskerville"/>
        </w:rPr>
        <w:t xml:space="preserve">However, firstly, </w:t>
      </w:r>
      <w:r w:rsidR="0019760E">
        <w:rPr>
          <w:rFonts w:cs="Baskerville"/>
        </w:rPr>
        <w:t>there may be evolutionary advan</w:t>
      </w:r>
      <w:r w:rsidR="001522CA">
        <w:rPr>
          <w:rFonts w:cs="Baskerville"/>
        </w:rPr>
        <w:t xml:space="preserve">tages of the stability of such </w:t>
      </w:r>
      <w:r w:rsidR="0019760E">
        <w:rPr>
          <w:rFonts w:cs="Baskerville"/>
        </w:rPr>
        <w:t>psychologi</w:t>
      </w:r>
      <w:r w:rsidR="001522CA">
        <w:rPr>
          <w:rFonts w:cs="Baskerville"/>
        </w:rPr>
        <w:t>cal mechanisms</w:t>
      </w:r>
      <w:r w:rsidR="0019760E">
        <w:rPr>
          <w:rFonts w:cs="Baskerville"/>
        </w:rPr>
        <w:t xml:space="preserve">. </w:t>
      </w:r>
      <w:r w:rsidR="001522CA">
        <w:rPr>
          <w:rFonts w:cs="Baskerville"/>
        </w:rPr>
        <w:t>Our finding of stability in the relationship between PPFDM and risk may be due to the fact that it may not be adaptive for women to engage in a risk assessment each time they encounter a new environment or a potential mate. Moreover, w</w:t>
      </w:r>
      <w:r w:rsidR="0019760E">
        <w:rPr>
          <w:rFonts w:cs="Baskerville"/>
        </w:rPr>
        <w:t xml:space="preserve">e asked women about their preferences for formidability and dominance in a </w:t>
      </w:r>
      <w:r w:rsidR="0019760E" w:rsidRPr="00805A02">
        <w:rPr>
          <w:rFonts w:cs="Baskerville"/>
          <w:i/>
        </w:rPr>
        <w:t>long-term</w:t>
      </w:r>
      <w:r w:rsidR="0019760E">
        <w:rPr>
          <w:rFonts w:cs="Baskerville"/>
        </w:rPr>
        <w:t xml:space="preserve"> mate specifically. Snyder et al. (2008) found that relationship type (sho</w:t>
      </w:r>
      <w:r w:rsidR="001522CA">
        <w:rPr>
          <w:rFonts w:cs="Baskerville"/>
        </w:rPr>
        <w:t>rt- versus long-term) moderated changes</w:t>
      </w:r>
      <w:r w:rsidR="0019760E">
        <w:rPr>
          <w:rFonts w:cs="Baskerville"/>
        </w:rPr>
        <w:t xml:space="preserve"> in women’s trade-off for dominance versus prestige in a p</w:t>
      </w:r>
      <w:r w:rsidR="001522CA">
        <w:rPr>
          <w:rFonts w:cs="Baskerville"/>
        </w:rPr>
        <w:t>artner</w:t>
      </w:r>
      <w:r w:rsidR="00E52733">
        <w:rPr>
          <w:rFonts w:cs="Baskerville"/>
        </w:rPr>
        <w:t xml:space="preserve">. </w:t>
      </w:r>
      <w:r w:rsidR="001522CA">
        <w:rPr>
          <w:rFonts w:cs="Baskerville"/>
        </w:rPr>
        <w:t>The trade-off faced in the commitment versus protection afforded by a physically formidable and dominant mate should not fluctuate in a long-term partner like it would for a short-term partner. Rather, it makes sense that women who generally feel less able to protect themselves, and thus vulnerable to criminal victimisation, would reap the protective benefits from a physically formidable and dominant long-term mate regardless of the situation. Similarly</w:t>
      </w:r>
      <w:r w:rsidR="00E52733">
        <w:rPr>
          <w:rFonts w:cs="Baskerville"/>
        </w:rPr>
        <w:t>,</w:t>
      </w:r>
      <w:r w:rsidR="0019760E">
        <w:rPr>
          <w:rFonts w:cs="Baskerville"/>
        </w:rPr>
        <w:t xml:space="preserve"> </w:t>
      </w:r>
      <w:r w:rsidR="00E52733">
        <w:rPr>
          <w:rFonts w:cs="Baskerville"/>
        </w:rPr>
        <w:t xml:space="preserve">it may not be considered adaptive for </w:t>
      </w:r>
      <w:r w:rsidR="0019760E">
        <w:rPr>
          <w:rFonts w:cs="Baskerville"/>
        </w:rPr>
        <w:t>pre</w:t>
      </w:r>
      <w:r w:rsidR="00E52733">
        <w:rPr>
          <w:rFonts w:cs="Baskerville"/>
        </w:rPr>
        <w:t>ferences for a long-term mate to</w:t>
      </w:r>
      <w:r w:rsidR="0019760E">
        <w:rPr>
          <w:rFonts w:cs="Baskerville"/>
        </w:rPr>
        <w:t xml:space="preserve"> continuously update</w:t>
      </w:r>
      <w:r w:rsidR="00E52733">
        <w:rPr>
          <w:rFonts w:cs="Baskerville"/>
        </w:rPr>
        <w:t xml:space="preserve"> as this is likely to </w:t>
      </w:r>
      <w:r w:rsidR="0019760E">
        <w:rPr>
          <w:rFonts w:cs="Baskerville"/>
        </w:rPr>
        <w:t>compromise relationship commitment, unlike for a short-term mate.</w:t>
      </w:r>
      <w:r w:rsidR="00687756">
        <w:rPr>
          <w:rFonts w:cs="Baskerville"/>
        </w:rPr>
        <w:t xml:space="preserve"> Had we asked about preferences for a short-term mate, or simply not clarified relat</w:t>
      </w:r>
      <w:r w:rsidR="001522CA">
        <w:rPr>
          <w:rFonts w:cs="Baskerville"/>
        </w:rPr>
        <w:t>ionship type, the relationship between</w:t>
      </w:r>
      <w:r w:rsidR="00687756">
        <w:rPr>
          <w:rFonts w:cs="Baskerville"/>
        </w:rPr>
        <w:t xml:space="preserve"> PPFDM </w:t>
      </w:r>
      <w:r w:rsidR="00676A34">
        <w:rPr>
          <w:rFonts w:cs="Baskerville"/>
        </w:rPr>
        <w:t xml:space="preserve">and perceived risk </w:t>
      </w:r>
      <w:r w:rsidR="00687756">
        <w:rPr>
          <w:rFonts w:cs="Baskerville"/>
        </w:rPr>
        <w:t xml:space="preserve">may have been </w:t>
      </w:r>
      <w:r w:rsidR="00676A34">
        <w:rPr>
          <w:rFonts w:cs="Baskerville"/>
        </w:rPr>
        <w:t>less stable</w:t>
      </w:r>
      <w:r w:rsidR="00687756">
        <w:rPr>
          <w:rFonts w:cs="Baskerville"/>
        </w:rPr>
        <w:t xml:space="preserve">. </w:t>
      </w:r>
      <w:r w:rsidR="00794499">
        <w:rPr>
          <w:rFonts w:cs="Baskerville"/>
        </w:rPr>
        <w:t xml:space="preserve">However, as discussed by Del Giudice (2009), stability in the relationship between risk perceptions and PPFDM may only be considered adaptive in </w:t>
      </w:r>
      <w:r w:rsidR="00794499">
        <w:rPr>
          <w:rFonts w:cs="Helvetica"/>
          <w:lang w:val="en-US"/>
        </w:rPr>
        <w:t xml:space="preserve">relatively stable environments (Del Giudice, 2009). </w:t>
      </w:r>
      <w:r w:rsidR="00794499">
        <w:rPr>
          <w:rFonts w:cs="Baskerville"/>
        </w:rPr>
        <w:t xml:space="preserve"> </w:t>
      </w:r>
    </w:p>
    <w:p w14:paraId="54C97C9D" w14:textId="6F17AB56" w:rsidR="008302DB" w:rsidRPr="0019760E" w:rsidRDefault="0012578A" w:rsidP="0019760E">
      <w:pPr>
        <w:widowControl w:val="0"/>
        <w:autoSpaceDE w:val="0"/>
        <w:autoSpaceDN w:val="0"/>
        <w:adjustRightInd w:val="0"/>
        <w:spacing w:after="0" w:line="480" w:lineRule="auto"/>
        <w:ind w:firstLine="720"/>
      </w:pPr>
      <w:r>
        <w:t>Secondly</w:t>
      </w:r>
      <w:r w:rsidR="005B265A">
        <w:t>, it is possible that the mechanism may be m</w:t>
      </w:r>
      <w:r w:rsidR="0096477D">
        <w:t xml:space="preserve">ore flexible on </w:t>
      </w:r>
      <w:r w:rsidR="009576A8">
        <w:t xml:space="preserve">a more </w:t>
      </w:r>
      <w:r w:rsidR="0096477D">
        <w:t>long-term</w:t>
      </w:r>
      <w:r w:rsidR="00BE2A3D">
        <w:t xml:space="preserve"> </w:t>
      </w:r>
      <w:r w:rsidR="005B265A">
        <w:t>scale</w:t>
      </w:r>
      <w:r w:rsidR="00BE2A3D">
        <w:t xml:space="preserve">, as the trade-off of having a formidable mate </w:t>
      </w:r>
      <w:r w:rsidR="006F7C9D">
        <w:t xml:space="preserve">fluctuates and allowing the mechanism to recalibrate according to </w:t>
      </w:r>
      <w:r w:rsidR="00BE2A3D">
        <w:t>prevalence of threat in the environment</w:t>
      </w:r>
      <w:r w:rsidR="009A17A8">
        <w:t>.</w:t>
      </w:r>
      <w:r w:rsidR="0019760E">
        <w:t xml:space="preserve"> </w:t>
      </w:r>
      <w:r w:rsidR="005D0A9B">
        <w:t xml:space="preserve">Future research could consider </w:t>
      </w:r>
      <w:r w:rsidR="009A17A8">
        <w:t xml:space="preserve">assessing the relationship between PPFDM and vulnerability to victimisation over longer time periods, such as </w:t>
      </w:r>
      <w:r w:rsidR="00BE2A3D">
        <w:t xml:space="preserve">women who have moved between the city and </w:t>
      </w:r>
      <w:r w:rsidR="009A17A8">
        <w:t xml:space="preserve">the countryside. Future research could also consider </w:t>
      </w:r>
      <w:r w:rsidR="005D0A9B">
        <w:t>assessing P</w:t>
      </w:r>
      <w:r w:rsidR="00B678D1">
        <w:t>PFDM in a real-life setting, that is</w:t>
      </w:r>
      <w:r w:rsidR="005D0A9B">
        <w:t xml:space="preserve">, in crime </w:t>
      </w:r>
      <w:r w:rsidR="005B4F9F">
        <w:t>hotspots versus sa</w:t>
      </w:r>
      <w:r w:rsidR="005D0A9B">
        <w:t>f</w:t>
      </w:r>
      <w:r w:rsidR="005B4F9F">
        <w:t>e</w:t>
      </w:r>
      <w:r w:rsidR="005D0A9B">
        <w:t xml:space="preserve">spots as fear </w:t>
      </w:r>
      <w:r w:rsidR="001E63E7">
        <w:t xml:space="preserve">and risk </w:t>
      </w:r>
      <w:r w:rsidR="005D0A9B">
        <w:t xml:space="preserve">of </w:t>
      </w:r>
      <w:r w:rsidR="005D0A9B">
        <w:lastRenderedPageBreak/>
        <w:t xml:space="preserve">crime varies to determine whether PPFDM varies with cues of crime. </w:t>
      </w:r>
      <w:r w:rsidR="00081B7F">
        <w:t>Indeed, Marzoli et al</w:t>
      </w:r>
      <w:r w:rsidR="00670A1A">
        <w:t>.</w:t>
      </w:r>
      <w:r w:rsidR="00081B7F">
        <w:t xml:space="preserve"> (2013) </w:t>
      </w:r>
      <w:r w:rsidR="00081B7F">
        <w:rPr>
          <w:rFonts w:cs="Baskerville"/>
        </w:rPr>
        <w:t xml:space="preserve">found primes regarding the prevalence of violence to influence mate preferences. </w:t>
      </w:r>
    </w:p>
    <w:p w14:paraId="08F48E18" w14:textId="1DF92F12" w:rsidR="00E53AA4" w:rsidRPr="00DB1D05" w:rsidRDefault="00DB1D05" w:rsidP="00DB1D05">
      <w:pPr>
        <w:spacing w:line="480" w:lineRule="auto"/>
        <w:ind w:firstLine="720"/>
      </w:pPr>
      <w:r>
        <w:t xml:space="preserve">One limitation of the current study is that childhood crime rates were not assessed, and hence, we could not determine the role that childhood experiences played in the development of </w:t>
      </w:r>
      <w:r w:rsidR="001543A9">
        <w:t>PPFDM</w:t>
      </w:r>
      <w:r>
        <w:t xml:space="preserve">. Additionally, our study cannot rule out the possibility that the association between PPFDM and perceived risk of crime is accounted for by a social learning explanation. For example, children that grew up in areas with higher prevalence of crime may experience their mother’s choice of partner as being physically formidable and dominant as protection from criminal victimisation, and subsequently learnt from this behaviour. </w:t>
      </w:r>
      <w:r w:rsidR="00D44A93">
        <w:t>The sample size in Study 2 could also be considered a limitation</w:t>
      </w:r>
      <w:r w:rsidR="000D1B4B" w:rsidRPr="0075449C">
        <w:rPr>
          <w:rFonts w:cs="Helvetica"/>
          <w:lang w:val="en-US"/>
        </w:rPr>
        <w:t>.</w:t>
      </w:r>
      <w:r w:rsidR="000D1B4B" w:rsidRPr="0075449C">
        <w:t xml:space="preserve"> </w:t>
      </w:r>
      <w:r w:rsidR="0028573F" w:rsidRPr="0075449C">
        <w:rPr>
          <w:rFonts w:cs="MyriadMM-Regular"/>
        </w:rPr>
        <w:t xml:space="preserve">We prioritised data collection in the real world </w:t>
      </w:r>
      <w:r w:rsidR="001C459E" w:rsidRPr="0075449C">
        <w:rPr>
          <w:rFonts w:cs="MyriadMM-Regular"/>
        </w:rPr>
        <w:t>to investigate the</w:t>
      </w:r>
      <w:r w:rsidR="00D44A93">
        <w:rPr>
          <w:rFonts w:cs="MyriadMM-Regular"/>
        </w:rPr>
        <w:t xml:space="preserve"> priming</w:t>
      </w:r>
      <w:r w:rsidR="0028573F" w:rsidRPr="0075449C">
        <w:rPr>
          <w:rFonts w:cs="MyriadMM-Regular"/>
        </w:rPr>
        <w:t xml:space="preserve"> effects that </w:t>
      </w:r>
      <w:r w:rsidR="001C459E" w:rsidRPr="0075449C">
        <w:rPr>
          <w:rFonts w:cs="MyriadMM-Regular"/>
        </w:rPr>
        <w:t xml:space="preserve">authentic </w:t>
      </w:r>
      <w:r w:rsidR="0028573F" w:rsidRPr="0075449C">
        <w:rPr>
          <w:rFonts w:cs="MyriadMM-Regular"/>
        </w:rPr>
        <w:t xml:space="preserve">crime </w:t>
      </w:r>
      <w:r w:rsidR="00F45158" w:rsidRPr="0075449C">
        <w:rPr>
          <w:rFonts w:cs="MyriadMM-Regular"/>
        </w:rPr>
        <w:t>hot</w:t>
      </w:r>
      <w:r w:rsidR="00201DAF" w:rsidRPr="0075449C">
        <w:rPr>
          <w:rFonts w:cs="MyriadMM-Regular"/>
        </w:rPr>
        <w:t>spot</w:t>
      </w:r>
      <w:r w:rsidR="00D44A93">
        <w:rPr>
          <w:rFonts w:cs="MyriadMM-Regular"/>
        </w:rPr>
        <w:t xml:space="preserve">s had on fear of crime at the cost of a relatively </w:t>
      </w:r>
      <w:r w:rsidR="00D44A93">
        <w:rPr>
          <w:rFonts w:cs="AdvTT5235d5a9"/>
        </w:rPr>
        <w:t>small</w:t>
      </w:r>
      <w:r w:rsidR="007B5DDF" w:rsidRPr="0075449C">
        <w:rPr>
          <w:rFonts w:cs="AdvTT5235d5a9"/>
        </w:rPr>
        <w:t xml:space="preserve"> </w:t>
      </w:r>
      <w:r w:rsidR="00D44A93">
        <w:rPr>
          <w:rFonts w:cs="AdvTT5235d5a9"/>
        </w:rPr>
        <w:t xml:space="preserve">sample size. Nonetheless, </w:t>
      </w:r>
      <w:r w:rsidR="00D44A93">
        <w:t>i</w:t>
      </w:r>
      <w:r w:rsidR="00D44A93" w:rsidRPr="0075449C">
        <w:t xml:space="preserve">t </w:t>
      </w:r>
      <w:r w:rsidR="00D44A93">
        <w:t>i</w:t>
      </w:r>
      <w:r w:rsidR="00D44A93" w:rsidRPr="0075449C">
        <w:t xml:space="preserve">s important </w:t>
      </w:r>
      <w:r w:rsidR="00D44A93">
        <w:t xml:space="preserve">to note </w:t>
      </w:r>
      <w:r w:rsidR="00D44A93" w:rsidRPr="0075449C">
        <w:t xml:space="preserve">that our manipulation of fear of crime </w:t>
      </w:r>
      <w:r w:rsidR="00D44A93" w:rsidRPr="0075449C">
        <w:rPr>
          <w:rFonts w:cs="Helvetica"/>
          <w:lang w:val="en-US"/>
        </w:rPr>
        <w:t xml:space="preserve">was </w:t>
      </w:r>
      <w:r w:rsidR="00D44A93">
        <w:rPr>
          <w:rFonts w:cs="Helvetica"/>
          <w:lang w:val="en-US"/>
        </w:rPr>
        <w:t xml:space="preserve">effective, and that </w:t>
      </w:r>
      <w:r w:rsidR="0028573F" w:rsidRPr="0075449C">
        <w:rPr>
          <w:rFonts w:cs="AdvTT5235d5a9"/>
        </w:rPr>
        <w:t xml:space="preserve">our main research finding of an association between vulnerability and </w:t>
      </w:r>
      <w:r w:rsidR="003F469F" w:rsidRPr="0075449C">
        <w:rPr>
          <w:rFonts w:cs="AdvTT5235d5a9"/>
        </w:rPr>
        <w:t>PPFDM</w:t>
      </w:r>
      <w:r w:rsidR="0028573F" w:rsidRPr="0075449C">
        <w:rPr>
          <w:rFonts w:cs="AdvTT5235d5a9"/>
        </w:rPr>
        <w:t xml:space="preserve"> is similar to previous research (</w:t>
      </w:r>
      <w:r w:rsidR="003D6A12">
        <w:rPr>
          <w:rFonts w:cs="AdvTT5235d5a9"/>
        </w:rPr>
        <w:t>e.g.,</w:t>
      </w:r>
      <w:r w:rsidR="0028573F" w:rsidRPr="0075449C">
        <w:rPr>
          <w:rFonts w:cs="AdvTT5235d5a9"/>
        </w:rPr>
        <w:t xml:space="preserve"> Snyder et al. 2011) thus providing convergent data. </w:t>
      </w:r>
      <w:r w:rsidR="007B5DDF" w:rsidRPr="0075449C">
        <w:rPr>
          <w:rFonts w:cs="AdvTT5235d5a9"/>
        </w:rPr>
        <w:t>Therefore, f</w:t>
      </w:r>
      <w:r w:rsidR="00BA4F5B" w:rsidRPr="0075449C">
        <w:rPr>
          <w:rFonts w:cs="AdvTT5235d5a9"/>
        </w:rPr>
        <w:t>uture research sh</w:t>
      </w:r>
      <w:r w:rsidR="007B5DDF" w:rsidRPr="0075449C">
        <w:rPr>
          <w:rFonts w:cs="AdvTT5235d5a9"/>
        </w:rPr>
        <w:t>ould aim to replicate this methodology using both a larger sample size and a between-subjects manipulation of location, while assessing whether PPF</w:t>
      </w:r>
      <w:r>
        <w:rPr>
          <w:rFonts w:cs="AdvTT5235d5a9"/>
        </w:rPr>
        <w:t>DM varies according to location</w:t>
      </w:r>
      <w:r w:rsidR="005A2D30">
        <w:rPr>
          <w:rFonts w:cs="AdvTT5235d5a9"/>
        </w:rPr>
        <w:t xml:space="preserve"> and update in response to cues of risk</w:t>
      </w:r>
      <w:r>
        <w:rPr>
          <w:rFonts w:cs="AdvTT5235d5a9"/>
        </w:rPr>
        <w:t xml:space="preserve"> (</w:t>
      </w:r>
      <w:r w:rsidR="007B5DDF" w:rsidRPr="0075449C">
        <w:rPr>
          <w:rFonts w:cs="AdvTT5235d5a9"/>
        </w:rPr>
        <w:t xml:space="preserve">i.e., </w:t>
      </w:r>
      <w:r w:rsidR="00BA4F5B" w:rsidRPr="0075449C">
        <w:rPr>
          <w:rFonts w:cs="AdvTT5235d5a9"/>
        </w:rPr>
        <w:t xml:space="preserve">in </w:t>
      </w:r>
      <w:r w:rsidR="007B5DDF" w:rsidRPr="0075449C">
        <w:rPr>
          <w:rFonts w:cs="AdvTT5235d5a9"/>
        </w:rPr>
        <w:t>crime hotspots versus safespots</w:t>
      </w:r>
      <w:r>
        <w:rPr>
          <w:rFonts w:cs="AdvTT5235d5a9"/>
        </w:rPr>
        <w:t>)</w:t>
      </w:r>
      <w:r w:rsidR="007B5DDF" w:rsidRPr="0075449C">
        <w:rPr>
          <w:rFonts w:cs="AdvTT5235d5a9"/>
        </w:rPr>
        <w:t>.</w:t>
      </w:r>
    </w:p>
    <w:p w14:paraId="28FBF47B" w14:textId="58219DEC" w:rsidR="00DE2F2B" w:rsidRPr="0075449C" w:rsidRDefault="00DE2F2B" w:rsidP="00106F57">
      <w:pPr>
        <w:autoSpaceDE w:val="0"/>
        <w:autoSpaceDN w:val="0"/>
        <w:adjustRightInd w:val="0"/>
        <w:spacing w:after="0" w:line="480" w:lineRule="auto"/>
        <w:ind w:firstLine="720"/>
        <w:rPr>
          <w:rFonts w:cs="Arial"/>
          <w:lang w:eastAsia="en-GB"/>
        </w:rPr>
      </w:pPr>
      <w:r>
        <w:rPr>
          <w:rFonts w:cs="Arial"/>
          <w:lang w:eastAsia="en-GB"/>
        </w:rPr>
        <w:t>In sum</w:t>
      </w:r>
      <w:r w:rsidR="003E6C9C">
        <w:rPr>
          <w:rFonts w:cs="Arial"/>
          <w:lang w:eastAsia="en-GB"/>
        </w:rPr>
        <w:t>mary</w:t>
      </w:r>
      <w:r>
        <w:rPr>
          <w:rFonts w:cs="Arial"/>
          <w:lang w:eastAsia="en-GB"/>
        </w:rPr>
        <w:t>, across two studies</w:t>
      </w:r>
      <w:r w:rsidR="00DB1D05">
        <w:rPr>
          <w:rFonts w:cs="Arial"/>
          <w:lang w:eastAsia="en-GB"/>
        </w:rPr>
        <w:t>,</w:t>
      </w:r>
      <w:r>
        <w:rPr>
          <w:rFonts w:cs="Arial"/>
          <w:lang w:eastAsia="en-GB"/>
        </w:rPr>
        <w:t xml:space="preserve"> our findings </w:t>
      </w:r>
      <w:r w:rsidR="00DB1D05">
        <w:rPr>
          <w:rFonts w:cs="Arial"/>
          <w:lang w:eastAsia="en-GB"/>
        </w:rPr>
        <w:t>indicate</w:t>
      </w:r>
      <w:r>
        <w:rPr>
          <w:rFonts w:cs="Arial"/>
          <w:lang w:eastAsia="en-GB"/>
        </w:rPr>
        <w:t xml:space="preserve"> that the relationship between perceived vulnerability and preferences for the protection offered by a physically formidable and dominant male is robust. We extended previous research by</w:t>
      </w:r>
      <w:r w:rsidR="00191DE0">
        <w:rPr>
          <w:rFonts w:cs="Arial"/>
          <w:lang w:eastAsia="en-GB"/>
        </w:rPr>
        <w:t xml:space="preserve"> examining the specificity of the cognitive mechanisms underlying the </w:t>
      </w:r>
      <w:r w:rsidR="007E01D4">
        <w:rPr>
          <w:rFonts w:cs="Arial"/>
          <w:lang w:eastAsia="en-GB"/>
        </w:rPr>
        <w:t xml:space="preserve">association </w:t>
      </w:r>
      <w:r w:rsidR="00191DE0">
        <w:rPr>
          <w:rFonts w:cs="Arial"/>
          <w:lang w:eastAsia="en-GB"/>
        </w:rPr>
        <w:t>between PPFDM and fear of crime</w:t>
      </w:r>
      <w:r w:rsidR="00583A78">
        <w:rPr>
          <w:rFonts w:cs="Arial"/>
          <w:lang w:eastAsia="en-GB"/>
        </w:rPr>
        <w:t xml:space="preserve"> under ecologically valid conditions. </w:t>
      </w:r>
      <w:r w:rsidR="00191DE0">
        <w:rPr>
          <w:rFonts w:cs="Arial"/>
          <w:lang w:eastAsia="en-GB"/>
        </w:rPr>
        <w:t xml:space="preserve">We </w:t>
      </w:r>
      <w:r w:rsidR="00583A78">
        <w:rPr>
          <w:rFonts w:cs="Arial"/>
          <w:lang w:eastAsia="en-GB"/>
        </w:rPr>
        <w:t>tested</w:t>
      </w:r>
      <w:r w:rsidR="00191DE0">
        <w:rPr>
          <w:rFonts w:cs="Arial"/>
          <w:lang w:eastAsia="en-GB"/>
        </w:rPr>
        <w:t xml:space="preserve"> </w:t>
      </w:r>
      <w:r w:rsidR="00DB1D05">
        <w:rPr>
          <w:rFonts w:cs="Arial"/>
          <w:lang w:eastAsia="en-GB"/>
        </w:rPr>
        <w:t xml:space="preserve">the specificity of </w:t>
      </w:r>
      <w:r w:rsidR="001543A9">
        <w:rPr>
          <w:rFonts w:cs="Arial"/>
          <w:lang w:eastAsia="en-GB"/>
        </w:rPr>
        <w:t>PPFDM</w:t>
      </w:r>
      <w:r w:rsidR="00DB1D05">
        <w:rPr>
          <w:rFonts w:cs="Arial"/>
          <w:lang w:eastAsia="en-GB"/>
        </w:rPr>
        <w:t xml:space="preserve">, </w:t>
      </w:r>
      <w:r w:rsidR="00583A78">
        <w:rPr>
          <w:rFonts w:cs="Arial"/>
          <w:lang w:eastAsia="en-GB"/>
        </w:rPr>
        <w:t>examining whether</w:t>
      </w:r>
      <w:r w:rsidR="00DB1D05">
        <w:rPr>
          <w:rFonts w:cs="Arial"/>
          <w:lang w:eastAsia="en-GB"/>
        </w:rPr>
        <w:t xml:space="preserve"> women with strong </w:t>
      </w:r>
      <w:r w:rsidR="00191DE0">
        <w:rPr>
          <w:rFonts w:cs="Arial"/>
          <w:lang w:eastAsia="en-GB"/>
        </w:rPr>
        <w:t>PPFDM</w:t>
      </w:r>
      <w:r w:rsidR="00DB1D05">
        <w:rPr>
          <w:rFonts w:cs="Arial"/>
          <w:lang w:eastAsia="en-GB"/>
        </w:rPr>
        <w:t xml:space="preserve"> perceived greater vulnerability to relatively more evolutionarily costly crimes</w:t>
      </w:r>
      <w:r w:rsidR="00191DE0">
        <w:rPr>
          <w:rFonts w:cs="Arial"/>
          <w:lang w:eastAsia="en-GB"/>
        </w:rPr>
        <w:t xml:space="preserve">. However, </w:t>
      </w:r>
      <w:r w:rsidR="00583A78">
        <w:rPr>
          <w:rFonts w:cs="Arial"/>
          <w:lang w:eastAsia="en-GB"/>
        </w:rPr>
        <w:t>our results indicated</w:t>
      </w:r>
      <w:r w:rsidR="00D348AC">
        <w:rPr>
          <w:rFonts w:cs="Arial"/>
          <w:lang w:eastAsia="en-GB"/>
        </w:rPr>
        <w:t xml:space="preserve"> that </w:t>
      </w:r>
      <w:r w:rsidR="007E01D4">
        <w:rPr>
          <w:rFonts w:cs="Arial"/>
          <w:lang w:eastAsia="en-GB"/>
        </w:rPr>
        <w:t xml:space="preserve">PPFDM may be </w:t>
      </w:r>
      <w:r w:rsidR="00191DE0">
        <w:rPr>
          <w:rFonts w:cs="Arial"/>
          <w:lang w:eastAsia="en-GB"/>
        </w:rPr>
        <w:t xml:space="preserve">a stable trait. </w:t>
      </w:r>
      <w:r w:rsidR="00583A78">
        <w:rPr>
          <w:rFonts w:cs="Arial"/>
          <w:lang w:eastAsia="en-GB"/>
        </w:rPr>
        <w:t>We conclude that w</w:t>
      </w:r>
      <w:r w:rsidR="00191DE0">
        <w:rPr>
          <w:rFonts w:cs="Arial"/>
          <w:lang w:eastAsia="en-GB"/>
        </w:rPr>
        <w:t xml:space="preserve">omen </w:t>
      </w:r>
      <w:r w:rsidR="00583A78">
        <w:rPr>
          <w:rFonts w:cs="Arial"/>
          <w:lang w:eastAsia="en-GB"/>
        </w:rPr>
        <w:t xml:space="preserve">with strong </w:t>
      </w:r>
      <w:r w:rsidR="00191DE0">
        <w:rPr>
          <w:rFonts w:cs="Arial"/>
          <w:lang w:eastAsia="en-GB"/>
        </w:rPr>
        <w:t>PP</w:t>
      </w:r>
      <w:r w:rsidR="00D348AC">
        <w:rPr>
          <w:rFonts w:cs="Arial"/>
          <w:lang w:eastAsia="en-GB"/>
        </w:rPr>
        <w:t xml:space="preserve">FDM </w:t>
      </w:r>
      <w:r w:rsidR="00583A78">
        <w:rPr>
          <w:rFonts w:cs="Arial"/>
          <w:lang w:eastAsia="en-GB"/>
        </w:rPr>
        <w:t xml:space="preserve">feel relatively more at risk, fearful, and vulnerable to criminal victimisation compared to their counterparts, </w:t>
      </w:r>
      <w:r w:rsidR="00583A78">
        <w:t>regardless of whether there are situational risk factors present.</w:t>
      </w:r>
    </w:p>
    <w:p w14:paraId="64DECA47" w14:textId="77777777" w:rsidR="00E53AA4" w:rsidRPr="0075449C" w:rsidRDefault="00E53AA4" w:rsidP="00106F57">
      <w:pPr>
        <w:autoSpaceDE w:val="0"/>
        <w:autoSpaceDN w:val="0"/>
        <w:adjustRightInd w:val="0"/>
        <w:spacing w:after="0" w:line="480" w:lineRule="auto"/>
        <w:rPr>
          <w:rFonts w:cs="AdvTT5235d5a9"/>
        </w:rPr>
      </w:pPr>
    </w:p>
    <w:p w14:paraId="5202FD74" w14:textId="77777777" w:rsidR="00DA183C" w:rsidRDefault="0063238C" w:rsidP="00106F57">
      <w:pPr>
        <w:autoSpaceDE w:val="0"/>
        <w:autoSpaceDN w:val="0"/>
        <w:adjustRightInd w:val="0"/>
        <w:spacing w:after="0" w:line="480" w:lineRule="auto"/>
        <w:jc w:val="center"/>
        <w:rPr>
          <w:rFonts w:cs="AdvTT5235d5a9"/>
        </w:rPr>
      </w:pPr>
      <w:r>
        <w:rPr>
          <w:rFonts w:cs="AdvTT5235d5a9"/>
        </w:rPr>
        <w:t>Author Note</w:t>
      </w:r>
    </w:p>
    <w:p w14:paraId="4E875D8D" w14:textId="1B8B00F9" w:rsidR="00094960" w:rsidRDefault="0063238C" w:rsidP="00106F57">
      <w:pPr>
        <w:spacing w:line="480" w:lineRule="auto"/>
        <w:rPr>
          <w:lang w:val="en-US"/>
        </w:rPr>
      </w:pPr>
      <w:r>
        <w:rPr>
          <w:rFonts w:cs="AdvTT5235d5a9"/>
        </w:rPr>
        <w:tab/>
      </w:r>
      <w:r w:rsidR="00A34CD4">
        <w:t xml:space="preserve">This research was funded by PsyPAG </w:t>
      </w:r>
      <w:r w:rsidR="00A34CD4" w:rsidRPr="0075449C">
        <w:t>(</w:t>
      </w:r>
      <w:hyperlink r:id="rId8" w:history="1">
        <w:r w:rsidR="00A34CD4" w:rsidRPr="0075449C">
          <w:rPr>
            <w:lang w:val="en-US"/>
          </w:rPr>
          <w:t>Psychology Postgraduate Affairs Group</w:t>
        </w:r>
      </w:hyperlink>
      <w:r w:rsidR="00A34CD4">
        <w:rPr>
          <w:lang w:val="en-US"/>
        </w:rPr>
        <w:t>)</w:t>
      </w:r>
      <w:r w:rsidR="00350545">
        <w:rPr>
          <w:lang w:val="en-US"/>
        </w:rPr>
        <w:t xml:space="preserve"> and the University of Leicester </w:t>
      </w:r>
      <w:r w:rsidR="00B250D8">
        <w:rPr>
          <w:lang w:val="en-US"/>
        </w:rPr>
        <w:t>School of Psychology’s Research</w:t>
      </w:r>
      <w:r w:rsidR="00350545">
        <w:rPr>
          <w:lang w:val="en-US"/>
        </w:rPr>
        <w:t xml:space="preserve"> Committee</w:t>
      </w:r>
      <w:r w:rsidR="00A34CD4">
        <w:rPr>
          <w:lang w:val="en-US"/>
        </w:rPr>
        <w:t>. We would also like to thank Samantha Palmer, Beth Shelton, Ellen Green, Shaquille Stephen, Olga Pacholec and Emma Shillcock for their help with data collection.</w:t>
      </w:r>
      <w:r w:rsidR="00EE691A">
        <w:rPr>
          <w:lang w:val="en-US"/>
        </w:rPr>
        <w:t xml:space="preserve"> We also thank the Editor,</w:t>
      </w:r>
      <w:r w:rsidR="00252376">
        <w:rPr>
          <w:lang w:val="en-US"/>
        </w:rPr>
        <w:t xml:space="preserve"> Jeffrey Snyder and</w:t>
      </w:r>
      <w:r w:rsidR="00EE691A">
        <w:rPr>
          <w:lang w:val="en-US"/>
        </w:rPr>
        <w:t xml:space="preserve"> </w:t>
      </w:r>
      <w:r w:rsidR="00252376">
        <w:rPr>
          <w:lang w:val="en-US"/>
        </w:rPr>
        <w:t xml:space="preserve">the three anonymous </w:t>
      </w:r>
      <w:r w:rsidR="00EE691A">
        <w:rPr>
          <w:lang w:val="en-US"/>
        </w:rPr>
        <w:t xml:space="preserve">reviewers their </w:t>
      </w:r>
      <w:r w:rsidR="00252376">
        <w:rPr>
          <w:lang w:val="en-US"/>
        </w:rPr>
        <w:t xml:space="preserve">insightful </w:t>
      </w:r>
      <w:r w:rsidR="00EE691A">
        <w:rPr>
          <w:lang w:val="en-US"/>
        </w:rPr>
        <w:t>comments and suggestions on this manuscript.</w:t>
      </w:r>
      <w:r w:rsidR="00094960">
        <w:rPr>
          <w:lang w:val="en-US"/>
        </w:rPr>
        <w:tab/>
      </w:r>
    </w:p>
    <w:p w14:paraId="3A1CDA77" w14:textId="3B52DB3F" w:rsidR="00A34CD4" w:rsidRDefault="00A34CD4" w:rsidP="009576A8">
      <w:pPr>
        <w:spacing w:line="480" w:lineRule="auto"/>
      </w:pPr>
      <w:r>
        <w:rPr>
          <w:lang w:val="en-US"/>
        </w:rPr>
        <w:tab/>
        <w:t>Correspondence concerning this article should be addressed to</w:t>
      </w:r>
      <w:r w:rsidR="00412F72">
        <w:rPr>
          <w:lang w:val="en-US"/>
        </w:rPr>
        <w:t xml:space="preserve"> Heather D. Flowe, at </w:t>
      </w:r>
      <w:r w:rsidR="009576A8">
        <w:rPr>
          <w:lang w:val="en-US"/>
        </w:rPr>
        <w:t>h.flowe@lboro.ac.uk</w:t>
      </w:r>
      <w:r w:rsidR="00412F72">
        <w:rPr>
          <w:lang w:val="en-US"/>
        </w:rPr>
        <w:t>.</w:t>
      </w:r>
    </w:p>
    <w:p w14:paraId="7FF5E4D0" w14:textId="77777777" w:rsidR="0008294D" w:rsidRDefault="0008294D" w:rsidP="00106F57">
      <w:pPr>
        <w:spacing w:line="480" w:lineRule="auto"/>
        <w:rPr>
          <w:rFonts w:cs="Arial"/>
          <w:color w:val="222222"/>
          <w:lang w:eastAsia="en-GB"/>
        </w:rPr>
      </w:pPr>
      <w:r>
        <w:rPr>
          <w:rFonts w:cs="Arial"/>
          <w:color w:val="222222"/>
          <w:lang w:eastAsia="en-GB"/>
        </w:rPr>
        <w:br w:type="page"/>
      </w:r>
    </w:p>
    <w:p w14:paraId="1757FABF" w14:textId="77777777" w:rsidR="0008294D" w:rsidRPr="00350545" w:rsidRDefault="0008294D" w:rsidP="00106F57">
      <w:pPr>
        <w:spacing w:after="0" w:line="480" w:lineRule="auto"/>
        <w:ind w:left="720" w:hanging="720"/>
        <w:contextualSpacing/>
        <w:jc w:val="center"/>
        <w:rPr>
          <w:rFonts w:cs="Arial"/>
          <w:color w:val="222222"/>
          <w:lang w:eastAsia="en-GB"/>
        </w:rPr>
      </w:pPr>
      <w:r w:rsidRPr="00350545">
        <w:rPr>
          <w:rFonts w:cs="Arial"/>
          <w:color w:val="222222"/>
          <w:lang w:eastAsia="en-GB"/>
        </w:rPr>
        <w:lastRenderedPageBreak/>
        <w:t>References</w:t>
      </w:r>
    </w:p>
    <w:p w14:paraId="253B3C8B" w14:textId="77777777" w:rsidR="004C1124" w:rsidRPr="000C68C3" w:rsidRDefault="0008294D" w:rsidP="00106F57">
      <w:pPr>
        <w:spacing w:after="0" w:line="480" w:lineRule="auto"/>
        <w:ind w:left="720" w:hanging="720"/>
        <w:contextualSpacing/>
        <w:rPr>
          <w:rFonts w:cs="GillSansStd"/>
        </w:rPr>
      </w:pPr>
      <w:r w:rsidRPr="00350545">
        <w:rPr>
          <w:rFonts w:cs="Arial"/>
          <w:color w:val="222222"/>
          <w:lang w:eastAsia="en-GB"/>
        </w:rPr>
        <w:t xml:space="preserve">Abdullah, A., Marzbali, M. H., Bahauddin, A., &amp; Tilaki, M. J. M. (2015). Broken Windows and Collective Efficacy. </w:t>
      </w:r>
      <w:r w:rsidRPr="00350545">
        <w:rPr>
          <w:rFonts w:cs="Arial"/>
          <w:i/>
          <w:iCs/>
          <w:color w:val="222222"/>
          <w:lang w:eastAsia="en-GB"/>
        </w:rPr>
        <w:t>SAGE Open</w:t>
      </w:r>
      <w:r w:rsidRPr="00350545">
        <w:rPr>
          <w:rFonts w:cs="Arial"/>
          <w:color w:val="222222"/>
          <w:lang w:eastAsia="en-GB"/>
        </w:rPr>
        <w:t xml:space="preserve">, </w:t>
      </w:r>
      <w:r w:rsidRPr="00350545">
        <w:rPr>
          <w:rFonts w:cs="Arial"/>
          <w:i/>
          <w:iCs/>
          <w:color w:val="222222"/>
          <w:lang w:eastAsia="en-GB"/>
        </w:rPr>
        <w:t>5</w:t>
      </w:r>
      <w:r w:rsidRPr="00350545">
        <w:rPr>
          <w:rFonts w:cs="Arial"/>
          <w:color w:val="222222"/>
          <w:lang w:eastAsia="en-GB"/>
        </w:rPr>
        <w:t xml:space="preserve">(1), 1-11, </w:t>
      </w:r>
      <w:r w:rsidRPr="00350545">
        <w:rPr>
          <w:rFonts w:cs="GillSansStd"/>
        </w:rPr>
        <w:t>DOI: 10.1177/2158244014564361</w:t>
      </w:r>
    </w:p>
    <w:p w14:paraId="6C8E5B16" w14:textId="77777777" w:rsidR="0008294D" w:rsidRPr="00350545" w:rsidRDefault="0008294D" w:rsidP="00106F57">
      <w:pPr>
        <w:autoSpaceDE w:val="0"/>
        <w:autoSpaceDN w:val="0"/>
        <w:adjustRightInd w:val="0"/>
        <w:spacing w:after="0" w:line="480" w:lineRule="auto"/>
        <w:ind w:left="720" w:hanging="720"/>
        <w:contextualSpacing/>
        <w:rPr>
          <w:rStyle w:val="Hyperlink"/>
          <w:color w:val="auto"/>
        </w:rPr>
      </w:pPr>
      <w:r w:rsidRPr="00350545">
        <w:rPr>
          <w:rFonts w:cs="Arial"/>
        </w:rPr>
        <w:t xml:space="preserve">Archer, J., &amp; Thanzami, V. (2009). The relation between mate value, entitlement, physical aggression, size and strength among a sample of young Indian men. </w:t>
      </w:r>
      <w:r w:rsidRPr="00350545">
        <w:rPr>
          <w:rFonts w:cs="Arial"/>
          <w:i/>
          <w:iCs/>
        </w:rPr>
        <w:t>Evolution and Human Behavior</w:t>
      </w:r>
      <w:r w:rsidRPr="00350545">
        <w:rPr>
          <w:rFonts w:cs="Arial"/>
        </w:rPr>
        <w:t xml:space="preserve">, </w:t>
      </w:r>
      <w:r w:rsidRPr="00350545">
        <w:rPr>
          <w:rFonts w:cs="Arial"/>
          <w:i/>
          <w:iCs/>
        </w:rPr>
        <w:t>30</w:t>
      </w:r>
      <w:r w:rsidRPr="00350545">
        <w:rPr>
          <w:rFonts w:cs="Arial"/>
        </w:rPr>
        <w:t xml:space="preserve">(5), 315-321. </w:t>
      </w:r>
      <w:r w:rsidR="00917A83" w:rsidRPr="000769EA">
        <w:t>http://dx.doi.org/10.1016/j.evolhumbehav.2009.03.003</w:t>
      </w:r>
    </w:p>
    <w:p w14:paraId="2C495CD8" w14:textId="77777777" w:rsidR="0008294D" w:rsidRPr="00350545" w:rsidRDefault="0008294D" w:rsidP="00106F57">
      <w:pPr>
        <w:autoSpaceDE w:val="0"/>
        <w:autoSpaceDN w:val="0"/>
        <w:adjustRightInd w:val="0"/>
        <w:spacing w:after="0" w:line="480" w:lineRule="auto"/>
        <w:ind w:left="720" w:hanging="720"/>
        <w:contextualSpacing/>
        <w:rPr>
          <w:rStyle w:val="Hyperlink"/>
          <w:color w:val="auto"/>
        </w:rPr>
      </w:pPr>
      <w:r w:rsidRPr="00350545">
        <w:t xml:space="preserve">Atkeson, B., Calhoun, K., Resick, P. and Ellis, E. (1982). Victims of rape: Repeated assessment of depressive symptoms. </w:t>
      </w:r>
      <w:r w:rsidRPr="00350545">
        <w:rPr>
          <w:i/>
          <w:iCs/>
        </w:rPr>
        <w:t xml:space="preserve">Journal of Consulting and Clinical Psychology, </w:t>
      </w:r>
      <w:r w:rsidRPr="00350545">
        <w:t xml:space="preserve">50, 96-102. </w:t>
      </w:r>
      <w:r w:rsidR="00917A83" w:rsidRPr="000769EA">
        <w:t>http://dx.doi.org/10.1037/0022-006X.50.1.96</w:t>
      </w:r>
    </w:p>
    <w:p w14:paraId="157B9C12" w14:textId="77777777" w:rsidR="0008294D" w:rsidRPr="00350545" w:rsidRDefault="0008294D" w:rsidP="00106F57">
      <w:pPr>
        <w:autoSpaceDE w:val="0"/>
        <w:autoSpaceDN w:val="0"/>
        <w:adjustRightInd w:val="0"/>
        <w:spacing w:after="0" w:line="480" w:lineRule="auto"/>
        <w:ind w:left="720" w:hanging="720"/>
        <w:contextualSpacing/>
        <w:rPr>
          <w:rFonts w:cs="AdvTT6120e2aa"/>
        </w:rPr>
      </w:pPr>
      <w:r w:rsidRPr="00350545">
        <w:rPr>
          <w:rFonts w:cs="AdvTT6120e2aa"/>
        </w:rPr>
        <w:t xml:space="preserve">Buss, D. M. (1994). </w:t>
      </w:r>
      <w:r w:rsidRPr="00350545">
        <w:rPr>
          <w:rFonts w:cs="AdvTT50a2f13e.I"/>
        </w:rPr>
        <w:t>The evolution of desire: Strategies of human mating</w:t>
      </w:r>
      <w:r w:rsidRPr="00350545">
        <w:rPr>
          <w:rFonts w:cs="AdvTT6120e2aa"/>
        </w:rPr>
        <w:t>. New York: Basic Books.</w:t>
      </w:r>
    </w:p>
    <w:p w14:paraId="421F0A99" w14:textId="77777777" w:rsidR="0008294D" w:rsidRPr="00350545" w:rsidRDefault="0008294D" w:rsidP="00106F57">
      <w:pPr>
        <w:autoSpaceDE w:val="0"/>
        <w:autoSpaceDN w:val="0"/>
        <w:adjustRightInd w:val="0"/>
        <w:spacing w:after="0" w:line="480" w:lineRule="auto"/>
        <w:ind w:left="720" w:hanging="720"/>
        <w:contextualSpacing/>
        <w:rPr>
          <w:rStyle w:val="Hyperlink"/>
          <w:color w:val="auto"/>
        </w:rPr>
      </w:pPr>
      <w:r w:rsidRPr="00350545">
        <w:rPr>
          <w:rFonts w:cs="Arial"/>
        </w:rPr>
        <w:t xml:space="preserve">Buss, D. M., &amp; Schmitt, D. P. (1993). Sexual strategies theory: an evolutionary perspective on human mating. </w:t>
      </w:r>
      <w:r w:rsidRPr="00350545">
        <w:rPr>
          <w:rFonts w:cs="Arial"/>
          <w:i/>
          <w:iCs/>
        </w:rPr>
        <w:t>Psychological review</w:t>
      </w:r>
      <w:r w:rsidRPr="00350545">
        <w:rPr>
          <w:rFonts w:cs="Arial"/>
        </w:rPr>
        <w:t xml:space="preserve">, </w:t>
      </w:r>
      <w:r w:rsidRPr="00350545">
        <w:rPr>
          <w:rFonts w:cs="Arial"/>
          <w:i/>
          <w:iCs/>
        </w:rPr>
        <w:t>100</w:t>
      </w:r>
      <w:r w:rsidRPr="00350545">
        <w:rPr>
          <w:rFonts w:cs="Arial"/>
        </w:rPr>
        <w:t xml:space="preserve">(2), 204. </w:t>
      </w:r>
      <w:r w:rsidR="00917A83" w:rsidRPr="000769EA">
        <w:t>http://dx.doi.org/10.1037/0033-295X.100.2.204</w:t>
      </w:r>
    </w:p>
    <w:p w14:paraId="3BE661EE" w14:textId="2255E01E" w:rsidR="0008294D" w:rsidRDefault="0008294D" w:rsidP="00106F57">
      <w:pPr>
        <w:autoSpaceDE w:val="0"/>
        <w:autoSpaceDN w:val="0"/>
        <w:adjustRightInd w:val="0"/>
        <w:spacing w:after="0" w:line="480" w:lineRule="auto"/>
        <w:ind w:left="720" w:hanging="720"/>
        <w:contextualSpacing/>
      </w:pPr>
      <w:r w:rsidRPr="00350545">
        <w:rPr>
          <w:rFonts w:cs="Arial"/>
        </w:rPr>
        <w:t xml:space="preserve">Bleske-Rechek, A. L., &amp; Buss, D. M. (2001). Opposite-sex friendship: Sex differences and similarities in initiation, selection, and dissolution. </w:t>
      </w:r>
      <w:r w:rsidRPr="00350545">
        <w:rPr>
          <w:rFonts w:cs="Arial"/>
          <w:i/>
          <w:iCs/>
        </w:rPr>
        <w:t>Personality and Social Psychology Bulletin</w:t>
      </w:r>
      <w:r w:rsidRPr="00350545">
        <w:rPr>
          <w:rFonts w:cs="Arial"/>
        </w:rPr>
        <w:t xml:space="preserve">, </w:t>
      </w:r>
      <w:r w:rsidRPr="00350545">
        <w:rPr>
          <w:rFonts w:cs="Arial"/>
          <w:i/>
          <w:iCs/>
        </w:rPr>
        <w:t>27</w:t>
      </w:r>
      <w:r w:rsidRPr="00350545">
        <w:rPr>
          <w:rFonts w:cs="Arial"/>
        </w:rPr>
        <w:t>(10), 1310-</w:t>
      </w:r>
      <w:r w:rsidRPr="00320264">
        <w:rPr>
          <w:rFonts w:cs="Arial"/>
        </w:rPr>
        <w:t xml:space="preserve">1323. </w:t>
      </w:r>
      <w:hyperlink r:id="rId9" w:history="1">
        <w:r w:rsidR="0083589D" w:rsidRPr="00554907">
          <w:rPr>
            <w:rStyle w:val="Hyperlink"/>
          </w:rPr>
          <w:t>http://dx.doi.org/10.1177/01461672012710007</w:t>
        </w:r>
      </w:hyperlink>
    </w:p>
    <w:p w14:paraId="2D14D7A3" w14:textId="36ED23BE" w:rsidR="0083589D" w:rsidRPr="00320264" w:rsidRDefault="0083589D" w:rsidP="00EE691A">
      <w:pPr>
        <w:autoSpaceDE w:val="0"/>
        <w:autoSpaceDN w:val="0"/>
        <w:adjustRightInd w:val="0"/>
        <w:spacing w:after="0" w:line="480" w:lineRule="auto"/>
        <w:ind w:left="720" w:hanging="720"/>
        <w:rPr>
          <w:rStyle w:val="Hyperlink"/>
          <w:color w:val="auto"/>
        </w:rPr>
      </w:pPr>
      <w:r w:rsidRPr="00036B43">
        <w:rPr>
          <w:rFonts w:cs="Arial"/>
        </w:rPr>
        <w:t xml:space="preserve">Bröder, A., &amp; Hohmann, N. (2003). Variations in risk taking behavior over the menstrual cycle: An improved replication. </w:t>
      </w:r>
      <w:r w:rsidRPr="00036B43">
        <w:rPr>
          <w:rFonts w:cs="Arial"/>
          <w:i/>
          <w:iCs/>
        </w:rPr>
        <w:t>Evolution and Human Behavior</w:t>
      </w:r>
      <w:r w:rsidRPr="00036B43">
        <w:rPr>
          <w:rFonts w:cs="Arial"/>
        </w:rPr>
        <w:t xml:space="preserve">, </w:t>
      </w:r>
      <w:r w:rsidRPr="00036B43">
        <w:rPr>
          <w:rFonts w:cs="Arial"/>
          <w:i/>
          <w:iCs/>
        </w:rPr>
        <w:t>24</w:t>
      </w:r>
      <w:r w:rsidRPr="00036B43">
        <w:rPr>
          <w:rFonts w:cs="Arial"/>
        </w:rPr>
        <w:t xml:space="preserve">(6), 391-398. </w:t>
      </w:r>
      <w:hyperlink r:id="rId10" w:history="1">
        <w:r w:rsidRPr="00036B43">
          <w:rPr>
            <w:rStyle w:val="Hyperlink"/>
            <w:color w:val="auto"/>
          </w:rPr>
          <w:t>http://dx.doi.org/10.1016/S1090-5138(03)00055-2</w:t>
        </w:r>
      </w:hyperlink>
    </w:p>
    <w:p w14:paraId="1047B2D8" w14:textId="77777777" w:rsidR="00320264" w:rsidRPr="005861A7" w:rsidRDefault="00320264" w:rsidP="00106F57">
      <w:pPr>
        <w:spacing w:after="0" w:line="480" w:lineRule="auto"/>
        <w:ind w:left="720" w:hanging="720"/>
        <w:rPr>
          <w:rStyle w:val="Hyperlink"/>
          <w:rFonts w:cs="Arial"/>
          <w:color w:val="auto"/>
        </w:rPr>
      </w:pPr>
      <w:r w:rsidRPr="005861A7">
        <w:rPr>
          <w:rFonts w:cs="Arial"/>
          <w:lang w:eastAsia="en-GB"/>
        </w:rPr>
        <w:t xml:space="preserve">Brown, B. B., Werner, C. M., Smith, K. R., Tribby, C. P., &amp; Miller, H. J. (2014). Physical activity mediates the relationship between perceived crime safety and obesity. </w:t>
      </w:r>
      <w:r w:rsidRPr="005861A7">
        <w:rPr>
          <w:rFonts w:cs="Arial"/>
          <w:i/>
          <w:iCs/>
          <w:lang w:eastAsia="en-GB"/>
        </w:rPr>
        <w:t>Preventive medicine</w:t>
      </w:r>
      <w:r w:rsidRPr="005861A7">
        <w:rPr>
          <w:rFonts w:cs="Arial"/>
          <w:lang w:eastAsia="en-GB"/>
        </w:rPr>
        <w:t xml:space="preserve">, </w:t>
      </w:r>
      <w:r w:rsidRPr="005861A7">
        <w:rPr>
          <w:rFonts w:cs="Arial"/>
          <w:i/>
          <w:iCs/>
          <w:lang w:eastAsia="en-GB"/>
        </w:rPr>
        <w:t>66</w:t>
      </w:r>
      <w:r w:rsidRPr="005861A7">
        <w:rPr>
          <w:rFonts w:cs="Arial"/>
          <w:lang w:eastAsia="en-GB"/>
        </w:rPr>
        <w:t>, 140-144.</w:t>
      </w:r>
      <w:r w:rsidR="007E01A9" w:rsidRPr="005861A7">
        <w:rPr>
          <w:rFonts w:cs="Arial"/>
          <w:lang w:eastAsia="en-GB"/>
        </w:rPr>
        <w:t xml:space="preserve"> </w:t>
      </w:r>
      <w:r w:rsidR="00917A83" w:rsidRPr="005861A7">
        <w:t>http://dx.doi.org/10.1016/j.ypmed.2014.06.021</w:t>
      </w:r>
    </w:p>
    <w:p w14:paraId="29A4B19B" w14:textId="2EA298DA" w:rsidR="00925D41" w:rsidRDefault="00925D41" w:rsidP="00925D41">
      <w:pPr>
        <w:spacing w:after="0" w:line="480" w:lineRule="auto"/>
        <w:ind w:left="720" w:hanging="720"/>
        <w:rPr>
          <w:rFonts w:cs="Arial"/>
          <w:color w:val="222222"/>
          <w:lang w:eastAsia="en-GB"/>
        </w:rPr>
      </w:pPr>
      <w:r w:rsidRPr="00925D41">
        <w:rPr>
          <w:rFonts w:cs="Arial"/>
          <w:color w:val="222222"/>
          <w:lang w:eastAsia="en-GB"/>
        </w:rPr>
        <w:t xml:space="preserve">Cate, K. L., Bassett, J. F., &amp; Dabbs Jr, J. M. (2003). Fear primes may not affect women’s implicit and explicit mate preferences. </w:t>
      </w:r>
      <w:r w:rsidRPr="00925D41">
        <w:rPr>
          <w:rFonts w:cs="Arial"/>
          <w:i/>
          <w:iCs/>
          <w:color w:val="222222"/>
          <w:lang w:eastAsia="en-GB"/>
        </w:rPr>
        <w:t>Journal for Articles in Support of the Null Hypothesis</w:t>
      </w:r>
      <w:r w:rsidRPr="00925D41">
        <w:rPr>
          <w:rFonts w:cs="Arial"/>
          <w:color w:val="222222"/>
          <w:lang w:eastAsia="en-GB"/>
        </w:rPr>
        <w:t xml:space="preserve">, </w:t>
      </w:r>
      <w:r w:rsidRPr="00925D41">
        <w:rPr>
          <w:rFonts w:cs="Arial"/>
          <w:i/>
          <w:iCs/>
          <w:color w:val="222222"/>
          <w:lang w:eastAsia="en-GB"/>
        </w:rPr>
        <w:t>1</w:t>
      </w:r>
      <w:r w:rsidR="005861A7">
        <w:rPr>
          <w:rFonts w:cs="Arial"/>
          <w:color w:val="222222"/>
          <w:lang w:eastAsia="en-GB"/>
        </w:rPr>
        <w:t>(4), 49-56.</w:t>
      </w:r>
    </w:p>
    <w:p w14:paraId="05E542E3" w14:textId="77777777" w:rsidR="0083589D" w:rsidRDefault="0083589D" w:rsidP="0083589D">
      <w:pPr>
        <w:spacing w:after="0" w:line="480" w:lineRule="auto"/>
        <w:ind w:left="720" w:hanging="720"/>
        <w:rPr>
          <w:rStyle w:val="Hyperlink"/>
          <w:color w:val="auto"/>
        </w:rPr>
      </w:pPr>
      <w:r w:rsidRPr="00036B43">
        <w:rPr>
          <w:rFonts w:cs="Arial"/>
        </w:rPr>
        <w:t xml:space="preserve">Chavanne, T. J., &amp; Gallup, G. G. (1998). Variation in risk taking behavior among female college students as a function of the menstrual cycle. </w:t>
      </w:r>
      <w:r w:rsidRPr="00036B43">
        <w:rPr>
          <w:rFonts w:cs="Arial"/>
          <w:i/>
          <w:iCs/>
        </w:rPr>
        <w:t>Evolution and Human Behavior</w:t>
      </w:r>
      <w:r w:rsidRPr="00036B43">
        <w:rPr>
          <w:rFonts w:cs="Arial"/>
        </w:rPr>
        <w:t xml:space="preserve">, </w:t>
      </w:r>
      <w:r w:rsidRPr="00036B43">
        <w:rPr>
          <w:rFonts w:cs="Arial"/>
          <w:i/>
          <w:iCs/>
        </w:rPr>
        <w:t>19</w:t>
      </w:r>
      <w:r w:rsidRPr="00036B43">
        <w:rPr>
          <w:rFonts w:cs="Arial"/>
        </w:rPr>
        <w:t xml:space="preserve">(1), 27-32. </w:t>
      </w:r>
      <w:hyperlink r:id="rId11" w:history="1">
        <w:r w:rsidRPr="00036B43">
          <w:rPr>
            <w:rStyle w:val="Hyperlink"/>
            <w:color w:val="auto"/>
          </w:rPr>
          <w:t>http://dx.doi.org/10.1016/S1090-5138(98)00016-6</w:t>
        </w:r>
      </w:hyperlink>
    </w:p>
    <w:p w14:paraId="3F059346" w14:textId="77777777" w:rsidR="0083589D" w:rsidRDefault="0083589D" w:rsidP="00805A02">
      <w:pPr>
        <w:spacing w:after="0" w:line="480" w:lineRule="auto"/>
        <w:rPr>
          <w:rFonts w:cs="Arial"/>
          <w:color w:val="222222"/>
          <w:lang w:eastAsia="en-GB"/>
        </w:rPr>
      </w:pPr>
    </w:p>
    <w:p w14:paraId="2E3E566F" w14:textId="77777777" w:rsidR="00350545" w:rsidRPr="00350545" w:rsidRDefault="0008294D" w:rsidP="00106F57">
      <w:pPr>
        <w:pStyle w:val="NormalWeb"/>
        <w:spacing w:before="0" w:beforeAutospacing="0" w:line="480" w:lineRule="auto"/>
        <w:ind w:left="720" w:hanging="720"/>
        <w:contextualSpacing/>
        <w:rPr>
          <w:rFonts w:asciiTheme="minorHAnsi" w:hAnsiTheme="minorHAnsi"/>
          <w:sz w:val="22"/>
          <w:szCs w:val="22"/>
        </w:rPr>
      </w:pPr>
      <w:r w:rsidRPr="00350545">
        <w:rPr>
          <w:rFonts w:asciiTheme="minorHAnsi" w:hAnsiTheme="minorHAnsi"/>
          <w:sz w:val="22"/>
          <w:szCs w:val="22"/>
        </w:rPr>
        <w:t xml:space="preserve">Cohen, J. (1988). </w:t>
      </w:r>
      <w:r w:rsidRPr="00350545">
        <w:rPr>
          <w:rStyle w:val="Emphasis"/>
          <w:rFonts w:asciiTheme="minorHAnsi" w:hAnsiTheme="minorHAnsi"/>
          <w:sz w:val="22"/>
          <w:szCs w:val="22"/>
        </w:rPr>
        <w:t>Statistical power analysis for the behavioral sciences</w:t>
      </w:r>
      <w:r w:rsidRPr="00350545">
        <w:rPr>
          <w:rFonts w:asciiTheme="minorHAnsi" w:hAnsiTheme="minorHAnsi"/>
          <w:sz w:val="22"/>
          <w:szCs w:val="22"/>
        </w:rPr>
        <w:t xml:space="preserve"> (2nd ed.). Hillsdale, NJ: L</w:t>
      </w:r>
      <w:r w:rsidR="00350545" w:rsidRPr="00350545">
        <w:rPr>
          <w:rFonts w:asciiTheme="minorHAnsi" w:hAnsiTheme="minorHAnsi"/>
          <w:sz w:val="22"/>
          <w:szCs w:val="22"/>
        </w:rPr>
        <w:t>awrence Earlbaum Associates.</w:t>
      </w:r>
    </w:p>
    <w:p w14:paraId="5E28C6FC" w14:textId="268B7770" w:rsidR="005861A7" w:rsidRDefault="0008294D" w:rsidP="005861A7">
      <w:pPr>
        <w:pStyle w:val="NormalWeb"/>
        <w:spacing w:before="0" w:beforeAutospacing="0" w:line="480" w:lineRule="auto"/>
        <w:ind w:left="720" w:hanging="720"/>
        <w:contextualSpacing/>
        <w:rPr>
          <w:rStyle w:val="Hyperlink"/>
          <w:rFonts w:asciiTheme="minorHAnsi" w:hAnsiTheme="minorHAnsi"/>
          <w:color w:val="auto"/>
          <w:sz w:val="22"/>
          <w:szCs w:val="22"/>
          <w:u w:val="none"/>
        </w:rPr>
      </w:pPr>
      <w:r w:rsidRPr="00350545">
        <w:rPr>
          <w:rFonts w:asciiTheme="minorHAnsi" w:hAnsiTheme="minorHAnsi" w:cs="Arial"/>
          <w:sz w:val="22"/>
          <w:szCs w:val="22"/>
        </w:rPr>
        <w:t xml:space="preserve">De Leon, J. P., &amp; Cohen, J. H. (2005). Object and walking probes in ethnographic interviewing. </w:t>
      </w:r>
      <w:r w:rsidRPr="00350545">
        <w:rPr>
          <w:rFonts w:asciiTheme="minorHAnsi" w:hAnsiTheme="minorHAnsi" w:cs="Arial"/>
          <w:i/>
          <w:iCs/>
          <w:sz w:val="22"/>
          <w:szCs w:val="22"/>
        </w:rPr>
        <w:t>Field Methods</w:t>
      </w:r>
      <w:r w:rsidRPr="00350545">
        <w:rPr>
          <w:rFonts w:asciiTheme="minorHAnsi" w:hAnsiTheme="minorHAnsi" w:cs="Arial"/>
          <w:sz w:val="22"/>
          <w:szCs w:val="22"/>
        </w:rPr>
        <w:t xml:space="preserve">, </w:t>
      </w:r>
      <w:r w:rsidRPr="00350545">
        <w:rPr>
          <w:rFonts w:asciiTheme="minorHAnsi" w:hAnsiTheme="minorHAnsi" w:cs="Arial"/>
          <w:i/>
          <w:iCs/>
          <w:sz w:val="22"/>
          <w:szCs w:val="22"/>
        </w:rPr>
        <w:t>17</w:t>
      </w:r>
      <w:r w:rsidRPr="00350545">
        <w:rPr>
          <w:rFonts w:asciiTheme="minorHAnsi" w:hAnsiTheme="minorHAnsi" w:cs="Arial"/>
          <w:sz w:val="22"/>
          <w:szCs w:val="22"/>
        </w:rPr>
        <w:t>(2), 200-</w:t>
      </w:r>
      <w:r w:rsidRPr="005861A7">
        <w:rPr>
          <w:rFonts w:asciiTheme="minorHAnsi" w:hAnsiTheme="minorHAnsi" w:cs="Arial"/>
          <w:sz w:val="22"/>
          <w:szCs w:val="22"/>
        </w:rPr>
        <w:t xml:space="preserve">204. </w:t>
      </w:r>
      <w:hyperlink r:id="rId12" w:history="1">
        <w:r w:rsidR="005861A7" w:rsidRPr="005861A7">
          <w:rPr>
            <w:rStyle w:val="Hyperlink"/>
            <w:rFonts w:asciiTheme="minorHAnsi" w:hAnsiTheme="minorHAnsi"/>
            <w:color w:val="auto"/>
            <w:sz w:val="22"/>
            <w:szCs w:val="22"/>
            <w:u w:val="none"/>
          </w:rPr>
          <w:t>http://dx.doi.org/10.1177/1525822X05274733</w:t>
        </w:r>
      </w:hyperlink>
    </w:p>
    <w:p w14:paraId="5A830025" w14:textId="60DB04A6" w:rsidR="00A07344" w:rsidRPr="00270157" w:rsidRDefault="00A07344" w:rsidP="00805A02">
      <w:pPr>
        <w:spacing w:after="0" w:line="480" w:lineRule="auto"/>
        <w:ind w:left="720" w:hanging="720"/>
        <w:rPr>
          <w:rFonts w:cs="Arial"/>
        </w:rPr>
      </w:pPr>
      <w:r w:rsidRPr="00805A02">
        <w:rPr>
          <w:rFonts w:cs="Arial"/>
          <w:lang w:eastAsia="en-GB"/>
        </w:rPr>
        <w:t xml:space="preserve">Del Giudice, M. (2009). Sex, attachment, and the development of reproductive strategies. </w:t>
      </w:r>
      <w:r w:rsidRPr="00805A02">
        <w:rPr>
          <w:rFonts w:cs="Arial"/>
          <w:i/>
          <w:iCs/>
          <w:lang w:eastAsia="en-GB"/>
        </w:rPr>
        <w:t>Behavioral and Brain Sciences</w:t>
      </w:r>
      <w:r w:rsidRPr="00805A02">
        <w:rPr>
          <w:rFonts w:cs="Arial"/>
          <w:lang w:eastAsia="en-GB"/>
        </w:rPr>
        <w:t xml:space="preserve">, </w:t>
      </w:r>
      <w:r w:rsidRPr="00805A02">
        <w:rPr>
          <w:rFonts w:cs="Arial"/>
          <w:i/>
          <w:iCs/>
          <w:lang w:eastAsia="en-GB"/>
        </w:rPr>
        <w:t>32</w:t>
      </w:r>
      <w:r w:rsidRPr="00805A02">
        <w:rPr>
          <w:rFonts w:cs="Arial"/>
          <w:lang w:eastAsia="en-GB"/>
        </w:rPr>
        <w:t>(1), 1-21.</w:t>
      </w:r>
    </w:p>
    <w:p w14:paraId="528CBB58" w14:textId="08E637D0" w:rsidR="0008294D" w:rsidRPr="005861A7" w:rsidRDefault="0008294D" w:rsidP="005861A7">
      <w:pPr>
        <w:pStyle w:val="NormalWeb"/>
        <w:spacing w:before="0" w:beforeAutospacing="0" w:line="480" w:lineRule="auto"/>
        <w:ind w:left="720" w:hanging="720"/>
        <w:contextualSpacing/>
        <w:rPr>
          <w:rFonts w:asciiTheme="minorHAnsi" w:hAnsiTheme="minorHAnsi"/>
          <w:sz w:val="22"/>
          <w:szCs w:val="22"/>
        </w:rPr>
      </w:pPr>
      <w:r w:rsidRPr="005861A7">
        <w:rPr>
          <w:rFonts w:asciiTheme="minorHAnsi" w:hAnsiTheme="minorHAnsi" w:cs="Arial"/>
          <w:sz w:val="22"/>
          <w:szCs w:val="22"/>
        </w:rPr>
        <w:t xml:space="preserve">Dobzhansky, T. (1956). What is an adaptive trait? </w:t>
      </w:r>
      <w:r w:rsidRPr="005861A7">
        <w:rPr>
          <w:rFonts w:asciiTheme="minorHAnsi" w:hAnsiTheme="minorHAnsi" w:cs="Arial"/>
          <w:i/>
          <w:iCs/>
          <w:sz w:val="22"/>
          <w:szCs w:val="22"/>
        </w:rPr>
        <w:t>American Naturalist</w:t>
      </w:r>
      <w:r w:rsidRPr="005861A7">
        <w:rPr>
          <w:rFonts w:asciiTheme="minorHAnsi" w:hAnsiTheme="minorHAnsi" w:cs="Arial"/>
          <w:sz w:val="22"/>
          <w:szCs w:val="22"/>
        </w:rPr>
        <w:t xml:space="preserve">, </w:t>
      </w:r>
      <w:r w:rsidR="005861A7" w:rsidRPr="005861A7">
        <w:rPr>
          <w:rFonts w:asciiTheme="minorHAnsi" w:hAnsiTheme="minorHAnsi" w:cs="Arial"/>
          <w:i/>
          <w:sz w:val="22"/>
          <w:szCs w:val="22"/>
        </w:rPr>
        <w:t>90</w:t>
      </w:r>
      <w:r w:rsidR="00922135" w:rsidRPr="00922135">
        <w:rPr>
          <w:rFonts w:asciiTheme="minorHAnsi" w:hAnsiTheme="minorHAnsi" w:cs="Arial"/>
          <w:sz w:val="22"/>
          <w:szCs w:val="22"/>
        </w:rPr>
        <w:t>(855)</w:t>
      </w:r>
      <w:r w:rsidR="005861A7">
        <w:rPr>
          <w:rFonts w:asciiTheme="minorHAnsi" w:hAnsiTheme="minorHAnsi" w:cs="Arial"/>
          <w:sz w:val="22"/>
          <w:szCs w:val="22"/>
        </w:rPr>
        <w:t xml:space="preserve">, </w:t>
      </w:r>
      <w:r w:rsidRPr="005861A7">
        <w:rPr>
          <w:rFonts w:asciiTheme="minorHAnsi" w:hAnsiTheme="minorHAnsi" w:cs="Arial"/>
          <w:sz w:val="22"/>
          <w:szCs w:val="22"/>
        </w:rPr>
        <w:t>337-347.</w:t>
      </w:r>
    </w:p>
    <w:p w14:paraId="7BFC0458" w14:textId="77777777" w:rsidR="0008294D" w:rsidRPr="005861A7" w:rsidRDefault="0008294D" w:rsidP="00106F57">
      <w:pPr>
        <w:spacing w:line="480" w:lineRule="auto"/>
        <w:ind w:left="720" w:hanging="720"/>
        <w:contextualSpacing/>
        <w:rPr>
          <w:lang w:eastAsia="en-GB"/>
        </w:rPr>
      </w:pPr>
      <w:r w:rsidRPr="005861A7">
        <w:rPr>
          <w:rFonts w:cs="Arial"/>
        </w:rPr>
        <w:t xml:space="preserve">Duntley, J. D., &amp; Shackelford, T. K. (2012). Adaptations to avoid victimization. </w:t>
      </w:r>
      <w:r w:rsidRPr="005861A7">
        <w:rPr>
          <w:rFonts w:cs="Arial"/>
          <w:i/>
          <w:iCs/>
        </w:rPr>
        <w:t>Aggression and Violent Behavior</w:t>
      </w:r>
      <w:r w:rsidRPr="005861A7">
        <w:rPr>
          <w:rFonts w:cs="Arial"/>
        </w:rPr>
        <w:t xml:space="preserve">, </w:t>
      </w:r>
      <w:r w:rsidRPr="005861A7">
        <w:rPr>
          <w:rFonts w:cs="Arial"/>
          <w:i/>
          <w:iCs/>
        </w:rPr>
        <w:t>17</w:t>
      </w:r>
      <w:r w:rsidRPr="005861A7">
        <w:rPr>
          <w:rFonts w:cs="Arial"/>
        </w:rPr>
        <w:t xml:space="preserve">(1), 59-71. </w:t>
      </w:r>
      <w:r w:rsidR="00917A83" w:rsidRPr="005861A7">
        <w:rPr>
          <w:lang w:eastAsia="en-GB"/>
        </w:rPr>
        <w:t>doi:10.1016/j.avb.2011.09.008</w:t>
      </w:r>
    </w:p>
    <w:p w14:paraId="0E3F9AF5" w14:textId="2EA0E1F2" w:rsidR="0008294D" w:rsidRPr="005861A7" w:rsidRDefault="0008294D" w:rsidP="00106F57">
      <w:pPr>
        <w:spacing w:after="0" w:line="480" w:lineRule="auto"/>
        <w:ind w:left="720" w:hanging="720"/>
        <w:contextualSpacing/>
        <w:rPr>
          <w:rStyle w:val="Hyperlink"/>
          <w:color w:val="auto"/>
          <w:u w:val="none"/>
        </w:rPr>
      </w:pPr>
      <w:r w:rsidRPr="005861A7">
        <w:rPr>
          <w:rFonts w:cs="Arial"/>
          <w:lang w:eastAsia="en-GB"/>
        </w:rPr>
        <w:t>Ebesutani, C., Smith, A., Bernstein, A., Chorpita, B. F., Higa-McMillan, C., &amp; Nakamura, B. (2011). A bifactor model of negative affectivity: Fear and distress components among yo</w:t>
      </w:r>
      <w:r w:rsidRPr="00350545">
        <w:rPr>
          <w:rFonts w:cs="Arial"/>
          <w:lang w:eastAsia="en-GB"/>
        </w:rPr>
        <w:t xml:space="preserve">unger and older youth. </w:t>
      </w:r>
      <w:r w:rsidRPr="00350545">
        <w:rPr>
          <w:rFonts w:cs="Arial"/>
          <w:i/>
          <w:iCs/>
          <w:lang w:eastAsia="en-GB"/>
        </w:rPr>
        <w:t>Psychological assessment</w:t>
      </w:r>
      <w:r w:rsidRPr="00350545">
        <w:rPr>
          <w:rFonts w:cs="Arial"/>
          <w:lang w:eastAsia="en-GB"/>
        </w:rPr>
        <w:t xml:space="preserve">, </w:t>
      </w:r>
      <w:r w:rsidRPr="00350545">
        <w:rPr>
          <w:rFonts w:cs="Arial"/>
          <w:i/>
          <w:iCs/>
          <w:lang w:eastAsia="en-GB"/>
        </w:rPr>
        <w:t>23</w:t>
      </w:r>
      <w:r w:rsidRPr="00350545">
        <w:rPr>
          <w:rFonts w:cs="Arial"/>
          <w:lang w:eastAsia="en-GB"/>
        </w:rPr>
        <w:t>(3), 679</w:t>
      </w:r>
      <w:r w:rsidR="00922135">
        <w:rPr>
          <w:rFonts w:cs="Arial"/>
          <w:lang w:eastAsia="en-GB"/>
        </w:rPr>
        <w:t>-691</w:t>
      </w:r>
      <w:r w:rsidRPr="00350545">
        <w:rPr>
          <w:rFonts w:cs="Arial"/>
          <w:lang w:eastAsia="en-GB"/>
        </w:rPr>
        <w:t xml:space="preserve">. </w:t>
      </w:r>
      <w:hyperlink r:id="rId13" w:history="1">
        <w:r w:rsidRPr="005861A7">
          <w:rPr>
            <w:rStyle w:val="Hyperlink"/>
            <w:color w:val="auto"/>
            <w:u w:val="none"/>
          </w:rPr>
          <w:t>http://dx.doi.org/10.1037/a0023234</w:t>
        </w:r>
      </w:hyperlink>
    </w:p>
    <w:p w14:paraId="39286D90" w14:textId="77777777" w:rsidR="0008294D" w:rsidRPr="00350545" w:rsidRDefault="0008294D" w:rsidP="00106F57">
      <w:pPr>
        <w:autoSpaceDE w:val="0"/>
        <w:autoSpaceDN w:val="0"/>
        <w:adjustRightInd w:val="0"/>
        <w:spacing w:after="0" w:line="480" w:lineRule="auto"/>
        <w:ind w:left="720" w:hanging="720"/>
        <w:contextualSpacing/>
        <w:rPr>
          <w:rFonts w:cs="AdvTT5235d5a9"/>
        </w:rPr>
      </w:pPr>
      <w:r w:rsidRPr="00350545">
        <w:rPr>
          <w:rFonts w:cs="AdvTT5235d5a9"/>
        </w:rPr>
        <w:t xml:space="preserve">Ferraro, K. F. (1995). </w:t>
      </w:r>
      <w:r w:rsidRPr="00350545">
        <w:rPr>
          <w:rFonts w:cs="AdvTT94c8263f.I"/>
        </w:rPr>
        <w:t xml:space="preserve">Fear of crime: Interpreting victimization risk. </w:t>
      </w:r>
      <w:r w:rsidRPr="00350545">
        <w:rPr>
          <w:rFonts w:cs="AdvTT5235d5a9"/>
        </w:rPr>
        <w:t>Albany, NY: State University of New York Press.</w:t>
      </w:r>
    </w:p>
    <w:p w14:paraId="5F000EDE" w14:textId="20E10AA1" w:rsidR="0008294D" w:rsidRPr="00350545" w:rsidRDefault="0008294D" w:rsidP="00106F57">
      <w:pPr>
        <w:autoSpaceDE w:val="0"/>
        <w:autoSpaceDN w:val="0"/>
        <w:adjustRightInd w:val="0"/>
        <w:spacing w:after="0" w:line="480" w:lineRule="auto"/>
        <w:ind w:left="720" w:hanging="720"/>
        <w:contextualSpacing/>
        <w:rPr>
          <w:rStyle w:val="Hyperlink"/>
          <w:color w:val="auto"/>
        </w:rPr>
      </w:pPr>
      <w:r w:rsidRPr="00350545">
        <w:rPr>
          <w:rFonts w:cs="AdvTT5235d5a9"/>
        </w:rPr>
        <w:t xml:space="preserve">Ferraro, K. F. (1996). Women's fear of victimization: Shadow of sexual assault? </w:t>
      </w:r>
      <w:r w:rsidRPr="00922135">
        <w:rPr>
          <w:rFonts w:cs="AdvTT94c8263f.I"/>
          <w:i/>
        </w:rPr>
        <w:t>Social Forces</w:t>
      </w:r>
      <w:r w:rsidRPr="00922135">
        <w:rPr>
          <w:rFonts w:cs="AdvTT5235d5a9"/>
          <w:i/>
        </w:rPr>
        <w:t xml:space="preserve">, </w:t>
      </w:r>
      <w:r w:rsidRPr="00922135">
        <w:rPr>
          <w:rFonts w:cs="AdvTT94c8263f.I"/>
          <w:i/>
        </w:rPr>
        <w:t>75</w:t>
      </w:r>
      <w:r w:rsidR="00922135">
        <w:rPr>
          <w:rFonts w:cs="AdvTT94c8263f.I"/>
        </w:rPr>
        <w:t>(2)</w:t>
      </w:r>
      <w:r w:rsidRPr="00350545">
        <w:rPr>
          <w:rFonts w:cs="AdvTT5235d5a9"/>
        </w:rPr>
        <w:t>, 667</w:t>
      </w:r>
      <w:r w:rsidRPr="00350545">
        <w:rPr>
          <w:rFonts w:cs="AdvTT5235d5a9+20"/>
        </w:rPr>
        <w:t>–</w:t>
      </w:r>
      <w:r w:rsidRPr="00350545">
        <w:rPr>
          <w:rFonts w:cs="AdvTT5235d5a9"/>
        </w:rPr>
        <w:t>690</w:t>
      </w:r>
      <w:r w:rsidR="00922135">
        <w:rPr>
          <w:rFonts w:cs="AdvTT5235d5a9"/>
        </w:rPr>
        <w:t>.</w:t>
      </w:r>
      <w:r w:rsidRPr="00350545">
        <w:rPr>
          <w:rFonts w:cs="AdvTT5235d5a9"/>
        </w:rPr>
        <w:t xml:space="preserve"> </w:t>
      </w:r>
      <w:r w:rsidR="00917A83" w:rsidRPr="000769EA">
        <w:t>http://dx.doi.org/10.2307/2580418</w:t>
      </w:r>
    </w:p>
    <w:p w14:paraId="20474786" w14:textId="77777777" w:rsidR="0008294D" w:rsidRDefault="0008294D" w:rsidP="00106F57">
      <w:pPr>
        <w:autoSpaceDE w:val="0"/>
        <w:autoSpaceDN w:val="0"/>
        <w:adjustRightInd w:val="0"/>
        <w:spacing w:after="0" w:line="480" w:lineRule="auto"/>
        <w:ind w:left="720" w:hanging="720"/>
        <w:contextualSpacing/>
        <w:rPr>
          <w:rStyle w:val="Hyperlink"/>
          <w:color w:val="auto"/>
        </w:rPr>
      </w:pPr>
      <w:r w:rsidRPr="00350545">
        <w:rPr>
          <w:rFonts w:cs="Arial"/>
        </w:rPr>
        <w:t xml:space="preserve">Ferraro, K. F., &amp; </w:t>
      </w:r>
      <w:r w:rsidR="003D4BAA">
        <w:rPr>
          <w:rFonts w:cs="Arial"/>
        </w:rPr>
        <w:t>La</w:t>
      </w:r>
      <w:r w:rsidRPr="00350545">
        <w:rPr>
          <w:rFonts w:cs="Arial"/>
        </w:rPr>
        <w:t xml:space="preserve">Grange, R. L. (1987). The measurement of fear of crime. </w:t>
      </w:r>
      <w:r w:rsidRPr="00350545">
        <w:rPr>
          <w:rFonts w:cs="Arial"/>
          <w:i/>
          <w:iCs/>
        </w:rPr>
        <w:t>Sociological inquiry</w:t>
      </w:r>
      <w:r w:rsidRPr="00350545">
        <w:rPr>
          <w:rFonts w:cs="Arial"/>
        </w:rPr>
        <w:t xml:space="preserve">, </w:t>
      </w:r>
      <w:r w:rsidRPr="00350545">
        <w:rPr>
          <w:rFonts w:cs="Arial"/>
          <w:i/>
          <w:iCs/>
        </w:rPr>
        <w:t>57</w:t>
      </w:r>
      <w:r w:rsidRPr="00350545">
        <w:rPr>
          <w:rFonts w:cs="Arial"/>
        </w:rPr>
        <w:t xml:space="preserve">(1), 70-97. </w:t>
      </w:r>
      <w:r w:rsidR="00917A83" w:rsidRPr="000769EA">
        <w:t>http://dx.doi.org/10.1111/j.1475-682X.1987.tb01181.x</w:t>
      </w:r>
    </w:p>
    <w:p w14:paraId="698F903B" w14:textId="3F9F0E88" w:rsidR="00925D41" w:rsidRPr="00925D41" w:rsidRDefault="00925D41" w:rsidP="00925D41">
      <w:pPr>
        <w:autoSpaceDE w:val="0"/>
        <w:autoSpaceDN w:val="0"/>
        <w:adjustRightInd w:val="0"/>
        <w:spacing w:after="0" w:line="480" w:lineRule="auto"/>
        <w:ind w:left="720" w:hanging="720"/>
        <w:rPr>
          <w:rStyle w:val="Hyperlink"/>
          <w:color w:val="auto"/>
          <w:u w:val="none"/>
        </w:rPr>
      </w:pPr>
      <w:r>
        <w:rPr>
          <w:rFonts w:cs="Arial"/>
        </w:rPr>
        <w:t>Fessler, D. M., Holbroo</w:t>
      </w:r>
      <w:r w:rsidR="00922135">
        <w:rPr>
          <w:rFonts w:cs="Arial"/>
        </w:rPr>
        <w:t>k, C., &amp; Fleischman, D. S. (2015</w:t>
      </w:r>
      <w:r>
        <w:rPr>
          <w:rFonts w:cs="Arial"/>
        </w:rPr>
        <w:t xml:space="preserve">). Assets at risk: Menstrual cycle variation in the envisioned formidability of a potential sexual assailant reveals a component of threat assessment. </w:t>
      </w:r>
      <w:r>
        <w:rPr>
          <w:rFonts w:cs="Arial"/>
          <w:i/>
          <w:iCs/>
        </w:rPr>
        <w:t>Adaptive Human Behavior and Physiology</w:t>
      </w:r>
      <w:r w:rsidRPr="00922135">
        <w:rPr>
          <w:rFonts w:cs="Arial"/>
        </w:rPr>
        <w:t xml:space="preserve">, </w:t>
      </w:r>
      <w:r w:rsidR="00922135" w:rsidRPr="00922135">
        <w:rPr>
          <w:rFonts w:cs="Arial"/>
          <w:i/>
        </w:rPr>
        <w:t>1</w:t>
      </w:r>
      <w:r w:rsidR="00922135">
        <w:rPr>
          <w:rFonts w:cs="Arial"/>
        </w:rPr>
        <w:t xml:space="preserve">, </w:t>
      </w:r>
      <w:r w:rsidR="00922135" w:rsidRPr="00922135">
        <w:rPr>
          <w:rFonts w:cs="Arial"/>
        </w:rPr>
        <w:t>270-290</w:t>
      </w:r>
      <w:r w:rsidR="00922135">
        <w:rPr>
          <w:rFonts w:cs="Arial"/>
          <w:i/>
        </w:rPr>
        <w:t xml:space="preserve"> </w:t>
      </w:r>
      <w:r w:rsidR="00917A83" w:rsidRPr="000769EA">
        <w:t>http://dx.doi.org/10.1007/s40750-014-0006-0</w:t>
      </w:r>
    </w:p>
    <w:p w14:paraId="439D1C3F" w14:textId="547E18B0" w:rsidR="0008294D" w:rsidRPr="00350545" w:rsidRDefault="0008294D" w:rsidP="00106F57">
      <w:pPr>
        <w:spacing w:after="0" w:line="480" w:lineRule="auto"/>
        <w:ind w:left="720" w:hanging="720"/>
        <w:contextualSpacing/>
        <w:rPr>
          <w:rStyle w:val="Hyperlink"/>
          <w:rFonts w:cs="Arial"/>
          <w:color w:val="auto"/>
        </w:rPr>
      </w:pPr>
      <w:r w:rsidRPr="00350545">
        <w:rPr>
          <w:rFonts w:cs="Arial"/>
          <w:lang w:eastAsia="en-GB"/>
        </w:rPr>
        <w:lastRenderedPageBreak/>
        <w:t>Fisher, B. S., &amp; Sloan III, J. J. (2003). Unraveling the fear of victimization among college women: Is the “shadow of sexual</w:t>
      </w:r>
      <w:r w:rsidR="00571074">
        <w:rPr>
          <w:rFonts w:cs="Arial"/>
          <w:lang w:eastAsia="en-GB"/>
        </w:rPr>
        <w:t xml:space="preserve"> assault hypothesis” supported?</w:t>
      </w:r>
      <w:r w:rsidRPr="00350545">
        <w:rPr>
          <w:rFonts w:cs="Arial"/>
          <w:lang w:eastAsia="en-GB"/>
        </w:rPr>
        <w:t xml:space="preserve"> </w:t>
      </w:r>
      <w:r w:rsidRPr="00350545">
        <w:rPr>
          <w:rFonts w:cs="Arial"/>
          <w:i/>
          <w:iCs/>
          <w:lang w:eastAsia="en-GB"/>
        </w:rPr>
        <w:t>Justice Quarterly</w:t>
      </w:r>
      <w:r w:rsidRPr="00350545">
        <w:rPr>
          <w:rFonts w:cs="Arial"/>
          <w:lang w:eastAsia="en-GB"/>
        </w:rPr>
        <w:t xml:space="preserve">, </w:t>
      </w:r>
      <w:r w:rsidRPr="00350545">
        <w:rPr>
          <w:rFonts w:cs="Arial"/>
          <w:i/>
          <w:iCs/>
          <w:lang w:eastAsia="en-GB"/>
        </w:rPr>
        <w:t>20</w:t>
      </w:r>
      <w:r w:rsidRPr="00350545">
        <w:rPr>
          <w:rFonts w:cs="Arial"/>
          <w:lang w:eastAsia="en-GB"/>
        </w:rPr>
        <w:t xml:space="preserve">(3), 633-659. </w:t>
      </w:r>
      <w:r w:rsidR="00917A83" w:rsidRPr="000769EA">
        <w:t>http://dx.doi.org/10.1080/07418820300095641</w:t>
      </w:r>
    </w:p>
    <w:p w14:paraId="7D517D8A" w14:textId="77777777" w:rsidR="0008294D" w:rsidRPr="00350545" w:rsidRDefault="0008294D" w:rsidP="00106F57">
      <w:pPr>
        <w:autoSpaceDE w:val="0"/>
        <w:autoSpaceDN w:val="0"/>
        <w:adjustRightInd w:val="0"/>
        <w:spacing w:after="0" w:line="480" w:lineRule="auto"/>
        <w:ind w:left="720" w:hanging="720"/>
        <w:contextualSpacing/>
        <w:rPr>
          <w:rStyle w:val="Hyperlink"/>
          <w:color w:val="auto"/>
        </w:rPr>
      </w:pPr>
      <w:r w:rsidRPr="00350545">
        <w:rPr>
          <w:rFonts w:cs="AdvTT6120e2aa"/>
        </w:rPr>
        <w:t xml:space="preserve">Fleming, A. S., Corter, C., Stallings, J., &amp; Steiner, M. (2002). Testosterone and prolactin are associated with emotional responses to infant cries in new fathers. </w:t>
      </w:r>
      <w:r w:rsidRPr="00350545">
        <w:rPr>
          <w:rFonts w:cs="AdvTT50a2f13e.I"/>
          <w:i/>
        </w:rPr>
        <w:t>Hormones and Behavior</w:t>
      </w:r>
      <w:r w:rsidRPr="00350545">
        <w:rPr>
          <w:rFonts w:cs="AdvTT6120e2aa"/>
        </w:rPr>
        <w:t xml:space="preserve">, </w:t>
      </w:r>
      <w:r w:rsidRPr="00350545">
        <w:rPr>
          <w:rFonts w:cs="AdvTT50a2f13e.I"/>
          <w:i/>
        </w:rPr>
        <w:t>42</w:t>
      </w:r>
      <w:r w:rsidRPr="00350545">
        <w:rPr>
          <w:rFonts w:cs="AdvTT6120e2aa"/>
          <w:i/>
        </w:rPr>
        <w:t>,</w:t>
      </w:r>
      <w:r w:rsidRPr="00350545">
        <w:rPr>
          <w:rFonts w:cs="AdvTT6120e2aa"/>
        </w:rPr>
        <w:t xml:space="preserve"> 399</w:t>
      </w:r>
      <w:r w:rsidRPr="00350545">
        <w:rPr>
          <w:rFonts w:eastAsia="AdvTT6120e2aa+22" w:cs="AdvTT6120e2aa+22"/>
        </w:rPr>
        <w:t>−</w:t>
      </w:r>
      <w:r w:rsidRPr="00350545">
        <w:rPr>
          <w:rFonts w:cs="AdvTT6120e2aa"/>
        </w:rPr>
        <w:t xml:space="preserve">413. </w:t>
      </w:r>
      <w:r w:rsidR="00917A83" w:rsidRPr="000769EA">
        <w:t>http://dx.doi.org/10.1006/hbeh.2002.1840</w:t>
      </w:r>
    </w:p>
    <w:p w14:paraId="3A4A2379" w14:textId="681A3AB8" w:rsidR="0008294D" w:rsidRDefault="0008294D" w:rsidP="00106F57">
      <w:pPr>
        <w:spacing w:after="0" w:line="480" w:lineRule="auto"/>
        <w:ind w:left="720" w:hanging="720"/>
        <w:contextualSpacing/>
      </w:pPr>
      <w:r w:rsidRPr="00350545">
        <w:rPr>
          <w:rFonts w:cs="Arial"/>
          <w:lang w:eastAsia="en-GB"/>
        </w:rPr>
        <w:t xml:space="preserve">Gabriel, U., &amp; Greve, W. (2003). The psychology of fear of crime. Conceptual and methodological perspectives. </w:t>
      </w:r>
      <w:r w:rsidRPr="00350545">
        <w:rPr>
          <w:rFonts w:cs="Arial"/>
          <w:i/>
          <w:iCs/>
          <w:lang w:eastAsia="en-GB"/>
        </w:rPr>
        <w:t>British Journal of Criminology</w:t>
      </w:r>
      <w:r w:rsidRPr="00350545">
        <w:rPr>
          <w:rFonts w:cs="Arial"/>
          <w:lang w:eastAsia="en-GB"/>
        </w:rPr>
        <w:t xml:space="preserve">, </w:t>
      </w:r>
      <w:r w:rsidRPr="00350545">
        <w:rPr>
          <w:rFonts w:cs="Arial"/>
          <w:i/>
          <w:iCs/>
          <w:lang w:eastAsia="en-GB"/>
        </w:rPr>
        <w:t>43</w:t>
      </w:r>
      <w:r w:rsidRPr="00350545">
        <w:rPr>
          <w:rFonts w:cs="Arial"/>
          <w:lang w:eastAsia="en-GB"/>
        </w:rPr>
        <w:t xml:space="preserve">(3), 600-614. </w:t>
      </w:r>
      <w:hyperlink r:id="rId14" w:history="1">
        <w:r w:rsidR="0083589D" w:rsidRPr="00554907">
          <w:rPr>
            <w:rStyle w:val="Hyperlink"/>
          </w:rPr>
          <w:t>http://dx.doi.org/10.1093/bjc/43.3.600</w:t>
        </w:r>
      </w:hyperlink>
    </w:p>
    <w:p w14:paraId="68D0B4C0" w14:textId="77777777" w:rsidR="0083589D" w:rsidRDefault="0083589D" w:rsidP="0083589D">
      <w:pPr>
        <w:autoSpaceDE w:val="0"/>
        <w:autoSpaceDN w:val="0"/>
        <w:adjustRightInd w:val="0"/>
        <w:spacing w:after="0" w:line="480" w:lineRule="auto"/>
        <w:ind w:left="720" w:hanging="720"/>
        <w:rPr>
          <w:rFonts w:cs="AdvTT3713a231"/>
        </w:rPr>
      </w:pPr>
      <w:r w:rsidRPr="00965258">
        <w:rPr>
          <w:rFonts w:cs="AdvTT3713a231"/>
        </w:rPr>
        <w:t>Gangestad, S. W., Simpson, J. A., Cousins, A. J., Garver-Apgar, C. E., &amp; Christensen, P. N. (2004). Women</w:t>
      </w:r>
      <w:r w:rsidRPr="00965258">
        <w:rPr>
          <w:rFonts w:cs="AdvTT3713a231+20"/>
        </w:rPr>
        <w:t>’</w:t>
      </w:r>
      <w:r w:rsidRPr="00965258">
        <w:rPr>
          <w:rFonts w:cs="AdvTT3713a231"/>
        </w:rPr>
        <w:t xml:space="preserve">s preferences for male behavioral displays change across the menstrual cycle. </w:t>
      </w:r>
      <w:r w:rsidRPr="00965258">
        <w:rPr>
          <w:rFonts w:cs="AdvTT50a2f13e.I"/>
          <w:i/>
        </w:rPr>
        <w:t>Psychological Science, 15</w:t>
      </w:r>
      <w:r w:rsidRPr="00965258">
        <w:rPr>
          <w:rFonts w:cs="AdvTT3713a231"/>
        </w:rPr>
        <w:t>, 203</w:t>
      </w:r>
      <w:r w:rsidRPr="00965258">
        <w:rPr>
          <w:rFonts w:cs="AdvTT3713a231+20"/>
        </w:rPr>
        <w:t>–</w:t>
      </w:r>
      <w:r w:rsidRPr="00965258">
        <w:rPr>
          <w:rFonts w:cs="AdvTT3713a231"/>
        </w:rPr>
        <w:t>207. doi:10.1111/j.0956-7976.2004.01503010.x.</w:t>
      </w:r>
    </w:p>
    <w:p w14:paraId="31D0A070" w14:textId="6809BACA" w:rsidR="0083589D" w:rsidRPr="00805A02" w:rsidRDefault="0083589D" w:rsidP="00805A02">
      <w:pPr>
        <w:autoSpaceDE w:val="0"/>
        <w:autoSpaceDN w:val="0"/>
        <w:adjustRightInd w:val="0"/>
        <w:spacing w:after="0" w:line="480" w:lineRule="auto"/>
        <w:ind w:left="720" w:hanging="720"/>
        <w:rPr>
          <w:rStyle w:val="Hyperlink"/>
          <w:rFonts w:cs="AdvTT3713a231"/>
          <w:color w:val="auto"/>
          <w:u w:val="none"/>
        </w:rPr>
      </w:pPr>
      <w:r w:rsidRPr="00805A02">
        <w:rPr>
          <w:rFonts w:cs="Arial"/>
          <w:color w:val="222222"/>
        </w:rPr>
        <w:t xml:space="preserve">Gildersleeve, K., DeBruine, L., Haselton, M. G., Frederick, D. A., Penton-Voak, I. S., Jones, B. C., &amp; Perrett, D. I. (2013). Shifts in women’s mate preferences across the ovulatory cycle: A critique of Harris (2011) and Harris (2012). </w:t>
      </w:r>
      <w:r w:rsidRPr="00805A02">
        <w:rPr>
          <w:rFonts w:cs="Arial"/>
          <w:i/>
          <w:iCs/>
          <w:color w:val="222222"/>
        </w:rPr>
        <w:t>Sex roles</w:t>
      </w:r>
      <w:r w:rsidRPr="00805A02">
        <w:rPr>
          <w:rFonts w:cs="Arial"/>
          <w:color w:val="222222"/>
        </w:rPr>
        <w:t xml:space="preserve">, </w:t>
      </w:r>
      <w:r w:rsidRPr="00805A02">
        <w:rPr>
          <w:rFonts w:cs="Arial"/>
          <w:i/>
          <w:iCs/>
          <w:color w:val="222222"/>
        </w:rPr>
        <w:t>69</w:t>
      </w:r>
      <w:r w:rsidRPr="00805A02">
        <w:rPr>
          <w:rFonts w:cs="Arial"/>
          <w:color w:val="222222"/>
        </w:rPr>
        <w:t>(9-10), 516-524.</w:t>
      </w:r>
      <w:r w:rsidRPr="00805A02">
        <w:rPr>
          <w:rStyle w:val="Heading4Char"/>
          <w:rFonts w:asciiTheme="minorHAnsi" w:hAnsiTheme="minorHAnsi"/>
          <w:sz w:val="22"/>
          <w:szCs w:val="22"/>
        </w:rPr>
        <w:t xml:space="preserve"> </w:t>
      </w:r>
      <w:r w:rsidRPr="00CA6CAE">
        <w:rPr>
          <w:rStyle w:val="Hyperlink"/>
        </w:rPr>
        <w:t>http://dx.doi.org/10.1007/s11199-013-0273-4</w:t>
      </w:r>
    </w:p>
    <w:p w14:paraId="493FBB0A" w14:textId="38F3DF47" w:rsidR="0008294D" w:rsidRDefault="0008294D" w:rsidP="00106F57">
      <w:pPr>
        <w:autoSpaceDE w:val="0"/>
        <w:autoSpaceDN w:val="0"/>
        <w:adjustRightInd w:val="0"/>
        <w:spacing w:after="0" w:line="480" w:lineRule="auto"/>
        <w:ind w:left="720" w:hanging="720"/>
        <w:contextualSpacing/>
      </w:pPr>
      <w:r w:rsidRPr="00350545">
        <w:rPr>
          <w:rFonts w:cs="AdvPTimes"/>
        </w:rPr>
        <w:t>Gottschall, J.A., &amp;Gottschall, T.A.</w:t>
      </w:r>
      <w:r w:rsidR="003D4BAA">
        <w:rPr>
          <w:rFonts w:cs="AdvPTimes"/>
        </w:rPr>
        <w:t xml:space="preserve"> </w:t>
      </w:r>
      <w:r w:rsidRPr="00350545">
        <w:rPr>
          <w:rFonts w:cs="AdvPTimes"/>
        </w:rPr>
        <w:t xml:space="preserve">(2003). Are per-incident rape-pregnancy rates higher than per-incident consensual pregnancy rates? </w:t>
      </w:r>
      <w:r w:rsidRPr="00922135">
        <w:rPr>
          <w:rFonts w:cs="AdvPTimesI"/>
          <w:i/>
        </w:rPr>
        <w:t>Human</w:t>
      </w:r>
      <w:r w:rsidRPr="00922135">
        <w:rPr>
          <w:rFonts w:cs="AdvPTimes"/>
          <w:i/>
        </w:rPr>
        <w:t xml:space="preserve"> </w:t>
      </w:r>
      <w:r w:rsidRPr="00922135">
        <w:rPr>
          <w:rFonts w:cs="AdvPTimesI"/>
          <w:i/>
        </w:rPr>
        <w:t>Nature, 14</w:t>
      </w:r>
      <w:r w:rsidRPr="00350545">
        <w:rPr>
          <w:rFonts w:cs="AdvPTimes"/>
        </w:rPr>
        <w:t xml:space="preserve">, 1–20. </w:t>
      </w:r>
      <w:hyperlink r:id="rId15" w:history="1">
        <w:r w:rsidR="00CA6CAE" w:rsidRPr="00554907">
          <w:rPr>
            <w:rStyle w:val="Hyperlink"/>
          </w:rPr>
          <w:t>http://dx.doi.org/10.1007/s12110-003-1014-0</w:t>
        </w:r>
      </w:hyperlink>
      <w:r w:rsidRPr="00350545">
        <w:t>.</w:t>
      </w:r>
    </w:p>
    <w:p w14:paraId="67726F83" w14:textId="18DF9F67" w:rsidR="00CA6CAE" w:rsidRPr="00CA6CAE" w:rsidRDefault="00CA6CAE" w:rsidP="00805A02">
      <w:pPr>
        <w:autoSpaceDE w:val="0"/>
        <w:autoSpaceDN w:val="0"/>
        <w:adjustRightInd w:val="0"/>
        <w:spacing w:after="0" w:line="480" w:lineRule="auto"/>
        <w:ind w:left="720" w:hanging="720"/>
        <w:rPr>
          <w:rFonts w:cs="AdvTT5843c571"/>
        </w:rPr>
      </w:pPr>
      <w:r w:rsidRPr="00036B43">
        <w:rPr>
          <w:rFonts w:cs="AdvTT5843c571"/>
        </w:rPr>
        <w:t>Grammer, K. (1993). 5-</w:t>
      </w:r>
      <w:r w:rsidRPr="00036B43">
        <w:rPr>
          <w:rFonts w:cs="AdvTTab7e17fd"/>
        </w:rPr>
        <w:t>a</w:t>
      </w:r>
      <w:r w:rsidRPr="00036B43">
        <w:rPr>
          <w:rFonts w:cs="AdvTT5843c571"/>
        </w:rPr>
        <w:t>-Androst-16en-3</w:t>
      </w:r>
      <w:r w:rsidRPr="00036B43">
        <w:rPr>
          <w:rFonts w:cs="AdvTTab7e17fd"/>
        </w:rPr>
        <w:t>a</w:t>
      </w:r>
      <w:r w:rsidRPr="00036B43">
        <w:rPr>
          <w:rFonts w:cs="AdvTT5843c571"/>
        </w:rPr>
        <w:t xml:space="preserve">-on: a male pheromone? A brief report. </w:t>
      </w:r>
      <w:r w:rsidRPr="00036B43">
        <w:rPr>
          <w:rFonts w:cs="AdvTTf90d833a.I"/>
        </w:rPr>
        <w:t>Ethology and Sociobiology</w:t>
      </w:r>
      <w:r w:rsidRPr="00036B43">
        <w:rPr>
          <w:rFonts w:cs="AdvTT5843c571"/>
        </w:rPr>
        <w:t xml:space="preserve">, </w:t>
      </w:r>
      <w:r w:rsidRPr="00036B43">
        <w:rPr>
          <w:rFonts w:cs="AdvTTf90d833a.I"/>
        </w:rPr>
        <w:t>14</w:t>
      </w:r>
      <w:r w:rsidRPr="00036B43">
        <w:rPr>
          <w:rFonts w:cs="AdvTT5843c571"/>
        </w:rPr>
        <w:t>, 201–208.</w:t>
      </w:r>
      <w:r w:rsidRPr="00CA6CAE">
        <w:rPr>
          <w:rStyle w:val="Heading4Char"/>
        </w:rPr>
        <w:t xml:space="preserve"> </w:t>
      </w:r>
      <w:r>
        <w:rPr>
          <w:rStyle w:val="Hyperlink"/>
        </w:rPr>
        <w:t>http://dx.doi.org/10.1016/0162-3095(93)90006-4</w:t>
      </w:r>
    </w:p>
    <w:p w14:paraId="2CF73F8F" w14:textId="1F13ACF5" w:rsidR="0008294D" w:rsidRDefault="0008294D" w:rsidP="00106F57">
      <w:pPr>
        <w:autoSpaceDE w:val="0"/>
        <w:autoSpaceDN w:val="0"/>
        <w:adjustRightInd w:val="0"/>
        <w:spacing w:after="0" w:line="480" w:lineRule="auto"/>
        <w:ind w:left="720" w:hanging="720"/>
        <w:contextualSpacing/>
      </w:pPr>
      <w:r w:rsidRPr="00350545">
        <w:rPr>
          <w:rFonts w:cs="Arial"/>
        </w:rPr>
        <w:t xml:space="preserve">Greiling, H., &amp; Buss, D. M. (2000). Women's sexual strategies: The hidden dimension of extra-pair mating. </w:t>
      </w:r>
      <w:r w:rsidRPr="00350545">
        <w:rPr>
          <w:rFonts w:cs="Arial"/>
          <w:i/>
          <w:iCs/>
        </w:rPr>
        <w:t>Personality and individual Differences</w:t>
      </w:r>
      <w:r w:rsidRPr="00350545">
        <w:rPr>
          <w:rFonts w:cs="Arial"/>
        </w:rPr>
        <w:t xml:space="preserve">, </w:t>
      </w:r>
      <w:r w:rsidRPr="00350545">
        <w:rPr>
          <w:rFonts w:cs="Arial"/>
          <w:i/>
          <w:iCs/>
        </w:rPr>
        <w:t>28</w:t>
      </w:r>
      <w:r w:rsidRPr="00350545">
        <w:rPr>
          <w:rFonts w:cs="Arial"/>
        </w:rPr>
        <w:t xml:space="preserve">(5), 929-963. </w:t>
      </w:r>
      <w:hyperlink r:id="rId16" w:history="1">
        <w:r w:rsidR="00CA6CAE" w:rsidRPr="00554907">
          <w:rPr>
            <w:rStyle w:val="Hyperlink"/>
          </w:rPr>
          <w:t>http://dx.doi.org/10.1016/S0191-8869(99)00151-8</w:t>
        </w:r>
      </w:hyperlink>
    </w:p>
    <w:p w14:paraId="1A2D1425" w14:textId="75CC52D4" w:rsidR="00CA6CAE" w:rsidRPr="00805A02" w:rsidRDefault="00CA6CAE" w:rsidP="00805A02">
      <w:pPr>
        <w:autoSpaceDE w:val="0"/>
        <w:autoSpaceDN w:val="0"/>
        <w:adjustRightInd w:val="0"/>
        <w:spacing w:after="0" w:line="480" w:lineRule="auto"/>
        <w:ind w:left="720" w:hanging="720"/>
        <w:rPr>
          <w:rStyle w:val="Hyperlink"/>
          <w:rFonts w:cs="AdvTT3713a231"/>
          <w:color w:val="auto"/>
          <w:u w:val="none"/>
        </w:rPr>
      </w:pPr>
      <w:r w:rsidRPr="00036B43">
        <w:rPr>
          <w:rFonts w:cs="AdvTT3713a231"/>
        </w:rPr>
        <w:lastRenderedPageBreak/>
        <w:t>Haselton, M. G., &amp; Gangestad, S.W. (2006). Conditional expression of women</w:t>
      </w:r>
      <w:r w:rsidRPr="00036B43">
        <w:rPr>
          <w:rFonts w:cs="AdvTT3713a231+20"/>
        </w:rPr>
        <w:t>’</w:t>
      </w:r>
      <w:r w:rsidRPr="00036B43">
        <w:rPr>
          <w:rFonts w:cs="AdvTT3713a231"/>
        </w:rPr>
        <w:t>s desires and men</w:t>
      </w:r>
      <w:r w:rsidRPr="00036B43">
        <w:rPr>
          <w:rFonts w:cs="AdvTT3713a231+20"/>
        </w:rPr>
        <w:t>’</w:t>
      </w:r>
      <w:r w:rsidRPr="00036B43">
        <w:rPr>
          <w:rFonts w:cs="AdvTT3713a231"/>
        </w:rPr>
        <w:t xml:space="preserve">s mate guarding across the ovulatory cycle. </w:t>
      </w:r>
      <w:r w:rsidRPr="00036B43">
        <w:rPr>
          <w:rFonts w:cs="AdvTT50a2f13e.I"/>
        </w:rPr>
        <w:t>Hormones and Behavior, 49</w:t>
      </w:r>
      <w:r w:rsidRPr="00036B43">
        <w:rPr>
          <w:rFonts w:cs="AdvTT3713a231"/>
        </w:rPr>
        <w:t>, 509</w:t>
      </w:r>
      <w:r w:rsidRPr="00036B43">
        <w:rPr>
          <w:rFonts w:cs="AdvTT3713a231+20"/>
        </w:rPr>
        <w:t>–</w:t>
      </w:r>
      <w:r w:rsidRPr="00036B43">
        <w:rPr>
          <w:rFonts w:cs="AdvTT3713a231"/>
        </w:rPr>
        <w:t>518. doi:10.1016/j.yhbeh.2005.10.006</w:t>
      </w:r>
    </w:p>
    <w:p w14:paraId="244E0B05" w14:textId="77777777" w:rsidR="0008294D" w:rsidRPr="00350545" w:rsidRDefault="0008294D" w:rsidP="00106F57">
      <w:pPr>
        <w:autoSpaceDE w:val="0"/>
        <w:autoSpaceDN w:val="0"/>
        <w:adjustRightInd w:val="0"/>
        <w:spacing w:after="0" w:line="480" w:lineRule="auto"/>
        <w:ind w:left="720" w:hanging="720"/>
        <w:contextualSpacing/>
        <w:rPr>
          <w:rStyle w:val="Hyperlink"/>
          <w:color w:val="auto"/>
        </w:rPr>
      </w:pPr>
      <w:r w:rsidRPr="00350545">
        <w:rPr>
          <w:rFonts w:cs="AdvTT6120e2aa"/>
        </w:rPr>
        <w:t xml:space="preserve">Hawley, P. H. (2003). Prosocial and coercive configurations of resource control in early adolescence: A case for the well-adapted Machiavellian. </w:t>
      </w:r>
      <w:r w:rsidRPr="00922135">
        <w:rPr>
          <w:rFonts w:cs="AdvTT50a2f13e.I"/>
          <w:i/>
        </w:rPr>
        <w:t>Merrill-Palmer Quarterly</w:t>
      </w:r>
      <w:r w:rsidRPr="00922135">
        <w:rPr>
          <w:rFonts w:cs="AdvTT6120e2aa"/>
          <w:i/>
        </w:rPr>
        <w:t xml:space="preserve">, </w:t>
      </w:r>
      <w:r w:rsidRPr="00922135">
        <w:rPr>
          <w:rFonts w:cs="AdvTT50a2f13e.I"/>
          <w:i/>
        </w:rPr>
        <w:t>49</w:t>
      </w:r>
      <w:r w:rsidRPr="00350545">
        <w:rPr>
          <w:rFonts w:cs="AdvTT6120e2aa"/>
        </w:rPr>
        <w:t>, 279</w:t>
      </w:r>
      <w:r w:rsidRPr="00350545">
        <w:rPr>
          <w:rFonts w:cs="AdvTT6120e2aa+20"/>
        </w:rPr>
        <w:t>–</w:t>
      </w:r>
      <w:r w:rsidRPr="00350545">
        <w:rPr>
          <w:rFonts w:cs="AdvTT6120e2aa"/>
        </w:rPr>
        <w:t xml:space="preserve">309. </w:t>
      </w:r>
      <w:r w:rsidR="00917A83" w:rsidRPr="000769EA">
        <w:t>http://dx.doi.org/10.1353/mpq.2003.0013</w:t>
      </w:r>
    </w:p>
    <w:p w14:paraId="61098FE3" w14:textId="77777777" w:rsidR="0008294D" w:rsidRPr="00350545" w:rsidRDefault="0008294D" w:rsidP="00106F57">
      <w:pPr>
        <w:autoSpaceDE w:val="0"/>
        <w:autoSpaceDN w:val="0"/>
        <w:adjustRightInd w:val="0"/>
        <w:spacing w:after="0" w:line="480" w:lineRule="auto"/>
        <w:ind w:left="720" w:hanging="720"/>
        <w:contextualSpacing/>
        <w:rPr>
          <w:rStyle w:val="Hyperlink"/>
          <w:color w:val="auto"/>
        </w:rPr>
      </w:pPr>
      <w:r w:rsidRPr="00350545">
        <w:rPr>
          <w:rFonts w:cs="Arial"/>
        </w:rPr>
        <w:t xml:space="preserve">Jackson, J. (2005). Validating new measures of the fear of crime. </w:t>
      </w:r>
      <w:r w:rsidRPr="00350545">
        <w:rPr>
          <w:rFonts w:cs="Arial"/>
          <w:i/>
          <w:iCs/>
        </w:rPr>
        <w:t>International Journal of Social Research Methodology</w:t>
      </w:r>
      <w:r w:rsidRPr="00350545">
        <w:rPr>
          <w:rFonts w:cs="Arial"/>
        </w:rPr>
        <w:t xml:space="preserve">, </w:t>
      </w:r>
      <w:r w:rsidRPr="00350545">
        <w:rPr>
          <w:rFonts w:cs="Arial"/>
          <w:i/>
          <w:iCs/>
        </w:rPr>
        <w:t>8</w:t>
      </w:r>
      <w:r w:rsidRPr="00350545">
        <w:rPr>
          <w:rFonts w:cs="Arial"/>
        </w:rPr>
        <w:t xml:space="preserve">(4), 297-315. </w:t>
      </w:r>
      <w:r w:rsidR="00917A83" w:rsidRPr="000769EA">
        <w:t>http://dx.doi.org/10.1080/13645570500299165</w:t>
      </w:r>
    </w:p>
    <w:p w14:paraId="46E1E5D6" w14:textId="77777777" w:rsidR="0008294D" w:rsidRPr="00957F59" w:rsidRDefault="0008294D" w:rsidP="00957F59">
      <w:pPr>
        <w:autoSpaceDE w:val="0"/>
        <w:autoSpaceDN w:val="0"/>
        <w:adjustRightInd w:val="0"/>
        <w:spacing w:after="0" w:line="480" w:lineRule="auto"/>
        <w:ind w:left="720" w:hanging="720"/>
        <w:contextualSpacing/>
        <w:rPr>
          <w:u w:val="single"/>
        </w:rPr>
      </w:pPr>
      <w:r w:rsidRPr="00350545">
        <w:rPr>
          <w:rFonts w:cs="Arial"/>
        </w:rPr>
        <w:t xml:space="preserve">Jones, P., Drury, R., &amp; McBeath, J. (2011). Using GPS-enabled mobile computing to augment qualitative interviewing: Two case studies. </w:t>
      </w:r>
      <w:r w:rsidRPr="00350545">
        <w:rPr>
          <w:rFonts w:cs="Arial"/>
          <w:i/>
          <w:iCs/>
        </w:rPr>
        <w:t>Field methods</w:t>
      </w:r>
      <w:r w:rsidRPr="00350545">
        <w:rPr>
          <w:rFonts w:cs="Arial"/>
        </w:rPr>
        <w:t xml:space="preserve">, </w:t>
      </w:r>
      <w:r w:rsidRPr="00350545">
        <w:rPr>
          <w:rFonts w:cs="Arial"/>
          <w:i/>
          <w:iCs/>
        </w:rPr>
        <w:t>23</w:t>
      </w:r>
      <w:r w:rsidRPr="00350545">
        <w:rPr>
          <w:rFonts w:cs="Arial"/>
        </w:rPr>
        <w:t xml:space="preserve">(2), 173-187. </w:t>
      </w:r>
      <w:r w:rsidR="00917A83" w:rsidRPr="000769EA">
        <w:t>http://dx.doi.org/10.1177/1525822X10388467</w:t>
      </w:r>
    </w:p>
    <w:p w14:paraId="633B0B92" w14:textId="77777777" w:rsidR="00720EC0" w:rsidRDefault="0008294D" w:rsidP="00106F57">
      <w:pPr>
        <w:spacing w:after="0" w:line="480" w:lineRule="auto"/>
        <w:ind w:left="720" w:hanging="720"/>
        <w:contextualSpacing/>
        <w:rPr>
          <w:rStyle w:val="Hyperlink"/>
          <w:color w:val="auto"/>
        </w:rPr>
      </w:pPr>
      <w:r w:rsidRPr="00350545">
        <w:rPr>
          <w:rFonts w:cs="Arial"/>
          <w:lang w:eastAsia="en-GB"/>
        </w:rPr>
        <w:t xml:space="preserve">Killias, M., &amp; Clerici, C. (2000). Different measures of vulnerability in their relation to different dimensions of fear of crime. </w:t>
      </w:r>
      <w:r w:rsidRPr="00350545">
        <w:rPr>
          <w:rFonts w:cs="Arial"/>
          <w:i/>
          <w:iCs/>
          <w:lang w:eastAsia="en-GB"/>
        </w:rPr>
        <w:t>British Journal of Criminology</w:t>
      </w:r>
      <w:r w:rsidRPr="00350545">
        <w:rPr>
          <w:rFonts w:cs="Arial"/>
          <w:lang w:eastAsia="en-GB"/>
        </w:rPr>
        <w:t xml:space="preserve">, </w:t>
      </w:r>
      <w:r w:rsidRPr="00350545">
        <w:rPr>
          <w:rFonts w:cs="Arial"/>
          <w:i/>
          <w:iCs/>
          <w:lang w:eastAsia="en-GB"/>
        </w:rPr>
        <w:t>40</w:t>
      </w:r>
      <w:r w:rsidRPr="00350545">
        <w:rPr>
          <w:rFonts w:cs="Arial"/>
          <w:lang w:eastAsia="en-GB"/>
        </w:rPr>
        <w:t xml:space="preserve">(3), 437-450. </w:t>
      </w:r>
      <w:r w:rsidR="00917A83" w:rsidRPr="000769EA">
        <w:t>http://dx.doi.org/10.1093/bjc/40.3.437</w:t>
      </w:r>
    </w:p>
    <w:p w14:paraId="6B37CF28" w14:textId="199A6D18" w:rsidR="00DA0173" w:rsidRPr="007E01A9" w:rsidRDefault="00DA0173" w:rsidP="00106F57">
      <w:pPr>
        <w:spacing w:after="0" w:line="480" w:lineRule="auto"/>
        <w:ind w:left="720" w:hanging="720"/>
        <w:contextualSpacing/>
        <w:rPr>
          <w:u w:val="single"/>
        </w:rPr>
      </w:pPr>
      <w:r>
        <w:rPr>
          <w:noProof/>
        </w:rPr>
        <w:t>K</w:t>
      </w:r>
      <w:r w:rsidRPr="00320264">
        <w:rPr>
          <w:noProof/>
        </w:rPr>
        <w:t xml:space="preserve">odjebacheva, G., Koleilat, M., &amp; Kruger, D. J. (2015). Depressive Symptoms Mediate the Association Between Fear of Crime and Higher Body Mass Index. </w:t>
      </w:r>
      <w:r w:rsidRPr="00320264">
        <w:rPr>
          <w:i/>
          <w:noProof/>
        </w:rPr>
        <w:t>Am</w:t>
      </w:r>
      <w:r w:rsidR="007E01A9">
        <w:rPr>
          <w:i/>
          <w:noProof/>
        </w:rPr>
        <w:t>erican</w:t>
      </w:r>
      <w:r w:rsidRPr="00320264">
        <w:rPr>
          <w:i/>
          <w:noProof/>
        </w:rPr>
        <w:t xml:space="preserve"> J</w:t>
      </w:r>
      <w:r w:rsidR="007E01A9">
        <w:rPr>
          <w:i/>
          <w:noProof/>
        </w:rPr>
        <w:t>ournal of</w:t>
      </w:r>
      <w:r w:rsidRPr="00320264">
        <w:rPr>
          <w:i/>
          <w:noProof/>
        </w:rPr>
        <w:t xml:space="preserve"> Health Promot</w:t>
      </w:r>
      <w:r w:rsidR="007E01A9">
        <w:rPr>
          <w:i/>
          <w:noProof/>
        </w:rPr>
        <w:t>ion</w:t>
      </w:r>
      <w:r w:rsidRPr="00320264">
        <w:rPr>
          <w:noProof/>
        </w:rPr>
        <w:t xml:space="preserve">. </w:t>
      </w:r>
      <w:r w:rsidR="007E01A9" w:rsidRPr="00922135">
        <w:rPr>
          <w:noProof/>
        </w:rPr>
        <w:t>In Press</w:t>
      </w:r>
      <w:r w:rsidR="00922135">
        <w:rPr>
          <w:noProof/>
        </w:rPr>
        <w:t>.</w:t>
      </w:r>
      <w:r w:rsidR="007E01A9">
        <w:rPr>
          <w:noProof/>
        </w:rPr>
        <w:t xml:space="preserve"> </w:t>
      </w:r>
      <w:r w:rsidRPr="000769EA">
        <w:rPr>
          <w:noProof/>
        </w:rPr>
        <w:t>doi: 10.4278/ajhp.140103-ARB-6</w:t>
      </w:r>
    </w:p>
    <w:p w14:paraId="571319AE" w14:textId="77777777" w:rsidR="0008294D" w:rsidRDefault="0008294D" w:rsidP="00106F57">
      <w:pPr>
        <w:spacing w:before="240" w:line="480" w:lineRule="auto"/>
        <w:ind w:left="720" w:hanging="720"/>
        <w:rPr>
          <w:rStyle w:val="Hyperlink"/>
          <w:color w:val="auto"/>
        </w:rPr>
      </w:pPr>
      <w:r w:rsidRPr="00350545">
        <w:rPr>
          <w:rFonts w:cs="Arial"/>
        </w:rPr>
        <w:t xml:space="preserve">Lorber, M. F., &amp; O’leary, K. D. (2004). Predictors of the persistence of male aggression in early marriage. </w:t>
      </w:r>
      <w:r w:rsidRPr="00350545">
        <w:rPr>
          <w:rFonts w:cs="Arial"/>
          <w:i/>
          <w:iCs/>
        </w:rPr>
        <w:t>Journal of family violence</w:t>
      </w:r>
      <w:r w:rsidRPr="00350545">
        <w:rPr>
          <w:rFonts w:cs="Arial"/>
        </w:rPr>
        <w:t xml:space="preserve">, </w:t>
      </w:r>
      <w:r w:rsidRPr="00350545">
        <w:rPr>
          <w:rFonts w:cs="Arial"/>
          <w:i/>
          <w:iCs/>
        </w:rPr>
        <w:t>19</w:t>
      </w:r>
      <w:r w:rsidRPr="00350545">
        <w:rPr>
          <w:rFonts w:cs="Arial"/>
        </w:rPr>
        <w:t xml:space="preserve">(6), 329-338. </w:t>
      </w:r>
      <w:r w:rsidR="00917A83" w:rsidRPr="000769EA">
        <w:t>http://dx.doi.org/10.1007/s10896-004-0678-5</w:t>
      </w:r>
    </w:p>
    <w:p w14:paraId="12CD14A3" w14:textId="77777777" w:rsidR="00106F57" w:rsidRPr="00106F57" w:rsidRDefault="00106F57" w:rsidP="00106F57">
      <w:pPr>
        <w:spacing w:after="0" w:line="480" w:lineRule="auto"/>
        <w:ind w:left="720" w:hanging="720"/>
        <w:rPr>
          <w:rStyle w:val="Hyperlink"/>
          <w:rFonts w:cs="Arial"/>
          <w:color w:val="222222"/>
          <w:u w:val="none"/>
          <w:lang w:eastAsia="en-GB"/>
        </w:rPr>
      </w:pPr>
      <w:r w:rsidRPr="00707233">
        <w:rPr>
          <w:rFonts w:cs="Arial"/>
          <w:color w:val="222222"/>
          <w:lang w:eastAsia="en-GB"/>
        </w:rPr>
        <w:t xml:space="preserve">Marzoli, D., Moretto, F., Monti, A., Tocci, O., Roberts, S. C., &amp; Tommasi, L. (2013). Environmental influences on mate preferences as assessed by a scenario manipulation experiment. </w:t>
      </w:r>
      <w:r w:rsidRPr="00707233">
        <w:rPr>
          <w:rFonts w:cs="Arial"/>
          <w:i/>
          <w:iCs/>
          <w:color w:val="222222"/>
          <w:lang w:eastAsia="en-GB"/>
        </w:rPr>
        <w:t>PloS one</w:t>
      </w:r>
      <w:r w:rsidRPr="00707233">
        <w:rPr>
          <w:rFonts w:cs="Arial"/>
          <w:color w:val="222222"/>
          <w:lang w:eastAsia="en-GB"/>
        </w:rPr>
        <w:t xml:space="preserve">, </w:t>
      </w:r>
      <w:r w:rsidRPr="00707233">
        <w:rPr>
          <w:rFonts w:cs="Arial"/>
          <w:i/>
          <w:iCs/>
          <w:color w:val="222222"/>
          <w:lang w:eastAsia="en-GB"/>
        </w:rPr>
        <w:t>8</w:t>
      </w:r>
      <w:r w:rsidRPr="00707233">
        <w:rPr>
          <w:rFonts w:cs="Arial"/>
          <w:color w:val="222222"/>
          <w:lang w:eastAsia="en-GB"/>
        </w:rPr>
        <w:t>(9), e74282.</w:t>
      </w:r>
    </w:p>
    <w:p w14:paraId="609D5E52" w14:textId="77777777" w:rsidR="007672EB" w:rsidRPr="007E01A9" w:rsidRDefault="004D7F46" w:rsidP="00106F57">
      <w:pPr>
        <w:spacing w:before="240" w:line="480" w:lineRule="auto"/>
        <w:ind w:left="720" w:hanging="720"/>
        <w:rPr>
          <w:rFonts w:cs="Arial"/>
        </w:rPr>
      </w:pPr>
      <w:r w:rsidRPr="004D7F46">
        <w:rPr>
          <w:rFonts w:cs="Arial"/>
          <w:color w:val="222222"/>
          <w:lang w:eastAsia="en-GB"/>
        </w:rPr>
        <w:t xml:space="preserve">McKibbin, W. F., Shackelford, T. K., Goetz, A. T., Bates, V. M., Starratt, V. G., &amp; Miner, E. J. (2009). Development and initial psychometric assessment of the rape avoidance inventory. </w:t>
      </w:r>
      <w:r w:rsidRPr="004D7F46">
        <w:rPr>
          <w:rFonts w:cs="Arial"/>
          <w:i/>
          <w:iCs/>
          <w:color w:val="222222"/>
          <w:lang w:eastAsia="en-GB"/>
        </w:rPr>
        <w:lastRenderedPageBreak/>
        <w:t>Personality and Individual Differences</w:t>
      </w:r>
      <w:r w:rsidRPr="004D7F46">
        <w:rPr>
          <w:rFonts w:cs="Arial"/>
          <w:color w:val="222222"/>
          <w:lang w:eastAsia="en-GB"/>
        </w:rPr>
        <w:t xml:space="preserve">, </w:t>
      </w:r>
      <w:r w:rsidRPr="004D7F46">
        <w:rPr>
          <w:rFonts w:cs="Arial"/>
          <w:i/>
          <w:iCs/>
          <w:color w:val="222222"/>
          <w:lang w:eastAsia="en-GB"/>
        </w:rPr>
        <w:t>46</w:t>
      </w:r>
      <w:r w:rsidRPr="004D7F46">
        <w:rPr>
          <w:rFonts w:cs="Arial"/>
          <w:color w:val="222222"/>
          <w:lang w:eastAsia="en-GB"/>
        </w:rPr>
        <w:t>(3), 336-340</w:t>
      </w:r>
      <w:r w:rsidRPr="00154D18">
        <w:rPr>
          <w:rFonts w:cs="Arial"/>
          <w:color w:val="222222"/>
          <w:lang w:eastAsia="en-GB"/>
        </w:rPr>
        <w:t xml:space="preserve">. </w:t>
      </w:r>
      <w:r w:rsidR="00917A83" w:rsidRPr="000769EA">
        <w:t>http://dx.doi.org/10.1016/j.paid.2008.10.026</w:t>
      </w:r>
    </w:p>
    <w:p w14:paraId="103856F8" w14:textId="77777777" w:rsidR="00350545" w:rsidRDefault="0008294D" w:rsidP="00106F57">
      <w:pPr>
        <w:pStyle w:val="NormalWeb"/>
        <w:spacing w:before="0" w:beforeAutospacing="0" w:line="480" w:lineRule="auto"/>
        <w:ind w:left="720" w:hanging="720"/>
        <w:contextualSpacing/>
        <w:rPr>
          <w:rFonts w:asciiTheme="minorHAnsi" w:hAnsiTheme="minorHAnsi"/>
          <w:sz w:val="22"/>
          <w:szCs w:val="22"/>
        </w:rPr>
      </w:pPr>
      <w:r w:rsidRPr="00350545">
        <w:rPr>
          <w:rFonts w:asciiTheme="minorHAnsi" w:hAnsiTheme="minorHAnsi"/>
          <w:sz w:val="22"/>
          <w:szCs w:val="22"/>
        </w:rPr>
        <w:t xml:space="preserve">Morris, S. B., &amp; DeShon, R. P. (2002). Combining effect size estimates in meta-analysis with repeated measures and independent-groups designs. </w:t>
      </w:r>
      <w:r w:rsidRPr="00350545">
        <w:rPr>
          <w:rStyle w:val="Emphasis"/>
          <w:rFonts w:asciiTheme="minorHAnsi" w:hAnsiTheme="minorHAnsi"/>
          <w:sz w:val="22"/>
          <w:szCs w:val="22"/>
        </w:rPr>
        <w:t>Psychological Methods</w:t>
      </w:r>
      <w:r w:rsidRPr="00350545">
        <w:rPr>
          <w:rFonts w:asciiTheme="minorHAnsi" w:hAnsiTheme="minorHAnsi"/>
          <w:sz w:val="22"/>
          <w:szCs w:val="22"/>
        </w:rPr>
        <w:t xml:space="preserve">, </w:t>
      </w:r>
      <w:r w:rsidRPr="00350545">
        <w:rPr>
          <w:rStyle w:val="Emphasis"/>
          <w:rFonts w:asciiTheme="minorHAnsi" w:hAnsiTheme="minorHAnsi"/>
          <w:sz w:val="22"/>
          <w:szCs w:val="22"/>
        </w:rPr>
        <w:t>7</w:t>
      </w:r>
      <w:r w:rsidRPr="00350545">
        <w:rPr>
          <w:rFonts w:asciiTheme="minorHAnsi" w:hAnsiTheme="minorHAnsi"/>
          <w:sz w:val="22"/>
          <w:szCs w:val="22"/>
        </w:rPr>
        <w:t>, 105-125.</w:t>
      </w:r>
    </w:p>
    <w:p w14:paraId="5C6D2024" w14:textId="77777777" w:rsidR="007672EB" w:rsidRPr="00350545" w:rsidRDefault="007672EB" w:rsidP="00106F57">
      <w:pPr>
        <w:pStyle w:val="NormalWeb"/>
        <w:spacing w:before="0" w:beforeAutospacing="0" w:line="480" w:lineRule="auto"/>
        <w:ind w:left="720" w:hanging="720"/>
        <w:contextualSpacing/>
        <w:rPr>
          <w:rFonts w:asciiTheme="minorHAnsi" w:hAnsiTheme="minorHAnsi"/>
          <w:sz w:val="22"/>
          <w:szCs w:val="22"/>
        </w:rPr>
      </w:pPr>
      <w:r w:rsidRPr="007672EB">
        <w:rPr>
          <w:rFonts w:asciiTheme="minorHAnsi" w:hAnsiTheme="minorHAnsi"/>
          <w:sz w:val="22"/>
          <w:szCs w:val="22"/>
        </w:rPr>
        <w:t xml:space="preserve">Office for National Statistics (2013). </w:t>
      </w:r>
      <w:r w:rsidR="000C68C3" w:rsidRPr="000C68C3">
        <w:rPr>
          <w:rFonts w:asciiTheme="minorHAnsi" w:hAnsiTheme="minorHAnsi" w:cs="Arial"/>
          <w:bCs/>
          <w:i/>
          <w:color w:val="000000"/>
          <w:kern w:val="36"/>
          <w:sz w:val="22"/>
          <w:szCs w:val="22"/>
        </w:rPr>
        <w:t>Crime Statistics, Nature of Crime tables, 2011/12</w:t>
      </w:r>
      <w:r w:rsidR="000C68C3">
        <w:rPr>
          <w:rFonts w:asciiTheme="minorHAnsi" w:hAnsiTheme="minorHAnsi"/>
          <w:i/>
          <w:sz w:val="22"/>
          <w:szCs w:val="22"/>
        </w:rPr>
        <w:t xml:space="preserve">. </w:t>
      </w:r>
      <w:r>
        <w:rPr>
          <w:rFonts w:asciiTheme="minorHAnsi" w:hAnsiTheme="minorHAnsi"/>
          <w:i/>
          <w:sz w:val="22"/>
          <w:szCs w:val="22"/>
        </w:rPr>
        <w:t>T</w:t>
      </w:r>
      <w:r w:rsidRPr="007672EB">
        <w:rPr>
          <w:rFonts w:asciiTheme="minorHAnsi" w:hAnsiTheme="minorHAnsi"/>
          <w:i/>
          <w:sz w:val="22"/>
          <w:szCs w:val="22"/>
        </w:rPr>
        <w:t>iming of when incidents of violence occurred, 2003/04 to 2011/12 Crime Survey for England and Wales</w:t>
      </w:r>
      <w:r w:rsidR="000C68C3">
        <w:rPr>
          <w:rFonts w:asciiTheme="minorHAnsi" w:hAnsiTheme="minorHAnsi"/>
          <w:i/>
          <w:sz w:val="22"/>
          <w:szCs w:val="22"/>
        </w:rPr>
        <w:t>.</w:t>
      </w:r>
      <w:r w:rsidRPr="007672EB">
        <w:rPr>
          <w:rFonts w:asciiTheme="minorHAnsi" w:hAnsiTheme="minorHAnsi"/>
          <w:i/>
          <w:sz w:val="22"/>
          <w:szCs w:val="22"/>
        </w:rPr>
        <w:t xml:space="preserve"> </w:t>
      </w:r>
      <w:r w:rsidRPr="007672EB">
        <w:rPr>
          <w:rFonts w:asciiTheme="minorHAnsi" w:hAnsiTheme="minorHAnsi"/>
          <w:sz w:val="22"/>
          <w:szCs w:val="22"/>
        </w:rPr>
        <w:t>Retrieved from: http://www.ons.gov.uk/ons/publications/re-reference-tables.html?edition=tcm%3A77-296029</w:t>
      </w:r>
    </w:p>
    <w:p w14:paraId="6176D9D2" w14:textId="77777777" w:rsidR="0008294D" w:rsidRDefault="0008294D" w:rsidP="00106F57">
      <w:pPr>
        <w:pStyle w:val="NormalWeb"/>
        <w:spacing w:before="0" w:beforeAutospacing="0" w:line="480" w:lineRule="auto"/>
        <w:ind w:left="720" w:hanging="720"/>
        <w:contextualSpacing/>
        <w:rPr>
          <w:rFonts w:asciiTheme="minorHAnsi" w:hAnsiTheme="minorHAnsi" w:cs="Arial"/>
          <w:sz w:val="22"/>
          <w:szCs w:val="22"/>
        </w:rPr>
      </w:pPr>
      <w:r w:rsidRPr="00350545">
        <w:rPr>
          <w:rFonts w:asciiTheme="minorHAnsi" w:hAnsiTheme="minorHAnsi" w:cs="Arial"/>
          <w:sz w:val="22"/>
          <w:szCs w:val="22"/>
        </w:rPr>
        <w:t xml:space="preserve">Perilloux, C., Duntley, J. D., &amp; Buss, D. M. (2012). The costs of rape. </w:t>
      </w:r>
      <w:r w:rsidRPr="00350545">
        <w:rPr>
          <w:rFonts w:asciiTheme="minorHAnsi" w:hAnsiTheme="minorHAnsi" w:cs="Arial"/>
          <w:i/>
          <w:iCs/>
          <w:sz w:val="22"/>
          <w:szCs w:val="22"/>
        </w:rPr>
        <w:t>Archives of sexual behavior</w:t>
      </w:r>
      <w:r w:rsidRPr="00350545">
        <w:rPr>
          <w:rFonts w:asciiTheme="minorHAnsi" w:hAnsiTheme="minorHAnsi" w:cs="Arial"/>
          <w:sz w:val="22"/>
          <w:szCs w:val="22"/>
        </w:rPr>
        <w:t xml:space="preserve">, </w:t>
      </w:r>
      <w:r w:rsidRPr="00350545">
        <w:rPr>
          <w:rFonts w:asciiTheme="minorHAnsi" w:hAnsiTheme="minorHAnsi" w:cs="Arial"/>
          <w:i/>
          <w:iCs/>
          <w:sz w:val="22"/>
          <w:szCs w:val="22"/>
        </w:rPr>
        <w:t>41</w:t>
      </w:r>
      <w:r w:rsidRPr="00350545">
        <w:rPr>
          <w:rFonts w:asciiTheme="minorHAnsi" w:hAnsiTheme="minorHAnsi" w:cs="Arial"/>
          <w:sz w:val="22"/>
          <w:szCs w:val="22"/>
        </w:rPr>
        <w:t xml:space="preserve">(5), 1099-1106. </w:t>
      </w:r>
      <w:r w:rsidR="00917A83" w:rsidRPr="000769EA">
        <w:rPr>
          <w:rFonts w:asciiTheme="minorHAnsi" w:hAnsiTheme="minorHAnsi" w:cs="AdvPTimes"/>
          <w:sz w:val="22"/>
          <w:szCs w:val="22"/>
        </w:rPr>
        <w:t xml:space="preserve">doi: </w:t>
      </w:r>
      <w:r w:rsidRPr="000769EA">
        <w:rPr>
          <w:rFonts w:asciiTheme="minorHAnsi" w:hAnsiTheme="minorHAnsi" w:cs="AdvPTimes"/>
          <w:sz w:val="22"/>
          <w:szCs w:val="22"/>
        </w:rPr>
        <w:t>10.1007/s10508-011-9863-9.</w:t>
      </w:r>
      <w:r w:rsidRPr="00917A83">
        <w:rPr>
          <w:rFonts w:asciiTheme="minorHAnsi" w:hAnsiTheme="minorHAnsi" w:cs="Arial"/>
          <w:sz w:val="22"/>
          <w:szCs w:val="22"/>
        </w:rPr>
        <w:t xml:space="preserve"> </w:t>
      </w:r>
    </w:p>
    <w:p w14:paraId="278F37D7" w14:textId="77777777" w:rsidR="0008294D" w:rsidRPr="00350545" w:rsidRDefault="0008294D" w:rsidP="00106F57">
      <w:pPr>
        <w:spacing w:after="0" w:line="480" w:lineRule="auto"/>
        <w:ind w:left="720" w:hanging="720"/>
        <w:contextualSpacing/>
        <w:rPr>
          <w:rStyle w:val="Hyperlink"/>
          <w:rFonts w:cs="Arial"/>
          <w:color w:val="auto"/>
        </w:rPr>
      </w:pPr>
      <w:r w:rsidRPr="00350545">
        <w:rPr>
          <w:rFonts w:cs="Arial"/>
          <w:lang w:eastAsia="en-GB"/>
        </w:rPr>
        <w:t xml:space="preserve">Reid, L. W., &amp; Konrad, M. (2004). The gender gap in fear: Assessing the interactive effects of gender and perceived risk on fear of crime. </w:t>
      </w:r>
      <w:r w:rsidRPr="00350545">
        <w:rPr>
          <w:rFonts w:cs="Arial"/>
          <w:i/>
          <w:iCs/>
          <w:lang w:eastAsia="en-GB"/>
        </w:rPr>
        <w:t>Sociological Spectrum</w:t>
      </w:r>
      <w:r w:rsidRPr="00350545">
        <w:rPr>
          <w:rFonts w:cs="Arial"/>
          <w:lang w:eastAsia="en-GB"/>
        </w:rPr>
        <w:t xml:space="preserve">, </w:t>
      </w:r>
      <w:r w:rsidRPr="00350545">
        <w:rPr>
          <w:rFonts w:cs="Arial"/>
          <w:i/>
          <w:iCs/>
          <w:lang w:eastAsia="en-GB"/>
        </w:rPr>
        <w:t>24</w:t>
      </w:r>
      <w:r w:rsidRPr="00350545">
        <w:rPr>
          <w:rFonts w:cs="Arial"/>
          <w:lang w:eastAsia="en-GB"/>
        </w:rPr>
        <w:t xml:space="preserve">(4), 399-425. </w:t>
      </w:r>
      <w:r w:rsidR="00917A83" w:rsidRPr="000769EA">
        <w:t>http://dx.doi.org/10.1080/02732170490431331</w:t>
      </w:r>
    </w:p>
    <w:p w14:paraId="3C5DF1D2" w14:textId="77777777" w:rsidR="00350545" w:rsidRPr="00350545" w:rsidRDefault="0008294D" w:rsidP="00106F57">
      <w:pPr>
        <w:spacing w:after="0" w:line="480" w:lineRule="auto"/>
        <w:ind w:left="720" w:hanging="720"/>
        <w:contextualSpacing/>
        <w:rPr>
          <w:rStyle w:val="Hyperlink"/>
          <w:color w:val="auto"/>
        </w:rPr>
      </w:pPr>
      <w:r w:rsidRPr="00350545">
        <w:rPr>
          <w:rFonts w:cs="Arial"/>
        </w:rPr>
        <w:t xml:space="preserve">Rountree, P. W., &amp; Land, K. C. (1996). Perceived risk versus fear of crime: Empirical evidence of conceptually distinct reactions in survey data. </w:t>
      </w:r>
      <w:r w:rsidRPr="00350545">
        <w:rPr>
          <w:rFonts w:cs="Arial"/>
          <w:i/>
          <w:iCs/>
        </w:rPr>
        <w:t>Social forces</w:t>
      </w:r>
      <w:r w:rsidRPr="00350545">
        <w:rPr>
          <w:rFonts w:cs="Arial"/>
        </w:rPr>
        <w:t xml:space="preserve">, </w:t>
      </w:r>
      <w:r w:rsidRPr="00350545">
        <w:rPr>
          <w:rFonts w:cs="Arial"/>
          <w:i/>
          <w:iCs/>
        </w:rPr>
        <w:t>74</w:t>
      </w:r>
      <w:r w:rsidRPr="00350545">
        <w:rPr>
          <w:rFonts w:cs="Arial"/>
        </w:rPr>
        <w:t xml:space="preserve">(4), 1353-1376. </w:t>
      </w:r>
      <w:r w:rsidR="00917A83" w:rsidRPr="000769EA">
        <w:t>http://dx.doi.org/10.2307/2580354</w:t>
      </w:r>
    </w:p>
    <w:p w14:paraId="7B12E066" w14:textId="69192C2A" w:rsidR="0008294D" w:rsidRDefault="0008294D" w:rsidP="00106F57">
      <w:pPr>
        <w:spacing w:after="0" w:line="480" w:lineRule="auto"/>
        <w:ind w:left="720" w:hanging="720"/>
        <w:contextualSpacing/>
      </w:pPr>
      <w:r w:rsidRPr="00350545">
        <w:rPr>
          <w:rFonts w:cs="Arial"/>
        </w:rPr>
        <w:t xml:space="preserve">Sell, A., Tooby, J., &amp; Cosmides, L. (2009). Formidability and the logic of human anger. </w:t>
      </w:r>
      <w:r w:rsidRPr="00350545">
        <w:rPr>
          <w:rFonts w:cs="Arial"/>
          <w:i/>
          <w:iCs/>
        </w:rPr>
        <w:t>Proceedings of the National Academy of Sciences</w:t>
      </w:r>
      <w:r w:rsidRPr="00350545">
        <w:rPr>
          <w:rFonts w:cs="Arial"/>
        </w:rPr>
        <w:t xml:space="preserve">, </w:t>
      </w:r>
      <w:r w:rsidRPr="00350545">
        <w:rPr>
          <w:rFonts w:cs="Arial"/>
          <w:i/>
          <w:iCs/>
        </w:rPr>
        <w:t>106</w:t>
      </w:r>
      <w:r w:rsidRPr="00350545">
        <w:rPr>
          <w:rFonts w:cs="Arial"/>
        </w:rPr>
        <w:t xml:space="preserve">(35), 15073-15078. </w:t>
      </w:r>
      <w:hyperlink r:id="rId17" w:history="1">
        <w:r w:rsidR="00533E36" w:rsidRPr="00BB3D3C">
          <w:rPr>
            <w:rStyle w:val="Hyperlink"/>
          </w:rPr>
          <w:t>http://dx.doi.org/10.1073/pnas.0904312106</w:t>
        </w:r>
      </w:hyperlink>
    </w:p>
    <w:p w14:paraId="034D157E" w14:textId="7BF26ABB" w:rsidR="00533E36" w:rsidRPr="00533E36" w:rsidRDefault="00533E36" w:rsidP="00106F57">
      <w:pPr>
        <w:spacing w:after="0" w:line="480" w:lineRule="auto"/>
        <w:ind w:left="720" w:hanging="720"/>
        <w:contextualSpacing/>
        <w:rPr>
          <w:rStyle w:val="Hyperlink"/>
          <w:color w:val="auto"/>
        </w:rPr>
      </w:pPr>
      <w:r w:rsidRPr="00805A02">
        <w:rPr>
          <w:rFonts w:cs="Segoe UI"/>
        </w:rPr>
        <w:t>Sherman, A.K., Minich, S.H., Langen, T.A., Skufca, J., &amp; Wilke, A. (2015). Are college students' assessments of threat shaped by the dangers of their childhood environment? Journal of Interpersonal Violence, 1-20.</w:t>
      </w:r>
      <w:r>
        <w:rPr>
          <w:rFonts w:cs="Segoe UI"/>
        </w:rPr>
        <w:t xml:space="preserve"> </w:t>
      </w:r>
      <w:hyperlink r:id="rId18" w:history="1">
        <w:r>
          <w:rPr>
            <w:rStyle w:val="Hyperlink"/>
          </w:rPr>
          <w:t>http://dx.doi.org/10.1177/0886260515572473</w:t>
        </w:r>
      </w:hyperlink>
    </w:p>
    <w:p w14:paraId="1E37A477" w14:textId="47890F51" w:rsidR="0008294D" w:rsidRPr="00350545" w:rsidRDefault="0008294D" w:rsidP="00106F57">
      <w:pPr>
        <w:autoSpaceDE w:val="0"/>
        <w:autoSpaceDN w:val="0"/>
        <w:adjustRightInd w:val="0"/>
        <w:spacing w:after="0" w:line="480" w:lineRule="auto"/>
        <w:ind w:left="720" w:hanging="720"/>
        <w:contextualSpacing/>
        <w:rPr>
          <w:rStyle w:val="Hyperlink"/>
          <w:color w:val="auto"/>
        </w:rPr>
      </w:pPr>
      <w:r w:rsidRPr="00350545">
        <w:rPr>
          <w:rFonts w:cs="AdvPTimes"/>
        </w:rPr>
        <w:t xml:space="preserve">Smuts, B. (1992). Male aggression against women: An evolutionary perspective. </w:t>
      </w:r>
      <w:r w:rsidRPr="00922135">
        <w:rPr>
          <w:rFonts w:cs="AdvPTimesI"/>
          <w:i/>
        </w:rPr>
        <w:t>Human Nature, 3</w:t>
      </w:r>
      <w:r w:rsidR="00922135">
        <w:rPr>
          <w:rFonts w:cs="AdvPTimes"/>
        </w:rPr>
        <w:t>, 1-</w:t>
      </w:r>
      <w:r w:rsidRPr="00350545">
        <w:rPr>
          <w:rFonts w:cs="AdvPTimes"/>
        </w:rPr>
        <w:t xml:space="preserve">44. </w:t>
      </w:r>
      <w:r w:rsidR="00917A83" w:rsidRPr="000769EA">
        <w:t>http://dx.doi.org/10.1007/BF02692265</w:t>
      </w:r>
    </w:p>
    <w:p w14:paraId="57AD2300" w14:textId="77777777" w:rsidR="0008294D" w:rsidRPr="00350545" w:rsidRDefault="0008294D" w:rsidP="00106F57">
      <w:pPr>
        <w:autoSpaceDE w:val="0"/>
        <w:autoSpaceDN w:val="0"/>
        <w:adjustRightInd w:val="0"/>
        <w:spacing w:after="0" w:line="480" w:lineRule="auto"/>
        <w:ind w:left="720" w:hanging="720"/>
        <w:contextualSpacing/>
        <w:rPr>
          <w:rStyle w:val="Hyperlink"/>
          <w:color w:val="auto"/>
        </w:rPr>
      </w:pPr>
      <w:r w:rsidRPr="00350545">
        <w:rPr>
          <w:rFonts w:cs="Arial"/>
        </w:rPr>
        <w:lastRenderedPageBreak/>
        <w:t xml:space="preserve">Snyder, J. K., Fessler, D. M., Tiokhin, L., Frederick, D. A., Lee, S. W., &amp; Navarrete, C. D. (2011). Trade-offs in a dangerous world: Women's fear of crime predicts preferences for aggressive and formidable mates. </w:t>
      </w:r>
      <w:r w:rsidRPr="00350545">
        <w:rPr>
          <w:rFonts w:cs="Arial"/>
          <w:i/>
          <w:iCs/>
        </w:rPr>
        <w:t>Evolution and Human Behavior</w:t>
      </w:r>
      <w:r w:rsidRPr="00350545">
        <w:rPr>
          <w:rFonts w:cs="Arial"/>
        </w:rPr>
        <w:t xml:space="preserve">, </w:t>
      </w:r>
      <w:r w:rsidRPr="00350545">
        <w:rPr>
          <w:rFonts w:cs="Arial"/>
          <w:i/>
          <w:iCs/>
        </w:rPr>
        <w:t>32</w:t>
      </w:r>
      <w:r w:rsidRPr="00350545">
        <w:rPr>
          <w:rFonts w:cs="Arial"/>
        </w:rPr>
        <w:t xml:space="preserve">(2), 127-137. </w:t>
      </w:r>
      <w:r w:rsidR="00917A83" w:rsidRPr="000769EA">
        <w:t>http://dx.doi.org/10.1016/j.evolhumbehav.2010.08.007</w:t>
      </w:r>
    </w:p>
    <w:p w14:paraId="28249290" w14:textId="77777777" w:rsidR="0008294D" w:rsidRDefault="0008294D" w:rsidP="00106F57">
      <w:pPr>
        <w:autoSpaceDE w:val="0"/>
        <w:autoSpaceDN w:val="0"/>
        <w:adjustRightInd w:val="0"/>
        <w:spacing w:after="0" w:line="480" w:lineRule="auto"/>
        <w:ind w:left="720" w:hanging="720"/>
        <w:contextualSpacing/>
        <w:rPr>
          <w:iCs/>
        </w:rPr>
      </w:pPr>
      <w:r w:rsidRPr="00350545">
        <w:rPr>
          <w:rFonts w:cs="Arial"/>
          <w:color w:val="222222"/>
        </w:rPr>
        <w:t xml:space="preserve">Snyder, J., &amp; Fessler, D. (2013). Fear does not correspond to higher costs of rape among married women. </w:t>
      </w:r>
      <w:r w:rsidRPr="00350545">
        <w:rPr>
          <w:rFonts w:cs="Arial"/>
          <w:i/>
          <w:iCs/>
          <w:color w:val="222222"/>
        </w:rPr>
        <w:t>Journal of Evolutionary Psychology</w:t>
      </w:r>
      <w:r w:rsidRPr="00350545">
        <w:rPr>
          <w:rFonts w:cs="Arial"/>
          <w:color w:val="222222"/>
        </w:rPr>
        <w:t xml:space="preserve">, </w:t>
      </w:r>
      <w:r w:rsidRPr="00350545">
        <w:rPr>
          <w:rFonts w:cs="Arial"/>
          <w:i/>
          <w:iCs/>
          <w:color w:val="222222"/>
        </w:rPr>
        <w:t>11</w:t>
      </w:r>
      <w:r w:rsidRPr="00350545">
        <w:rPr>
          <w:rFonts w:cs="Arial"/>
          <w:color w:val="222222"/>
        </w:rPr>
        <w:t>(2), 49-64.</w:t>
      </w:r>
      <w:r w:rsidRPr="00350545">
        <w:rPr>
          <w:i/>
          <w:iCs/>
        </w:rPr>
        <w:t xml:space="preserve"> </w:t>
      </w:r>
      <w:r w:rsidR="00917A83" w:rsidRPr="000769EA">
        <w:rPr>
          <w:iCs/>
        </w:rPr>
        <w:t>doi</w:t>
      </w:r>
      <w:r w:rsidRPr="000769EA">
        <w:rPr>
          <w:iCs/>
        </w:rPr>
        <w:t>: 10.1556/JEP.11.2013.2.1</w:t>
      </w:r>
    </w:p>
    <w:p w14:paraId="59BB9B5C" w14:textId="082DF38E" w:rsidR="00D7109F" w:rsidRPr="00805A02" w:rsidRDefault="00D7109F" w:rsidP="00805A02">
      <w:pPr>
        <w:spacing w:after="0" w:line="480" w:lineRule="auto"/>
        <w:ind w:left="720" w:hanging="720"/>
        <w:rPr>
          <w:rFonts w:cs="Arial"/>
          <w:color w:val="222222"/>
          <w:lang w:eastAsia="en-GB"/>
        </w:rPr>
      </w:pPr>
      <w:r w:rsidRPr="00805A02">
        <w:rPr>
          <w:rFonts w:cs="Arial"/>
          <w:color w:val="222222"/>
          <w:lang w:eastAsia="en-GB"/>
        </w:rPr>
        <w:t xml:space="preserve">Šukolová, D., &amp; Sarmany-Schuller, I. (2011). Fluctuating perception of selected risk situations with respect to hormonal changes during menstrual cycle. </w:t>
      </w:r>
      <w:r w:rsidRPr="00805A02">
        <w:rPr>
          <w:rFonts w:cs="Arial"/>
          <w:i/>
          <w:iCs/>
          <w:color w:val="222222"/>
          <w:lang w:eastAsia="en-GB"/>
        </w:rPr>
        <w:t>Studia Psychologica</w:t>
      </w:r>
      <w:r w:rsidRPr="00805A02">
        <w:rPr>
          <w:rFonts w:cs="Arial"/>
          <w:color w:val="222222"/>
          <w:lang w:eastAsia="en-GB"/>
        </w:rPr>
        <w:t xml:space="preserve">, </w:t>
      </w:r>
      <w:r w:rsidRPr="00805A02">
        <w:rPr>
          <w:rFonts w:cs="Arial"/>
          <w:i/>
          <w:iCs/>
          <w:color w:val="222222"/>
          <w:lang w:eastAsia="en-GB"/>
        </w:rPr>
        <w:t>53</w:t>
      </w:r>
      <w:r w:rsidRPr="00805A02">
        <w:rPr>
          <w:rFonts w:cs="Arial"/>
          <w:color w:val="222222"/>
          <w:lang w:eastAsia="en-GB"/>
        </w:rPr>
        <w:t>(1), 3.</w:t>
      </w:r>
    </w:p>
    <w:p w14:paraId="1E1776CE" w14:textId="77777777" w:rsidR="0008294D" w:rsidRPr="00350545" w:rsidRDefault="0008294D" w:rsidP="00106F57">
      <w:pPr>
        <w:autoSpaceDE w:val="0"/>
        <w:autoSpaceDN w:val="0"/>
        <w:adjustRightInd w:val="0"/>
        <w:spacing w:after="0" w:line="480" w:lineRule="auto"/>
        <w:ind w:left="720" w:hanging="720"/>
        <w:contextualSpacing/>
        <w:rPr>
          <w:rFonts w:cs="AdvTT5235d5a9"/>
        </w:rPr>
      </w:pPr>
      <w:r w:rsidRPr="00350545">
        <w:rPr>
          <w:rFonts w:cs="AdvTT5235d5a9"/>
        </w:rPr>
        <w:t xml:space="preserve">Thornhill, R., &amp; Palmer, C. (2000). </w:t>
      </w:r>
      <w:r w:rsidRPr="00350545">
        <w:rPr>
          <w:rFonts w:cs="AdvTT94c8263f.I"/>
        </w:rPr>
        <w:t xml:space="preserve">A natural history of rape. </w:t>
      </w:r>
      <w:r w:rsidRPr="00350545">
        <w:rPr>
          <w:rFonts w:cs="AdvTT5235d5a9"/>
        </w:rPr>
        <w:t>Cambridge, MA: MIT Press</w:t>
      </w:r>
    </w:p>
    <w:p w14:paraId="0535842C" w14:textId="77777777" w:rsidR="0008294D" w:rsidRPr="00350545" w:rsidRDefault="0008294D" w:rsidP="00106F57">
      <w:pPr>
        <w:autoSpaceDE w:val="0"/>
        <w:autoSpaceDN w:val="0"/>
        <w:adjustRightInd w:val="0"/>
        <w:spacing w:after="0" w:line="480" w:lineRule="auto"/>
        <w:ind w:left="720" w:hanging="720"/>
        <w:contextualSpacing/>
        <w:rPr>
          <w:rStyle w:val="Hyperlink"/>
          <w:color w:val="auto"/>
        </w:rPr>
      </w:pPr>
      <w:r w:rsidRPr="00350545">
        <w:rPr>
          <w:rFonts w:cs="Arial"/>
        </w:rPr>
        <w:t xml:space="preserve">Ware Jr, J. E., Kosinski, M., &amp; Keller, S. D. (1996). A 12-Item Short-Form Health Survey: construction of scales and preliminary tests of reliability and validity. </w:t>
      </w:r>
      <w:r w:rsidRPr="00350545">
        <w:rPr>
          <w:rFonts w:cs="Arial"/>
          <w:i/>
          <w:iCs/>
        </w:rPr>
        <w:t>Medical care</w:t>
      </w:r>
      <w:r w:rsidRPr="00350545">
        <w:rPr>
          <w:rFonts w:cs="Arial"/>
        </w:rPr>
        <w:t xml:space="preserve">, </w:t>
      </w:r>
      <w:r w:rsidRPr="00350545">
        <w:rPr>
          <w:rFonts w:cs="Arial"/>
          <w:i/>
          <w:iCs/>
        </w:rPr>
        <w:t>34</w:t>
      </w:r>
      <w:r w:rsidRPr="00350545">
        <w:rPr>
          <w:rFonts w:cs="Arial"/>
        </w:rPr>
        <w:t xml:space="preserve">(3), 220-233. </w:t>
      </w:r>
      <w:r w:rsidR="00917A83" w:rsidRPr="000769EA">
        <w:t>http://dx.doi.org/10.1097/00005650-199603000-00003</w:t>
      </w:r>
    </w:p>
    <w:p w14:paraId="711C3C76" w14:textId="77777777" w:rsidR="0008294D" w:rsidRPr="00350545" w:rsidRDefault="0008294D" w:rsidP="00106F57">
      <w:pPr>
        <w:autoSpaceDE w:val="0"/>
        <w:autoSpaceDN w:val="0"/>
        <w:adjustRightInd w:val="0"/>
        <w:spacing w:after="0" w:line="480" w:lineRule="auto"/>
        <w:ind w:left="720" w:hanging="720"/>
        <w:contextualSpacing/>
        <w:rPr>
          <w:rStyle w:val="Hyperlink"/>
          <w:color w:val="auto"/>
        </w:rPr>
      </w:pPr>
      <w:r w:rsidRPr="00350545">
        <w:rPr>
          <w:rFonts w:cs="AdvTT5235d5a9"/>
        </w:rPr>
        <w:t xml:space="preserve">Warr, M. (1985). Fear of rape among urban women. </w:t>
      </w:r>
      <w:r w:rsidRPr="00350545">
        <w:rPr>
          <w:rFonts w:cs="AdvTT94c8263f.I"/>
          <w:i/>
        </w:rPr>
        <w:t>Social Problems</w:t>
      </w:r>
      <w:r w:rsidRPr="00350545">
        <w:rPr>
          <w:rFonts w:cs="AdvTT5235d5a9"/>
          <w:i/>
        </w:rPr>
        <w:t xml:space="preserve">, </w:t>
      </w:r>
      <w:r w:rsidRPr="00350545">
        <w:rPr>
          <w:rFonts w:cs="AdvTT94c8263f.I"/>
          <w:i/>
        </w:rPr>
        <w:t>32</w:t>
      </w:r>
      <w:r w:rsidRPr="00350545">
        <w:rPr>
          <w:rFonts w:cs="AdvTT5235d5a9"/>
        </w:rPr>
        <w:t>, 238</w:t>
      </w:r>
      <w:r w:rsidRPr="00350545">
        <w:rPr>
          <w:rFonts w:cs="AdvTT5235d5a9+20"/>
        </w:rPr>
        <w:t>–</w:t>
      </w:r>
      <w:r w:rsidRPr="00350545">
        <w:rPr>
          <w:rFonts w:cs="AdvTT5235d5a9"/>
        </w:rPr>
        <w:t xml:space="preserve">250. </w:t>
      </w:r>
      <w:r w:rsidR="00917A83" w:rsidRPr="000769EA">
        <w:t>http://dx.doi.org/10.2307/800684</w:t>
      </w:r>
    </w:p>
    <w:p w14:paraId="634868B6" w14:textId="77777777" w:rsidR="0008294D" w:rsidRPr="00350545" w:rsidRDefault="0008294D" w:rsidP="00106F57">
      <w:pPr>
        <w:spacing w:after="0" w:line="480" w:lineRule="auto"/>
        <w:ind w:left="720" w:hanging="720"/>
        <w:contextualSpacing/>
        <w:rPr>
          <w:rFonts w:cs="Arial"/>
          <w:lang w:eastAsia="en-GB"/>
        </w:rPr>
      </w:pPr>
      <w:r w:rsidRPr="00350545">
        <w:rPr>
          <w:rFonts w:cs="Arial"/>
          <w:lang w:eastAsia="en-GB"/>
        </w:rPr>
        <w:t xml:space="preserve">Warr, M. (1987). Fear of victimization and sensitivity to risk. </w:t>
      </w:r>
      <w:r w:rsidRPr="00350545">
        <w:rPr>
          <w:rFonts w:cs="Arial"/>
          <w:i/>
          <w:iCs/>
          <w:lang w:eastAsia="en-GB"/>
        </w:rPr>
        <w:t>Journal of quantitative criminology</w:t>
      </w:r>
      <w:r w:rsidRPr="00350545">
        <w:rPr>
          <w:rFonts w:cs="Arial"/>
          <w:lang w:eastAsia="en-GB"/>
        </w:rPr>
        <w:t xml:space="preserve">, </w:t>
      </w:r>
      <w:r w:rsidRPr="00350545">
        <w:rPr>
          <w:rFonts w:cs="Arial"/>
          <w:i/>
          <w:iCs/>
          <w:lang w:eastAsia="en-GB"/>
        </w:rPr>
        <w:t>3</w:t>
      </w:r>
      <w:r w:rsidRPr="00350545">
        <w:rPr>
          <w:rFonts w:cs="Arial"/>
          <w:lang w:eastAsia="en-GB"/>
        </w:rPr>
        <w:t xml:space="preserve">(1), 29-46. </w:t>
      </w:r>
      <w:r w:rsidR="00917A83" w:rsidRPr="000769EA">
        <w:t>http://dx.doi.org/10.1007/BF01065199</w:t>
      </w:r>
    </w:p>
    <w:p w14:paraId="6BE5F30B" w14:textId="77777777" w:rsidR="0008294D" w:rsidRPr="00350545" w:rsidRDefault="0008294D" w:rsidP="00106F57">
      <w:pPr>
        <w:autoSpaceDE w:val="0"/>
        <w:autoSpaceDN w:val="0"/>
        <w:adjustRightInd w:val="0"/>
        <w:spacing w:after="0" w:line="480" w:lineRule="auto"/>
        <w:ind w:left="720" w:hanging="720"/>
        <w:contextualSpacing/>
        <w:rPr>
          <w:rStyle w:val="Hyperlink"/>
          <w:rFonts w:cs="Arial"/>
          <w:color w:val="auto"/>
        </w:rPr>
      </w:pPr>
      <w:r w:rsidRPr="00350545">
        <w:rPr>
          <w:rFonts w:cs="Arial"/>
          <w:color w:val="222222"/>
          <w:lang w:eastAsia="en-GB"/>
        </w:rPr>
        <w:t>Warr, M., &amp; Stafford, M. (1982). Fear of victimization: A look at the proximate causes.</w:t>
      </w:r>
      <w:r w:rsidRPr="00350545">
        <w:rPr>
          <w:rFonts w:cs="AdvPSTimsNR-MR"/>
        </w:rPr>
        <w:t xml:space="preserve"> </w:t>
      </w:r>
      <w:r w:rsidRPr="00350545">
        <w:rPr>
          <w:rFonts w:cs="AdvPSTimsNR-MI"/>
          <w:i/>
        </w:rPr>
        <w:t xml:space="preserve">Social Forces </w:t>
      </w:r>
      <w:r w:rsidRPr="00350545">
        <w:rPr>
          <w:rFonts w:cs="AdvPSTimsNR-MR"/>
          <w:i/>
        </w:rPr>
        <w:t>61</w:t>
      </w:r>
      <w:r w:rsidRPr="00350545">
        <w:rPr>
          <w:rFonts w:cs="AdvPSTimsNR-MR"/>
        </w:rPr>
        <w:t xml:space="preserve">(4), 1033–1043. </w:t>
      </w:r>
      <w:r w:rsidR="00917A83" w:rsidRPr="000769EA">
        <w:t>http://dx.doi.org/10.2307/2578277</w:t>
      </w:r>
    </w:p>
    <w:p w14:paraId="6FA9E088" w14:textId="2FA46B32" w:rsidR="0008294D" w:rsidRDefault="0008294D" w:rsidP="00106F57">
      <w:pPr>
        <w:autoSpaceDE w:val="0"/>
        <w:autoSpaceDN w:val="0"/>
        <w:adjustRightInd w:val="0"/>
        <w:spacing w:after="0" w:line="480" w:lineRule="auto"/>
        <w:ind w:left="720" w:hanging="720"/>
        <w:contextualSpacing/>
      </w:pPr>
      <w:r w:rsidRPr="00350545">
        <w:rPr>
          <w:rFonts w:cs="Arial"/>
        </w:rPr>
        <w:t xml:space="preserve">Watson, D., Clark, L. A., &amp; Tellegen, A. (1988). Development and validation of brief measures of positive and negative affect: the PANAS scales. </w:t>
      </w:r>
      <w:r w:rsidRPr="00350545">
        <w:rPr>
          <w:rFonts w:cs="Arial"/>
          <w:i/>
          <w:iCs/>
        </w:rPr>
        <w:t>Journal of personality and social psychology</w:t>
      </w:r>
      <w:r w:rsidRPr="00350545">
        <w:rPr>
          <w:rFonts w:cs="Arial"/>
        </w:rPr>
        <w:t xml:space="preserve">, </w:t>
      </w:r>
      <w:r w:rsidRPr="00350545">
        <w:rPr>
          <w:rFonts w:cs="Arial"/>
          <w:i/>
          <w:iCs/>
        </w:rPr>
        <w:t>54</w:t>
      </w:r>
      <w:r w:rsidRPr="00350545">
        <w:rPr>
          <w:rFonts w:cs="Arial"/>
        </w:rPr>
        <w:t>(6), 1063.</w:t>
      </w:r>
      <w:r w:rsidRPr="00350545">
        <w:t xml:space="preserve"> </w:t>
      </w:r>
      <w:hyperlink r:id="rId19" w:history="1">
        <w:r w:rsidR="00CA6CAE" w:rsidRPr="00554907">
          <w:rPr>
            <w:rStyle w:val="Hyperlink"/>
          </w:rPr>
          <w:t>http://dx.doi.org/10.1037/0022-3514.54.6.1063</w:t>
        </w:r>
      </w:hyperlink>
    </w:p>
    <w:p w14:paraId="2FF3F3C8" w14:textId="5CFF598F" w:rsidR="00CA6CAE" w:rsidRPr="00DE2F2B" w:rsidRDefault="00CA6CAE" w:rsidP="00805A02">
      <w:pPr>
        <w:autoSpaceDE w:val="0"/>
        <w:autoSpaceDN w:val="0"/>
        <w:adjustRightInd w:val="0"/>
        <w:spacing w:after="0" w:line="480" w:lineRule="auto"/>
        <w:ind w:left="720" w:hanging="720"/>
        <w:rPr>
          <w:u w:val="single"/>
        </w:rPr>
      </w:pPr>
      <w:r w:rsidRPr="00036B43">
        <w:rPr>
          <w:rFonts w:cs="AdvTT5235d5a9"/>
        </w:rPr>
        <w:t xml:space="preserve">Wideman, L., Montgomery,M. M., Levine, B. J., Beynnon, B. D., &amp; Shultz, S. J. (2013). Accuracy of calendar-based methods for assigning menstrual cycle phase in women. </w:t>
      </w:r>
      <w:r w:rsidRPr="000503A3">
        <w:rPr>
          <w:rFonts w:cs="AdvTT94c8263f.I"/>
          <w:i/>
        </w:rPr>
        <w:t>Sports Health: A Multidisciplinary Approach</w:t>
      </w:r>
      <w:r w:rsidRPr="000503A3">
        <w:rPr>
          <w:rFonts w:cs="AdvTT5235d5a9"/>
          <w:i/>
        </w:rPr>
        <w:t xml:space="preserve">, </w:t>
      </w:r>
      <w:r w:rsidRPr="000503A3">
        <w:rPr>
          <w:rFonts w:cs="AdvTT94c8263f.I"/>
          <w:i/>
        </w:rPr>
        <w:t>5</w:t>
      </w:r>
      <w:r w:rsidRPr="00036B43">
        <w:rPr>
          <w:rFonts w:cs="AdvTT5235d5a9"/>
        </w:rPr>
        <w:t>, 143</w:t>
      </w:r>
      <w:r w:rsidRPr="00036B43">
        <w:rPr>
          <w:rFonts w:cs="AdvTT5235d5a9+20"/>
        </w:rPr>
        <w:t>–</w:t>
      </w:r>
      <w:r w:rsidRPr="00036B43">
        <w:rPr>
          <w:rFonts w:cs="AdvTT5235d5a9"/>
        </w:rPr>
        <w:t xml:space="preserve">149. </w:t>
      </w:r>
      <w:hyperlink r:id="rId20" w:history="1">
        <w:r w:rsidRPr="00036B43">
          <w:rPr>
            <w:rStyle w:val="Hyperlink"/>
            <w:color w:val="auto"/>
          </w:rPr>
          <w:t>http://dx.doi.org/10.1177/1941738112469930</w:t>
        </w:r>
      </w:hyperlink>
    </w:p>
    <w:p w14:paraId="6317C534" w14:textId="77777777" w:rsidR="0008294D" w:rsidRPr="00350545" w:rsidRDefault="0008294D" w:rsidP="00106F57">
      <w:pPr>
        <w:spacing w:after="0" w:line="480" w:lineRule="auto"/>
        <w:ind w:left="720" w:hanging="720"/>
        <w:contextualSpacing/>
        <w:rPr>
          <w:rStyle w:val="Hyperlink"/>
          <w:rFonts w:cs="Arial"/>
          <w:color w:val="auto"/>
        </w:rPr>
      </w:pPr>
      <w:r w:rsidRPr="00350545">
        <w:rPr>
          <w:rFonts w:cs="Arial"/>
          <w:lang w:eastAsia="en-GB"/>
        </w:rPr>
        <w:lastRenderedPageBreak/>
        <w:t xml:space="preserve">Wilcox, P., May, D. C., &amp; Roberts, S. D. (2006). Student weapon possession and the “fear and victimization hypothesis”: Unravelling the temporal order. </w:t>
      </w:r>
      <w:r w:rsidRPr="00350545">
        <w:rPr>
          <w:rFonts w:cs="Arial"/>
          <w:i/>
          <w:iCs/>
          <w:lang w:eastAsia="en-GB"/>
        </w:rPr>
        <w:t>Justice Quarterly</w:t>
      </w:r>
      <w:r w:rsidRPr="00350545">
        <w:rPr>
          <w:rFonts w:cs="Arial"/>
          <w:lang w:eastAsia="en-GB"/>
        </w:rPr>
        <w:t xml:space="preserve">, </w:t>
      </w:r>
      <w:r w:rsidRPr="00350545">
        <w:rPr>
          <w:rFonts w:cs="Arial"/>
          <w:i/>
          <w:iCs/>
          <w:lang w:eastAsia="en-GB"/>
        </w:rPr>
        <w:t>23</w:t>
      </w:r>
      <w:r w:rsidRPr="00350545">
        <w:rPr>
          <w:rFonts w:cs="Arial"/>
          <w:lang w:eastAsia="en-GB"/>
        </w:rPr>
        <w:t xml:space="preserve">(4), 502-529. </w:t>
      </w:r>
      <w:r w:rsidR="00917A83" w:rsidRPr="000769EA">
        <w:t>http://dx.doi.org/10.1080/07418820600985362</w:t>
      </w:r>
    </w:p>
    <w:p w14:paraId="21F54937" w14:textId="3E18FD9B" w:rsidR="0008294D" w:rsidRDefault="0008294D" w:rsidP="00106F57">
      <w:pPr>
        <w:autoSpaceDE w:val="0"/>
        <w:autoSpaceDN w:val="0"/>
        <w:adjustRightInd w:val="0"/>
        <w:spacing w:after="0" w:line="480" w:lineRule="auto"/>
        <w:ind w:left="720" w:hanging="720"/>
        <w:contextualSpacing/>
      </w:pPr>
      <w:r w:rsidRPr="00350545">
        <w:rPr>
          <w:rFonts w:cs="Arial"/>
        </w:rPr>
        <w:t xml:space="preserve">Wilson, M., &amp; Mesnick, S. L. (1997). An empirical test of the bodyguard hypothesis. In </w:t>
      </w:r>
      <w:r w:rsidRPr="00350545">
        <w:rPr>
          <w:rFonts w:cs="Arial"/>
          <w:i/>
          <w:iCs/>
        </w:rPr>
        <w:t>Feminism and evolutionary biology</w:t>
      </w:r>
      <w:r w:rsidRPr="00350545">
        <w:rPr>
          <w:rFonts w:cs="Arial"/>
        </w:rPr>
        <w:t xml:space="preserve"> (pp. 505-511). Springer US.</w:t>
      </w:r>
      <w:r w:rsidR="007E01A9">
        <w:rPr>
          <w:rFonts w:cs="Arial"/>
        </w:rPr>
        <w:t xml:space="preserve"> </w:t>
      </w:r>
      <w:hyperlink r:id="rId21" w:history="1">
        <w:r w:rsidR="001F3D6A" w:rsidRPr="00BB3D3C">
          <w:rPr>
            <w:rStyle w:val="Hyperlink"/>
          </w:rPr>
          <w:t>http://dx.doi.org/10.1007/978-1-4615-5985-6_21</w:t>
        </w:r>
      </w:hyperlink>
    </w:p>
    <w:p w14:paraId="315BB00A" w14:textId="38AC599D" w:rsidR="001F3D6A" w:rsidRPr="00805A02" w:rsidRDefault="001F3D6A" w:rsidP="00805A02">
      <w:pPr>
        <w:autoSpaceDE w:val="0"/>
        <w:autoSpaceDN w:val="0"/>
        <w:adjustRightInd w:val="0"/>
        <w:spacing w:after="0" w:line="480" w:lineRule="auto"/>
        <w:ind w:left="720" w:hanging="720"/>
        <w:rPr>
          <w:rFonts w:cs="AdvPSA1A1"/>
        </w:rPr>
      </w:pPr>
      <w:r w:rsidRPr="00805A02">
        <w:rPr>
          <w:rFonts w:cs="Segoe UI"/>
        </w:rPr>
        <w:t>Zhoa, J. S., Lawton, B., &amp; Longmire, D. (2015). An examination of the micro-level crime - fear of crime link. Crime and Delinquency, 61, 19-44.</w:t>
      </w:r>
      <w:r w:rsidRPr="001F3D6A">
        <w:rPr>
          <w:rFonts w:cs="Segoe UI"/>
        </w:rPr>
        <w:t xml:space="preserve"> </w:t>
      </w:r>
      <w:hyperlink r:id="rId22" w:history="1">
        <w:r w:rsidRPr="00805A02">
          <w:rPr>
            <w:rStyle w:val="Hyperlink"/>
            <w:color w:val="auto"/>
          </w:rPr>
          <w:t>http://dx.doi.org/10.1177/0011128710386203</w:t>
        </w:r>
      </w:hyperlink>
    </w:p>
    <w:p w14:paraId="589DA8F6" w14:textId="77777777" w:rsidR="001F3D6A" w:rsidRPr="007E01A9" w:rsidRDefault="001F3D6A" w:rsidP="00106F57">
      <w:pPr>
        <w:autoSpaceDE w:val="0"/>
        <w:autoSpaceDN w:val="0"/>
        <w:adjustRightInd w:val="0"/>
        <w:spacing w:after="0" w:line="480" w:lineRule="auto"/>
        <w:ind w:left="720" w:hanging="720"/>
        <w:contextualSpacing/>
      </w:pPr>
    </w:p>
    <w:p w14:paraId="5A0676FB" w14:textId="77777777" w:rsidR="0008294D" w:rsidRDefault="0008294D" w:rsidP="00106F57">
      <w:pPr>
        <w:pStyle w:val="EndnoteText"/>
        <w:spacing w:line="480" w:lineRule="auto"/>
        <w:contextualSpacing/>
      </w:pPr>
    </w:p>
    <w:p w14:paraId="450F5745" w14:textId="77777777" w:rsidR="0008294D" w:rsidRDefault="0008294D" w:rsidP="00106F57">
      <w:pPr>
        <w:pStyle w:val="EndnoteText"/>
        <w:spacing w:line="480" w:lineRule="auto"/>
      </w:pPr>
    </w:p>
    <w:p w14:paraId="7893D4F8" w14:textId="77777777" w:rsidR="0008294D" w:rsidRDefault="0008294D" w:rsidP="00106F57">
      <w:pPr>
        <w:spacing w:line="480" w:lineRule="auto"/>
        <w:rPr>
          <w:i/>
        </w:rPr>
      </w:pPr>
      <w:r>
        <w:rPr>
          <w:i/>
        </w:rPr>
        <w:br w:type="page"/>
      </w:r>
    </w:p>
    <w:p w14:paraId="5A5E254E" w14:textId="77777777" w:rsidR="0008294D" w:rsidRPr="0075449C" w:rsidRDefault="0008294D" w:rsidP="00106F57">
      <w:pPr>
        <w:spacing w:line="480" w:lineRule="auto"/>
        <w:rPr>
          <w:i/>
        </w:rPr>
      </w:pPr>
      <w:r w:rsidRPr="0075449C">
        <w:rPr>
          <w:i/>
        </w:rPr>
        <w:lastRenderedPageBreak/>
        <w:t xml:space="preserve">Table 1. Mean (SEM) Ratings of Personal Safety, Fear of Crime, Consequences, and Vulnerability Ratings in Crime </w:t>
      </w:r>
      <w:r>
        <w:rPr>
          <w:i/>
        </w:rPr>
        <w:t>Hotspot</w:t>
      </w:r>
      <w:r w:rsidRPr="0075449C">
        <w:rPr>
          <w:i/>
        </w:rPr>
        <w:t xml:space="preserve">s versus </w:t>
      </w:r>
      <w:r>
        <w:rPr>
          <w:i/>
        </w:rPr>
        <w:t>Safespots</w:t>
      </w:r>
      <w:r w:rsidRPr="0075449C">
        <w:rPr>
          <w:i/>
        </w:rPr>
        <w:t>.</w:t>
      </w:r>
    </w:p>
    <w:tbl>
      <w:tblPr>
        <w:tblW w:w="7678" w:type="dxa"/>
        <w:tblInd w:w="93" w:type="dxa"/>
        <w:tblLook w:val="04A0" w:firstRow="1" w:lastRow="0" w:firstColumn="1" w:lastColumn="0" w:noHBand="0" w:noVBand="1"/>
      </w:tblPr>
      <w:tblGrid>
        <w:gridCol w:w="1480"/>
        <w:gridCol w:w="1420"/>
        <w:gridCol w:w="1540"/>
        <w:gridCol w:w="960"/>
        <w:gridCol w:w="1139"/>
        <w:gridCol w:w="1139"/>
      </w:tblGrid>
      <w:tr w:rsidR="0008294D" w:rsidRPr="0075449C" w14:paraId="71AF1F05" w14:textId="77777777" w:rsidTr="0008294D">
        <w:trPr>
          <w:trHeight w:val="300"/>
        </w:trPr>
        <w:tc>
          <w:tcPr>
            <w:tcW w:w="1480" w:type="dxa"/>
            <w:tcBorders>
              <w:top w:val="nil"/>
              <w:left w:val="nil"/>
              <w:bottom w:val="single" w:sz="4" w:space="0" w:color="auto"/>
              <w:right w:val="nil"/>
            </w:tcBorders>
            <w:noWrap/>
            <w:vAlign w:val="bottom"/>
            <w:hideMark/>
          </w:tcPr>
          <w:p w14:paraId="68C9FAE0" w14:textId="77777777" w:rsidR="0008294D" w:rsidRPr="0075449C" w:rsidRDefault="0008294D" w:rsidP="00106F57">
            <w:pPr>
              <w:spacing w:line="480" w:lineRule="auto"/>
              <w:rPr>
                <w:rFonts w:ascii="Calibri" w:hAnsi="Calibri"/>
                <w:lang w:eastAsia="en-GB"/>
              </w:rPr>
            </w:pPr>
          </w:p>
        </w:tc>
        <w:tc>
          <w:tcPr>
            <w:tcW w:w="1420" w:type="dxa"/>
            <w:tcBorders>
              <w:top w:val="nil"/>
              <w:left w:val="nil"/>
              <w:bottom w:val="single" w:sz="4" w:space="0" w:color="auto"/>
              <w:right w:val="nil"/>
            </w:tcBorders>
            <w:noWrap/>
            <w:vAlign w:val="bottom"/>
            <w:hideMark/>
          </w:tcPr>
          <w:p w14:paraId="27AA3F8A" w14:textId="77777777" w:rsidR="0008294D" w:rsidRPr="0075449C" w:rsidRDefault="0008294D" w:rsidP="00106F57">
            <w:pPr>
              <w:spacing w:line="480" w:lineRule="auto"/>
              <w:rPr>
                <w:rFonts w:ascii="Calibri" w:hAnsi="Calibri"/>
                <w:lang w:eastAsia="en-GB"/>
              </w:rPr>
            </w:pPr>
            <w:r w:rsidRPr="0075449C">
              <w:rPr>
                <w:rFonts w:ascii="Calibri" w:hAnsi="Calibri"/>
                <w:lang w:eastAsia="en-GB"/>
              </w:rPr>
              <w:t> </w:t>
            </w:r>
          </w:p>
        </w:tc>
        <w:tc>
          <w:tcPr>
            <w:tcW w:w="1540" w:type="dxa"/>
            <w:tcBorders>
              <w:top w:val="nil"/>
              <w:left w:val="nil"/>
              <w:bottom w:val="single" w:sz="4" w:space="0" w:color="auto"/>
              <w:right w:val="nil"/>
            </w:tcBorders>
            <w:noWrap/>
            <w:vAlign w:val="bottom"/>
            <w:hideMark/>
          </w:tcPr>
          <w:p w14:paraId="495454A5" w14:textId="77777777" w:rsidR="0008294D" w:rsidRPr="0075449C" w:rsidRDefault="0008294D" w:rsidP="00106F57">
            <w:pPr>
              <w:spacing w:line="480" w:lineRule="auto"/>
              <w:rPr>
                <w:rFonts w:ascii="Calibri" w:hAnsi="Calibri"/>
                <w:lang w:eastAsia="en-GB"/>
              </w:rPr>
            </w:pPr>
          </w:p>
        </w:tc>
        <w:tc>
          <w:tcPr>
            <w:tcW w:w="960" w:type="dxa"/>
            <w:tcBorders>
              <w:top w:val="nil"/>
              <w:left w:val="nil"/>
              <w:bottom w:val="single" w:sz="4" w:space="0" w:color="auto"/>
              <w:right w:val="nil"/>
            </w:tcBorders>
            <w:noWrap/>
            <w:vAlign w:val="bottom"/>
            <w:hideMark/>
          </w:tcPr>
          <w:p w14:paraId="43400AAB" w14:textId="77777777" w:rsidR="0008294D" w:rsidRPr="0075449C" w:rsidRDefault="0008294D" w:rsidP="00106F57">
            <w:pPr>
              <w:spacing w:line="480" w:lineRule="auto"/>
              <w:rPr>
                <w:rFonts w:ascii="Calibri" w:hAnsi="Calibri"/>
                <w:lang w:eastAsia="en-GB"/>
              </w:rPr>
            </w:pPr>
            <w:r w:rsidRPr="0075449C">
              <w:rPr>
                <w:rFonts w:ascii="Calibri" w:hAnsi="Calibri"/>
                <w:lang w:eastAsia="en-GB"/>
              </w:rPr>
              <w:t> </w:t>
            </w:r>
          </w:p>
        </w:tc>
        <w:tc>
          <w:tcPr>
            <w:tcW w:w="1139" w:type="dxa"/>
            <w:tcBorders>
              <w:top w:val="nil"/>
              <w:left w:val="nil"/>
              <w:bottom w:val="single" w:sz="4" w:space="0" w:color="auto"/>
              <w:right w:val="nil"/>
            </w:tcBorders>
            <w:noWrap/>
            <w:vAlign w:val="bottom"/>
            <w:hideMark/>
          </w:tcPr>
          <w:p w14:paraId="0AE61BF7" w14:textId="77777777" w:rsidR="0008294D" w:rsidRPr="0075449C" w:rsidRDefault="0008294D" w:rsidP="00106F57">
            <w:pPr>
              <w:spacing w:line="480" w:lineRule="auto"/>
              <w:rPr>
                <w:rFonts w:ascii="Calibri" w:hAnsi="Calibri"/>
                <w:lang w:eastAsia="en-GB"/>
              </w:rPr>
            </w:pPr>
            <w:r w:rsidRPr="0075449C">
              <w:rPr>
                <w:rFonts w:ascii="Calibri" w:hAnsi="Calibri"/>
                <w:lang w:eastAsia="en-GB"/>
              </w:rPr>
              <w:t> </w:t>
            </w:r>
          </w:p>
        </w:tc>
        <w:tc>
          <w:tcPr>
            <w:tcW w:w="1139" w:type="dxa"/>
            <w:tcBorders>
              <w:top w:val="nil"/>
              <w:left w:val="nil"/>
              <w:bottom w:val="single" w:sz="4" w:space="0" w:color="auto"/>
              <w:right w:val="nil"/>
            </w:tcBorders>
          </w:tcPr>
          <w:p w14:paraId="38CB7E0A" w14:textId="77777777" w:rsidR="0008294D" w:rsidRPr="0075449C" w:rsidRDefault="0008294D" w:rsidP="00106F57">
            <w:pPr>
              <w:spacing w:line="480" w:lineRule="auto"/>
              <w:rPr>
                <w:rFonts w:ascii="Calibri" w:hAnsi="Calibri"/>
                <w:lang w:eastAsia="en-GB"/>
              </w:rPr>
            </w:pPr>
          </w:p>
        </w:tc>
      </w:tr>
      <w:tr w:rsidR="0008294D" w:rsidRPr="0075449C" w14:paraId="13260BCC" w14:textId="77777777" w:rsidTr="0008294D">
        <w:trPr>
          <w:trHeight w:val="300"/>
        </w:trPr>
        <w:tc>
          <w:tcPr>
            <w:tcW w:w="1480" w:type="dxa"/>
            <w:tcBorders>
              <w:top w:val="nil"/>
              <w:left w:val="nil"/>
              <w:bottom w:val="nil"/>
              <w:right w:val="nil"/>
            </w:tcBorders>
            <w:noWrap/>
            <w:vAlign w:val="bottom"/>
            <w:hideMark/>
          </w:tcPr>
          <w:p w14:paraId="6645F767" w14:textId="77777777" w:rsidR="0008294D" w:rsidRPr="0075449C" w:rsidRDefault="0008294D" w:rsidP="00106F57">
            <w:pPr>
              <w:spacing w:line="480" w:lineRule="auto"/>
              <w:rPr>
                <w:rFonts w:ascii="Calibri" w:hAnsi="Calibri"/>
                <w:lang w:eastAsia="en-GB"/>
              </w:rPr>
            </w:pPr>
          </w:p>
        </w:tc>
        <w:tc>
          <w:tcPr>
            <w:tcW w:w="1420" w:type="dxa"/>
            <w:tcBorders>
              <w:top w:val="nil"/>
              <w:left w:val="nil"/>
              <w:bottom w:val="single" w:sz="4" w:space="0" w:color="auto"/>
              <w:right w:val="nil"/>
            </w:tcBorders>
            <w:noWrap/>
            <w:vAlign w:val="bottom"/>
            <w:hideMark/>
          </w:tcPr>
          <w:p w14:paraId="25311C89" w14:textId="77777777" w:rsidR="0008294D" w:rsidRPr="0075449C" w:rsidRDefault="0008294D" w:rsidP="00106F57">
            <w:pPr>
              <w:spacing w:line="480" w:lineRule="auto"/>
              <w:jc w:val="center"/>
              <w:rPr>
                <w:rFonts w:ascii="Calibri" w:hAnsi="Calibri"/>
                <w:lang w:eastAsia="en-GB"/>
              </w:rPr>
            </w:pPr>
            <w:r>
              <w:rPr>
                <w:rFonts w:ascii="Calibri" w:hAnsi="Calibri"/>
                <w:lang w:eastAsia="en-GB"/>
              </w:rPr>
              <w:t>Hotspot</w:t>
            </w:r>
            <w:r w:rsidRPr="0075449C">
              <w:rPr>
                <w:rFonts w:ascii="Calibri" w:hAnsi="Calibri"/>
                <w:lang w:eastAsia="en-GB"/>
              </w:rPr>
              <w:t>s</w:t>
            </w:r>
          </w:p>
        </w:tc>
        <w:tc>
          <w:tcPr>
            <w:tcW w:w="1540" w:type="dxa"/>
            <w:tcBorders>
              <w:top w:val="nil"/>
              <w:left w:val="nil"/>
              <w:bottom w:val="single" w:sz="4" w:space="0" w:color="auto"/>
              <w:right w:val="nil"/>
            </w:tcBorders>
            <w:noWrap/>
            <w:vAlign w:val="bottom"/>
            <w:hideMark/>
          </w:tcPr>
          <w:p w14:paraId="68207FBF" w14:textId="77777777" w:rsidR="0008294D" w:rsidRPr="0075449C" w:rsidRDefault="0008294D" w:rsidP="00106F57">
            <w:pPr>
              <w:spacing w:line="480" w:lineRule="auto"/>
              <w:jc w:val="center"/>
              <w:rPr>
                <w:rFonts w:ascii="Calibri" w:hAnsi="Calibri"/>
                <w:lang w:eastAsia="en-GB"/>
              </w:rPr>
            </w:pPr>
            <w:r>
              <w:rPr>
                <w:rFonts w:ascii="Calibri" w:hAnsi="Calibri"/>
                <w:lang w:eastAsia="en-GB"/>
              </w:rPr>
              <w:t>Safespots</w:t>
            </w:r>
          </w:p>
        </w:tc>
        <w:tc>
          <w:tcPr>
            <w:tcW w:w="960" w:type="dxa"/>
            <w:tcBorders>
              <w:top w:val="nil"/>
              <w:left w:val="nil"/>
              <w:bottom w:val="single" w:sz="4" w:space="0" w:color="auto"/>
              <w:right w:val="nil"/>
            </w:tcBorders>
            <w:noWrap/>
            <w:vAlign w:val="bottom"/>
            <w:hideMark/>
          </w:tcPr>
          <w:p w14:paraId="41D1A345"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t (39)</w:t>
            </w:r>
          </w:p>
        </w:tc>
        <w:tc>
          <w:tcPr>
            <w:tcW w:w="1139" w:type="dxa"/>
            <w:tcBorders>
              <w:top w:val="nil"/>
              <w:left w:val="nil"/>
              <w:bottom w:val="single" w:sz="4" w:space="0" w:color="auto"/>
              <w:right w:val="nil"/>
            </w:tcBorders>
            <w:noWrap/>
            <w:vAlign w:val="bottom"/>
            <w:hideMark/>
          </w:tcPr>
          <w:p w14:paraId="22716296"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P</w:t>
            </w:r>
          </w:p>
        </w:tc>
        <w:tc>
          <w:tcPr>
            <w:tcW w:w="1139" w:type="dxa"/>
            <w:tcBorders>
              <w:top w:val="nil"/>
              <w:left w:val="nil"/>
              <w:bottom w:val="single" w:sz="4" w:space="0" w:color="auto"/>
              <w:right w:val="nil"/>
            </w:tcBorders>
          </w:tcPr>
          <w:p w14:paraId="72DFEA22" w14:textId="77777777" w:rsidR="0008294D" w:rsidRPr="0075449C" w:rsidRDefault="0008294D" w:rsidP="00106F57">
            <w:pPr>
              <w:spacing w:line="480" w:lineRule="auto"/>
              <w:jc w:val="center"/>
              <w:rPr>
                <w:rFonts w:ascii="Calibri" w:hAnsi="Calibri"/>
                <w:lang w:eastAsia="en-GB"/>
              </w:rPr>
            </w:pPr>
            <w:r>
              <w:t xml:space="preserve">Cohen's </w:t>
            </w:r>
            <w:r>
              <w:rPr>
                <w:rStyle w:val="Emphasis"/>
              </w:rPr>
              <w:t>d</w:t>
            </w:r>
          </w:p>
        </w:tc>
      </w:tr>
      <w:tr w:rsidR="0008294D" w:rsidRPr="0075449C" w14:paraId="665E7B61" w14:textId="77777777" w:rsidTr="0008294D">
        <w:trPr>
          <w:trHeight w:val="300"/>
        </w:trPr>
        <w:tc>
          <w:tcPr>
            <w:tcW w:w="1480" w:type="dxa"/>
            <w:tcBorders>
              <w:top w:val="nil"/>
              <w:left w:val="nil"/>
              <w:bottom w:val="nil"/>
              <w:right w:val="nil"/>
            </w:tcBorders>
            <w:noWrap/>
            <w:vAlign w:val="bottom"/>
            <w:hideMark/>
          </w:tcPr>
          <w:p w14:paraId="359F44E3" w14:textId="77777777" w:rsidR="0008294D" w:rsidRPr="0075449C" w:rsidRDefault="0008294D" w:rsidP="00106F57">
            <w:pPr>
              <w:spacing w:line="480" w:lineRule="auto"/>
              <w:rPr>
                <w:rFonts w:ascii="Calibri" w:hAnsi="Calibri"/>
                <w:i/>
                <w:iCs/>
                <w:lang w:eastAsia="en-GB"/>
              </w:rPr>
            </w:pPr>
            <w:r w:rsidRPr="0075449C">
              <w:rPr>
                <w:rFonts w:ascii="Calibri" w:hAnsi="Calibri"/>
                <w:i/>
                <w:iCs/>
                <w:lang w:eastAsia="en-GB"/>
              </w:rPr>
              <w:t>Safety</w:t>
            </w:r>
          </w:p>
        </w:tc>
        <w:tc>
          <w:tcPr>
            <w:tcW w:w="1420" w:type="dxa"/>
            <w:tcBorders>
              <w:top w:val="nil"/>
              <w:left w:val="nil"/>
              <w:bottom w:val="nil"/>
              <w:right w:val="nil"/>
            </w:tcBorders>
            <w:noWrap/>
            <w:vAlign w:val="bottom"/>
            <w:hideMark/>
          </w:tcPr>
          <w:p w14:paraId="3A227FA6"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4.16 (1.83)</w:t>
            </w:r>
          </w:p>
        </w:tc>
        <w:tc>
          <w:tcPr>
            <w:tcW w:w="1540" w:type="dxa"/>
            <w:tcBorders>
              <w:top w:val="nil"/>
              <w:left w:val="nil"/>
              <w:bottom w:val="nil"/>
              <w:right w:val="nil"/>
            </w:tcBorders>
            <w:noWrap/>
            <w:vAlign w:val="bottom"/>
            <w:hideMark/>
          </w:tcPr>
          <w:p w14:paraId="5887CC35"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7.53 (1.57)</w:t>
            </w:r>
          </w:p>
        </w:tc>
        <w:tc>
          <w:tcPr>
            <w:tcW w:w="960" w:type="dxa"/>
            <w:tcBorders>
              <w:top w:val="nil"/>
              <w:left w:val="nil"/>
              <w:bottom w:val="nil"/>
              <w:right w:val="nil"/>
            </w:tcBorders>
            <w:noWrap/>
            <w:vAlign w:val="bottom"/>
            <w:hideMark/>
          </w:tcPr>
          <w:p w14:paraId="6CB20357"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-9.88</w:t>
            </w:r>
          </w:p>
        </w:tc>
        <w:tc>
          <w:tcPr>
            <w:tcW w:w="1139" w:type="dxa"/>
            <w:tcBorders>
              <w:top w:val="nil"/>
              <w:left w:val="nil"/>
              <w:bottom w:val="nil"/>
              <w:right w:val="nil"/>
            </w:tcBorders>
            <w:noWrap/>
            <w:vAlign w:val="bottom"/>
            <w:hideMark/>
          </w:tcPr>
          <w:p w14:paraId="043704A4"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&lt;.0001</w:t>
            </w:r>
          </w:p>
        </w:tc>
        <w:tc>
          <w:tcPr>
            <w:tcW w:w="1139" w:type="dxa"/>
            <w:tcBorders>
              <w:top w:val="nil"/>
              <w:left w:val="nil"/>
              <w:bottom w:val="nil"/>
              <w:right w:val="nil"/>
            </w:tcBorders>
          </w:tcPr>
          <w:p w14:paraId="4DB9A792" w14:textId="77777777" w:rsidR="0008294D" w:rsidRPr="0075449C" w:rsidRDefault="0008294D" w:rsidP="00106F57">
            <w:pPr>
              <w:spacing w:line="480" w:lineRule="auto"/>
              <w:jc w:val="center"/>
              <w:rPr>
                <w:rFonts w:ascii="Calibri" w:hAnsi="Calibri"/>
                <w:lang w:eastAsia="en-GB"/>
              </w:rPr>
            </w:pPr>
            <w:r>
              <w:rPr>
                <w:rFonts w:ascii="Calibri" w:hAnsi="Calibri"/>
                <w:lang w:eastAsia="en-GB"/>
              </w:rPr>
              <w:t>-1.56</w:t>
            </w:r>
          </w:p>
        </w:tc>
      </w:tr>
      <w:tr w:rsidR="0008294D" w:rsidRPr="0075449C" w14:paraId="047E2500" w14:textId="77777777" w:rsidTr="0008294D">
        <w:trPr>
          <w:trHeight w:val="300"/>
        </w:trPr>
        <w:tc>
          <w:tcPr>
            <w:tcW w:w="1480" w:type="dxa"/>
            <w:tcBorders>
              <w:top w:val="nil"/>
              <w:left w:val="nil"/>
              <w:bottom w:val="nil"/>
              <w:right w:val="nil"/>
            </w:tcBorders>
            <w:noWrap/>
            <w:vAlign w:val="bottom"/>
            <w:hideMark/>
          </w:tcPr>
          <w:p w14:paraId="51B0354B" w14:textId="77777777" w:rsidR="0008294D" w:rsidRPr="0075449C" w:rsidRDefault="0008294D" w:rsidP="00106F57">
            <w:pPr>
              <w:spacing w:line="480" w:lineRule="auto"/>
              <w:rPr>
                <w:rFonts w:ascii="Calibri" w:hAnsi="Calibri"/>
                <w:i/>
                <w:iCs/>
                <w:lang w:eastAsia="en-GB"/>
              </w:rPr>
            </w:pPr>
            <w:r w:rsidRPr="0075449C">
              <w:rPr>
                <w:rFonts w:ascii="Calibri" w:hAnsi="Calibri"/>
                <w:i/>
                <w:iCs/>
                <w:lang w:eastAsia="en-GB"/>
              </w:rPr>
              <w:t>Fear of Crime</w:t>
            </w:r>
          </w:p>
        </w:tc>
        <w:tc>
          <w:tcPr>
            <w:tcW w:w="1420" w:type="dxa"/>
            <w:tcBorders>
              <w:top w:val="nil"/>
              <w:left w:val="nil"/>
              <w:bottom w:val="nil"/>
              <w:right w:val="nil"/>
            </w:tcBorders>
            <w:noWrap/>
            <w:vAlign w:val="bottom"/>
            <w:hideMark/>
          </w:tcPr>
          <w:p w14:paraId="6FF95E27"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5.88 (2.04)</w:t>
            </w:r>
          </w:p>
        </w:tc>
        <w:tc>
          <w:tcPr>
            <w:tcW w:w="1540" w:type="dxa"/>
            <w:tcBorders>
              <w:top w:val="nil"/>
              <w:left w:val="nil"/>
              <w:bottom w:val="nil"/>
              <w:right w:val="nil"/>
            </w:tcBorders>
            <w:noWrap/>
            <w:vAlign w:val="bottom"/>
            <w:hideMark/>
          </w:tcPr>
          <w:p w14:paraId="4C9DEB30"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3.96 (1.77)</w:t>
            </w:r>
          </w:p>
        </w:tc>
        <w:tc>
          <w:tcPr>
            <w:tcW w:w="960" w:type="dxa"/>
            <w:tcBorders>
              <w:top w:val="nil"/>
              <w:left w:val="nil"/>
              <w:bottom w:val="nil"/>
              <w:right w:val="nil"/>
            </w:tcBorders>
            <w:noWrap/>
            <w:vAlign w:val="bottom"/>
            <w:hideMark/>
          </w:tcPr>
          <w:p w14:paraId="6154755D"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6.06</w:t>
            </w:r>
          </w:p>
        </w:tc>
        <w:tc>
          <w:tcPr>
            <w:tcW w:w="1139" w:type="dxa"/>
            <w:tcBorders>
              <w:top w:val="nil"/>
              <w:left w:val="nil"/>
              <w:bottom w:val="nil"/>
              <w:right w:val="nil"/>
            </w:tcBorders>
            <w:noWrap/>
            <w:vAlign w:val="bottom"/>
            <w:hideMark/>
          </w:tcPr>
          <w:p w14:paraId="00276454"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&lt;.0001</w:t>
            </w:r>
          </w:p>
        </w:tc>
        <w:tc>
          <w:tcPr>
            <w:tcW w:w="1139" w:type="dxa"/>
            <w:tcBorders>
              <w:top w:val="nil"/>
              <w:left w:val="nil"/>
              <w:bottom w:val="nil"/>
              <w:right w:val="nil"/>
            </w:tcBorders>
          </w:tcPr>
          <w:p w14:paraId="0240A171" w14:textId="77777777" w:rsidR="0008294D" w:rsidRPr="0075449C" w:rsidRDefault="0008294D" w:rsidP="00106F57">
            <w:pPr>
              <w:spacing w:line="480" w:lineRule="auto"/>
              <w:jc w:val="center"/>
              <w:rPr>
                <w:rFonts w:ascii="Calibri" w:hAnsi="Calibri"/>
                <w:lang w:eastAsia="en-GB"/>
              </w:rPr>
            </w:pPr>
            <w:r>
              <w:rPr>
                <w:rFonts w:ascii="Calibri" w:hAnsi="Calibri"/>
                <w:lang w:eastAsia="en-GB"/>
              </w:rPr>
              <w:t>.97</w:t>
            </w:r>
          </w:p>
        </w:tc>
      </w:tr>
      <w:tr w:rsidR="0008294D" w:rsidRPr="0075449C" w14:paraId="47E43946" w14:textId="77777777" w:rsidTr="0008294D">
        <w:trPr>
          <w:trHeight w:val="300"/>
        </w:trPr>
        <w:tc>
          <w:tcPr>
            <w:tcW w:w="1480" w:type="dxa"/>
            <w:tcBorders>
              <w:top w:val="nil"/>
              <w:left w:val="nil"/>
              <w:bottom w:val="nil"/>
              <w:right w:val="nil"/>
            </w:tcBorders>
            <w:noWrap/>
            <w:vAlign w:val="bottom"/>
            <w:hideMark/>
          </w:tcPr>
          <w:p w14:paraId="765E34A5" w14:textId="77777777" w:rsidR="0008294D" w:rsidRPr="0075449C" w:rsidRDefault="0008294D" w:rsidP="00106F57">
            <w:pPr>
              <w:spacing w:line="480" w:lineRule="auto"/>
              <w:rPr>
                <w:rFonts w:ascii="Calibri" w:hAnsi="Calibri"/>
                <w:i/>
                <w:iCs/>
                <w:lang w:eastAsia="en-GB"/>
              </w:rPr>
            </w:pPr>
            <w:r w:rsidRPr="0075449C">
              <w:rPr>
                <w:rFonts w:ascii="Calibri" w:hAnsi="Calibri"/>
                <w:i/>
                <w:iCs/>
                <w:lang w:eastAsia="en-GB"/>
              </w:rPr>
              <w:t>Consequences</w:t>
            </w:r>
          </w:p>
        </w:tc>
        <w:tc>
          <w:tcPr>
            <w:tcW w:w="1420" w:type="dxa"/>
            <w:tcBorders>
              <w:top w:val="nil"/>
              <w:left w:val="nil"/>
              <w:bottom w:val="nil"/>
              <w:right w:val="nil"/>
            </w:tcBorders>
            <w:noWrap/>
            <w:vAlign w:val="bottom"/>
            <w:hideMark/>
          </w:tcPr>
          <w:p w14:paraId="17169F15"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7.26 (1.74)</w:t>
            </w:r>
          </w:p>
        </w:tc>
        <w:tc>
          <w:tcPr>
            <w:tcW w:w="1540" w:type="dxa"/>
            <w:tcBorders>
              <w:top w:val="nil"/>
              <w:left w:val="nil"/>
              <w:bottom w:val="nil"/>
              <w:right w:val="nil"/>
            </w:tcBorders>
            <w:noWrap/>
            <w:vAlign w:val="bottom"/>
            <w:hideMark/>
          </w:tcPr>
          <w:p w14:paraId="59E1B188"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4.97 (1.93)</w:t>
            </w:r>
          </w:p>
        </w:tc>
        <w:tc>
          <w:tcPr>
            <w:tcW w:w="960" w:type="dxa"/>
            <w:tcBorders>
              <w:top w:val="nil"/>
              <w:left w:val="nil"/>
              <w:bottom w:val="nil"/>
              <w:right w:val="nil"/>
            </w:tcBorders>
            <w:noWrap/>
            <w:vAlign w:val="bottom"/>
            <w:hideMark/>
          </w:tcPr>
          <w:p w14:paraId="4264A47E"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8.57</w:t>
            </w:r>
          </w:p>
        </w:tc>
        <w:tc>
          <w:tcPr>
            <w:tcW w:w="1139" w:type="dxa"/>
            <w:tcBorders>
              <w:top w:val="nil"/>
              <w:left w:val="nil"/>
              <w:bottom w:val="nil"/>
              <w:right w:val="nil"/>
            </w:tcBorders>
            <w:noWrap/>
            <w:vAlign w:val="bottom"/>
            <w:hideMark/>
          </w:tcPr>
          <w:p w14:paraId="2A0759CE"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&lt;.0001</w:t>
            </w:r>
          </w:p>
        </w:tc>
        <w:tc>
          <w:tcPr>
            <w:tcW w:w="1139" w:type="dxa"/>
            <w:tcBorders>
              <w:top w:val="nil"/>
              <w:left w:val="nil"/>
              <w:bottom w:val="nil"/>
              <w:right w:val="nil"/>
            </w:tcBorders>
          </w:tcPr>
          <w:p w14:paraId="770CFA1E" w14:textId="77777777" w:rsidR="0008294D" w:rsidRPr="0075449C" w:rsidRDefault="0008294D" w:rsidP="00106F57">
            <w:pPr>
              <w:spacing w:line="480" w:lineRule="auto"/>
              <w:jc w:val="center"/>
              <w:rPr>
                <w:rFonts w:ascii="Calibri" w:hAnsi="Calibri"/>
                <w:lang w:eastAsia="en-GB"/>
              </w:rPr>
            </w:pPr>
            <w:r>
              <w:rPr>
                <w:rFonts w:ascii="Calibri" w:hAnsi="Calibri"/>
                <w:lang w:eastAsia="en-GB"/>
              </w:rPr>
              <w:t>1.38</w:t>
            </w:r>
          </w:p>
        </w:tc>
      </w:tr>
      <w:tr w:rsidR="0008294D" w:rsidRPr="0075449C" w14:paraId="2CC04572" w14:textId="77777777" w:rsidTr="0008294D">
        <w:trPr>
          <w:trHeight w:val="300"/>
        </w:trPr>
        <w:tc>
          <w:tcPr>
            <w:tcW w:w="1480" w:type="dxa"/>
            <w:tcBorders>
              <w:top w:val="nil"/>
              <w:left w:val="nil"/>
              <w:bottom w:val="single" w:sz="4" w:space="0" w:color="auto"/>
              <w:right w:val="nil"/>
            </w:tcBorders>
            <w:noWrap/>
            <w:vAlign w:val="bottom"/>
            <w:hideMark/>
          </w:tcPr>
          <w:p w14:paraId="19760D52" w14:textId="77777777" w:rsidR="0008294D" w:rsidRPr="0075449C" w:rsidRDefault="0008294D" w:rsidP="00106F57">
            <w:pPr>
              <w:spacing w:line="480" w:lineRule="auto"/>
              <w:rPr>
                <w:rFonts w:ascii="Calibri" w:hAnsi="Calibri"/>
                <w:i/>
                <w:iCs/>
                <w:lang w:eastAsia="en-GB"/>
              </w:rPr>
            </w:pPr>
            <w:r w:rsidRPr="0075449C">
              <w:rPr>
                <w:rFonts w:ascii="Calibri" w:hAnsi="Calibri"/>
                <w:i/>
                <w:iCs/>
                <w:lang w:eastAsia="en-GB"/>
              </w:rPr>
              <w:t>Vulnerability</w:t>
            </w:r>
          </w:p>
        </w:tc>
        <w:tc>
          <w:tcPr>
            <w:tcW w:w="1420" w:type="dxa"/>
            <w:tcBorders>
              <w:top w:val="nil"/>
              <w:left w:val="nil"/>
              <w:bottom w:val="single" w:sz="4" w:space="0" w:color="auto"/>
              <w:right w:val="nil"/>
            </w:tcBorders>
            <w:noWrap/>
            <w:vAlign w:val="bottom"/>
            <w:hideMark/>
          </w:tcPr>
          <w:p w14:paraId="60E9C2ED"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6.08 (1.82)</w:t>
            </w:r>
          </w:p>
        </w:tc>
        <w:tc>
          <w:tcPr>
            <w:tcW w:w="1540" w:type="dxa"/>
            <w:tcBorders>
              <w:top w:val="nil"/>
              <w:left w:val="nil"/>
              <w:bottom w:val="single" w:sz="4" w:space="0" w:color="auto"/>
              <w:right w:val="nil"/>
            </w:tcBorders>
            <w:noWrap/>
            <w:vAlign w:val="bottom"/>
            <w:hideMark/>
          </w:tcPr>
          <w:p w14:paraId="02E7EA86"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3.71 (1.55)</w:t>
            </w:r>
          </w:p>
        </w:tc>
        <w:tc>
          <w:tcPr>
            <w:tcW w:w="960" w:type="dxa"/>
            <w:tcBorders>
              <w:top w:val="nil"/>
              <w:left w:val="nil"/>
              <w:bottom w:val="single" w:sz="4" w:space="0" w:color="auto"/>
              <w:right w:val="nil"/>
            </w:tcBorders>
            <w:noWrap/>
            <w:vAlign w:val="bottom"/>
            <w:hideMark/>
          </w:tcPr>
          <w:p w14:paraId="161CC3CA"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8.46</w:t>
            </w:r>
          </w:p>
        </w:tc>
        <w:tc>
          <w:tcPr>
            <w:tcW w:w="1139" w:type="dxa"/>
            <w:tcBorders>
              <w:top w:val="nil"/>
              <w:left w:val="nil"/>
              <w:bottom w:val="single" w:sz="4" w:space="0" w:color="auto"/>
              <w:right w:val="nil"/>
            </w:tcBorders>
            <w:noWrap/>
            <w:vAlign w:val="bottom"/>
            <w:hideMark/>
          </w:tcPr>
          <w:p w14:paraId="688FDD32" w14:textId="77777777" w:rsidR="0008294D" w:rsidRPr="0075449C" w:rsidRDefault="0008294D" w:rsidP="00106F57">
            <w:pPr>
              <w:spacing w:line="480" w:lineRule="auto"/>
              <w:jc w:val="center"/>
              <w:rPr>
                <w:rFonts w:ascii="Calibri" w:hAnsi="Calibri"/>
                <w:lang w:eastAsia="en-GB"/>
              </w:rPr>
            </w:pPr>
            <w:r w:rsidRPr="0075449C">
              <w:rPr>
                <w:rFonts w:ascii="Calibri" w:hAnsi="Calibri"/>
                <w:lang w:eastAsia="en-GB"/>
              </w:rPr>
              <w:t>&lt;.0001</w:t>
            </w:r>
          </w:p>
        </w:tc>
        <w:tc>
          <w:tcPr>
            <w:tcW w:w="1139" w:type="dxa"/>
            <w:tcBorders>
              <w:top w:val="nil"/>
              <w:left w:val="nil"/>
              <w:bottom w:val="single" w:sz="4" w:space="0" w:color="auto"/>
              <w:right w:val="nil"/>
            </w:tcBorders>
          </w:tcPr>
          <w:p w14:paraId="7225BC93" w14:textId="77777777" w:rsidR="0008294D" w:rsidRPr="0075449C" w:rsidRDefault="0008294D" w:rsidP="00106F57">
            <w:pPr>
              <w:spacing w:line="480" w:lineRule="auto"/>
              <w:jc w:val="center"/>
              <w:rPr>
                <w:rFonts w:ascii="Calibri" w:hAnsi="Calibri"/>
                <w:lang w:eastAsia="en-GB"/>
              </w:rPr>
            </w:pPr>
            <w:r>
              <w:rPr>
                <w:rFonts w:ascii="Calibri" w:hAnsi="Calibri"/>
                <w:lang w:eastAsia="en-GB"/>
              </w:rPr>
              <w:t>1.36</w:t>
            </w:r>
          </w:p>
        </w:tc>
      </w:tr>
      <w:tr w:rsidR="0008294D" w:rsidRPr="0075449C" w14:paraId="0EE7042B" w14:textId="77777777" w:rsidTr="0008294D">
        <w:trPr>
          <w:trHeight w:val="300"/>
        </w:trPr>
        <w:tc>
          <w:tcPr>
            <w:tcW w:w="1480" w:type="dxa"/>
            <w:tcBorders>
              <w:top w:val="nil"/>
              <w:left w:val="nil"/>
              <w:bottom w:val="nil"/>
              <w:right w:val="nil"/>
            </w:tcBorders>
            <w:noWrap/>
            <w:vAlign w:val="bottom"/>
            <w:hideMark/>
          </w:tcPr>
          <w:p w14:paraId="6734EB92" w14:textId="77777777" w:rsidR="0008294D" w:rsidRPr="0075449C" w:rsidRDefault="0008294D" w:rsidP="00106F57">
            <w:pPr>
              <w:spacing w:line="480" w:lineRule="auto"/>
              <w:rPr>
                <w:rFonts w:ascii="Calibri" w:hAnsi="Calibri"/>
                <w:lang w:eastAsia="en-GB"/>
              </w:rPr>
            </w:pPr>
          </w:p>
        </w:tc>
        <w:tc>
          <w:tcPr>
            <w:tcW w:w="1420" w:type="dxa"/>
            <w:tcBorders>
              <w:top w:val="nil"/>
              <w:left w:val="nil"/>
              <w:bottom w:val="nil"/>
              <w:right w:val="nil"/>
            </w:tcBorders>
            <w:noWrap/>
            <w:vAlign w:val="bottom"/>
            <w:hideMark/>
          </w:tcPr>
          <w:p w14:paraId="743E32FA" w14:textId="77777777" w:rsidR="0008294D" w:rsidRPr="0075449C" w:rsidRDefault="0008294D" w:rsidP="00106F57">
            <w:pPr>
              <w:spacing w:line="480" w:lineRule="auto"/>
              <w:rPr>
                <w:rFonts w:ascii="Calibri" w:hAnsi="Calibri"/>
                <w:lang w:eastAsia="en-GB"/>
              </w:rPr>
            </w:pPr>
          </w:p>
        </w:tc>
        <w:tc>
          <w:tcPr>
            <w:tcW w:w="1540" w:type="dxa"/>
            <w:tcBorders>
              <w:top w:val="nil"/>
              <w:left w:val="nil"/>
              <w:bottom w:val="nil"/>
              <w:right w:val="nil"/>
            </w:tcBorders>
            <w:noWrap/>
            <w:vAlign w:val="bottom"/>
            <w:hideMark/>
          </w:tcPr>
          <w:p w14:paraId="11369317" w14:textId="77777777" w:rsidR="0008294D" w:rsidRPr="0075449C" w:rsidRDefault="0008294D" w:rsidP="00106F57">
            <w:pPr>
              <w:spacing w:line="480" w:lineRule="auto"/>
              <w:rPr>
                <w:rFonts w:ascii="Calibri" w:hAnsi="Calibri"/>
                <w:lang w:eastAsia="en-GB"/>
              </w:rPr>
            </w:pPr>
          </w:p>
        </w:tc>
        <w:tc>
          <w:tcPr>
            <w:tcW w:w="960" w:type="dxa"/>
            <w:tcBorders>
              <w:top w:val="nil"/>
              <w:left w:val="nil"/>
              <w:bottom w:val="nil"/>
              <w:right w:val="nil"/>
            </w:tcBorders>
            <w:noWrap/>
            <w:vAlign w:val="bottom"/>
            <w:hideMark/>
          </w:tcPr>
          <w:p w14:paraId="75B58CFA" w14:textId="77777777" w:rsidR="0008294D" w:rsidRPr="0075449C" w:rsidRDefault="0008294D" w:rsidP="00106F57">
            <w:pPr>
              <w:spacing w:line="480" w:lineRule="auto"/>
              <w:rPr>
                <w:rFonts w:ascii="Calibri" w:hAnsi="Calibri"/>
                <w:lang w:eastAsia="en-GB"/>
              </w:rPr>
            </w:pPr>
          </w:p>
        </w:tc>
        <w:tc>
          <w:tcPr>
            <w:tcW w:w="1139" w:type="dxa"/>
            <w:tcBorders>
              <w:top w:val="nil"/>
              <w:left w:val="nil"/>
              <w:bottom w:val="nil"/>
              <w:right w:val="nil"/>
            </w:tcBorders>
            <w:noWrap/>
            <w:vAlign w:val="bottom"/>
            <w:hideMark/>
          </w:tcPr>
          <w:p w14:paraId="50EE58CB" w14:textId="77777777" w:rsidR="0008294D" w:rsidRPr="0075449C" w:rsidRDefault="0008294D" w:rsidP="00106F57">
            <w:pPr>
              <w:spacing w:line="480" w:lineRule="auto"/>
              <w:rPr>
                <w:rFonts w:ascii="Calibri" w:hAnsi="Calibri"/>
                <w:lang w:eastAsia="en-GB"/>
              </w:rPr>
            </w:pPr>
          </w:p>
        </w:tc>
        <w:tc>
          <w:tcPr>
            <w:tcW w:w="1139" w:type="dxa"/>
            <w:tcBorders>
              <w:top w:val="nil"/>
              <w:left w:val="nil"/>
              <w:bottom w:val="nil"/>
              <w:right w:val="nil"/>
            </w:tcBorders>
          </w:tcPr>
          <w:p w14:paraId="62D134E4" w14:textId="77777777" w:rsidR="0008294D" w:rsidRPr="0075449C" w:rsidRDefault="0008294D" w:rsidP="00106F57">
            <w:pPr>
              <w:spacing w:line="480" w:lineRule="auto"/>
              <w:rPr>
                <w:rFonts w:ascii="Calibri" w:hAnsi="Calibri"/>
                <w:lang w:eastAsia="en-GB"/>
              </w:rPr>
            </w:pPr>
          </w:p>
        </w:tc>
      </w:tr>
    </w:tbl>
    <w:p w14:paraId="4F97AA54" w14:textId="77777777" w:rsidR="0008294D" w:rsidRDefault="0008294D" w:rsidP="00106F57">
      <w:pPr>
        <w:spacing w:line="480" w:lineRule="auto"/>
        <w:rPr>
          <w:i/>
        </w:rPr>
      </w:pPr>
    </w:p>
    <w:p w14:paraId="086E4803" w14:textId="77777777" w:rsidR="0008294D" w:rsidRDefault="0008294D" w:rsidP="00106F57">
      <w:pPr>
        <w:spacing w:line="480" w:lineRule="auto"/>
        <w:rPr>
          <w:i/>
        </w:rPr>
      </w:pPr>
      <w:r>
        <w:rPr>
          <w:i/>
        </w:rPr>
        <w:br w:type="page"/>
      </w:r>
    </w:p>
    <w:p w14:paraId="09CD595C" w14:textId="77777777" w:rsidR="00917A83" w:rsidRDefault="00917A83" w:rsidP="00106F57">
      <w:pPr>
        <w:spacing w:line="480" w:lineRule="auto"/>
        <w:rPr>
          <w:i/>
        </w:rPr>
        <w:sectPr w:rsidR="00917A83" w:rsidSect="00223A85">
          <w:headerReference w:type="default" r:id="rId23"/>
          <w:pgSz w:w="11906" w:h="16838"/>
          <w:pgMar w:top="1440" w:right="1440" w:bottom="1440" w:left="1440" w:header="708" w:footer="708" w:gutter="0"/>
          <w:lnNumType w:countBy="1" w:restart="continuous"/>
          <w:cols w:space="708"/>
          <w:docGrid w:linePitch="360"/>
        </w:sectPr>
      </w:pPr>
    </w:p>
    <w:p w14:paraId="25E9CFBA" w14:textId="77777777" w:rsidR="00917A83" w:rsidRDefault="00917A83" w:rsidP="00106F57">
      <w:pPr>
        <w:spacing w:line="480" w:lineRule="auto"/>
        <w:rPr>
          <w:i/>
        </w:rPr>
      </w:pPr>
    </w:p>
    <w:p w14:paraId="15D2D9FB" w14:textId="77777777" w:rsidR="00917A83" w:rsidRPr="00A86F66" w:rsidRDefault="0008294D" w:rsidP="00106F57">
      <w:pPr>
        <w:spacing w:line="480" w:lineRule="auto"/>
        <w:rPr>
          <w:i/>
        </w:rPr>
      </w:pPr>
      <w:r w:rsidRPr="0075449C">
        <w:rPr>
          <w:i/>
        </w:rPr>
        <w:t>Table 2. Zero-order Correlation Coefficients Across the Covariates.</w:t>
      </w:r>
      <w:r w:rsidRPr="0075449C">
        <w:t xml:space="preserve"> </w:t>
      </w:r>
    </w:p>
    <w:p w14:paraId="550129A1" w14:textId="77777777" w:rsidR="00917A83" w:rsidRDefault="00A86F66" w:rsidP="00106F57">
      <w:pPr>
        <w:spacing w:line="480" w:lineRule="auto"/>
        <w:sectPr w:rsidR="00917A83" w:rsidSect="00917A83">
          <w:pgSz w:w="16838" w:h="11906" w:orient="landscape"/>
          <w:pgMar w:top="1440" w:right="1440" w:bottom="1440" w:left="1440" w:header="709" w:footer="709" w:gutter="0"/>
          <w:lnNumType w:countBy="1" w:restart="continuous"/>
          <w:cols w:space="708"/>
          <w:docGrid w:linePitch="360"/>
        </w:sectPr>
      </w:pPr>
      <w:r w:rsidRPr="00A86F66">
        <w:rPr>
          <w:noProof/>
          <w:lang w:eastAsia="en-GB"/>
        </w:rPr>
        <w:drawing>
          <wp:inline distT="0" distB="0" distL="0" distR="0" wp14:anchorId="52573A3E" wp14:editId="77624785">
            <wp:extent cx="8863330" cy="2939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3330" cy="2939778"/>
                    </a:xfrm>
                    <a:prstGeom prst="rect">
                      <a:avLst/>
                    </a:prstGeom>
                    <a:noFill/>
                    <a:ln>
                      <a:noFill/>
                    </a:ln>
                  </pic:spPr>
                </pic:pic>
              </a:graphicData>
            </a:graphic>
          </wp:inline>
        </w:drawing>
      </w:r>
    </w:p>
    <w:p w14:paraId="28A6EF37" w14:textId="77777777" w:rsidR="0008294D" w:rsidRDefault="002142DF" w:rsidP="00106F57">
      <w:pPr>
        <w:spacing w:line="480" w:lineRule="auto"/>
        <w:ind w:firstLine="720"/>
        <w:rPr>
          <w:noProof/>
          <w:lang w:eastAsia="en-GB"/>
        </w:rPr>
      </w:pPr>
      <w:r>
        <w:rPr>
          <w:noProof/>
          <w:lang w:eastAsia="en-GB"/>
        </w:rPr>
        <w:lastRenderedPageBreak/>
        <w:drawing>
          <wp:inline distT="0" distB="0" distL="0" distR="0" wp14:anchorId="105EA1D8" wp14:editId="19739DEF">
            <wp:extent cx="5731510" cy="25406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BEBA8EAE-BF5A-486C-A8C5-ECC9F3942E4B}">
                          <a14:imgProps xmlns:a14="http://schemas.microsoft.com/office/drawing/2010/main">
                            <a14:imgLayer r:embed="rId26">
                              <a14:imgEffect>
                                <a14:saturation sat="0"/>
                              </a14:imgEffect>
                            </a14:imgLayer>
                          </a14:imgProps>
                        </a:ext>
                      </a:extLst>
                    </a:blip>
                    <a:stretch>
                      <a:fillRect/>
                    </a:stretch>
                  </pic:blipFill>
                  <pic:spPr>
                    <a:xfrm>
                      <a:off x="0" y="0"/>
                      <a:ext cx="5731510" cy="2540602"/>
                    </a:xfrm>
                    <a:prstGeom prst="rect">
                      <a:avLst/>
                    </a:prstGeom>
                  </pic:spPr>
                </pic:pic>
              </a:graphicData>
            </a:graphic>
          </wp:inline>
        </w:drawing>
      </w:r>
    </w:p>
    <w:p w14:paraId="2733CFC6" w14:textId="77777777" w:rsidR="0008294D" w:rsidRDefault="0008294D" w:rsidP="00106F57">
      <w:pPr>
        <w:spacing w:line="480" w:lineRule="auto"/>
        <w:rPr>
          <w:i/>
        </w:rPr>
      </w:pPr>
      <w:r w:rsidRPr="000D6CCD">
        <w:rPr>
          <w:i/>
        </w:rPr>
        <w:t>Figure 1</w:t>
      </w:r>
      <w:r w:rsidRPr="00253B22">
        <w:rPr>
          <w:i/>
        </w:rPr>
        <w:t>. Examples of the images</w:t>
      </w:r>
      <w:r w:rsidR="002142DF">
        <w:rPr>
          <w:i/>
        </w:rPr>
        <w:t xml:space="preserve"> (Study 1) and key points (Study 2)</w:t>
      </w:r>
      <w:r w:rsidRPr="00253B22">
        <w:rPr>
          <w:i/>
        </w:rPr>
        <w:t xml:space="preserve">, including </w:t>
      </w:r>
      <w:r w:rsidR="002142DF">
        <w:rPr>
          <w:i/>
        </w:rPr>
        <w:t>an alleyway (i.e., a crime hotspot; far left) an open area (i.e., a safespot; middle</w:t>
      </w:r>
      <w:r w:rsidRPr="00253B22">
        <w:rPr>
          <w:i/>
        </w:rPr>
        <w:t>)</w:t>
      </w:r>
      <w:r w:rsidR="002142DF">
        <w:rPr>
          <w:i/>
        </w:rPr>
        <w:t xml:space="preserve"> and a lone shadowy male</w:t>
      </w:r>
      <w:r w:rsidRPr="00253B22">
        <w:rPr>
          <w:i/>
        </w:rPr>
        <w:t xml:space="preserve"> (right)</w:t>
      </w:r>
      <w:r w:rsidR="00253B22">
        <w:rPr>
          <w:i/>
        </w:rPr>
        <w:t>.</w:t>
      </w:r>
    </w:p>
    <w:p w14:paraId="09B69AA7" w14:textId="77777777" w:rsidR="00191DE0" w:rsidRPr="00253B22" w:rsidRDefault="00191DE0" w:rsidP="00106F57">
      <w:pPr>
        <w:spacing w:line="480" w:lineRule="auto"/>
        <w:rPr>
          <w:i/>
          <w:noProof/>
          <w:lang w:eastAsia="en-GB"/>
        </w:rPr>
      </w:pPr>
    </w:p>
    <w:p w14:paraId="3D57A33A" w14:textId="77777777" w:rsidR="0008294D" w:rsidRDefault="0008294D" w:rsidP="00106F57">
      <w:pPr>
        <w:spacing w:line="480" w:lineRule="auto"/>
      </w:pPr>
      <w:r>
        <w:br w:type="page"/>
      </w:r>
    </w:p>
    <w:p w14:paraId="0DDC97A3" w14:textId="45FE19D6" w:rsidR="00DD05A0" w:rsidRDefault="00F56FA2" w:rsidP="00106F57">
      <w:pPr>
        <w:spacing w:line="480" w:lineRule="auto"/>
      </w:pPr>
      <w:r>
        <w:rPr>
          <w:noProof/>
          <w:lang w:eastAsia="en-GB"/>
        </w:rPr>
        <w:lastRenderedPageBreak/>
        <w:drawing>
          <wp:inline distT="0" distB="0" distL="0" distR="0" wp14:anchorId="281DF1CA" wp14:editId="1FD19898">
            <wp:extent cx="3848637" cy="723048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y 1 figure.png"/>
                    <pic:cNvPicPr/>
                  </pic:nvPicPr>
                  <pic:blipFill>
                    <a:blip r:embed="rId27">
                      <a:extLst>
                        <a:ext uri="{28A0092B-C50C-407E-A947-70E740481C1C}">
                          <a14:useLocalDpi xmlns:a14="http://schemas.microsoft.com/office/drawing/2010/main" val="0"/>
                        </a:ext>
                      </a:extLst>
                    </a:blip>
                    <a:stretch>
                      <a:fillRect/>
                    </a:stretch>
                  </pic:blipFill>
                  <pic:spPr>
                    <a:xfrm>
                      <a:off x="0" y="0"/>
                      <a:ext cx="3848637" cy="7230484"/>
                    </a:xfrm>
                    <a:prstGeom prst="rect">
                      <a:avLst/>
                    </a:prstGeom>
                  </pic:spPr>
                </pic:pic>
              </a:graphicData>
            </a:graphic>
          </wp:inline>
        </w:drawing>
      </w:r>
    </w:p>
    <w:p w14:paraId="1FA1CDF0" w14:textId="7687CEDC" w:rsidR="00253B22" w:rsidRPr="00253B22" w:rsidRDefault="00253B22" w:rsidP="00106F57">
      <w:pPr>
        <w:spacing w:line="480" w:lineRule="auto"/>
        <w:rPr>
          <w:i/>
        </w:rPr>
      </w:pPr>
      <w:r w:rsidRPr="00253B22">
        <w:rPr>
          <w:i/>
        </w:rPr>
        <w:t>Figure 2</w:t>
      </w:r>
      <w:r w:rsidRPr="00253B22">
        <w:t xml:space="preserve">. </w:t>
      </w:r>
      <w:r w:rsidRPr="00253B22">
        <w:rPr>
          <w:i/>
        </w:rPr>
        <w:t xml:space="preserve">The relationship between risk perception and PPFDM across situations, with the top panel for the male images, the middle panel for the hotspot images, and the bottom panel for the safespot images. Closed circles denote image ratings for the night time condition, and open circles denote image ratings for the </w:t>
      </w:r>
      <w:r w:rsidR="00DD05A0">
        <w:rPr>
          <w:i/>
        </w:rPr>
        <w:t>day</w:t>
      </w:r>
      <w:r w:rsidRPr="00253B22">
        <w:rPr>
          <w:i/>
        </w:rPr>
        <w:t>time condition.</w:t>
      </w:r>
    </w:p>
    <w:p w14:paraId="1D663832" w14:textId="77777777" w:rsidR="0008294D" w:rsidRDefault="0008294D" w:rsidP="00106F57">
      <w:pPr>
        <w:spacing w:line="480" w:lineRule="auto"/>
      </w:pPr>
    </w:p>
    <w:p w14:paraId="75869EFE" w14:textId="77777777" w:rsidR="0008294D" w:rsidRPr="0075449C" w:rsidRDefault="00B250D8" w:rsidP="00106F57">
      <w:pPr>
        <w:spacing w:line="480" w:lineRule="auto"/>
      </w:pPr>
      <w:r>
        <w:rPr>
          <w:noProof/>
          <w:lang w:eastAsia="en-GB"/>
        </w:rPr>
        <w:drawing>
          <wp:inline distT="0" distB="0" distL="0" distR="0" wp14:anchorId="5A30BEE1" wp14:editId="1B17A212">
            <wp:extent cx="6563652" cy="349068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idable mates.png"/>
                    <pic:cNvPicPr/>
                  </pic:nvPicPr>
                  <pic:blipFill>
                    <a:blip r:embed="rId28">
                      <a:extLst>
                        <a:ext uri="{28A0092B-C50C-407E-A947-70E740481C1C}">
                          <a14:useLocalDpi xmlns:a14="http://schemas.microsoft.com/office/drawing/2010/main" val="0"/>
                        </a:ext>
                      </a:extLst>
                    </a:blip>
                    <a:stretch>
                      <a:fillRect/>
                    </a:stretch>
                  </pic:blipFill>
                  <pic:spPr>
                    <a:xfrm>
                      <a:off x="0" y="0"/>
                      <a:ext cx="6580838" cy="3499826"/>
                    </a:xfrm>
                    <a:prstGeom prst="rect">
                      <a:avLst/>
                    </a:prstGeom>
                  </pic:spPr>
                </pic:pic>
              </a:graphicData>
            </a:graphic>
          </wp:inline>
        </w:drawing>
      </w:r>
    </w:p>
    <w:p w14:paraId="488E6564" w14:textId="77777777" w:rsidR="0008294D" w:rsidRPr="0075449C" w:rsidRDefault="0008294D" w:rsidP="00106F57">
      <w:pPr>
        <w:spacing w:line="480" w:lineRule="auto"/>
        <w:rPr>
          <w:i/>
        </w:rPr>
      </w:pPr>
      <w:r w:rsidRPr="0075449C">
        <w:rPr>
          <w:i/>
        </w:rPr>
        <w:t xml:space="preserve">Figure 3. Preference for formidable mates and perceived personal risk of crime (robbery, physical assault, and rape) by assailant gender and location. The data for crime </w:t>
      </w:r>
      <w:r>
        <w:rPr>
          <w:i/>
        </w:rPr>
        <w:t>hotspot</w:t>
      </w:r>
      <w:r w:rsidR="00B250D8">
        <w:rPr>
          <w:i/>
        </w:rPr>
        <w:t>s are</w:t>
      </w:r>
      <w:r w:rsidRPr="0075449C">
        <w:rPr>
          <w:i/>
        </w:rPr>
        <w:t xml:space="preserve"> plotted in the top panel, and the data for </w:t>
      </w:r>
      <w:r>
        <w:rPr>
          <w:i/>
        </w:rPr>
        <w:t>safespots</w:t>
      </w:r>
      <w:r w:rsidRPr="0075449C">
        <w:rPr>
          <w:i/>
        </w:rPr>
        <w:t xml:space="preserve"> </w:t>
      </w:r>
      <w:r w:rsidR="00B250D8">
        <w:rPr>
          <w:i/>
        </w:rPr>
        <w:t>are</w:t>
      </w:r>
      <w:r w:rsidR="00B250D8" w:rsidRPr="0075449C">
        <w:rPr>
          <w:i/>
        </w:rPr>
        <w:t xml:space="preserve"> </w:t>
      </w:r>
      <w:r w:rsidRPr="0075449C">
        <w:rPr>
          <w:i/>
        </w:rPr>
        <w:t xml:space="preserve">plotted in the bottom panel. </w:t>
      </w:r>
    </w:p>
    <w:p w14:paraId="19D4958E" w14:textId="77777777" w:rsidR="0008294D" w:rsidRDefault="0008294D" w:rsidP="00106F57">
      <w:pPr>
        <w:pStyle w:val="EndnoteText"/>
        <w:spacing w:line="480" w:lineRule="auto"/>
      </w:pPr>
    </w:p>
    <w:p w14:paraId="0B7A3577" w14:textId="77777777" w:rsidR="0008294D" w:rsidRPr="0075449C" w:rsidRDefault="0008294D" w:rsidP="00106F57">
      <w:pPr>
        <w:spacing w:line="480" w:lineRule="auto"/>
      </w:pPr>
      <w:r w:rsidRPr="004F315A">
        <w:rPr>
          <w:noProof/>
          <w:lang w:eastAsia="en-GB"/>
        </w:rPr>
        <w:lastRenderedPageBreak/>
        <w:drawing>
          <wp:inline distT="0" distB="0" distL="0" distR="0" wp14:anchorId="74B14854" wp14:editId="5030BCC5">
            <wp:extent cx="4572000" cy="2743200"/>
            <wp:effectExtent l="0" t="0" r="0" b="0"/>
            <wp:docPr id="1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4F315A">
        <w:rPr>
          <w:noProof/>
          <w:lang w:eastAsia="en-GB"/>
        </w:rPr>
        <w:drawing>
          <wp:inline distT="0" distB="0" distL="0" distR="0" wp14:anchorId="78C6ADF3" wp14:editId="790C420E">
            <wp:extent cx="4572000" cy="2743200"/>
            <wp:effectExtent l="0" t="0" r="0" b="0"/>
            <wp:docPr id="18"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A61D7A4" w14:textId="77777777" w:rsidR="0008294D" w:rsidRPr="0075449C" w:rsidRDefault="0008294D" w:rsidP="00106F57">
      <w:pPr>
        <w:spacing w:line="480" w:lineRule="auto"/>
        <w:rPr>
          <w:i/>
        </w:rPr>
      </w:pPr>
      <w:r w:rsidRPr="0075449C">
        <w:rPr>
          <w:i/>
        </w:rPr>
        <w:t xml:space="preserve">Figure 4. Mean personal risk perception (+1SEM) by location, crime type, and assailant gender. </w:t>
      </w:r>
    </w:p>
    <w:p w14:paraId="469A9E5F" w14:textId="77777777" w:rsidR="0008294D" w:rsidRPr="0075449C" w:rsidRDefault="0008294D" w:rsidP="00106F57">
      <w:pPr>
        <w:spacing w:line="480" w:lineRule="auto"/>
      </w:pPr>
    </w:p>
    <w:p w14:paraId="34BA7CA7" w14:textId="77777777" w:rsidR="0008294D" w:rsidRDefault="0008294D" w:rsidP="00106F57">
      <w:pPr>
        <w:spacing w:line="480" w:lineRule="auto"/>
      </w:pPr>
    </w:p>
    <w:p w14:paraId="714CD9D9" w14:textId="77777777" w:rsidR="00720EC0" w:rsidRDefault="00720EC0" w:rsidP="00106F57">
      <w:pPr>
        <w:autoSpaceDE w:val="0"/>
        <w:autoSpaceDN w:val="0"/>
        <w:adjustRightInd w:val="0"/>
        <w:spacing w:after="0" w:line="480" w:lineRule="auto"/>
        <w:rPr>
          <w:rFonts w:cs="AdvTT5235d5a9"/>
        </w:rPr>
      </w:pPr>
    </w:p>
    <w:p w14:paraId="2C4E491A" w14:textId="77777777" w:rsidR="0063238C" w:rsidRPr="0075449C" w:rsidRDefault="0063238C" w:rsidP="00106F57">
      <w:pPr>
        <w:autoSpaceDE w:val="0"/>
        <w:autoSpaceDN w:val="0"/>
        <w:adjustRightInd w:val="0"/>
        <w:spacing w:after="0" w:line="480" w:lineRule="auto"/>
        <w:rPr>
          <w:rFonts w:cs="AdvTT5235d5a9"/>
        </w:rPr>
      </w:pPr>
    </w:p>
    <w:sectPr w:rsidR="0063238C" w:rsidRPr="0075449C" w:rsidSect="00223A8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0764" w14:textId="77777777" w:rsidR="00D070BA" w:rsidRDefault="00D070BA" w:rsidP="00223C0F">
      <w:pPr>
        <w:spacing w:after="0" w:line="240" w:lineRule="auto"/>
      </w:pPr>
      <w:r>
        <w:separator/>
      </w:r>
    </w:p>
  </w:endnote>
  <w:endnote w:type="continuationSeparator" w:id="0">
    <w:p w14:paraId="21D5B1F5" w14:textId="77777777" w:rsidR="00D070BA" w:rsidRDefault="00D070BA" w:rsidP="00223C0F">
      <w:pPr>
        <w:spacing w:after="0" w:line="240" w:lineRule="auto"/>
      </w:pPr>
      <w:r>
        <w:continuationSeparator/>
      </w:r>
    </w:p>
  </w:endnote>
  <w:endnote w:id="1">
    <w:p w14:paraId="29319A6A" w14:textId="77777777" w:rsidR="00B81F8D" w:rsidRDefault="00B81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T6120e2aa">
    <w:altName w:val="Cambria"/>
    <w:panose1 w:val="00000000000000000000"/>
    <w:charset w:val="00"/>
    <w:family w:val="roman"/>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skervill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GalliardBT">
    <w:panose1 w:val="00000000000000000000"/>
    <w:charset w:val="00"/>
    <w:family w:val="roman"/>
    <w:notTrueType/>
    <w:pitch w:val="default"/>
    <w:sig w:usb0="00000003" w:usb1="00000000" w:usb2="00000000" w:usb3="00000000" w:csb0="00000001" w:csb1="00000000"/>
  </w:font>
  <w:font w:name="AdvSTP_PSTimR">
    <w:panose1 w:val="00000000000000000000"/>
    <w:charset w:val="00"/>
    <w:family w:val="auto"/>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DejaVuLGCSerif">
    <w:panose1 w:val="00000000000000000000"/>
    <w:charset w:val="00"/>
    <w:family w:val="auto"/>
    <w:notTrueType/>
    <w:pitch w:val="default"/>
    <w:sig w:usb0="00000003" w:usb1="00000000" w:usb2="00000000" w:usb3="00000000" w:csb0="00000001" w:csb1="00000000"/>
  </w:font>
  <w:font w:name="MyriadMM-Regular">
    <w:panose1 w:val="00000000000000000000"/>
    <w:charset w:val="00"/>
    <w:family w:val="swiss"/>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AdvTT50a2f13e.I">
    <w:panose1 w:val="00000000000000000000"/>
    <w:charset w:val="00"/>
    <w:family w:val="roman"/>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TT6120e2aa+22">
    <w:altName w:val="Arial Unicode MS"/>
    <w:panose1 w:val="00000000000000000000"/>
    <w:charset w:val="86"/>
    <w:family w:val="auto"/>
    <w:notTrueType/>
    <w:pitch w:val="default"/>
    <w:sig w:usb0="00000000" w:usb1="080E0000" w:usb2="00000010" w:usb3="00000000" w:csb0="00040000"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ab7e17fd">
    <w:panose1 w:val="00000000000000000000"/>
    <w:charset w:val="00"/>
    <w:family w:val="auto"/>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AdvTT6120e2aa+2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PSTimsNR-MR">
    <w:panose1 w:val="00000000000000000000"/>
    <w:charset w:val="00"/>
    <w:family w:val="roman"/>
    <w:notTrueType/>
    <w:pitch w:val="default"/>
    <w:sig w:usb0="00000003" w:usb1="00000000" w:usb2="00000000" w:usb3="00000000" w:csb0="00000001" w:csb1="00000000"/>
  </w:font>
  <w:font w:name="AdvPSTimsNR-MI">
    <w:panose1 w:val="00000000000000000000"/>
    <w:charset w:val="00"/>
    <w:family w:val="roman"/>
    <w:notTrueType/>
    <w:pitch w:val="default"/>
    <w:sig w:usb0="00000003" w:usb1="00000000" w:usb2="00000000" w:usb3="00000000" w:csb0="00000001" w:csb1="00000000"/>
  </w:font>
  <w:font w:name="AdvPSA1A1">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590D2" w14:textId="77777777" w:rsidR="00D070BA" w:rsidRDefault="00D070BA" w:rsidP="00223C0F">
      <w:pPr>
        <w:spacing w:after="0" w:line="240" w:lineRule="auto"/>
      </w:pPr>
      <w:r>
        <w:separator/>
      </w:r>
    </w:p>
  </w:footnote>
  <w:footnote w:type="continuationSeparator" w:id="0">
    <w:p w14:paraId="430A0DA0" w14:textId="77777777" w:rsidR="00D070BA" w:rsidRDefault="00D070BA" w:rsidP="00223C0F">
      <w:pPr>
        <w:spacing w:after="0" w:line="240" w:lineRule="auto"/>
      </w:pPr>
      <w:r>
        <w:continuationSeparator/>
      </w:r>
    </w:p>
  </w:footnote>
  <w:footnote w:id="1">
    <w:p w14:paraId="1235D35A" w14:textId="4FB1A3C9" w:rsidR="00E31C85" w:rsidRDefault="00E31C85">
      <w:pPr>
        <w:pStyle w:val="FootnoteText"/>
      </w:pPr>
      <w:r>
        <w:rPr>
          <w:rStyle w:val="FootnoteReference"/>
        </w:rPr>
        <w:footnoteRef/>
      </w:r>
      <w:r>
        <w:t xml:space="preserve"> We initially defined crime hotspots as stereotypical indicators of situations where crime is more likely to occur, following suggestions from previous research (e.g., Broder &amp; Höhmann, 2003; Chavanne &amp; Gallup, 1998; Jones, Drury &amp; McBeath, 2011) such as alleyways, backstreets, deserted and dimly lit areas. However, whilst piloting the route we came across an additional location at the end of the route. This was a deserted pub with broken and boarded up windows, surrounded by litter. Despite not fitting our original definition of a crime hotspot, it came to our attention that it provoked feelings of vulnerability and risk of crime and thus we decided to include this as a key point at the very end of the route (hence including 5 crime hotspots and 4 safespots). We therefore used mean scores rather than the sum of risk scores for data analysis. Results do not differ with this crime hotspot included or omitted.</w:t>
      </w:r>
    </w:p>
  </w:footnote>
  <w:footnote w:id="2">
    <w:p w14:paraId="35F9D2C0" w14:textId="77777777" w:rsidR="00E31C85" w:rsidRDefault="00E31C85" w:rsidP="00DA609F">
      <w:pPr>
        <w:pStyle w:val="EndnoteText"/>
      </w:pPr>
      <w:r>
        <w:rPr>
          <w:rStyle w:val="FootnoteReference"/>
        </w:rPr>
        <w:footnoteRef/>
      </w:r>
      <w:r>
        <w:t xml:space="preserve"> Crime statistics for Leicester were accessed from the Office for National Statistics website (</w:t>
      </w:r>
      <w:hyperlink r:id="rId1" w:history="1">
        <w:r w:rsidRPr="00CD57A6">
          <w:rPr>
            <w:rStyle w:val="Hyperlink"/>
          </w:rPr>
          <w:t>http://www.ons.gov.uk/ons/publications/re-reference-tables.html?edition=tcm%3A77-328153</w:t>
        </w:r>
      </w:hyperlink>
      <w:r>
        <w:t>). Data relates to p</w:t>
      </w:r>
      <w:r w:rsidRPr="005F083A">
        <w:t>olice recorded crime by offen</w:t>
      </w:r>
      <w:r>
        <w:t xml:space="preserve">ce group and police force area in </w:t>
      </w:r>
      <w:r w:rsidRPr="005F083A">
        <w:t>2013/14</w:t>
      </w:r>
      <w:r>
        <w:t>, which shows that theft (total recorded crime: 33,497) was more prevalent than violence against a person (10,822), and sexual offences (1,137)</w:t>
      </w:r>
    </w:p>
    <w:p w14:paraId="4C16EC49" w14:textId="77777777" w:rsidR="00E31C85" w:rsidRDefault="00E31C85" w:rsidP="00DA609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16373" w14:textId="77777777" w:rsidR="00E31C85" w:rsidRDefault="00E31C85" w:rsidP="003C4AD2">
    <w:pPr>
      <w:pStyle w:val="Header"/>
      <w:jc w:val="right"/>
    </w:pPr>
    <w:r>
      <w:t xml:space="preserve">Formidable and Dominant </w:t>
    </w:r>
    <w:r>
      <w:fldChar w:fldCharType="begin"/>
    </w:r>
    <w:r>
      <w:instrText xml:space="preserve"> PAGE   \* MERGEFORMAT </w:instrText>
    </w:r>
    <w:r>
      <w:fldChar w:fldCharType="separate"/>
    </w:r>
    <w:r w:rsidR="00805A02">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01275"/>
    <w:multiLevelType w:val="multilevel"/>
    <w:tmpl w:val="991C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A5BFF"/>
    <w:multiLevelType w:val="multilevel"/>
    <w:tmpl w:val="12D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1340E"/>
    <w:multiLevelType w:val="multilevel"/>
    <w:tmpl w:val="8150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3705C"/>
    <w:multiLevelType w:val="multilevel"/>
    <w:tmpl w:val="6F1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573FB"/>
    <w:multiLevelType w:val="multilevel"/>
    <w:tmpl w:val="71FC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042DB"/>
    <w:multiLevelType w:val="multilevel"/>
    <w:tmpl w:val="374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E7817"/>
    <w:multiLevelType w:val="multilevel"/>
    <w:tmpl w:val="D16C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C087B"/>
    <w:multiLevelType w:val="multilevel"/>
    <w:tmpl w:val="2218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50ACA"/>
    <w:multiLevelType w:val="multilevel"/>
    <w:tmpl w:val="0DD8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7"/>
  </w:num>
  <w:num w:numId="5">
    <w:abstractNumId w:val="3"/>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fwadzpd290aaepx5fxxswnss5zas9f2ss0&quot;&gt;Hannah Thesis&lt;record-ids&gt;&lt;item&gt;8&lt;/item&gt;&lt;/record-ids&gt;&lt;/item&gt;&lt;/Libraries&gt;"/>
  </w:docVars>
  <w:rsids>
    <w:rsidRoot w:val="00F42E22"/>
    <w:rsid w:val="000029CC"/>
    <w:rsid w:val="000319E4"/>
    <w:rsid w:val="00031D0E"/>
    <w:rsid w:val="00033225"/>
    <w:rsid w:val="000345B0"/>
    <w:rsid w:val="000359BC"/>
    <w:rsid w:val="00036B43"/>
    <w:rsid w:val="0004020C"/>
    <w:rsid w:val="00044B96"/>
    <w:rsid w:val="00046280"/>
    <w:rsid w:val="000503A3"/>
    <w:rsid w:val="000505BD"/>
    <w:rsid w:val="00060A48"/>
    <w:rsid w:val="00061D57"/>
    <w:rsid w:val="000630AB"/>
    <w:rsid w:val="00063B74"/>
    <w:rsid w:val="00064864"/>
    <w:rsid w:val="00065F9D"/>
    <w:rsid w:val="00067F99"/>
    <w:rsid w:val="0007131A"/>
    <w:rsid w:val="00072995"/>
    <w:rsid w:val="00072EA6"/>
    <w:rsid w:val="0007316B"/>
    <w:rsid w:val="000769EA"/>
    <w:rsid w:val="00081B7F"/>
    <w:rsid w:val="000821C6"/>
    <w:rsid w:val="0008294D"/>
    <w:rsid w:val="00082A57"/>
    <w:rsid w:val="0008437A"/>
    <w:rsid w:val="00086C31"/>
    <w:rsid w:val="000910F8"/>
    <w:rsid w:val="00094960"/>
    <w:rsid w:val="00095C39"/>
    <w:rsid w:val="000972B9"/>
    <w:rsid w:val="000A1B9E"/>
    <w:rsid w:val="000A285E"/>
    <w:rsid w:val="000A494C"/>
    <w:rsid w:val="000B5851"/>
    <w:rsid w:val="000C1574"/>
    <w:rsid w:val="000C2B97"/>
    <w:rsid w:val="000C68C3"/>
    <w:rsid w:val="000D048D"/>
    <w:rsid w:val="000D1B4B"/>
    <w:rsid w:val="000D1FF1"/>
    <w:rsid w:val="000D6CCD"/>
    <w:rsid w:val="000E0153"/>
    <w:rsid w:val="000E26BD"/>
    <w:rsid w:val="000E7EF5"/>
    <w:rsid w:val="000F03E4"/>
    <w:rsid w:val="00101E6B"/>
    <w:rsid w:val="00105674"/>
    <w:rsid w:val="00106557"/>
    <w:rsid w:val="00106F57"/>
    <w:rsid w:val="0011064F"/>
    <w:rsid w:val="00111071"/>
    <w:rsid w:val="00111085"/>
    <w:rsid w:val="00114920"/>
    <w:rsid w:val="00115609"/>
    <w:rsid w:val="00115FB6"/>
    <w:rsid w:val="001161DD"/>
    <w:rsid w:val="001242E7"/>
    <w:rsid w:val="00124F65"/>
    <w:rsid w:val="0012578A"/>
    <w:rsid w:val="00126B24"/>
    <w:rsid w:val="0013080F"/>
    <w:rsid w:val="00131A52"/>
    <w:rsid w:val="00132901"/>
    <w:rsid w:val="00134D27"/>
    <w:rsid w:val="0013599D"/>
    <w:rsid w:val="00136132"/>
    <w:rsid w:val="00137087"/>
    <w:rsid w:val="00137F55"/>
    <w:rsid w:val="00140913"/>
    <w:rsid w:val="00141376"/>
    <w:rsid w:val="00142D2C"/>
    <w:rsid w:val="00143BA2"/>
    <w:rsid w:val="00146769"/>
    <w:rsid w:val="001522CA"/>
    <w:rsid w:val="001530BE"/>
    <w:rsid w:val="00153E8B"/>
    <w:rsid w:val="001543A9"/>
    <w:rsid w:val="00154D18"/>
    <w:rsid w:val="001611F6"/>
    <w:rsid w:val="001645C7"/>
    <w:rsid w:val="00166BB9"/>
    <w:rsid w:val="00171B9E"/>
    <w:rsid w:val="00177CA7"/>
    <w:rsid w:val="00181A65"/>
    <w:rsid w:val="001825FF"/>
    <w:rsid w:val="001827F6"/>
    <w:rsid w:val="001862E0"/>
    <w:rsid w:val="00186A57"/>
    <w:rsid w:val="00186DB6"/>
    <w:rsid w:val="00187038"/>
    <w:rsid w:val="00191DE0"/>
    <w:rsid w:val="00192C7E"/>
    <w:rsid w:val="00195E7C"/>
    <w:rsid w:val="0019760E"/>
    <w:rsid w:val="001A0124"/>
    <w:rsid w:val="001A3129"/>
    <w:rsid w:val="001A440F"/>
    <w:rsid w:val="001A465F"/>
    <w:rsid w:val="001A549C"/>
    <w:rsid w:val="001B0024"/>
    <w:rsid w:val="001B2505"/>
    <w:rsid w:val="001B331A"/>
    <w:rsid w:val="001C0C67"/>
    <w:rsid w:val="001C459E"/>
    <w:rsid w:val="001C472C"/>
    <w:rsid w:val="001D1F0D"/>
    <w:rsid w:val="001D342A"/>
    <w:rsid w:val="001D3936"/>
    <w:rsid w:val="001D3DC2"/>
    <w:rsid w:val="001E1298"/>
    <w:rsid w:val="001E63E7"/>
    <w:rsid w:val="001E6A76"/>
    <w:rsid w:val="001F15DB"/>
    <w:rsid w:val="001F225A"/>
    <w:rsid w:val="001F3D6A"/>
    <w:rsid w:val="001F4547"/>
    <w:rsid w:val="001F484E"/>
    <w:rsid w:val="001F48DD"/>
    <w:rsid w:val="001F69EC"/>
    <w:rsid w:val="00201DAF"/>
    <w:rsid w:val="00202974"/>
    <w:rsid w:val="00203FE2"/>
    <w:rsid w:val="00207ED7"/>
    <w:rsid w:val="00210802"/>
    <w:rsid w:val="00211024"/>
    <w:rsid w:val="002142DF"/>
    <w:rsid w:val="00214450"/>
    <w:rsid w:val="00214ADE"/>
    <w:rsid w:val="00217377"/>
    <w:rsid w:val="00220627"/>
    <w:rsid w:val="00221A6B"/>
    <w:rsid w:val="00221E03"/>
    <w:rsid w:val="00222DB7"/>
    <w:rsid w:val="00223A85"/>
    <w:rsid w:val="00223C0F"/>
    <w:rsid w:val="00225134"/>
    <w:rsid w:val="0022545E"/>
    <w:rsid w:val="00226BD0"/>
    <w:rsid w:val="00227874"/>
    <w:rsid w:val="00227F92"/>
    <w:rsid w:val="002377D5"/>
    <w:rsid w:val="002407B3"/>
    <w:rsid w:val="00240FB0"/>
    <w:rsid w:val="00243D6C"/>
    <w:rsid w:val="00252376"/>
    <w:rsid w:val="00252785"/>
    <w:rsid w:val="0025379B"/>
    <w:rsid w:val="00253B22"/>
    <w:rsid w:val="002545BA"/>
    <w:rsid w:val="002605B5"/>
    <w:rsid w:val="00263E6E"/>
    <w:rsid w:val="0026441A"/>
    <w:rsid w:val="002657D2"/>
    <w:rsid w:val="002668AD"/>
    <w:rsid w:val="00266B9F"/>
    <w:rsid w:val="00270157"/>
    <w:rsid w:val="0027018F"/>
    <w:rsid w:val="00272CB3"/>
    <w:rsid w:val="00274010"/>
    <w:rsid w:val="00274706"/>
    <w:rsid w:val="002751D7"/>
    <w:rsid w:val="002754EA"/>
    <w:rsid w:val="00277607"/>
    <w:rsid w:val="00280866"/>
    <w:rsid w:val="0028573F"/>
    <w:rsid w:val="00290664"/>
    <w:rsid w:val="00292447"/>
    <w:rsid w:val="0029528D"/>
    <w:rsid w:val="002A05D3"/>
    <w:rsid w:val="002A4169"/>
    <w:rsid w:val="002B2608"/>
    <w:rsid w:val="002B3663"/>
    <w:rsid w:val="002B427A"/>
    <w:rsid w:val="002B58F7"/>
    <w:rsid w:val="002B6246"/>
    <w:rsid w:val="002B6DFE"/>
    <w:rsid w:val="002B7EC8"/>
    <w:rsid w:val="002C4F11"/>
    <w:rsid w:val="002C6B59"/>
    <w:rsid w:val="002D48A0"/>
    <w:rsid w:val="002D5815"/>
    <w:rsid w:val="002D66EC"/>
    <w:rsid w:val="002E0118"/>
    <w:rsid w:val="002E0645"/>
    <w:rsid w:val="002E0792"/>
    <w:rsid w:val="002E45BF"/>
    <w:rsid w:val="002E5663"/>
    <w:rsid w:val="002E70CF"/>
    <w:rsid w:val="002E7F78"/>
    <w:rsid w:val="002F2FD9"/>
    <w:rsid w:val="002F4796"/>
    <w:rsid w:val="002F4D8C"/>
    <w:rsid w:val="002F5DC8"/>
    <w:rsid w:val="002F7814"/>
    <w:rsid w:val="00301040"/>
    <w:rsid w:val="00302EF6"/>
    <w:rsid w:val="00305AF2"/>
    <w:rsid w:val="00311FEB"/>
    <w:rsid w:val="00320264"/>
    <w:rsid w:val="00320CDD"/>
    <w:rsid w:val="003226C8"/>
    <w:rsid w:val="00322980"/>
    <w:rsid w:val="003229FC"/>
    <w:rsid w:val="00322BA5"/>
    <w:rsid w:val="00330B8A"/>
    <w:rsid w:val="003313E5"/>
    <w:rsid w:val="003332A6"/>
    <w:rsid w:val="00333B2F"/>
    <w:rsid w:val="003350C3"/>
    <w:rsid w:val="00335D39"/>
    <w:rsid w:val="00336F90"/>
    <w:rsid w:val="0034226E"/>
    <w:rsid w:val="00342C10"/>
    <w:rsid w:val="003447E9"/>
    <w:rsid w:val="003473C9"/>
    <w:rsid w:val="00350545"/>
    <w:rsid w:val="00351793"/>
    <w:rsid w:val="0035577D"/>
    <w:rsid w:val="00361458"/>
    <w:rsid w:val="003639D9"/>
    <w:rsid w:val="00375AF4"/>
    <w:rsid w:val="00377A28"/>
    <w:rsid w:val="00382677"/>
    <w:rsid w:val="003844E3"/>
    <w:rsid w:val="003923C6"/>
    <w:rsid w:val="00393F0F"/>
    <w:rsid w:val="00396348"/>
    <w:rsid w:val="003A4DD0"/>
    <w:rsid w:val="003A6CCB"/>
    <w:rsid w:val="003A6E73"/>
    <w:rsid w:val="003A78CE"/>
    <w:rsid w:val="003B4036"/>
    <w:rsid w:val="003B5FDF"/>
    <w:rsid w:val="003B7883"/>
    <w:rsid w:val="003B7F15"/>
    <w:rsid w:val="003C090A"/>
    <w:rsid w:val="003C0B1F"/>
    <w:rsid w:val="003C0E85"/>
    <w:rsid w:val="003C419B"/>
    <w:rsid w:val="003C4AD2"/>
    <w:rsid w:val="003C6CAD"/>
    <w:rsid w:val="003D4BAA"/>
    <w:rsid w:val="003D623E"/>
    <w:rsid w:val="003D6A12"/>
    <w:rsid w:val="003D7E14"/>
    <w:rsid w:val="003E057F"/>
    <w:rsid w:val="003E08AE"/>
    <w:rsid w:val="003E0A65"/>
    <w:rsid w:val="003E0D50"/>
    <w:rsid w:val="003E3FAB"/>
    <w:rsid w:val="003E6C9C"/>
    <w:rsid w:val="003F469F"/>
    <w:rsid w:val="003F7C39"/>
    <w:rsid w:val="004001C9"/>
    <w:rsid w:val="00401E66"/>
    <w:rsid w:val="004025B3"/>
    <w:rsid w:val="004034F1"/>
    <w:rsid w:val="004037A5"/>
    <w:rsid w:val="00406182"/>
    <w:rsid w:val="004110C1"/>
    <w:rsid w:val="00412F72"/>
    <w:rsid w:val="0041465B"/>
    <w:rsid w:val="00416235"/>
    <w:rsid w:val="00421349"/>
    <w:rsid w:val="00424066"/>
    <w:rsid w:val="0042536E"/>
    <w:rsid w:val="004271BF"/>
    <w:rsid w:val="004354FD"/>
    <w:rsid w:val="004357BC"/>
    <w:rsid w:val="004375D8"/>
    <w:rsid w:val="00447B14"/>
    <w:rsid w:val="00451097"/>
    <w:rsid w:val="00455122"/>
    <w:rsid w:val="00455A6C"/>
    <w:rsid w:val="00455AF3"/>
    <w:rsid w:val="00457ECE"/>
    <w:rsid w:val="00460AE4"/>
    <w:rsid w:val="00463E67"/>
    <w:rsid w:val="00466157"/>
    <w:rsid w:val="0047085B"/>
    <w:rsid w:val="004800ED"/>
    <w:rsid w:val="004805A5"/>
    <w:rsid w:val="004808AE"/>
    <w:rsid w:val="004838F7"/>
    <w:rsid w:val="0048505A"/>
    <w:rsid w:val="004921D2"/>
    <w:rsid w:val="00493E6F"/>
    <w:rsid w:val="00495723"/>
    <w:rsid w:val="00497AB9"/>
    <w:rsid w:val="004A320A"/>
    <w:rsid w:val="004A363A"/>
    <w:rsid w:val="004A5FA2"/>
    <w:rsid w:val="004A7DD0"/>
    <w:rsid w:val="004B6984"/>
    <w:rsid w:val="004B6FD2"/>
    <w:rsid w:val="004B7866"/>
    <w:rsid w:val="004C1124"/>
    <w:rsid w:val="004C16DF"/>
    <w:rsid w:val="004D2E53"/>
    <w:rsid w:val="004D7F46"/>
    <w:rsid w:val="004E4877"/>
    <w:rsid w:val="004F1D70"/>
    <w:rsid w:val="004F315A"/>
    <w:rsid w:val="004F5B0A"/>
    <w:rsid w:val="004F5D52"/>
    <w:rsid w:val="004F68CC"/>
    <w:rsid w:val="005016F9"/>
    <w:rsid w:val="005108D6"/>
    <w:rsid w:val="00513C0F"/>
    <w:rsid w:val="005146ED"/>
    <w:rsid w:val="00517B93"/>
    <w:rsid w:val="0052083D"/>
    <w:rsid w:val="00525BC0"/>
    <w:rsid w:val="005310A5"/>
    <w:rsid w:val="00532089"/>
    <w:rsid w:val="0053384E"/>
    <w:rsid w:val="00533C96"/>
    <w:rsid w:val="00533E36"/>
    <w:rsid w:val="00540AD7"/>
    <w:rsid w:val="00544D13"/>
    <w:rsid w:val="00552AB7"/>
    <w:rsid w:val="00553C3C"/>
    <w:rsid w:val="005547C0"/>
    <w:rsid w:val="00556881"/>
    <w:rsid w:val="005576C6"/>
    <w:rsid w:val="00566A38"/>
    <w:rsid w:val="00567665"/>
    <w:rsid w:val="00571074"/>
    <w:rsid w:val="0057294C"/>
    <w:rsid w:val="00573BBA"/>
    <w:rsid w:val="00575E6B"/>
    <w:rsid w:val="00576916"/>
    <w:rsid w:val="00577AE3"/>
    <w:rsid w:val="0058395C"/>
    <w:rsid w:val="00583A78"/>
    <w:rsid w:val="005861A7"/>
    <w:rsid w:val="00593FE2"/>
    <w:rsid w:val="00594422"/>
    <w:rsid w:val="00594671"/>
    <w:rsid w:val="005947F5"/>
    <w:rsid w:val="0059653A"/>
    <w:rsid w:val="00596B3B"/>
    <w:rsid w:val="00597DB8"/>
    <w:rsid w:val="005A16A3"/>
    <w:rsid w:val="005A2D30"/>
    <w:rsid w:val="005A6B11"/>
    <w:rsid w:val="005B265A"/>
    <w:rsid w:val="005B4F9F"/>
    <w:rsid w:val="005B60A2"/>
    <w:rsid w:val="005B7546"/>
    <w:rsid w:val="005B7C40"/>
    <w:rsid w:val="005C159B"/>
    <w:rsid w:val="005C1887"/>
    <w:rsid w:val="005C2E81"/>
    <w:rsid w:val="005C6D5B"/>
    <w:rsid w:val="005C6FBF"/>
    <w:rsid w:val="005D0A2D"/>
    <w:rsid w:val="005D0A9B"/>
    <w:rsid w:val="005D1B5A"/>
    <w:rsid w:val="005D1E97"/>
    <w:rsid w:val="005D4828"/>
    <w:rsid w:val="005D7C16"/>
    <w:rsid w:val="005F083A"/>
    <w:rsid w:val="005F3D0B"/>
    <w:rsid w:val="005F453F"/>
    <w:rsid w:val="005F48FE"/>
    <w:rsid w:val="005F5197"/>
    <w:rsid w:val="005F5473"/>
    <w:rsid w:val="005F614B"/>
    <w:rsid w:val="005F658B"/>
    <w:rsid w:val="005F67AC"/>
    <w:rsid w:val="00601687"/>
    <w:rsid w:val="00605A6C"/>
    <w:rsid w:val="006075F7"/>
    <w:rsid w:val="00610E65"/>
    <w:rsid w:val="00613009"/>
    <w:rsid w:val="006164AB"/>
    <w:rsid w:val="00617D46"/>
    <w:rsid w:val="006213AE"/>
    <w:rsid w:val="006272BA"/>
    <w:rsid w:val="0063104D"/>
    <w:rsid w:val="0063238C"/>
    <w:rsid w:val="0063313B"/>
    <w:rsid w:val="00645000"/>
    <w:rsid w:val="00650016"/>
    <w:rsid w:val="00650784"/>
    <w:rsid w:val="00654B6B"/>
    <w:rsid w:val="006627B9"/>
    <w:rsid w:val="00666187"/>
    <w:rsid w:val="00670A1A"/>
    <w:rsid w:val="00670D2A"/>
    <w:rsid w:val="00671B90"/>
    <w:rsid w:val="00676A34"/>
    <w:rsid w:val="00677A06"/>
    <w:rsid w:val="006818D7"/>
    <w:rsid w:val="00681DA7"/>
    <w:rsid w:val="00681EF2"/>
    <w:rsid w:val="00682A38"/>
    <w:rsid w:val="00683EC0"/>
    <w:rsid w:val="00687756"/>
    <w:rsid w:val="0069376C"/>
    <w:rsid w:val="00695A6A"/>
    <w:rsid w:val="00697E58"/>
    <w:rsid w:val="006A34F3"/>
    <w:rsid w:val="006A46AE"/>
    <w:rsid w:val="006B1BFE"/>
    <w:rsid w:val="006B204F"/>
    <w:rsid w:val="006B3CBB"/>
    <w:rsid w:val="006B6550"/>
    <w:rsid w:val="006B6AB0"/>
    <w:rsid w:val="006C1D0A"/>
    <w:rsid w:val="006C3E68"/>
    <w:rsid w:val="006C5CC5"/>
    <w:rsid w:val="006D3646"/>
    <w:rsid w:val="006D3655"/>
    <w:rsid w:val="006D393E"/>
    <w:rsid w:val="006E2C8B"/>
    <w:rsid w:val="006E5627"/>
    <w:rsid w:val="006E587A"/>
    <w:rsid w:val="006F0BDB"/>
    <w:rsid w:val="006F19DD"/>
    <w:rsid w:val="006F4CF3"/>
    <w:rsid w:val="006F7C9D"/>
    <w:rsid w:val="00700DC3"/>
    <w:rsid w:val="00702047"/>
    <w:rsid w:val="00704008"/>
    <w:rsid w:val="00705184"/>
    <w:rsid w:val="00705A7A"/>
    <w:rsid w:val="00706BB2"/>
    <w:rsid w:val="00710674"/>
    <w:rsid w:val="0071763D"/>
    <w:rsid w:val="00720EC0"/>
    <w:rsid w:val="0072693E"/>
    <w:rsid w:val="0074252D"/>
    <w:rsid w:val="00742EE7"/>
    <w:rsid w:val="0074369F"/>
    <w:rsid w:val="0075043F"/>
    <w:rsid w:val="0075204B"/>
    <w:rsid w:val="0075449C"/>
    <w:rsid w:val="007557B4"/>
    <w:rsid w:val="00757C47"/>
    <w:rsid w:val="00760EA7"/>
    <w:rsid w:val="0076477A"/>
    <w:rsid w:val="00764B29"/>
    <w:rsid w:val="007656D0"/>
    <w:rsid w:val="007662BE"/>
    <w:rsid w:val="007671AF"/>
    <w:rsid w:val="007672EB"/>
    <w:rsid w:val="00770993"/>
    <w:rsid w:val="00774716"/>
    <w:rsid w:val="00784D7B"/>
    <w:rsid w:val="0078677D"/>
    <w:rsid w:val="007900A1"/>
    <w:rsid w:val="00790B80"/>
    <w:rsid w:val="00794499"/>
    <w:rsid w:val="007951C5"/>
    <w:rsid w:val="00795CED"/>
    <w:rsid w:val="00796166"/>
    <w:rsid w:val="00797B63"/>
    <w:rsid w:val="007A5F45"/>
    <w:rsid w:val="007A613B"/>
    <w:rsid w:val="007A6602"/>
    <w:rsid w:val="007A7002"/>
    <w:rsid w:val="007B1015"/>
    <w:rsid w:val="007B19E7"/>
    <w:rsid w:val="007B5773"/>
    <w:rsid w:val="007B5B22"/>
    <w:rsid w:val="007B5DDF"/>
    <w:rsid w:val="007B7AB4"/>
    <w:rsid w:val="007C0602"/>
    <w:rsid w:val="007C7E3A"/>
    <w:rsid w:val="007D01E9"/>
    <w:rsid w:val="007D18AD"/>
    <w:rsid w:val="007D2186"/>
    <w:rsid w:val="007D2F03"/>
    <w:rsid w:val="007E01A9"/>
    <w:rsid w:val="007E01D4"/>
    <w:rsid w:val="007E0B05"/>
    <w:rsid w:val="007E39A9"/>
    <w:rsid w:val="007E3FE7"/>
    <w:rsid w:val="007F656D"/>
    <w:rsid w:val="007F6FBF"/>
    <w:rsid w:val="00805A02"/>
    <w:rsid w:val="00812E1B"/>
    <w:rsid w:val="008154AF"/>
    <w:rsid w:val="008157A9"/>
    <w:rsid w:val="00816CFD"/>
    <w:rsid w:val="00816D36"/>
    <w:rsid w:val="00822413"/>
    <w:rsid w:val="00824617"/>
    <w:rsid w:val="008302C7"/>
    <w:rsid w:val="008302DB"/>
    <w:rsid w:val="008336D6"/>
    <w:rsid w:val="00834637"/>
    <w:rsid w:val="008347EA"/>
    <w:rsid w:val="0083589D"/>
    <w:rsid w:val="008400AC"/>
    <w:rsid w:val="0084056C"/>
    <w:rsid w:val="0084203B"/>
    <w:rsid w:val="00842E2C"/>
    <w:rsid w:val="0084341F"/>
    <w:rsid w:val="00843757"/>
    <w:rsid w:val="00843F7B"/>
    <w:rsid w:val="0084639E"/>
    <w:rsid w:val="00850F46"/>
    <w:rsid w:val="008548A8"/>
    <w:rsid w:val="00857A86"/>
    <w:rsid w:val="008628BA"/>
    <w:rsid w:val="00865461"/>
    <w:rsid w:val="00872766"/>
    <w:rsid w:val="00874D36"/>
    <w:rsid w:val="00874D51"/>
    <w:rsid w:val="008806A3"/>
    <w:rsid w:val="00883DF7"/>
    <w:rsid w:val="00884AE6"/>
    <w:rsid w:val="008856CD"/>
    <w:rsid w:val="00887759"/>
    <w:rsid w:val="00893EFF"/>
    <w:rsid w:val="00896560"/>
    <w:rsid w:val="008979D2"/>
    <w:rsid w:val="008A007C"/>
    <w:rsid w:val="008A0D48"/>
    <w:rsid w:val="008A3C2A"/>
    <w:rsid w:val="008A3F9D"/>
    <w:rsid w:val="008B19B1"/>
    <w:rsid w:val="008B61A2"/>
    <w:rsid w:val="008C3BF3"/>
    <w:rsid w:val="008D46A8"/>
    <w:rsid w:val="008D5B91"/>
    <w:rsid w:val="008D72F9"/>
    <w:rsid w:val="008E01A1"/>
    <w:rsid w:val="008E4922"/>
    <w:rsid w:val="008E54A7"/>
    <w:rsid w:val="008E5C27"/>
    <w:rsid w:val="008E6574"/>
    <w:rsid w:val="008F1880"/>
    <w:rsid w:val="008F1B0D"/>
    <w:rsid w:val="008F4B38"/>
    <w:rsid w:val="008F5D1C"/>
    <w:rsid w:val="00902F15"/>
    <w:rsid w:val="00903C61"/>
    <w:rsid w:val="00910304"/>
    <w:rsid w:val="00910934"/>
    <w:rsid w:val="00911824"/>
    <w:rsid w:val="00912A6C"/>
    <w:rsid w:val="00914399"/>
    <w:rsid w:val="00917A83"/>
    <w:rsid w:val="00922135"/>
    <w:rsid w:val="009226A2"/>
    <w:rsid w:val="00922AEC"/>
    <w:rsid w:val="0092473B"/>
    <w:rsid w:val="00925D41"/>
    <w:rsid w:val="00926876"/>
    <w:rsid w:val="00936B0F"/>
    <w:rsid w:val="009373F3"/>
    <w:rsid w:val="009378BD"/>
    <w:rsid w:val="009445FF"/>
    <w:rsid w:val="0094536C"/>
    <w:rsid w:val="009457D2"/>
    <w:rsid w:val="00954BE8"/>
    <w:rsid w:val="00954EE8"/>
    <w:rsid w:val="009576A8"/>
    <w:rsid w:val="00957F59"/>
    <w:rsid w:val="00960E8D"/>
    <w:rsid w:val="0096477D"/>
    <w:rsid w:val="00965B53"/>
    <w:rsid w:val="00967454"/>
    <w:rsid w:val="009744C2"/>
    <w:rsid w:val="009776AF"/>
    <w:rsid w:val="00977887"/>
    <w:rsid w:val="009832E6"/>
    <w:rsid w:val="00986F50"/>
    <w:rsid w:val="00990465"/>
    <w:rsid w:val="00991BDA"/>
    <w:rsid w:val="0099315F"/>
    <w:rsid w:val="00993495"/>
    <w:rsid w:val="00996A78"/>
    <w:rsid w:val="009A049B"/>
    <w:rsid w:val="009A056A"/>
    <w:rsid w:val="009A17A8"/>
    <w:rsid w:val="009A2484"/>
    <w:rsid w:val="009A3205"/>
    <w:rsid w:val="009A4BD3"/>
    <w:rsid w:val="009A7EF3"/>
    <w:rsid w:val="009A7F50"/>
    <w:rsid w:val="009B09C4"/>
    <w:rsid w:val="009B112C"/>
    <w:rsid w:val="009B34E1"/>
    <w:rsid w:val="009C1655"/>
    <w:rsid w:val="009C42BC"/>
    <w:rsid w:val="009D42B9"/>
    <w:rsid w:val="009D59F7"/>
    <w:rsid w:val="009E188B"/>
    <w:rsid w:val="009E1D31"/>
    <w:rsid w:val="009E2F7E"/>
    <w:rsid w:val="009F1696"/>
    <w:rsid w:val="009F1B59"/>
    <w:rsid w:val="009F237F"/>
    <w:rsid w:val="009F3779"/>
    <w:rsid w:val="009F521C"/>
    <w:rsid w:val="009F6691"/>
    <w:rsid w:val="00A0067B"/>
    <w:rsid w:val="00A0085A"/>
    <w:rsid w:val="00A02E9D"/>
    <w:rsid w:val="00A06575"/>
    <w:rsid w:val="00A07344"/>
    <w:rsid w:val="00A119BC"/>
    <w:rsid w:val="00A131EE"/>
    <w:rsid w:val="00A13E04"/>
    <w:rsid w:val="00A220B5"/>
    <w:rsid w:val="00A2264E"/>
    <w:rsid w:val="00A2407E"/>
    <w:rsid w:val="00A33079"/>
    <w:rsid w:val="00A34488"/>
    <w:rsid w:val="00A34CD4"/>
    <w:rsid w:val="00A35B4D"/>
    <w:rsid w:val="00A40E7B"/>
    <w:rsid w:val="00A428DB"/>
    <w:rsid w:val="00A443F5"/>
    <w:rsid w:val="00A44566"/>
    <w:rsid w:val="00A45C8D"/>
    <w:rsid w:val="00A52217"/>
    <w:rsid w:val="00A550A7"/>
    <w:rsid w:val="00A55ADF"/>
    <w:rsid w:val="00A63E75"/>
    <w:rsid w:val="00A67823"/>
    <w:rsid w:val="00A71FCF"/>
    <w:rsid w:val="00A74402"/>
    <w:rsid w:val="00A81783"/>
    <w:rsid w:val="00A83608"/>
    <w:rsid w:val="00A8424C"/>
    <w:rsid w:val="00A854D2"/>
    <w:rsid w:val="00A86F66"/>
    <w:rsid w:val="00A87CEC"/>
    <w:rsid w:val="00A94417"/>
    <w:rsid w:val="00AA4868"/>
    <w:rsid w:val="00AA54FF"/>
    <w:rsid w:val="00AA5FCA"/>
    <w:rsid w:val="00AA715C"/>
    <w:rsid w:val="00AB35C6"/>
    <w:rsid w:val="00AB47A5"/>
    <w:rsid w:val="00AC6D71"/>
    <w:rsid w:val="00AD13C6"/>
    <w:rsid w:val="00AE4EC8"/>
    <w:rsid w:val="00AF0404"/>
    <w:rsid w:val="00AF2D71"/>
    <w:rsid w:val="00AF72EB"/>
    <w:rsid w:val="00AF7C61"/>
    <w:rsid w:val="00B06ECB"/>
    <w:rsid w:val="00B14BEB"/>
    <w:rsid w:val="00B15345"/>
    <w:rsid w:val="00B1696A"/>
    <w:rsid w:val="00B16C94"/>
    <w:rsid w:val="00B20862"/>
    <w:rsid w:val="00B219DB"/>
    <w:rsid w:val="00B250D8"/>
    <w:rsid w:val="00B25CD0"/>
    <w:rsid w:val="00B3462C"/>
    <w:rsid w:val="00B34AA3"/>
    <w:rsid w:val="00B400D4"/>
    <w:rsid w:val="00B41151"/>
    <w:rsid w:val="00B421A0"/>
    <w:rsid w:val="00B43A14"/>
    <w:rsid w:val="00B51C58"/>
    <w:rsid w:val="00B530EE"/>
    <w:rsid w:val="00B53598"/>
    <w:rsid w:val="00B56203"/>
    <w:rsid w:val="00B678D1"/>
    <w:rsid w:val="00B746A9"/>
    <w:rsid w:val="00B74847"/>
    <w:rsid w:val="00B81F8D"/>
    <w:rsid w:val="00B82E00"/>
    <w:rsid w:val="00B86AF3"/>
    <w:rsid w:val="00B93D2F"/>
    <w:rsid w:val="00B97BED"/>
    <w:rsid w:val="00BA2CA0"/>
    <w:rsid w:val="00BA2F27"/>
    <w:rsid w:val="00BA4F5B"/>
    <w:rsid w:val="00BB5193"/>
    <w:rsid w:val="00BB7FA4"/>
    <w:rsid w:val="00BC03E5"/>
    <w:rsid w:val="00BC765F"/>
    <w:rsid w:val="00BD06B5"/>
    <w:rsid w:val="00BD4D8C"/>
    <w:rsid w:val="00BE2A3D"/>
    <w:rsid w:val="00BE3BC1"/>
    <w:rsid w:val="00BF13D7"/>
    <w:rsid w:val="00BF6689"/>
    <w:rsid w:val="00C01E34"/>
    <w:rsid w:val="00C01FB0"/>
    <w:rsid w:val="00C04662"/>
    <w:rsid w:val="00C071C6"/>
    <w:rsid w:val="00C10416"/>
    <w:rsid w:val="00C10BA6"/>
    <w:rsid w:val="00C11691"/>
    <w:rsid w:val="00C11CA5"/>
    <w:rsid w:val="00C12623"/>
    <w:rsid w:val="00C1605D"/>
    <w:rsid w:val="00C1623F"/>
    <w:rsid w:val="00C23E65"/>
    <w:rsid w:val="00C31647"/>
    <w:rsid w:val="00C37E32"/>
    <w:rsid w:val="00C41A1F"/>
    <w:rsid w:val="00C41AE5"/>
    <w:rsid w:val="00C472C9"/>
    <w:rsid w:val="00C52472"/>
    <w:rsid w:val="00C5499F"/>
    <w:rsid w:val="00C5752E"/>
    <w:rsid w:val="00C57919"/>
    <w:rsid w:val="00C62AC9"/>
    <w:rsid w:val="00C6322F"/>
    <w:rsid w:val="00C6581D"/>
    <w:rsid w:val="00C67EBB"/>
    <w:rsid w:val="00C708CF"/>
    <w:rsid w:val="00C72769"/>
    <w:rsid w:val="00C753BE"/>
    <w:rsid w:val="00C75D12"/>
    <w:rsid w:val="00C82856"/>
    <w:rsid w:val="00C82B49"/>
    <w:rsid w:val="00C84D62"/>
    <w:rsid w:val="00C87209"/>
    <w:rsid w:val="00C96762"/>
    <w:rsid w:val="00C975D0"/>
    <w:rsid w:val="00CA4D3A"/>
    <w:rsid w:val="00CA6CAE"/>
    <w:rsid w:val="00CB1DA0"/>
    <w:rsid w:val="00CB394D"/>
    <w:rsid w:val="00CC0AB2"/>
    <w:rsid w:val="00CC62E5"/>
    <w:rsid w:val="00CD4BEE"/>
    <w:rsid w:val="00CD57A6"/>
    <w:rsid w:val="00CD5FF3"/>
    <w:rsid w:val="00CE3D3E"/>
    <w:rsid w:val="00CE5AEF"/>
    <w:rsid w:val="00CF0152"/>
    <w:rsid w:val="00CF1947"/>
    <w:rsid w:val="00CF2A1E"/>
    <w:rsid w:val="00D04A17"/>
    <w:rsid w:val="00D05F27"/>
    <w:rsid w:val="00D06AE9"/>
    <w:rsid w:val="00D070BA"/>
    <w:rsid w:val="00D12094"/>
    <w:rsid w:val="00D13337"/>
    <w:rsid w:val="00D14E4D"/>
    <w:rsid w:val="00D16124"/>
    <w:rsid w:val="00D172FC"/>
    <w:rsid w:val="00D20F55"/>
    <w:rsid w:val="00D303D8"/>
    <w:rsid w:val="00D348AC"/>
    <w:rsid w:val="00D42DF7"/>
    <w:rsid w:val="00D444B0"/>
    <w:rsid w:val="00D44A93"/>
    <w:rsid w:val="00D50DF9"/>
    <w:rsid w:val="00D52EF5"/>
    <w:rsid w:val="00D567A8"/>
    <w:rsid w:val="00D57010"/>
    <w:rsid w:val="00D67E31"/>
    <w:rsid w:val="00D7109F"/>
    <w:rsid w:val="00D7543C"/>
    <w:rsid w:val="00D75FE6"/>
    <w:rsid w:val="00D81EB4"/>
    <w:rsid w:val="00D826CD"/>
    <w:rsid w:val="00D84682"/>
    <w:rsid w:val="00D861DF"/>
    <w:rsid w:val="00D86857"/>
    <w:rsid w:val="00D86EF5"/>
    <w:rsid w:val="00D90EEF"/>
    <w:rsid w:val="00D91F66"/>
    <w:rsid w:val="00D9224F"/>
    <w:rsid w:val="00D95048"/>
    <w:rsid w:val="00DA0173"/>
    <w:rsid w:val="00DA183C"/>
    <w:rsid w:val="00DA45CE"/>
    <w:rsid w:val="00DA609F"/>
    <w:rsid w:val="00DB1585"/>
    <w:rsid w:val="00DB1D05"/>
    <w:rsid w:val="00DB378C"/>
    <w:rsid w:val="00DB5092"/>
    <w:rsid w:val="00DB7644"/>
    <w:rsid w:val="00DB7F3C"/>
    <w:rsid w:val="00DC2C71"/>
    <w:rsid w:val="00DD05A0"/>
    <w:rsid w:val="00DD0758"/>
    <w:rsid w:val="00DE2F2B"/>
    <w:rsid w:val="00DE383B"/>
    <w:rsid w:val="00DE6367"/>
    <w:rsid w:val="00DE67B5"/>
    <w:rsid w:val="00DE74D9"/>
    <w:rsid w:val="00DF3224"/>
    <w:rsid w:val="00DF35C0"/>
    <w:rsid w:val="00E010E5"/>
    <w:rsid w:val="00E055B4"/>
    <w:rsid w:val="00E06CA2"/>
    <w:rsid w:val="00E129E0"/>
    <w:rsid w:val="00E15D8F"/>
    <w:rsid w:val="00E15DFF"/>
    <w:rsid w:val="00E17FCA"/>
    <w:rsid w:val="00E24454"/>
    <w:rsid w:val="00E24649"/>
    <w:rsid w:val="00E264FB"/>
    <w:rsid w:val="00E3163D"/>
    <w:rsid w:val="00E31C85"/>
    <w:rsid w:val="00E33760"/>
    <w:rsid w:val="00E35AC2"/>
    <w:rsid w:val="00E35B55"/>
    <w:rsid w:val="00E367D3"/>
    <w:rsid w:val="00E42F8C"/>
    <w:rsid w:val="00E439CA"/>
    <w:rsid w:val="00E52733"/>
    <w:rsid w:val="00E53A61"/>
    <w:rsid w:val="00E53AA4"/>
    <w:rsid w:val="00E6005E"/>
    <w:rsid w:val="00E61285"/>
    <w:rsid w:val="00E648F9"/>
    <w:rsid w:val="00E64EB5"/>
    <w:rsid w:val="00E6502A"/>
    <w:rsid w:val="00E67947"/>
    <w:rsid w:val="00E71283"/>
    <w:rsid w:val="00E72C23"/>
    <w:rsid w:val="00E72C3E"/>
    <w:rsid w:val="00E734FA"/>
    <w:rsid w:val="00E74368"/>
    <w:rsid w:val="00E7508A"/>
    <w:rsid w:val="00E75BA3"/>
    <w:rsid w:val="00E80950"/>
    <w:rsid w:val="00E80D74"/>
    <w:rsid w:val="00E81CE1"/>
    <w:rsid w:val="00E8388B"/>
    <w:rsid w:val="00E8642D"/>
    <w:rsid w:val="00E86E95"/>
    <w:rsid w:val="00E90435"/>
    <w:rsid w:val="00E90AF7"/>
    <w:rsid w:val="00E911D3"/>
    <w:rsid w:val="00E91D3B"/>
    <w:rsid w:val="00E95575"/>
    <w:rsid w:val="00E95AB5"/>
    <w:rsid w:val="00E97DBA"/>
    <w:rsid w:val="00EA17D8"/>
    <w:rsid w:val="00EA4C8B"/>
    <w:rsid w:val="00EA5BD4"/>
    <w:rsid w:val="00EA7590"/>
    <w:rsid w:val="00EB3133"/>
    <w:rsid w:val="00EB380D"/>
    <w:rsid w:val="00EB55AF"/>
    <w:rsid w:val="00EB71AE"/>
    <w:rsid w:val="00EB77FA"/>
    <w:rsid w:val="00EC0854"/>
    <w:rsid w:val="00EC3A9C"/>
    <w:rsid w:val="00EC595C"/>
    <w:rsid w:val="00EC5BAD"/>
    <w:rsid w:val="00EC761D"/>
    <w:rsid w:val="00ED016A"/>
    <w:rsid w:val="00ED14AA"/>
    <w:rsid w:val="00ED33E2"/>
    <w:rsid w:val="00ED4DB7"/>
    <w:rsid w:val="00EE26A6"/>
    <w:rsid w:val="00EE4C29"/>
    <w:rsid w:val="00EE5A56"/>
    <w:rsid w:val="00EE691A"/>
    <w:rsid w:val="00EE7F2D"/>
    <w:rsid w:val="00EF1E12"/>
    <w:rsid w:val="00EF4F3F"/>
    <w:rsid w:val="00EF4FDF"/>
    <w:rsid w:val="00EF5B14"/>
    <w:rsid w:val="00EF7311"/>
    <w:rsid w:val="00F02197"/>
    <w:rsid w:val="00F0241E"/>
    <w:rsid w:val="00F03D96"/>
    <w:rsid w:val="00F043ED"/>
    <w:rsid w:val="00F05B38"/>
    <w:rsid w:val="00F07143"/>
    <w:rsid w:val="00F10903"/>
    <w:rsid w:val="00F10B0C"/>
    <w:rsid w:val="00F132E0"/>
    <w:rsid w:val="00F133BD"/>
    <w:rsid w:val="00F16B89"/>
    <w:rsid w:val="00F236AF"/>
    <w:rsid w:val="00F26D53"/>
    <w:rsid w:val="00F304D9"/>
    <w:rsid w:val="00F3329B"/>
    <w:rsid w:val="00F35496"/>
    <w:rsid w:val="00F411C3"/>
    <w:rsid w:val="00F427B5"/>
    <w:rsid w:val="00F42DF1"/>
    <w:rsid w:val="00F42E22"/>
    <w:rsid w:val="00F44636"/>
    <w:rsid w:val="00F45158"/>
    <w:rsid w:val="00F50836"/>
    <w:rsid w:val="00F50ED7"/>
    <w:rsid w:val="00F515A5"/>
    <w:rsid w:val="00F529BC"/>
    <w:rsid w:val="00F5355F"/>
    <w:rsid w:val="00F56FA2"/>
    <w:rsid w:val="00F6399F"/>
    <w:rsid w:val="00F65414"/>
    <w:rsid w:val="00F70005"/>
    <w:rsid w:val="00F828D6"/>
    <w:rsid w:val="00F82C57"/>
    <w:rsid w:val="00F848BD"/>
    <w:rsid w:val="00F85376"/>
    <w:rsid w:val="00F85A31"/>
    <w:rsid w:val="00F85D35"/>
    <w:rsid w:val="00F917B2"/>
    <w:rsid w:val="00F923E2"/>
    <w:rsid w:val="00F947AA"/>
    <w:rsid w:val="00F96A5B"/>
    <w:rsid w:val="00FA05E7"/>
    <w:rsid w:val="00FA29EF"/>
    <w:rsid w:val="00FA3054"/>
    <w:rsid w:val="00FA7E34"/>
    <w:rsid w:val="00FB43C1"/>
    <w:rsid w:val="00FB47EC"/>
    <w:rsid w:val="00FB5FF3"/>
    <w:rsid w:val="00FB6DD6"/>
    <w:rsid w:val="00FC0B08"/>
    <w:rsid w:val="00FD1217"/>
    <w:rsid w:val="00FD345B"/>
    <w:rsid w:val="00FD5118"/>
    <w:rsid w:val="00FD53F0"/>
    <w:rsid w:val="00FD56D1"/>
    <w:rsid w:val="00FD5A8D"/>
    <w:rsid w:val="00FD6B0B"/>
    <w:rsid w:val="00FE2811"/>
    <w:rsid w:val="00FE54A3"/>
    <w:rsid w:val="00FE5DB5"/>
    <w:rsid w:val="00FF2011"/>
    <w:rsid w:val="00FF3389"/>
    <w:rsid w:val="00FF48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EA1F7"/>
  <w15:docId w15:val="{1F6E4A2E-2C82-456F-BC7B-3FC4BEDA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4">
    <w:name w:val="heading 4"/>
    <w:basedOn w:val="Normal"/>
    <w:link w:val="Heading4Char"/>
    <w:uiPriority w:val="9"/>
    <w:qFormat/>
    <w:rsid w:val="00137087"/>
    <w:pPr>
      <w:spacing w:after="0" w:line="270" w:lineRule="atLeast"/>
      <w:outlineLvl w:val="3"/>
    </w:pPr>
    <w:rPr>
      <w:rFonts w:ascii="Georgia" w:hAnsi="Georgia"/>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137087"/>
    <w:rPr>
      <w:rFonts w:ascii="Georgia" w:hAnsi="Georgia" w:cs="Times New Roman"/>
      <w:color w:val="333333"/>
      <w:sz w:val="21"/>
      <w:szCs w:val="21"/>
      <w:lang w:val="x-none" w:eastAsia="en-GB"/>
    </w:rPr>
  </w:style>
  <w:style w:type="character" w:styleId="Hyperlink">
    <w:name w:val="Hyperlink"/>
    <w:basedOn w:val="DefaultParagraphFont"/>
    <w:uiPriority w:val="99"/>
    <w:unhideWhenUsed/>
    <w:rsid w:val="00137087"/>
    <w:rPr>
      <w:rFonts w:cs="Times New Roman"/>
      <w:color w:val="336699"/>
      <w:u w:val="single"/>
    </w:rPr>
  </w:style>
  <w:style w:type="character" w:customStyle="1" w:styleId="closebtn1">
    <w:name w:val="closebtn1"/>
    <w:basedOn w:val="DefaultParagraphFont"/>
    <w:rsid w:val="00137087"/>
    <w:rPr>
      <w:rFonts w:cs="Times New Roman"/>
      <w:b/>
      <w:bCs/>
      <w:color w:val="333333"/>
      <w:sz w:val="17"/>
      <w:szCs w:val="17"/>
      <w:u w:val="none"/>
      <w:effect w:val="none"/>
      <w:bdr w:val="single" w:sz="12" w:space="4" w:color="AAAAAA" w:frame="1"/>
      <w:shd w:val="clear" w:color="auto" w:fill="FFFFFF"/>
    </w:rPr>
  </w:style>
  <w:style w:type="character" w:customStyle="1" w:styleId="pubdatesrow">
    <w:name w:val="pubdatesrow"/>
    <w:basedOn w:val="DefaultParagraphFont"/>
    <w:rsid w:val="00137087"/>
    <w:rPr>
      <w:rFonts w:cs="Times New Roman"/>
    </w:rPr>
  </w:style>
  <w:style w:type="character" w:customStyle="1" w:styleId="pubdateslbls2">
    <w:name w:val="pubdateslbls2"/>
    <w:basedOn w:val="DefaultParagraphFont"/>
    <w:rsid w:val="00137087"/>
    <w:rPr>
      <w:rFonts w:cs="Times New Roman"/>
    </w:rPr>
  </w:style>
  <w:style w:type="character" w:customStyle="1" w:styleId="semicolon2">
    <w:name w:val="semicolon2"/>
    <w:basedOn w:val="DefaultParagraphFont"/>
    <w:rsid w:val="00137087"/>
    <w:rPr>
      <w:rFonts w:cs="Times New Roman"/>
    </w:rPr>
  </w:style>
  <w:style w:type="character" w:styleId="CommentReference">
    <w:name w:val="annotation reference"/>
    <w:basedOn w:val="DefaultParagraphFont"/>
    <w:uiPriority w:val="99"/>
    <w:semiHidden/>
    <w:unhideWhenUsed/>
    <w:rsid w:val="001F484E"/>
    <w:rPr>
      <w:rFonts w:cs="Times New Roman"/>
      <w:sz w:val="16"/>
      <w:szCs w:val="16"/>
    </w:rPr>
  </w:style>
  <w:style w:type="paragraph" w:styleId="CommentText">
    <w:name w:val="annotation text"/>
    <w:basedOn w:val="Normal"/>
    <w:link w:val="CommentTextChar"/>
    <w:uiPriority w:val="99"/>
    <w:semiHidden/>
    <w:unhideWhenUsed/>
    <w:rsid w:val="001F484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F48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EF4F3F"/>
    <w:rPr>
      <w:b/>
      <w:bCs/>
    </w:rPr>
  </w:style>
  <w:style w:type="character" w:customStyle="1" w:styleId="CommentSubjectChar">
    <w:name w:val="Comment Subject Char"/>
    <w:basedOn w:val="CommentTextChar"/>
    <w:link w:val="CommentSubject"/>
    <w:uiPriority w:val="99"/>
    <w:semiHidden/>
    <w:locked/>
    <w:rsid w:val="00EF4F3F"/>
    <w:rPr>
      <w:rFonts w:cs="Times New Roman"/>
      <w:b/>
      <w:bCs/>
      <w:sz w:val="20"/>
      <w:szCs w:val="20"/>
    </w:rPr>
  </w:style>
  <w:style w:type="paragraph" w:styleId="Revision">
    <w:name w:val="Revision"/>
    <w:hidden/>
    <w:uiPriority w:val="99"/>
    <w:semiHidden/>
    <w:rsid w:val="00EF4F3F"/>
    <w:pPr>
      <w:spacing w:after="0" w:line="240" w:lineRule="auto"/>
    </w:pPr>
    <w:rPr>
      <w:rFonts w:cs="Times New Roman"/>
    </w:rPr>
  </w:style>
  <w:style w:type="paragraph" w:styleId="BalloonText">
    <w:name w:val="Balloon Text"/>
    <w:basedOn w:val="Normal"/>
    <w:link w:val="BalloonTextChar"/>
    <w:uiPriority w:val="99"/>
    <w:semiHidden/>
    <w:unhideWhenUsed/>
    <w:rsid w:val="00EF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F3F"/>
    <w:rPr>
      <w:rFonts w:ascii="Tahoma" w:hAnsi="Tahoma" w:cs="Tahoma"/>
      <w:sz w:val="16"/>
      <w:szCs w:val="16"/>
    </w:rPr>
  </w:style>
  <w:style w:type="character" w:customStyle="1" w:styleId="a-list-item3">
    <w:name w:val="a-list-item3"/>
    <w:basedOn w:val="DefaultParagraphFont"/>
    <w:rsid w:val="00BD06B5"/>
    <w:rPr>
      <w:rFonts w:cs="Times New Roman"/>
      <w:color w:val="111111"/>
    </w:rPr>
  </w:style>
  <w:style w:type="paragraph" w:styleId="PlainText">
    <w:name w:val="Plain Text"/>
    <w:basedOn w:val="Normal"/>
    <w:link w:val="PlainTextChar"/>
    <w:uiPriority w:val="99"/>
    <w:semiHidden/>
    <w:rsid w:val="00082A57"/>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082A57"/>
    <w:rPr>
      <w:rFonts w:ascii="Courier New" w:hAnsi="Courier New" w:cs="Times New Roman"/>
      <w:sz w:val="20"/>
      <w:szCs w:val="20"/>
    </w:rPr>
  </w:style>
  <w:style w:type="paragraph" w:styleId="Header">
    <w:name w:val="header"/>
    <w:basedOn w:val="Normal"/>
    <w:link w:val="HeaderChar"/>
    <w:uiPriority w:val="99"/>
    <w:unhideWhenUsed/>
    <w:rsid w:val="00223C0F"/>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23C0F"/>
    <w:rPr>
      <w:rFonts w:cs="Times New Roman"/>
    </w:rPr>
  </w:style>
  <w:style w:type="paragraph" w:styleId="Footer">
    <w:name w:val="footer"/>
    <w:basedOn w:val="Normal"/>
    <w:link w:val="FooterChar"/>
    <w:uiPriority w:val="99"/>
    <w:unhideWhenUsed/>
    <w:rsid w:val="00223C0F"/>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23C0F"/>
    <w:rPr>
      <w:rFonts w:cs="Times New Roman"/>
    </w:rPr>
  </w:style>
  <w:style w:type="paragraph" w:styleId="ListParagraph">
    <w:name w:val="List Paragraph"/>
    <w:basedOn w:val="Normal"/>
    <w:uiPriority w:val="34"/>
    <w:qFormat/>
    <w:rsid w:val="00E81CE1"/>
    <w:pPr>
      <w:ind w:left="720"/>
      <w:contextualSpacing/>
    </w:pPr>
  </w:style>
  <w:style w:type="paragraph" w:styleId="EndnoteText">
    <w:name w:val="endnote text"/>
    <w:basedOn w:val="Normal"/>
    <w:link w:val="EndnoteTextChar"/>
    <w:uiPriority w:val="99"/>
    <w:unhideWhenUsed/>
    <w:rsid w:val="002657D2"/>
    <w:pPr>
      <w:spacing w:after="0" w:line="240" w:lineRule="auto"/>
    </w:pPr>
    <w:rPr>
      <w:sz w:val="20"/>
      <w:szCs w:val="20"/>
    </w:rPr>
  </w:style>
  <w:style w:type="character" w:customStyle="1" w:styleId="EndnoteTextChar">
    <w:name w:val="Endnote Text Char"/>
    <w:basedOn w:val="DefaultParagraphFont"/>
    <w:link w:val="EndnoteText"/>
    <w:uiPriority w:val="99"/>
    <w:locked/>
    <w:rsid w:val="002657D2"/>
    <w:rPr>
      <w:rFonts w:cs="Times New Roman"/>
      <w:sz w:val="20"/>
      <w:szCs w:val="20"/>
    </w:rPr>
  </w:style>
  <w:style w:type="character" w:styleId="EndnoteReference">
    <w:name w:val="endnote reference"/>
    <w:basedOn w:val="DefaultParagraphFont"/>
    <w:uiPriority w:val="99"/>
    <w:semiHidden/>
    <w:unhideWhenUsed/>
    <w:rsid w:val="002657D2"/>
    <w:rPr>
      <w:rFonts w:cs="Times New Roman"/>
      <w:vertAlign w:val="superscript"/>
    </w:rPr>
  </w:style>
  <w:style w:type="character" w:styleId="LineNumber">
    <w:name w:val="line number"/>
    <w:basedOn w:val="DefaultParagraphFont"/>
    <w:uiPriority w:val="99"/>
    <w:semiHidden/>
    <w:unhideWhenUsed/>
    <w:rsid w:val="00223A85"/>
    <w:rPr>
      <w:rFonts w:cs="Times New Roman"/>
    </w:rPr>
  </w:style>
  <w:style w:type="paragraph" w:customStyle="1" w:styleId="Default">
    <w:name w:val="Default"/>
    <w:rsid w:val="00C1041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754EA"/>
    <w:rPr>
      <w:rFonts w:cs="Times New Roman"/>
      <w:i/>
      <w:iCs/>
    </w:rPr>
  </w:style>
  <w:style w:type="paragraph" w:styleId="NormalWeb">
    <w:name w:val="Normal (Web)"/>
    <w:basedOn w:val="Normal"/>
    <w:uiPriority w:val="99"/>
    <w:unhideWhenUsed/>
    <w:rsid w:val="00226BD0"/>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784D7B"/>
    <w:rPr>
      <w:rFonts w:cs="Times New Roman"/>
      <w:color w:val="800080" w:themeColor="followedHyperlink"/>
      <w:u w:val="single"/>
    </w:rPr>
  </w:style>
  <w:style w:type="paragraph" w:styleId="FootnoteText">
    <w:name w:val="footnote text"/>
    <w:basedOn w:val="Normal"/>
    <w:link w:val="FootnoteTextChar"/>
    <w:uiPriority w:val="99"/>
    <w:semiHidden/>
    <w:unhideWhenUsed/>
    <w:rsid w:val="00AD1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3C6"/>
    <w:rPr>
      <w:rFonts w:cs="Times New Roman"/>
      <w:sz w:val="20"/>
      <w:szCs w:val="20"/>
    </w:rPr>
  </w:style>
  <w:style w:type="character" w:styleId="FootnoteReference">
    <w:name w:val="footnote reference"/>
    <w:basedOn w:val="DefaultParagraphFont"/>
    <w:uiPriority w:val="99"/>
    <w:semiHidden/>
    <w:unhideWhenUsed/>
    <w:rsid w:val="00AD13C6"/>
    <w:rPr>
      <w:vertAlign w:val="superscript"/>
    </w:rPr>
  </w:style>
  <w:style w:type="paragraph" w:customStyle="1" w:styleId="EndNoteBibliographyTitle">
    <w:name w:val="EndNote Bibliography Title"/>
    <w:basedOn w:val="Normal"/>
    <w:link w:val="EndNoteBibliographyTitleChar"/>
    <w:rsid w:val="00720EC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20EC0"/>
    <w:rPr>
      <w:rFonts w:ascii="Calibri" w:hAnsi="Calibri" w:cs="Times New Roman"/>
      <w:noProof/>
      <w:lang w:val="en-US"/>
    </w:rPr>
  </w:style>
  <w:style w:type="paragraph" w:customStyle="1" w:styleId="EndNoteBibliography">
    <w:name w:val="EndNote Bibliography"/>
    <w:basedOn w:val="Normal"/>
    <w:link w:val="EndNoteBibliographyChar"/>
    <w:rsid w:val="00720EC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20EC0"/>
    <w:rPr>
      <w:rFonts w:ascii="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6307">
      <w:bodyDiv w:val="1"/>
      <w:marLeft w:val="0"/>
      <w:marRight w:val="0"/>
      <w:marTop w:val="0"/>
      <w:marBottom w:val="0"/>
      <w:divBdr>
        <w:top w:val="none" w:sz="0" w:space="0" w:color="auto"/>
        <w:left w:val="none" w:sz="0" w:space="0" w:color="auto"/>
        <w:bottom w:val="none" w:sz="0" w:space="0" w:color="auto"/>
        <w:right w:val="none" w:sz="0" w:space="0" w:color="auto"/>
      </w:divBdr>
      <w:divsChild>
        <w:div w:id="1902210473">
          <w:marLeft w:val="0"/>
          <w:marRight w:val="0"/>
          <w:marTop w:val="0"/>
          <w:marBottom w:val="0"/>
          <w:divBdr>
            <w:top w:val="none" w:sz="0" w:space="0" w:color="auto"/>
            <w:left w:val="none" w:sz="0" w:space="0" w:color="auto"/>
            <w:bottom w:val="none" w:sz="0" w:space="0" w:color="auto"/>
            <w:right w:val="none" w:sz="0" w:space="0" w:color="auto"/>
          </w:divBdr>
          <w:divsChild>
            <w:div w:id="1619098479">
              <w:marLeft w:val="0"/>
              <w:marRight w:val="0"/>
              <w:marTop w:val="0"/>
              <w:marBottom w:val="0"/>
              <w:divBdr>
                <w:top w:val="none" w:sz="0" w:space="0" w:color="auto"/>
                <w:left w:val="none" w:sz="0" w:space="0" w:color="auto"/>
                <w:bottom w:val="none" w:sz="0" w:space="0" w:color="auto"/>
                <w:right w:val="none" w:sz="0" w:space="0" w:color="auto"/>
              </w:divBdr>
              <w:divsChild>
                <w:div w:id="1706981427">
                  <w:marLeft w:val="0"/>
                  <w:marRight w:val="0"/>
                  <w:marTop w:val="0"/>
                  <w:marBottom w:val="0"/>
                  <w:divBdr>
                    <w:top w:val="none" w:sz="0" w:space="0" w:color="auto"/>
                    <w:left w:val="none" w:sz="0" w:space="0" w:color="auto"/>
                    <w:bottom w:val="none" w:sz="0" w:space="0" w:color="auto"/>
                    <w:right w:val="none" w:sz="0" w:space="0" w:color="auto"/>
                  </w:divBdr>
                  <w:divsChild>
                    <w:div w:id="504326671">
                      <w:marLeft w:val="0"/>
                      <w:marRight w:val="0"/>
                      <w:marTop w:val="0"/>
                      <w:marBottom w:val="0"/>
                      <w:divBdr>
                        <w:top w:val="none" w:sz="0" w:space="0" w:color="auto"/>
                        <w:left w:val="none" w:sz="0" w:space="0" w:color="auto"/>
                        <w:bottom w:val="none" w:sz="0" w:space="0" w:color="auto"/>
                        <w:right w:val="none" w:sz="0" w:space="0" w:color="auto"/>
                      </w:divBdr>
                      <w:divsChild>
                        <w:div w:id="942884393">
                          <w:marLeft w:val="0"/>
                          <w:marRight w:val="0"/>
                          <w:marTop w:val="0"/>
                          <w:marBottom w:val="0"/>
                          <w:divBdr>
                            <w:top w:val="none" w:sz="0" w:space="0" w:color="auto"/>
                            <w:left w:val="none" w:sz="0" w:space="0" w:color="auto"/>
                            <w:bottom w:val="none" w:sz="0" w:space="0" w:color="auto"/>
                            <w:right w:val="none" w:sz="0" w:space="0" w:color="auto"/>
                          </w:divBdr>
                          <w:divsChild>
                            <w:div w:id="14684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51165">
      <w:bodyDiv w:val="1"/>
      <w:marLeft w:val="0"/>
      <w:marRight w:val="0"/>
      <w:marTop w:val="0"/>
      <w:marBottom w:val="0"/>
      <w:divBdr>
        <w:top w:val="none" w:sz="0" w:space="0" w:color="auto"/>
        <w:left w:val="none" w:sz="0" w:space="0" w:color="auto"/>
        <w:bottom w:val="none" w:sz="0" w:space="0" w:color="auto"/>
        <w:right w:val="none" w:sz="0" w:space="0" w:color="auto"/>
      </w:divBdr>
      <w:divsChild>
        <w:div w:id="981078551">
          <w:marLeft w:val="0"/>
          <w:marRight w:val="0"/>
          <w:marTop w:val="0"/>
          <w:marBottom w:val="0"/>
          <w:divBdr>
            <w:top w:val="none" w:sz="0" w:space="0" w:color="auto"/>
            <w:left w:val="none" w:sz="0" w:space="0" w:color="auto"/>
            <w:bottom w:val="none" w:sz="0" w:space="0" w:color="auto"/>
            <w:right w:val="none" w:sz="0" w:space="0" w:color="auto"/>
          </w:divBdr>
          <w:divsChild>
            <w:div w:id="440488914">
              <w:marLeft w:val="0"/>
              <w:marRight w:val="0"/>
              <w:marTop w:val="0"/>
              <w:marBottom w:val="0"/>
              <w:divBdr>
                <w:top w:val="none" w:sz="0" w:space="0" w:color="auto"/>
                <w:left w:val="none" w:sz="0" w:space="0" w:color="auto"/>
                <w:bottom w:val="none" w:sz="0" w:space="0" w:color="auto"/>
                <w:right w:val="none" w:sz="0" w:space="0" w:color="auto"/>
              </w:divBdr>
              <w:divsChild>
                <w:div w:id="569317241">
                  <w:marLeft w:val="0"/>
                  <w:marRight w:val="0"/>
                  <w:marTop w:val="0"/>
                  <w:marBottom w:val="0"/>
                  <w:divBdr>
                    <w:top w:val="none" w:sz="0" w:space="0" w:color="auto"/>
                    <w:left w:val="none" w:sz="0" w:space="0" w:color="auto"/>
                    <w:bottom w:val="none" w:sz="0" w:space="0" w:color="auto"/>
                    <w:right w:val="none" w:sz="0" w:space="0" w:color="auto"/>
                  </w:divBdr>
                  <w:divsChild>
                    <w:div w:id="1509951636">
                      <w:marLeft w:val="0"/>
                      <w:marRight w:val="0"/>
                      <w:marTop w:val="0"/>
                      <w:marBottom w:val="0"/>
                      <w:divBdr>
                        <w:top w:val="none" w:sz="0" w:space="0" w:color="auto"/>
                        <w:left w:val="none" w:sz="0" w:space="0" w:color="auto"/>
                        <w:bottom w:val="none" w:sz="0" w:space="0" w:color="auto"/>
                        <w:right w:val="none" w:sz="0" w:space="0" w:color="auto"/>
                      </w:divBdr>
                      <w:divsChild>
                        <w:div w:id="1704944699">
                          <w:marLeft w:val="0"/>
                          <w:marRight w:val="0"/>
                          <w:marTop w:val="0"/>
                          <w:marBottom w:val="0"/>
                          <w:divBdr>
                            <w:top w:val="none" w:sz="0" w:space="0" w:color="auto"/>
                            <w:left w:val="none" w:sz="0" w:space="0" w:color="auto"/>
                            <w:bottom w:val="none" w:sz="0" w:space="0" w:color="auto"/>
                            <w:right w:val="none" w:sz="0" w:space="0" w:color="auto"/>
                          </w:divBdr>
                          <w:divsChild>
                            <w:div w:id="784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471831">
      <w:bodyDiv w:val="1"/>
      <w:marLeft w:val="0"/>
      <w:marRight w:val="0"/>
      <w:marTop w:val="0"/>
      <w:marBottom w:val="0"/>
      <w:divBdr>
        <w:top w:val="none" w:sz="0" w:space="0" w:color="auto"/>
        <w:left w:val="none" w:sz="0" w:space="0" w:color="auto"/>
        <w:bottom w:val="none" w:sz="0" w:space="0" w:color="auto"/>
        <w:right w:val="none" w:sz="0" w:space="0" w:color="auto"/>
      </w:divBdr>
    </w:div>
    <w:div w:id="448011311">
      <w:bodyDiv w:val="1"/>
      <w:marLeft w:val="0"/>
      <w:marRight w:val="0"/>
      <w:marTop w:val="0"/>
      <w:marBottom w:val="0"/>
      <w:divBdr>
        <w:top w:val="none" w:sz="0" w:space="0" w:color="auto"/>
        <w:left w:val="none" w:sz="0" w:space="0" w:color="auto"/>
        <w:bottom w:val="none" w:sz="0" w:space="0" w:color="auto"/>
        <w:right w:val="none" w:sz="0" w:space="0" w:color="auto"/>
      </w:divBdr>
      <w:divsChild>
        <w:div w:id="2116173218">
          <w:marLeft w:val="0"/>
          <w:marRight w:val="0"/>
          <w:marTop w:val="0"/>
          <w:marBottom w:val="0"/>
          <w:divBdr>
            <w:top w:val="none" w:sz="0" w:space="0" w:color="auto"/>
            <w:left w:val="none" w:sz="0" w:space="0" w:color="auto"/>
            <w:bottom w:val="none" w:sz="0" w:space="0" w:color="auto"/>
            <w:right w:val="none" w:sz="0" w:space="0" w:color="auto"/>
          </w:divBdr>
          <w:divsChild>
            <w:div w:id="1448622237">
              <w:marLeft w:val="0"/>
              <w:marRight w:val="0"/>
              <w:marTop w:val="0"/>
              <w:marBottom w:val="0"/>
              <w:divBdr>
                <w:top w:val="none" w:sz="0" w:space="0" w:color="auto"/>
                <w:left w:val="none" w:sz="0" w:space="0" w:color="auto"/>
                <w:bottom w:val="none" w:sz="0" w:space="0" w:color="auto"/>
                <w:right w:val="none" w:sz="0" w:space="0" w:color="auto"/>
              </w:divBdr>
              <w:divsChild>
                <w:div w:id="1291282128">
                  <w:marLeft w:val="0"/>
                  <w:marRight w:val="0"/>
                  <w:marTop w:val="0"/>
                  <w:marBottom w:val="0"/>
                  <w:divBdr>
                    <w:top w:val="none" w:sz="0" w:space="0" w:color="auto"/>
                    <w:left w:val="none" w:sz="0" w:space="0" w:color="auto"/>
                    <w:bottom w:val="none" w:sz="0" w:space="0" w:color="auto"/>
                    <w:right w:val="none" w:sz="0" w:space="0" w:color="auto"/>
                  </w:divBdr>
                  <w:divsChild>
                    <w:div w:id="733502379">
                      <w:marLeft w:val="0"/>
                      <w:marRight w:val="0"/>
                      <w:marTop w:val="0"/>
                      <w:marBottom w:val="0"/>
                      <w:divBdr>
                        <w:top w:val="none" w:sz="0" w:space="0" w:color="auto"/>
                        <w:left w:val="none" w:sz="0" w:space="0" w:color="auto"/>
                        <w:bottom w:val="none" w:sz="0" w:space="0" w:color="auto"/>
                        <w:right w:val="none" w:sz="0" w:space="0" w:color="auto"/>
                      </w:divBdr>
                      <w:divsChild>
                        <w:div w:id="1225801063">
                          <w:marLeft w:val="0"/>
                          <w:marRight w:val="0"/>
                          <w:marTop w:val="0"/>
                          <w:marBottom w:val="0"/>
                          <w:divBdr>
                            <w:top w:val="none" w:sz="0" w:space="0" w:color="auto"/>
                            <w:left w:val="none" w:sz="0" w:space="0" w:color="auto"/>
                            <w:bottom w:val="none" w:sz="0" w:space="0" w:color="auto"/>
                            <w:right w:val="none" w:sz="0" w:space="0" w:color="auto"/>
                          </w:divBdr>
                          <w:divsChild>
                            <w:div w:id="4391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863">
      <w:bodyDiv w:val="1"/>
      <w:marLeft w:val="0"/>
      <w:marRight w:val="0"/>
      <w:marTop w:val="0"/>
      <w:marBottom w:val="0"/>
      <w:divBdr>
        <w:top w:val="none" w:sz="0" w:space="0" w:color="auto"/>
        <w:left w:val="none" w:sz="0" w:space="0" w:color="auto"/>
        <w:bottom w:val="none" w:sz="0" w:space="0" w:color="auto"/>
        <w:right w:val="none" w:sz="0" w:space="0" w:color="auto"/>
      </w:divBdr>
      <w:divsChild>
        <w:div w:id="1253392222">
          <w:marLeft w:val="0"/>
          <w:marRight w:val="0"/>
          <w:marTop w:val="0"/>
          <w:marBottom w:val="0"/>
          <w:divBdr>
            <w:top w:val="none" w:sz="0" w:space="0" w:color="auto"/>
            <w:left w:val="none" w:sz="0" w:space="0" w:color="auto"/>
            <w:bottom w:val="none" w:sz="0" w:space="0" w:color="auto"/>
            <w:right w:val="none" w:sz="0" w:space="0" w:color="auto"/>
          </w:divBdr>
          <w:divsChild>
            <w:div w:id="496655095">
              <w:marLeft w:val="0"/>
              <w:marRight w:val="0"/>
              <w:marTop w:val="0"/>
              <w:marBottom w:val="0"/>
              <w:divBdr>
                <w:top w:val="none" w:sz="0" w:space="0" w:color="auto"/>
                <w:left w:val="none" w:sz="0" w:space="0" w:color="auto"/>
                <w:bottom w:val="none" w:sz="0" w:space="0" w:color="auto"/>
                <w:right w:val="none" w:sz="0" w:space="0" w:color="auto"/>
              </w:divBdr>
              <w:divsChild>
                <w:div w:id="1973360522">
                  <w:marLeft w:val="0"/>
                  <w:marRight w:val="0"/>
                  <w:marTop w:val="0"/>
                  <w:marBottom w:val="0"/>
                  <w:divBdr>
                    <w:top w:val="none" w:sz="0" w:space="0" w:color="auto"/>
                    <w:left w:val="none" w:sz="0" w:space="0" w:color="auto"/>
                    <w:bottom w:val="none" w:sz="0" w:space="0" w:color="auto"/>
                    <w:right w:val="none" w:sz="0" w:space="0" w:color="auto"/>
                  </w:divBdr>
                  <w:divsChild>
                    <w:div w:id="1406150672">
                      <w:marLeft w:val="0"/>
                      <w:marRight w:val="0"/>
                      <w:marTop w:val="0"/>
                      <w:marBottom w:val="0"/>
                      <w:divBdr>
                        <w:top w:val="none" w:sz="0" w:space="0" w:color="auto"/>
                        <w:left w:val="none" w:sz="0" w:space="0" w:color="auto"/>
                        <w:bottom w:val="none" w:sz="0" w:space="0" w:color="auto"/>
                        <w:right w:val="none" w:sz="0" w:space="0" w:color="auto"/>
                      </w:divBdr>
                      <w:divsChild>
                        <w:div w:id="40059964">
                          <w:marLeft w:val="0"/>
                          <w:marRight w:val="0"/>
                          <w:marTop w:val="0"/>
                          <w:marBottom w:val="0"/>
                          <w:divBdr>
                            <w:top w:val="none" w:sz="0" w:space="0" w:color="auto"/>
                            <w:left w:val="none" w:sz="0" w:space="0" w:color="auto"/>
                            <w:bottom w:val="none" w:sz="0" w:space="0" w:color="auto"/>
                            <w:right w:val="none" w:sz="0" w:space="0" w:color="auto"/>
                          </w:divBdr>
                          <w:divsChild>
                            <w:div w:id="19640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921452">
      <w:bodyDiv w:val="1"/>
      <w:marLeft w:val="0"/>
      <w:marRight w:val="0"/>
      <w:marTop w:val="0"/>
      <w:marBottom w:val="0"/>
      <w:divBdr>
        <w:top w:val="none" w:sz="0" w:space="0" w:color="auto"/>
        <w:left w:val="none" w:sz="0" w:space="0" w:color="auto"/>
        <w:bottom w:val="none" w:sz="0" w:space="0" w:color="auto"/>
        <w:right w:val="none" w:sz="0" w:space="0" w:color="auto"/>
      </w:divBdr>
      <w:divsChild>
        <w:div w:id="1985624189">
          <w:marLeft w:val="0"/>
          <w:marRight w:val="0"/>
          <w:marTop w:val="0"/>
          <w:marBottom w:val="0"/>
          <w:divBdr>
            <w:top w:val="none" w:sz="0" w:space="0" w:color="auto"/>
            <w:left w:val="none" w:sz="0" w:space="0" w:color="auto"/>
            <w:bottom w:val="none" w:sz="0" w:space="0" w:color="auto"/>
            <w:right w:val="none" w:sz="0" w:space="0" w:color="auto"/>
          </w:divBdr>
          <w:divsChild>
            <w:div w:id="53160826">
              <w:marLeft w:val="0"/>
              <w:marRight w:val="0"/>
              <w:marTop w:val="0"/>
              <w:marBottom w:val="0"/>
              <w:divBdr>
                <w:top w:val="none" w:sz="0" w:space="0" w:color="auto"/>
                <w:left w:val="none" w:sz="0" w:space="0" w:color="auto"/>
                <w:bottom w:val="none" w:sz="0" w:space="0" w:color="auto"/>
                <w:right w:val="none" w:sz="0" w:space="0" w:color="auto"/>
              </w:divBdr>
              <w:divsChild>
                <w:div w:id="517085292">
                  <w:marLeft w:val="0"/>
                  <w:marRight w:val="0"/>
                  <w:marTop w:val="0"/>
                  <w:marBottom w:val="0"/>
                  <w:divBdr>
                    <w:top w:val="none" w:sz="0" w:space="0" w:color="auto"/>
                    <w:left w:val="none" w:sz="0" w:space="0" w:color="auto"/>
                    <w:bottom w:val="none" w:sz="0" w:space="0" w:color="auto"/>
                    <w:right w:val="none" w:sz="0" w:space="0" w:color="auto"/>
                  </w:divBdr>
                  <w:divsChild>
                    <w:div w:id="12031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6686">
      <w:bodyDiv w:val="1"/>
      <w:marLeft w:val="0"/>
      <w:marRight w:val="0"/>
      <w:marTop w:val="0"/>
      <w:marBottom w:val="0"/>
      <w:divBdr>
        <w:top w:val="none" w:sz="0" w:space="0" w:color="auto"/>
        <w:left w:val="none" w:sz="0" w:space="0" w:color="auto"/>
        <w:bottom w:val="none" w:sz="0" w:space="0" w:color="auto"/>
        <w:right w:val="none" w:sz="0" w:space="0" w:color="auto"/>
      </w:divBdr>
    </w:div>
    <w:div w:id="776677995">
      <w:marLeft w:val="0"/>
      <w:marRight w:val="0"/>
      <w:marTop w:val="0"/>
      <w:marBottom w:val="0"/>
      <w:divBdr>
        <w:top w:val="none" w:sz="0" w:space="0" w:color="auto"/>
        <w:left w:val="none" w:sz="0" w:space="0" w:color="auto"/>
        <w:bottom w:val="none" w:sz="0" w:space="0" w:color="auto"/>
        <w:right w:val="none" w:sz="0" w:space="0" w:color="auto"/>
      </w:divBdr>
      <w:divsChild>
        <w:div w:id="776678049">
          <w:marLeft w:val="0"/>
          <w:marRight w:val="0"/>
          <w:marTop w:val="0"/>
          <w:marBottom w:val="0"/>
          <w:divBdr>
            <w:top w:val="none" w:sz="0" w:space="0" w:color="auto"/>
            <w:left w:val="none" w:sz="0" w:space="0" w:color="auto"/>
            <w:bottom w:val="none" w:sz="0" w:space="0" w:color="auto"/>
            <w:right w:val="none" w:sz="0" w:space="0" w:color="auto"/>
          </w:divBdr>
          <w:divsChild>
            <w:div w:id="776678030">
              <w:marLeft w:val="0"/>
              <w:marRight w:val="0"/>
              <w:marTop w:val="0"/>
              <w:marBottom w:val="0"/>
              <w:divBdr>
                <w:top w:val="none" w:sz="0" w:space="0" w:color="auto"/>
                <w:left w:val="none" w:sz="0" w:space="0" w:color="auto"/>
                <w:bottom w:val="none" w:sz="0" w:space="0" w:color="auto"/>
                <w:right w:val="none" w:sz="0" w:space="0" w:color="auto"/>
              </w:divBdr>
              <w:divsChild>
                <w:div w:id="776678016">
                  <w:marLeft w:val="0"/>
                  <w:marRight w:val="0"/>
                  <w:marTop w:val="0"/>
                  <w:marBottom w:val="0"/>
                  <w:divBdr>
                    <w:top w:val="none" w:sz="0" w:space="0" w:color="auto"/>
                    <w:left w:val="none" w:sz="0" w:space="0" w:color="auto"/>
                    <w:bottom w:val="none" w:sz="0" w:space="0" w:color="auto"/>
                    <w:right w:val="none" w:sz="0" w:space="0" w:color="auto"/>
                  </w:divBdr>
                  <w:divsChild>
                    <w:div w:id="776678037">
                      <w:marLeft w:val="0"/>
                      <w:marRight w:val="0"/>
                      <w:marTop w:val="0"/>
                      <w:marBottom w:val="0"/>
                      <w:divBdr>
                        <w:top w:val="none" w:sz="0" w:space="0" w:color="auto"/>
                        <w:left w:val="none" w:sz="0" w:space="0" w:color="auto"/>
                        <w:bottom w:val="none" w:sz="0" w:space="0" w:color="auto"/>
                        <w:right w:val="none" w:sz="0" w:space="0" w:color="auto"/>
                      </w:divBdr>
                      <w:divsChild>
                        <w:div w:id="776678050">
                          <w:marLeft w:val="0"/>
                          <w:marRight w:val="0"/>
                          <w:marTop w:val="0"/>
                          <w:marBottom w:val="0"/>
                          <w:divBdr>
                            <w:top w:val="none" w:sz="0" w:space="0" w:color="auto"/>
                            <w:left w:val="none" w:sz="0" w:space="0" w:color="auto"/>
                            <w:bottom w:val="none" w:sz="0" w:space="0" w:color="auto"/>
                            <w:right w:val="none" w:sz="0" w:space="0" w:color="auto"/>
                          </w:divBdr>
                          <w:divsChild>
                            <w:div w:id="7766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78003">
      <w:marLeft w:val="0"/>
      <w:marRight w:val="0"/>
      <w:marTop w:val="0"/>
      <w:marBottom w:val="0"/>
      <w:divBdr>
        <w:top w:val="none" w:sz="0" w:space="0" w:color="auto"/>
        <w:left w:val="none" w:sz="0" w:space="0" w:color="auto"/>
        <w:bottom w:val="none" w:sz="0" w:space="0" w:color="auto"/>
        <w:right w:val="none" w:sz="0" w:space="0" w:color="auto"/>
      </w:divBdr>
      <w:divsChild>
        <w:div w:id="776677997">
          <w:marLeft w:val="0"/>
          <w:marRight w:val="0"/>
          <w:marTop w:val="0"/>
          <w:marBottom w:val="0"/>
          <w:divBdr>
            <w:top w:val="none" w:sz="0" w:space="0" w:color="auto"/>
            <w:left w:val="none" w:sz="0" w:space="0" w:color="auto"/>
            <w:bottom w:val="none" w:sz="0" w:space="0" w:color="auto"/>
            <w:right w:val="none" w:sz="0" w:space="0" w:color="auto"/>
          </w:divBdr>
          <w:divsChild>
            <w:div w:id="776677996">
              <w:marLeft w:val="0"/>
              <w:marRight w:val="0"/>
              <w:marTop w:val="0"/>
              <w:marBottom w:val="0"/>
              <w:divBdr>
                <w:top w:val="none" w:sz="0" w:space="0" w:color="auto"/>
                <w:left w:val="none" w:sz="0" w:space="0" w:color="auto"/>
                <w:bottom w:val="none" w:sz="0" w:space="0" w:color="auto"/>
                <w:right w:val="none" w:sz="0" w:space="0" w:color="auto"/>
              </w:divBdr>
              <w:divsChild>
                <w:div w:id="776678047">
                  <w:marLeft w:val="0"/>
                  <w:marRight w:val="0"/>
                  <w:marTop w:val="0"/>
                  <w:marBottom w:val="0"/>
                  <w:divBdr>
                    <w:top w:val="none" w:sz="0" w:space="0" w:color="auto"/>
                    <w:left w:val="none" w:sz="0" w:space="0" w:color="auto"/>
                    <w:bottom w:val="none" w:sz="0" w:space="0" w:color="auto"/>
                    <w:right w:val="none" w:sz="0" w:space="0" w:color="auto"/>
                  </w:divBdr>
                  <w:divsChild>
                    <w:div w:id="776678017">
                      <w:marLeft w:val="0"/>
                      <w:marRight w:val="0"/>
                      <w:marTop w:val="0"/>
                      <w:marBottom w:val="0"/>
                      <w:divBdr>
                        <w:top w:val="none" w:sz="0" w:space="0" w:color="auto"/>
                        <w:left w:val="none" w:sz="0" w:space="0" w:color="auto"/>
                        <w:bottom w:val="none" w:sz="0" w:space="0" w:color="auto"/>
                        <w:right w:val="none" w:sz="0" w:space="0" w:color="auto"/>
                      </w:divBdr>
                      <w:divsChild>
                        <w:div w:id="776678026">
                          <w:marLeft w:val="0"/>
                          <w:marRight w:val="0"/>
                          <w:marTop w:val="0"/>
                          <w:marBottom w:val="0"/>
                          <w:divBdr>
                            <w:top w:val="none" w:sz="0" w:space="0" w:color="auto"/>
                            <w:left w:val="none" w:sz="0" w:space="0" w:color="auto"/>
                            <w:bottom w:val="none" w:sz="0" w:space="0" w:color="auto"/>
                            <w:right w:val="none" w:sz="0" w:space="0" w:color="auto"/>
                          </w:divBdr>
                          <w:divsChild>
                            <w:div w:id="7766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78021">
      <w:marLeft w:val="0"/>
      <w:marRight w:val="0"/>
      <w:marTop w:val="0"/>
      <w:marBottom w:val="0"/>
      <w:divBdr>
        <w:top w:val="none" w:sz="0" w:space="0" w:color="auto"/>
        <w:left w:val="none" w:sz="0" w:space="0" w:color="auto"/>
        <w:bottom w:val="none" w:sz="0" w:space="0" w:color="auto"/>
        <w:right w:val="none" w:sz="0" w:space="0" w:color="auto"/>
      </w:divBdr>
    </w:div>
    <w:div w:id="776678034">
      <w:marLeft w:val="0"/>
      <w:marRight w:val="0"/>
      <w:marTop w:val="0"/>
      <w:marBottom w:val="0"/>
      <w:divBdr>
        <w:top w:val="none" w:sz="0" w:space="0" w:color="auto"/>
        <w:left w:val="none" w:sz="0" w:space="0" w:color="auto"/>
        <w:bottom w:val="none" w:sz="0" w:space="0" w:color="auto"/>
        <w:right w:val="none" w:sz="0" w:space="0" w:color="auto"/>
      </w:divBdr>
    </w:div>
    <w:div w:id="776678041">
      <w:marLeft w:val="0"/>
      <w:marRight w:val="0"/>
      <w:marTop w:val="0"/>
      <w:marBottom w:val="0"/>
      <w:divBdr>
        <w:top w:val="none" w:sz="0" w:space="0" w:color="auto"/>
        <w:left w:val="none" w:sz="0" w:space="0" w:color="auto"/>
        <w:bottom w:val="none" w:sz="0" w:space="0" w:color="auto"/>
        <w:right w:val="none" w:sz="0" w:space="0" w:color="auto"/>
      </w:divBdr>
    </w:div>
    <w:div w:id="776678045">
      <w:marLeft w:val="0"/>
      <w:marRight w:val="0"/>
      <w:marTop w:val="0"/>
      <w:marBottom w:val="0"/>
      <w:divBdr>
        <w:top w:val="none" w:sz="0" w:space="0" w:color="auto"/>
        <w:left w:val="none" w:sz="0" w:space="0" w:color="auto"/>
        <w:bottom w:val="none" w:sz="0" w:space="0" w:color="auto"/>
        <w:right w:val="none" w:sz="0" w:space="0" w:color="auto"/>
      </w:divBdr>
    </w:div>
    <w:div w:id="776678046">
      <w:marLeft w:val="0"/>
      <w:marRight w:val="0"/>
      <w:marTop w:val="0"/>
      <w:marBottom w:val="0"/>
      <w:divBdr>
        <w:top w:val="none" w:sz="0" w:space="0" w:color="auto"/>
        <w:left w:val="none" w:sz="0" w:space="0" w:color="auto"/>
        <w:bottom w:val="none" w:sz="0" w:space="0" w:color="auto"/>
        <w:right w:val="none" w:sz="0" w:space="0" w:color="auto"/>
      </w:divBdr>
    </w:div>
    <w:div w:id="776678052">
      <w:marLeft w:val="0"/>
      <w:marRight w:val="0"/>
      <w:marTop w:val="0"/>
      <w:marBottom w:val="0"/>
      <w:divBdr>
        <w:top w:val="none" w:sz="0" w:space="0" w:color="auto"/>
        <w:left w:val="none" w:sz="0" w:space="0" w:color="auto"/>
        <w:bottom w:val="none" w:sz="0" w:space="0" w:color="auto"/>
        <w:right w:val="none" w:sz="0" w:space="0" w:color="auto"/>
      </w:divBdr>
    </w:div>
    <w:div w:id="776678053">
      <w:marLeft w:val="0"/>
      <w:marRight w:val="0"/>
      <w:marTop w:val="0"/>
      <w:marBottom w:val="0"/>
      <w:divBdr>
        <w:top w:val="none" w:sz="0" w:space="0" w:color="auto"/>
        <w:left w:val="none" w:sz="0" w:space="0" w:color="auto"/>
        <w:bottom w:val="none" w:sz="0" w:space="0" w:color="auto"/>
        <w:right w:val="none" w:sz="0" w:space="0" w:color="auto"/>
      </w:divBdr>
      <w:divsChild>
        <w:div w:id="776678031">
          <w:marLeft w:val="0"/>
          <w:marRight w:val="0"/>
          <w:marTop w:val="100"/>
          <w:marBottom w:val="100"/>
          <w:divBdr>
            <w:top w:val="none" w:sz="0" w:space="0" w:color="auto"/>
            <w:left w:val="none" w:sz="0" w:space="0" w:color="auto"/>
            <w:bottom w:val="none" w:sz="0" w:space="0" w:color="auto"/>
            <w:right w:val="none" w:sz="0" w:space="0" w:color="auto"/>
          </w:divBdr>
          <w:divsChild>
            <w:div w:id="776678039">
              <w:marLeft w:val="0"/>
              <w:marRight w:val="0"/>
              <w:marTop w:val="0"/>
              <w:marBottom w:val="0"/>
              <w:divBdr>
                <w:top w:val="none" w:sz="0" w:space="0" w:color="auto"/>
                <w:left w:val="none" w:sz="0" w:space="0" w:color="auto"/>
                <w:bottom w:val="none" w:sz="0" w:space="0" w:color="auto"/>
                <w:right w:val="none" w:sz="0" w:space="0" w:color="auto"/>
              </w:divBdr>
              <w:divsChild>
                <w:div w:id="776678032">
                  <w:marLeft w:val="105"/>
                  <w:marRight w:val="105"/>
                  <w:marTop w:val="150"/>
                  <w:marBottom w:val="150"/>
                  <w:divBdr>
                    <w:top w:val="none" w:sz="0" w:space="0" w:color="auto"/>
                    <w:left w:val="none" w:sz="0" w:space="0" w:color="auto"/>
                    <w:bottom w:val="none" w:sz="0" w:space="0" w:color="auto"/>
                    <w:right w:val="none" w:sz="0" w:space="0" w:color="auto"/>
                  </w:divBdr>
                  <w:divsChild>
                    <w:div w:id="776678028">
                      <w:marLeft w:val="0"/>
                      <w:marRight w:val="0"/>
                      <w:marTop w:val="0"/>
                      <w:marBottom w:val="0"/>
                      <w:divBdr>
                        <w:top w:val="none" w:sz="0" w:space="0" w:color="auto"/>
                        <w:left w:val="none" w:sz="0" w:space="0" w:color="auto"/>
                        <w:bottom w:val="none" w:sz="0" w:space="0" w:color="auto"/>
                        <w:right w:val="none" w:sz="0" w:space="0" w:color="auto"/>
                      </w:divBdr>
                      <w:divsChild>
                        <w:div w:id="776678009">
                          <w:marLeft w:val="0"/>
                          <w:marRight w:val="0"/>
                          <w:marTop w:val="0"/>
                          <w:marBottom w:val="0"/>
                          <w:divBdr>
                            <w:top w:val="none" w:sz="0" w:space="0" w:color="auto"/>
                            <w:left w:val="none" w:sz="0" w:space="0" w:color="auto"/>
                            <w:bottom w:val="none" w:sz="0" w:space="0" w:color="auto"/>
                            <w:right w:val="none" w:sz="0" w:space="0" w:color="auto"/>
                          </w:divBdr>
                          <w:divsChild>
                            <w:div w:id="776678019">
                              <w:marLeft w:val="0"/>
                              <w:marRight w:val="0"/>
                              <w:marTop w:val="0"/>
                              <w:marBottom w:val="0"/>
                              <w:divBdr>
                                <w:top w:val="none" w:sz="0" w:space="0" w:color="auto"/>
                                <w:left w:val="none" w:sz="0" w:space="0" w:color="auto"/>
                                <w:bottom w:val="none" w:sz="0" w:space="0" w:color="auto"/>
                                <w:right w:val="none" w:sz="0" w:space="0" w:color="auto"/>
                              </w:divBdr>
                              <w:divsChild>
                                <w:div w:id="776678043">
                                  <w:marLeft w:val="105"/>
                                  <w:marRight w:val="105"/>
                                  <w:marTop w:val="150"/>
                                  <w:marBottom w:val="150"/>
                                  <w:divBdr>
                                    <w:top w:val="none" w:sz="0" w:space="0" w:color="auto"/>
                                    <w:left w:val="none" w:sz="0" w:space="0" w:color="auto"/>
                                    <w:bottom w:val="none" w:sz="0" w:space="0" w:color="auto"/>
                                    <w:right w:val="none" w:sz="0" w:space="0" w:color="auto"/>
                                  </w:divBdr>
                                  <w:divsChild>
                                    <w:div w:id="776677991">
                                      <w:marLeft w:val="0"/>
                                      <w:marRight w:val="0"/>
                                      <w:marTop w:val="0"/>
                                      <w:marBottom w:val="0"/>
                                      <w:divBdr>
                                        <w:top w:val="none" w:sz="0" w:space="0" w:color="auto"/>
                                        <w:left w:val="none" w:sz="0" w:space="0" w:color="auto"/>
                                        <w:bottom w:val="none" w:sz="0" w:space="0" w:color="auto"/>
                                        <w:right w:val="none" w:sz="0" w:space="0" w:color="auto"/>
                                      </w:divBdr>
                                      <w:divsChild>
                                        <w:div w:id="776678059">
                                          <w:marLeft w:val="0"/>
                                          <w:marRight w:val="0"/>
                                          <w:marTop w:val="0"/>
                                          <w:marBottom w:val="0"/>
                                          <w:divBdr>
                                            <w:top w:val="none" w:sz="0" w:space="0" w:color="auto"/>
                                            <w:left w:val="none" w:sz="0" w:space="0" w:color="auto"/>
                                            <w:bottom w:val="none" w:sz="0" w:space="0" w:color="auto"/>
                                            <w:right w:val="none" w:sz="0" w:space="0" w:color="auto"/>
                                          </w:divBdr>
                                          <w:divsChild>
                                            <w:div w:id="776678058">
                                              <w:marLeft w:val="0"/>
                                              <w:marRight w:val="0"/>
                                              <w:marTop w:val="0"/>
                                              <w:marBottom w:val="0"/>
                                              <w:divBdr>
                                                <w:top w:val="none" w:sz="0" w:space="0" w:color="auto"/>
                                                <w:left w:val="none" w:sz="0" w:space="0" w:color="auto"/>
                                                <w:bottom w:val="none" w:sz="0" w:space="0" w:color="auto"/>
                                                <w:right w:val="none" w:sz="0" w:space="0" w:color="auto"/>
                                              </w:divBdr>
                                              <w:divsChild>
                                                <w:div w:id="776677989">
                                                  <w:marLeft w:val="0"/>
                                                  <w:marRight w:val="0"/>
                                                  <w:marTop w:val="0"/>
                                                  <w:marBottom w:val="0"/>
                                                  <w:divBdr>
                                                    <w:top w:val="none" w:sz="0" w:space="0" w:color="auto"/>
                                                    <w:left w:val="none" w:sz="0" w:space="0" w:color="auto"/>
                                                    <w:bottom w:val="none" w:sz="0" w:space="0" w:color="auto"/>
                                                    <w:right w:val="none" w:sz="0" w:space="0" w:color="auto"/>
                                                  </w:divBdr>
                                                  <w:divsChild>
                                                    <w:div w:id="776678038">
                                                      <w:marLeft w:val="105"/>
                                                      <w:marRight w:val="105"/>
                                                      <w:marTop w:val="150"/>
                                                      <w:marBottom w:val="150"/>
                                                      <w:divBdr>
                                                        <w:top w:val="none" w:sz="0" w:space="0" w:color="auto"/>
                                                        <w:left w:val="none" w:sz="0" w:space="0" w:color="auto"/>
                                                        <w:bottom w:val="none" w:sz="0" w:space="0" w:color="auto"/>
                                                        <w:right w:val="none" w:sz="0" w:space="0" w:color="auto"/>
                                                      </w:divBdr>
                                                      <w:divsChild>
                                                        <w:div w:id="776678055">
                                                          <w:marLeft w:val="0"/>
                                                          <w:marRight w:val="0"/>
                                                          <w:marTop w:val="0"/>
                                                          <w:marBottom w:val="0"/>
                                                          <w:divBdr>
                                                            <w:top w:val="none" w:sz="0" w:space="0" w:color="auto"/>
                                                            <w:left w:val="none" w:sz="0" w:space="0" w:color="auto"/>
                                                            <w:bottom w:val="none" w:sz="0" w:space="0" w:color="auto"/>
                                                            <w:right w:val="none" w:sz="0" w:space="0" w:color="auto"/>
                                                          </w:divBdr>
                                                          <w:divsChild>
                                                            <w:div w:id="776678048">
                                                              <w:marLeft w:val="0"/>
                                                              <w:marRight w:val="0"/>
                                                              <w:marTop w:val="0"/>
                                                              <w:marBottom w:val="0"/>
                                                              <w:divBdr>
                                                                <w:top w:val="none" w:sz="0" w:space="0" w:color="auto"/>
                                                                <w:left w:val="none" w:sz="0" w:space="0" w:color="auto"/>
                                                                <w:bottom w:val="none" w:sz="0" w:space="0" w:color="auto"/>
                                                                <w:right w:val="none" w:sz="0" w:space="0" w:color="auto"/>
                                                              </w:divBdr>
                                                              <w:divsChild>
                                                                <w:div w:id="776678025">
                                                                  <w:marLeft w:val="0"/>
                                                                  <w:marRight w:val="0"/>
                                                                  <w:marTop w:val="0"/>
                                                                  <w:marBottom w:val="0"/>
                                                                  <w:divBdr>
                                                                    <w:top w:val="none" w:sz="0" w:space="0" w:color="auto"/>
                                                                    <w:left w:val="none" w:sz="0" w:space="0" w:color="auto"/>
                                                                    <w:bottom w:val="none" w:sz="0" w:space="0" w:color="auto"/>
                                                                    <w:right w:val="none" w:sz="0" w:space="0" w:color="auto"/>
                                                                  </w:divBdr>
                                                                  <w:divsChild>
                                                                    <w:div w:id="776678006">
                                                                      <w:marLeft w:val="0"/>
                                                                      <w:marRight w:val="0"/>
                                                                      <w:marTop w:val="0"/>
                                                                      <w:marBottom w:val="0"/>
                                                                      <w:divBdr>
                                                                        <w:top w:val="none" w:sz="0" w:space="0" w:color="auto"/>
                                                                        <w:left w:val="none" w:sz="0" w:space="0" w:color="auto"/>
                                                                        <w:bottom w:val="none" w:sz="0" w:space="0" w:color="auto"/>
                                                                        <w:right w:val="none" w:sz="0" w:space="0" w:color="auto"/>
                                                                      </w:divBdr>
                                                                      <w:divsChild>
                                                                        <w:div w:id="776678001">
                                                                          <w:marLeft w:val="0"/>
                                                                          <w:marRight w:val="0"/>
                                                                          <w:marTop w:val="0"/>
                                                                          <w:marBottom w:val="0"/>
                                                                          <w:divBdr>
                                                                            <w:top w:val="none" w:sz="0" w:space="0" w:color="auto"/>
                                                                            <w:left w:val="none" w:sz="0" w:space="0" w:color="auto"/>
                                                                            <w:bottom w:val="none" w:sz="0" w:space="0" w:color="auto"/>
                                                                            <w:right w:val="none" w:sz="0" w:space="0" w:color="auto"/>
                                                                          </w:divBdr>
                                                                          <w:divsChild>
                                                                            <w:div w:id="776678033">
                                                                              <w:marLeft w:val="105"/>
                                                                              <w:marRight w:val="105"/>
                                                                              <w:marTop w:val="150"/>
                                                                              <w:marBottom w:val="150"/>
                                                                              <w:divBdr>
                                                                                <w:top w:val="none" w:sz="0" w:space="0" w:color="auto"/>
                                                                                <w:left w:val="none" w:sz="0" w:space="0" w:color="auto"/>
                                                                                <w:bottom w:val="none" w:sz="0" w:space="0" w:color="auto"/>
                                                                                <w:right w:val="none" w:sz="0" w:space="0" w:color="auto"/>
                                                                              </w:divBdr>
                                                                              <w:divsChild>
                                                                                <w:div w:id="776677990">
                                                                                  <w:marLeft w:val="0"/>
                                                                                  <w:marRight w:val="0"/>
                                                                                  <w:marTop w:val="0"/>
                                                                                  <w:marBottom w:val="0"/>
                                                                                  <w:divBdr>
                                                                                    <w:top w:val="none" w:sz="0" w:space="0" w:color="auto"/>
                                                                                    <w:left w:val="none" w:sz="0" w:space="0" w:color="auto"/>
                                                                                    <w:bottom w:val="none" w:sz="0" w:space="0" w:color="auto"/>
                                                                                    <w:right w:val="none" w:sz="0" w:space="0" w:color="auto"/>
                                                                                  </w:divBdr>
                                                                                  <w:divsChild>
                                                                                    <w:div w:id="776677988">
                                                                                      <w:marLeft w:val="0"/>
                                                                                      <w:marRight w:val="0"/>
                                                                                      <w:marTop w:val="0"/>
                                                                                      <w:marBottom w:val="0"/>
                                                                                      <w:divBdr>
                                                                                        <w:top w:val="none" w:sz="0" w:space="0" w:color="auto"/>
                                                                                        <w:left w:val="none" w:sz="0" w:space="0" w:color="auto"/>
                                                                                        <w:bottom w:val="none" w:sz="0" w:space="0" w:color="auto"/>
                                                                                        <w:right w:val="none" w:sz="0" w:space="0" w:color="auto"/>
                                                                                      </w:divBdr>
                                                                                      <w:divsChild>
                                                                                        <w:div w:id="776678044">
                                                                                          <w:marLeft w:val="0"/>
                                                                                          <w:marRight w:val="0"/>
                                                                                          <w:marTop w:val="0"/>
                                                                                          <w:marBottom w:val="0"/>
                                                                                          <w:divBdr>
                                                                                            <w:top w:val="none" w:sz="0" w:space="0" w:color="auto"/>
                                                                                            <w:left w:val="none" w:sz="0" w:space="0" w:color="auto"/>
                                                                                            <w:bottom w:val="none" w:sz="0" w:space="0" w:color="auto"/>
                                                                                            <w:right w:val="none" w:sz="0" w:space="0" w:color="auto"/>
                                                                                          </w:divBdr>
                                                                                          <w:divsChild>
                                                                                            <w:div w:id="776678007">
                                                                                              <w:marLeft w:val="0"/>
                                                                                              <w:marRight w:val="0"/>
                                                                                              <w:marTop w:val="0"/>
                                                                                              <w:marBottom w:val="0"/>
                                                                                              <w:divBdr>
                                                                                                <w:top w:val="none" w:sz="0" w:space="0" w:color="auto"/>
                                                                                                <w:left w:val="none" w:sz="0" w:space="0" w:color="auto"/>
                                                                                                <w:bottom w:val="none" w:sz="0" w:space="0" w:color="auto"/>
                                                                                                <w:right w:val="none" w:sz="0" w:space="0" w:color="auto"/>
                                                                                              </w:divBdr>
                                                                                              <w:divsChild>
                                                                                                <w:div w:id="776678018">
                                                                                                  <w:marLeft w:val="0"/>
                                                                                                  <w:marRight w:val="0"/>
                                                                                                  <w:marTop w:val="0"/>
                                                                                                  <w:marBottom w:val="0"/>
                                                                                                  <w:divBdr>
                                                                                                    <w:top w:val="none" w:sz="0" w:space="0" w:color="auto"/>
                                                                                                    <w:left w:val="none" w:sz="0" w:space="0" w:color="auto"/>
                                                                                                    <w:bottom w:val="none" w:sz="0" w:space="0" w:color="auto"/>
                                                                                                    <w:right w:val="none" w:sz="0" w:space="0" w:color="auto"/>
                                                                                                  </w:divBdr>
                                                                                                  <w:divsChild>
                                                                                                    <w:div w:id="776678010">
                                                                                                      <w:marLeft w:val="0"/>
                                                                                                      <w:marRight w:val="0"/>
                                                                                                      <w:marTop w:val="0"/>
                                                                                                      <w:marBottom w:val="0"/>
                                                                                                      <w:divBdr>
                                                                                                        <w:top w:val="none" w:sz="0" w:space="0" w:color="auto"/>
                                                                                                        <w:left w:val="none" w:sz="0" w:space="0" w:color="auto"/>
                                                                                                        <w:bottom w:val="none" w:sz="0" w:space="0" w:color="auto"/>
                                                                                                        <w:right w:val="none" w:sz="0" w:space="0" w:color="auto"/>
                                                                                                      </w:divBdr>
                                                                                                      <w:divsChild>
                                                                                                        <w:div w:id="776677993">
                                                                                                          <w:marLeft w:val="0"/>
                                                                                                          <w:marRight w:val="0"/>
                                                                                                          <w:marTop w:val="0"/>
                                                                                                          <w:marBottom w:val="0"/>
                                                                                                          <w:divBdr>
                                                                                                            <w:top w:val="none" w:sz="0" w:space="0" w:color="auto"/>
                                                                                                            <w:left w:val="none" w:sz="0" w:space="0" w:color="auto"/>
                                                                                                            <w:bottom w:val="none" w:sz="0" w:space="0" w:color="auto"/>
                                                                                                            <w:right w:val="none" w:sz="0" w:space="0" w:color="auto"/>
                                                                                                          </w:divBdr>
                                                                                                          <w:divsChild>
                                                                                                            <w:div w:id="776678011">
                                                                                                              <w:marLeft w:val="0"/>
                                                                                                              <w:marRight w:val="0"/>
                                                                                                              <w:marTop w:val="0"/>
                                                                                                              <w:marBottom w:val="0"/>
                                                                                                              <w:divBdr>
                                                                                                                <w:top w:val="none" w:sz="0" w:space="0" w:color="auto"/>
                                                                                                                <w:left w:val="none" w:sz="0" w:space="0" w:color="auto"/>
                                                                                                                <w:bottom w:val="none" w:sz="0" w:space="0" w:color="auto"/>
                                                                                                                <w:right w:val="none" w:sz="0" w:space="0" w:color="auto"/>
                                                                                                              </w:divBdr>
                                                                                                              <w:divsChild>
                                                                                                                <w:div w:id="776678024">
                                                                                                                  <w:marLeft w:val="0"/>
                                                                                                                  <w:marRight w:val="0"/>
                                                                                                                  <w:marTop w:val="0"/>
                                                                                                                  <w:marBottom w:val="0"/>
                                                                                                                  <w:divBdr>
                                                                                                                    <w:top w:val="none" w:sz="0" w:space="0" w:color="auto"/>
                                                                                                                    <w:left w:val="none" w:sz="0" w:space="0" w:color="auto"/>
                                                                                                                    <w:bottom w:val="none" w:sz="0" w:space="0" w:color="auto"/>
                                                                                                                    <w:right w:val="none" w:sz="0" w:space="0" w:color="auto"/>
                                                                                                                  </w:divBdr>
                                                                                                                </w:div>
                                                                                                                <w:div w:id="7766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8004">
                                                                                                          <w:marLeft w:val="0"/>
                                                                                                          <w:marRight w:val="0"/>
                                                                                                          <w:marTop w:val="0"/>
                                                                                                          <w:marBottom w:val="0"/>
                                                                                                          <w:divBdr>
                                                                                                            <w:top w:val="none" w:sz="0" w:space="0" w:color="auto"/>
                                                                                                            <w:left w:val="none" w:sz="0" w:space="0" w:color="auto"/>
                                                                                                            <w:bottom w:val="none" w:sz="0" w:space="0" w:color="auto"/>
                                                                                                            <w:right w:val="none" w:sz="0" w:space="0" w:color="auto"/>
                                                                                                          </w:divBdr>
                                                                                                          <w:divsChild>
                                                                                                            <w:div w:id="776678054">
                                                                                                              <w:marLeft w:val="0"/>
                                                                                                              <w:marRight w:val="0"/>
                                                                                                              <w:marTop w:val="0"/>
                                                                                                              <w:marBottom w:val="0"/>
                                                                                                              <w:divBdr>
                                                                                                                <w:top w:val="none" w:sz="0" w:space="0" w:color="auto"/>
                                                                                                                <w:left w:val="none" w:sz="0" w:space="0" w:color="auto"/>
                                                                                                                <w:bottom w:val="none" w:sz="0" w:space="0" w:color="auto"/>
                                                                                                                <w:right w:val="none" w:sz="0" w:space="0" w:color="auto"/>
                                                                                                              </w:divBdr>
                                                                                                              <w:divsChild>
                                                                                                                <w:div w:id="776677999">
                                                                                                                  <w:marLeft w:val="0"/>
                                                                                                                  <w:marRight w:val="0"/>
                                                                                                                  <w:marTop w:val="0"/>
                                                                                                                  <w:marBottom w:val="0"/>
                                                                                                                  <w:divBdr>
                                                                                                                    <w:top w:val="none" w:sz="0" w:space="0" w:color="auto"/>
                                                                                                                    <w:left w:val="none" w:sz="0" w:space="0" w:color="auto"/>
                                                                                                                    <w:bottom w:val="none" w:sz="0" w:space="0" w:color="auto"/>
                                                                                                                    <w:right w:val="none" w:sz="0" w:space="0" w:color="auto"/>
                                                                                                                  </w:divBdr>
                                                                                                                </w:div>
                                                                                                                <w:div w:id="7766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8020">
                                                                                                          <w:marLeft w:val="0"/>
                                                                                                          <w:marRight w:val="0"/>
                                                                                                          <w:marTop w:val="0"/>
                                                                                                          <w:marBottom w:val="0"/>
                                                                                                          <w:divBdr>
                                                                                                            <w:top w:val="none" w:sz="0" w:space="0" w:color="auto"/>
                                                                                                            <w:left w:val="none" w:sz="0" w:space="0" w:color="auto"/>
                                                                                                            <w:bottom w:val="none" w:sz="0" w:space="0" w:color="auto"/>
                                                                                                            <w:right w:val="none" w:sz="0" w:space="0" w:color="auto"/>
                                                                                                          </w:divBdr>
                                                                                                          <w:divsChild>
                                                                                                            <w:div w:id="776677994">
                                                                                                              <w:marLeft w:val="0"/>
                                                                                                              <w:marRight w:val="0"/>
                                                                                                              <w:marTop w:val="0"/>
                                                                                                              <w:marBottom w:val="0"/>
                                                                                                              <w:divBdr>
                                                                                                                <w:top w:val="none" w:sz="0" w:space="0" w:color="auto"/>
                                                                                                                <w:left w:val="none" w:sz="0" w:space="0" w:color="auto"/>
                                                                                                                <w:bottom w:val="none" w:sz="0" w:space="0" w:color="auto"/>
                                                                                                                <w:right w:val="none" w:sz="0" w:space="0" w:color="auto"/>
                                                                                                              </w:divBdr>
                                                                                                              <w:divsChild>
                                                                                                                <w:div w:id="776677992">
                                                                                                                  <w:marLeft w:val="0"/>
                                                                                                                  <w:marRight w:val="0"/>
                                                                                                                  <w:marTop w:val="0"/>
                                                                                                                  <w:marBottom w:val="0"/>
                                                                                                                  <w:divBdr>
                                                                                                                    <w:top w:val="none" w:sz="0" w:space="0" w:color="auto"/>
                                                                                                                    <w:left w:val="none" w:sz="0" w:space="0" w:color="auto"/>
                                                                                                                    <w:bottom w:val="none" w:sz="0" w:space="0" w:color="auto"/>
                                                                                                                    <w:right w:val="none" w:sz="0" w:space="0" w:color="auto"/>
                                                                                                                  </w:divBdr>
                                                                                                                </w:div>
                                                                                                                <w:div w:id="7766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8023">
                                                                                                          <w:marLeft w:val="0"/>
                                                                                                          <w:marRight w:val="0"/>
                                                                                                          <w:marTop w:val="0"/>
                                                                                                          <w:marBottom w:val="0"/>
                                                                                                          <w:divBdr>
                                                                                                            <w:top w:val="none" w:sz="0" w:space="0" w:color="auto"/>
                                                                                                            <w:left w:val="none" w:sz="0" w:space="0" w:color="auto"/>
                                                                                                            <w:bottom w:val="none" w:sz="0" w:space="0" w:color="auto"/>
                                                                                                            <w:right w:val="none" w:sz="0" w:space="0" w:color="auto"/>
                                                                                                          </w:divBdr>
                                                                                                          <w:divsChild>
                                                                                                            <w:div w:id="776678042">
                                                                                                              <w:marLeft w:val="0"/>
                                                                                                              <w:marRight w:val="0"/>
                                                                                                              <w:marTop w:val="0"/>
                                                                                                              <w:marBottom w:val="0"/>
                                                                                                              <w:divBdr>
                                                                                                                <w:top w:val="none" w:sz="0" w:space="0" w:color="auto"/>
                                                                                                                <w:left w:val="none" w:sz="0" w:space="0" w:color="auto"/>
                                                                                                                <w:bottom w:val="none" w:sz="0" w:space="0" w:color="auto"/>
                                                                                                                <w:right w:val="none" w:sz="0" w:space="0" w:color="auto"/>
                                                                                                              </w:divBdr>
                                                                                                              <w:divsChild>
                                                                                                                <w:div w:id="776678014">
                                                                                                                  <w:marLeft w:val="0"/>
                                                                                                                  <w:marRight w:val="0"/>
                                                                                                                  <w:marTop w:val="0"/>
                                                                                                                  <w:marBottom w:val="0"/>
                                                                                                                  <w:divBdr>
                                                                                                                    <w:top w:val="none" w:sz="0" w:space="0" w:color="auto"/>
                                                                                                                    <w:left w:val="none" w:sz="0" w:space="0" w:color="auto"/>
                                                                                                                    <w:bottom w:val="none" w:sz="0" w:space="0" w:color="auto"/>
                                                                                                                    <w:right w:val="none" w:sz="0" w:space="0" w:color="auto"/>
                                                                                                                  </w:divBdr>
                                                                                                                </w:div>
                                                                                                                <w:div w:id="7766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8036">
                                                                                                          <w:marLeft w:val="0"/>
                                                                                                          <w:marRight w:val="0"/>
                                                                                                          <w:marTop w:val="0"/>
                                                                                                          <w:marBottom w:val="0"/>
                                                                                                          <w:divBdr>
                                                                                                            <w:top w:val="none" w:sz="0" w:space="0" w:color="auto"/>
                                                                                                            <w:left w:val="none" w:sz="0" w:space="0" w:color="auto"/>
                                                                                                            <w:bottom w:val="none" w:sz="0" w:space="0" w:color="auto"/>
                                                                                                            <w:right w:val="none" w:sz="0" w:space="0" w:color="auto"/>
                                                                                                          </w:divBdr>
                                                                                                          <w:divsChild>
                                                                                                            <w:div w:id="776678015">
                                                                                                              <w:marLeft w:val="0"/>
                                                                                                              <w:marRight w:val="0"/>
                                                                                                              <w:marTop w:val="0"/>
                                                                                                              <w:marBottom w:val="0"/>
                                                                                                              <w:divBdr>
                                                                                                                <w:top w:val="none" w:sz="0" w:space="0" w:color="auto"/>
                                                                                                                <w:left w:val="none" w:sz="0" w:space="0" w:color="auto"/>
                                                                                                                <w:bottom w:val="none" w:sz="0" w:space="0" w:color="auto"/>
                                                                                                                <w:right w:val="none" w:sz="0" w:space="0" w:color="auto"/>
                                                                                                              </w:divBdr>
                                                                                                              <w:divsChild>
                                                                                                                <w:div w:id="776677998">
                                                                                                                  <w:marLeft w:val="0"/>
                                                                                                                  <w:marRight w:val="0"/>
                                                                                                                  <w:marTop w:val="0"/>
                                                                                                                  <w:marBottom w:val="0"/>
                                                                                                                  <w:divBdr>
                                                                                                                    <w:top w:val="none" w:sz="0" w:space="0" w:color="auto"/>
                                                                                                                    <w:left w:val="none" w:sz="0" w:space="0" w:color="auto"/>
                                                                                                                    <w:bottom w:val="none" w:sz="0" w:space="0" w:color="auto"/>
                                                                                                                    <w:right w:val="none" w:sz="0" w:space="0" w:color="auto"/>
                                                                                                                  </w:divBdr>
                                                                                                                </w:div>
                                                                                                                <w:div w:id="7766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8057">
                                                                                                          <w:marLeft w:val="0"/>
                                                                                                          <w:marRight w:val="0"/>
                                                                                                          <w:marTop w:val="0"/>
                                                                                                          <w:marBottom w:val="0"/>
                                                                                                          <w:divBdr>
                                                                                                            <w:top w:val="none" w:sz="0" w:space="0" w:color="auto"/>
                                                                                                            <w:left w:val="none" w:sz="0" w:space="0" w:color="auto"/>
                                                                                                            <w:bottom w:val="none" w:sz="0" w:space="0" w:color="auto"/>
                                                                                                            <w:right w:val="none" w:sz="0" w:space="0" w:color="auto"/>
                                                                                                          </w:divBdr>
                                                                                                          <w:divsChild>
                                                                                                            <w:div w:id="776678008">
                                                                                                              <w:marLeft w:val="0"/>
                                                                                                              <w:marRight w:val="0"/>
                                                                                                              <w:marTop w:val="0"/>
                                                                                                              <w:marBottom w:val="0"/>
                                                                                                              <w:divBdr>
                                                                                                                <w:top w:val="none" w:sz="0" w:space="0" w:color="auto"/>
                                                                                                                <w:left w:val="none" w:sz="0" w:space="0" w:color="auto"/>
                                                                                                                <w:bottom w:val="none" w:sz="0" w:space="0" w:color="auto"/>
                                                                                                                <w:right w:val="none" w:sz="0" w:space="0" w:color="auto"/>
                                                                                                              </w:divBdr>
                                                                                                              <w:divsChild>
                                                                                                                <w:div w:id="776678002">
                                                                                                                  <w:marLeft w:val="0"/>
                                                                                                                  <w:marRight w:val="0"/>
                                                                                                                  <w:marTop w:val="0"/>
                                                                                                                  <w:marBottom w:val="0"/>
                                                                                                                  <w:divBdr>
                                                                                                                    <w:top w:val="none" w:sz="0" w:space="0" w:color="auto"/>
                                                                                                                    <w:left w:val="none" w:sz="0" w:space="0" w:color="auto"/>
                                                                                                                    <w:bottom w:val="none" w:sz="0" w:space="0" w:color="auto"/>
                                                                                                                    <w:right w:val="none" w:sz="0" w:space="0" w:color="auto"/>
                                                                                                                  </w:divBdr>
                                                                                                                </w:div>
                                                                                                                <w:div w:id="776678022">
                                                                                                                  <w:marLeft w:val="0"/>
                                                                                                                  <w:marRight w:val="0"/>
                                                                                                                  <w:marTop w:val="0"/>
                                                                                                                  <w:marBottom w:val="0"/>
                                                                                                                  <w:divBdr>
                                                                                                                    <w:top w:val="none" w:sz="0" w:space="0" w:color="auto"/>
                                                                                                                    <w:left w:val="none" w:sz="0" w:space="0" w:color="auto"/>
                                                                                                                    <w:bottom w:val="none" w:sz="0" w:space="0" w:color="auto"/>
                                                                                                                    <w:right w:val="none" w:sz="0" w:space="0" w:color="auto"/>
                                                                                                                  </w:divBdr>
                                                                                                                </w:div>
                                                                                                              </w:divsChild>
                                                                                                            </w:div>
                                                                                                            <w:div w:id="776678013">
                                                                                                              <w:marLeft w:val="0"/>
                                                                                                              <w:marRight w:val="0"/>
                                                                                                              <w:marTop w:val="0"/>
                                                                                                              <w:marBottom w:val="0"/>
                                                                                                              <w:divBdr>
                                                                                                                <w:top w:val="none" w:sz="0" w:space="0" w:color="auto"/>
                                                                                                                <w:left w:val="none" w:sz="0" w:space="0" w:color="auto"/>
                                                                                                                <w:bottom w:val="none" w:sz="0" w:space="0" w:color="auto"/>
                                                                                                                <w:right w:val="none" w:sz="0" w:space="0" w:color="auto"/>
                                                                                                              </w:divBdr>
                                                                                                              <w:divsChild>
                                                                                                                <w:div w:id="776678027">
                                                                                                                  <w:marLeft w:val="0"/>
                                                                                                                  <w:marRight w:val="0"/>
                                                                                                                  <w:marTop w:val="0"/>
                                                                                                                  <w:marBottom w:val="0"/>
                                                                                                                  <w:divBdr>
                                                                                                                    <w:top w:val="none" w:sz="0" w:space="0" w:color="auto"/>
                                                                                                                    <w:left w:val="none" w:sz="0" w:space="0" w:color="auto"/>
                                                                                                                    <w:bottom w:val="none" w:sz="0" w:space="0" w:color="auto"/>
                                                                                                                    <w:right w:val="none" w:sz="0" w:space="0" w:color="auto"/>
                                                                                                                  </w:divBdr>
                                                                                                                </w:div>
                                                                                                                <w:div w:id="776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651702">
      <w:bodyDiv w:val="1"/>
      <w:marLeft w:val="0"/>
      <w:marRight w:val="0"/>
      <w:marTop w:val="0"/>
      <w:marBottom w:val="0"/>
      <w:divBdr>
        <w:top w:val="none" w:sz="0" w:space="0" w:color="auto"/>
        <w:left w:val="none" w:sz="0" w:space="0" w:color="auto"/>
        <w:bottom w:val="none" w:sz="0" w:space="0" w:color="auto"/>
        <w:right w:val="none" w:sz="0" w:space="0" w:color="auto"/>
      </w:divBdr>
      <w:divsChild>
        <w:div w:id="1871600521">
          <w:marLeft w:val="0"/>
          <w:marRight w:val="0"/>
          <w:marTop w:val="0"/>
          <w:marBottom w:val="0"/>
          <w:divBdr>
            <w:top w:val="none" w:sz="0" w:space="0" w:color="auto"/>
            <w:left w:val="none" w:sz="0" w:space="0" w:color="auto"/>
            <w:bottom w:val="none" w:sz="0" w:space="0" w:color="auto"/>
            <w:right w:val="none" w:sz="0" w:space="0" w:color="auto"/>
          </w:divBdr>
          <w:divsChild>
            <w:div w:id="10111271">
              <w:marLeft w:val="0"/>
              <w:marRight w:val="0"/>
              <w:marTop w:val="0"/>
              <w:marBottom w:val="0"/>
              <w:divBdr>
                <w:top w:val="none" w:sz="0" w:space="0" w:color="auto"/>
                <w:left w:val="none" w:sz="0" w:space="0" w:color="auto"/>
                <w:bottom w:val="none" w:sz="0" w:space="0" w:color="auto"/>
                <w:right w:val="none" w:sz="0" w:space="0" w:color="auto"/>
              </w:divBdr>
              <w:divsChild>
                <w:div w:id="788476047">
                  <w:marLeft w:val="0"/>
                  <w:marRight w:val="0"/>
                  <w:marTop w:val="0"/>
                  <w:marBottom w:val="0"/>
                  <w:divBdr>
                    <w:top w:val="none" w:sz="0" w:space="0" w:color="auto"/>
                    <w:left w:val="none" w:sz="0" w:space="0" w:color="auto"/>
                    <w:bottom w:val="none" w:sz="0" w:space="0" w:color="auto"/>
                    <w:right w:val="none" w:sz="0" w:space="0" w:color="auto"/>
                  </w:divBdr>
                  <w:divsChild>
                    <w:div w:id="811944903">
                      <w:marLeft w:val="0"/>
                      <w:marRight w:val="0"/>
                      <w:marTop w:val="0"/>
                      <w:marBottom w:val="0"/>
                      <w:divBdr>
                        <w:top w:val="none" w:sz="0" w:space="0" w:color="auto"/>
                        <w:left w:val="none" w:sz="0" w:space="0" w:color="auto"/>
                        <w:bottom w:val="none" w:sz="0" w:space="0" w:color="auto"/>
                        <w:right w:val="none" w:sz="0" w:space="0" w:color="auto"/>
                      </w:divBdr>
                      <w:divsChild>
                        <w:div w:id="1001348667">
                          <w:marLeft w:val="0"/>
                          <w:marRight w:val="0"/>
                          <w:marTop w:val="0"/>
                          <w:marBottom w:val="0"/>
                          <w:divBdr>
                            <w:top w:val="none" w:sz="0" w:space="0" w:color="auto"/>
                            <w:left w:val="none" w:sz="0" w:space="0" w:color="auto"/>
                            <w:bottom w:val="none" w:sz="0" w:space="0" w:color="auto"/>
                            <w:right w:val="none" w:sz="0" w:space="0" w:color="auto"/>
                          </w:divBdr>
                          <w:divsChild>
                            <w:div w:id="20771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74958">
      <w:bodyDiv w:val="1"/>
      <w:marLeft w:val="0"/>
      <w:marRight w:val="0"/>
      <w:marTop w:val="0"/>
      <w:marBottom w:val="0"/>
      <w:divBdr>
        <w:top w:val="none" w:sz="0" w:space="0" w:color="auto"/>
        <w:left w:val="none" w:sz="0" w:space="0" w:color="auto"/>
        <w:bottom w:val="none" w:sz="0" w:space="0" w:color="auto"/>
        <w:right w:val="none" w:sz="0" w:space="0" w:color="auto"/>
      </w:divBdr>
      <w:divsChild>
        <w:div w:id="1418135298">
          <w:marLeft w:val="0"/>
          <w:marRight w:val="0"/>
          <w:marTop w:val="0"/>
          <w:marBottom w:val="0"/>
          <w:divBdr>
            <w:top w:val="none" w:sz="0" w:space="0" w:color="auto"/>
            <w:left w:val="none" w:sz="0" w:space="0" w:color="auto"/>
            <w:bottom w:val="none" w:sz="0" w:space="0" w:color="auto"/>
            <w:right w:val="none" w:sz="0" w:space="0" w:color="auto"/>
          </w:divBdr>
          <w:divsChild>
            <w:div w:id="831723821">
              <w:marLeft w:val="0"/>
              <w:marRight w:val="0"/>
              <w:marTop w:val="0"/>
              <w:marBottom w:val="0"/>
              <w:divBdr>
                <w:top w:val="none" w:sz="0" w:space="0" w:color="auto"/>
                <w:left w:val="none" w:sz="0" w:space="0" w:color="auto"/>
                <w:bottom w:val="none" w:sz="0" w:space="0" w:color="auto"/>
                <w:right w:val="none" w:sz="0" w:space="0" w:color="auto"/>
              </w:divBdr>
              <w:divsChild>
                <w:div w:id="206336683">
                  <w:marLeft w:val="0"/>
                  <w:marRight w:val="0"/>
                  <w:marTop w:val="0"/>
                  <w:marBottom w:val="0"/>
                  <w:divBdr>
                    <w:top w:val="none" w:sz="0" w:space="0" w:color="auto"/>
                    <w:left w:val="none" w:sz="0" w:space="0" w:color="auto"/>
                    <w:bottom w:val="none" w:sz="0" w:space="0" w:color="auto"/>
                    <w:right w:val="none" w:sz="0" w:space="0" w:color="auto"/>
                  </w:divBdr>
                  <w:divsChild>
                    <w:div w:id="414209664">
                      <w:marLeft w:val="0"/>
                      <w:marRight w:val="0"/>
                      <w:marTop w:val="0"/>
                      <w:marBottom w:val="0"/>
                      <w:divBdr>
                        <w:top w:val="none" w:sz="0" w:space="0" w:color="auto"/>
                        <w:left w:val="none" w:sz="0" w:space="0" w:color="auto"/>
                        <w:bottom w:val="none" w:sz="0" w:space="0" w:color="auto"/>
                        <w:right w:val="none" w:sz="0" w:space="0" w:color="auto"/>
                      </w:divBdr>
                      <w:divsChild>
                        <w:div w:id="846358983">
                          <w:marLeft w:val="0"/>
                          <w:marRight w:val="0"/>
                          <w:marTop w:val="0"/>
                          <w:marBottom w:val="0"/>
                          <w:divBdr>
                            <w:top w:val="none" w:sz="0" w:space="0" w:color="auto"/>
                            <w:left w:val="none" w:sz="0" w:space="0" w:color="auto"/>
                            <w:bottom w:val="none" w:sz="0" w:space="0" w:color="auto"/>
                            <w:right w:val="none" w:sz="0" w:space="0" w:color="auto"/>
                          </w:divBdr>
                          <w:divsChild>
                            <w:div w:id="8561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279547">
      <w:bodyDiv w:val="1"/>
      <w:marLeft w:val="0"/>
      <w:marRight w:val="0"/>
      <w:marTop w:val="0"/>
      <w:marBottom w:val="0"/>
      <w:divBdr>
        <w:top w:val="none" w:sz="0" w:space="0" w:color="auto"/>
        <w:left w:val="none" w:sz="0" w:space="0" w:color="auto"/>
        <w:bottom w:val="none" w:sz="0" w:space="0" w:color="auto"/>
        <w:right w:val="none" w:sz="0" w:space="0" w:color="auto"/>
      </w:divBdr>
      <w:divsChild>
        <w:div w:id="144979407">
          <w:marLeft w:val="0"/>
          <w:marRight w:val="0"/>
          <w:marTop w:val="0"/>
          <w:marBottom w:val="0"/>
          <w:divBdr>
            <w:top w:val="none" w:sz="0" w:space="0" w:color="auto"/>
            <w:left w:val="none" w:sz="0" w:space="0" w:color="auto"/>
            <w:bottom w:val="none" w:sz="0" w:space="0" w:color="auto"/>
            <w:right w:val="none" w:sz="0" w:space="0" w:color="auto"/>
          </w:divBdr>
          <w:divsChild>
            <w:div w:id="755595800">
              <w:marLeft w:val="0"/>
              <w:marRight w:val="0"/>
              <w:marTop w:val="0"/>
              <w:marBottom w:val="0"/>
              <w:divBdr>
                <w:top w:val="none" w:sz="0" w:space="0" w:color="auto"/>
                <w:left w:val="none" w:sz="0" w:space="0" w:color="auto"/>
                <w:bottom w:val="none" w:sz="0" w:space="0" w:color="auto"/>
                <w:right w:val="none" w:sz="0" w:space="0" w:color="auto"/>
              </w:divBdr>
              <w:divsChild>
                <w:div w:id="20982007">
                  <w:marLeft w:val="0"/>
                  <w:marRight w:val="0"/>
                  <w:marTop w:val="0"/>
                  <w:marBottom w:val="0"/>
                  <w:divBdr>
                    <w:top w:val="none" w:sz="0" w:space="0" w:color="auto"/>
                    <w:left w:val="none" w:sz="0" w:space="0" w:color="auto"/>
                    <w:bottom w:val="none" w:sz="0" w:space="0" w:color="auto"/>
                    <w:right w:val="none" w:sz="0" w:space="0" w:color="auto"/>
                  </w:divBdr>
                  <w:divsChild>
                    <w:div w:id="297227657">
                      <w:marLeft w:val="0"/>
                      <w:marRight w:val="0"/>
                      <w:marTop w:val="0"/>
                      <w:marBottom w:val="0"/>
                      <w:divBdr>
                        <w:top w:val="none" w:sz="0" w:space="0" w:color="auto"/>
                        <w:left w:val="none" w:sz="0" w:space="0" w:color="auto"/>
                        <w:bottom w:val="none" w:sz="0" w:space="0" w:color="auto"/>
                        <w:right w:val="none" w:sz="0" w:space="0" w:color="auto"/>
                      </w:divBdr>
                      <w:divsChild>
                        <w:div w:id="731465443">
                          <w:marLeft w:val="0"/>
                          <w:marRight w:val="0"/>
                          <w:marTop w:val="0"/>
                          <w:marBottom w:val="0"/>
                          <w:divBdr>
                            <w:top w:val="none" w:sz="0" w:space="0" w:color="auto"/>
                            <w:left w:val="none" w:sz="0" w:space="0" w:color="auto"/>
                            <w:bottom w:val="none" w:sz="0" w:space="0" w:color="auto"/>
                            <w:right w:val="none" w:sz="0" w:space="0" w:color="auto"/>
                          </w:divBdr>
                          <w:divsChild>
                            <w:div w:id="919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7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pag.co.uk/" TargetMode="External"/><Relationship Id="rId13" Type="http://schemas.openxmlformats.org/officeDocument/2006/relationships/hyperlink" Target="http://dx.doi.org/10.1037/a0023234" TargetMode="External"/><Relationship Id="rId18" Type="http://schemas.openxmlformats.org/officeDocument/2006/relationships/hyperlink" Target="http://dx.doi.org/10.1177/0886260515572473" TargetMode="External"/><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hyperlink" Target="http://dx.doi.org/10.1007/978-1-4615-5985-6_21" TargetMode="External"/><Relationship Id="rId7" Type="http://schemas.openxmlformats.org/officeDocument/2006/relationships/endnotes" Target="endnotes.xml"/><Relationship Id="rId12" Type="http://schemas.openxmlformats.org/officeDocument/2006/relationships/hyperlink" Target="http://dx.doi.org/10.1177/1525822X05274733" TargetMode="External"/><Relationship Id="rId17" Type="http://schemas.openxmlformats.org/officeDocument/2006/relationships/hyperlink" Target="http://dx.doi.org/10.1073/pnas.0904312106"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dx.doi.org/10.1016/S0191-8869(99)00151-8" TargetMode="External"/><Relationship Id="rId20" Type="http://schemas.openxmlformats.org/officeDocument/2006/relationships/hyperlink" Target="http://dx.doi.org/10.1177/1941738112469930"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1090-5138(98)00016-6" TargetMode="External"/><Relationship Id="rId24" Type="http://schemas.openxmlformats.org/officeDocument/2006/relationships/image" Target="media/image1.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07/s12110-003-1014-0" TargetMode="External"/><Relationship Id="rId23" Type="http://schemas.openxmlformats.org/officeDocument/2006/relationships/header" Target="header1.xml"/><Relationship Id="rId28" Type="http://schemas.openxmlformats.org/officeDocument/2006/relationships/image" Target="media/image4.png"/><Relationship Id="rId10" Type="http://schemas.openxmlformats.org/officeDocument/2006/relationships/hyperlink" Target="http://dx.doi.org/10.1016/S1090-5138(03)00055-2" TargetMode="External"/><Relationship Id="rId19" Type="http://schemas.openxmlformats.org/officeDocument/2006/relationships/hyperlink" Target="http://dx.doi.org/10.1037/0022-3514.54.6.106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177/01461672012710007" TargetMode="External"/><Relationship Id="rId14" Type="http://schemas.openxmlformats.org/officeDocument/2006/relationships/hyperlink" Target="http://dx.doi.org/10.1093/bjc/43.3.600" TargetMode="External"/><Relationship Id="rId22" Type="http://schemas.openxmlformats.org/officeDocument/2006/relationships/hyperlink" Target="http://dx.doi.org/10.1177/0011128710386203" TargetMode="External"/><Relationship Id="rId27" Type="http://schemas.openxmlformats.org/officeDocument/2006/relationships/image" Target="media/image3.png"/><Relationship Id="rId30"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www.ons.gov.uk/ons/publications/re-reference-tables.html?edition=tcm%3A77-328153"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uol.le.ac.uk\root\staff\home\h\hf49\My%20Documents\Hannah\Route\RoutePaperFigur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uol.le.ac.uk\root\staff\home\h\hf49\My%20Documents\Hannah\Route\RoutePaperFigure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a:t>Hotspot</a:t>
            </a:r>
          </a:p>
        </c:rich>
      </c:tx>
      <c:overlay val="0"/>
    </c:title>
    <c:autoTitleDeleted val="0"/>
    <c:plotArea>
      <c:layout/>
      <c:barChart>
        <c:barDir val="col"/>
        <c:grouping val="clustered"/>
        <c:varyColors val="0"/>
        <c:ser>
          <c:idx val="0"/>
          <c:order val="0"/>
          <c:tx>
            <c:v>male</c:v>
          </c:tx>
          <c:invertIfNegative val="0"/>
          <c:errBars>
            <c:errBarType val="plus"/>
            <c:errValType val="cust"/>
            <c:noEndCap val="0"/>
            <c:plus>
              <c:numRef>
                <c:f>('correlation table'!$E$94,'correlation table'!$E$96)</c:f>
                <c:numCache>
                  <c:formatCode>General</c:formatCode>
                  <c:ptCount val="2"/>
                  <c:pt idx="0">
                    <c:v>0.26154672409694235</c:v>
                  </c:pt>
                  <c:pt idx="1">
                    <c:v>0.28856147026561874</c:v>
                  </c:pt>
                </c:numCache>
              </c:numRef>
            </c:plus>
            <c:minus>
              <c:numLit>
                <c:formatCode>General</c:formatCode>
                <c:ptCount val="1"/>
                <c:pt idx="0">
                  <c:v>1</c:v>
                </c:pt>
              </c:numLit>
            </c:minus>
          </c:errBars>
          <c:cat>
            <c:strRef>
              <c:f>'correlation table'!$I$95:$I$96</c:f>
              <c:strCache>
                <c:ptCount val="2"/>
                <c:pt idx="0">
                  <c:v>robbery</c:v>
                </c:pt>
                <c:pt idx="1">
                  <c:v>physical assault</c:v>
                </c:pt>
              </c:strCache>
            </c:strRef>
          </c:cat>
          <c:val>
            <c:numRef>
              <c:f>('correlation table'!$D$94,'correlation table'!$D$96)</c:f>
              <c:numCache>
                <c:formatCode>General</c:formatCode>
                <c:ptCount val="2"/>
                <c:pt idx="0">
                  <c:v>6.6179999999999941</c:v>
                </c:pt>
                <c:pt idx="1">
                  <c:v>6.3519999999999985</c:v>
                </c:pt>
              </c:numCache>
            </c:numRef>
          </c:val>
        </c:ser>
        <c:ser>
          <c:idx val="1"/>
          <c:order val="1"/>
          <c:tx>
            <c:v>female</c:v>
          </c:tx>
          <c:invertIfNegative val="0"/>
          <c:errBars>
            <c:errBarType val="plus"/>
            <c:errValType val="cust"/>
            <c:noEndCap val="0"/>
            <c:plus>
              <c:numRef>
                <c:f>('correlation table'!$E$95,'correlation table'!$E$97)</c:f>
                <c:numCache>
                  <c:formatCode>General</c:formatCode>
                  <c:ptCount val="2"/>
                  <c:pt idx="0">
                    <c:v>0.32236826518581058</c:v>
                  </c:pt>
                  <c:pt idx="1">
                    <c:v>0.30566782469922832</c:v>
                  </c:pt>
                </c:numCache>
              </c:numRef>
            </c:plus>
            <c:minus>
              <c:numLit>
                <c:formatCode>General</c:formatCode>
                <c:ptCount val="1"/>
                <c:pt idx="0">
                  <c:v>1</c:v>
                </c:pt>
              </c:numLit>
            </c:minus>
          </c:errBars>
          <c:cat>
            <c:strRef>
              <c:f>'correlation table'!$I$95:$I$96</c:f>
              <c:strCache>
                <c:ptCount val="2"/>
                <c:pt idx="0">
                  <c:v>robbery</c:v>
                </c:pt>
                <c:pt idx="1">
                  <c:v>physical assault</c:v>
                </c:pt>
              </c:strCache>
            </c:strRef>
          </c:cat>
          <c:val>
            <c:numRef>
              <c:f>('correlation table'!$D$95,'correlation table'!$D$97)</c:f>
              <c:numCache>
                <c:formatCode>General</c:formatCode>
                <c:ptCount val="2"/>
                <c:pt idx="0">
                  <c:v>5.3460000000000001</c:v>
                </c:pt>
                <c:pt idx="1">
                  <c:v>4.7480000000000002</c:v>
                </c:pt>
              </c:numCache>
            </c:numRef>
          </c:val>
        </c:ser>
        <c:dLbls>
          <c:showLegendKey val="0"/>
          <c:showVal val="0"/>
          <c:showCatName val="0"/>
          <c:showSerName val="0"/>
          <c:showPercent val="0"/>
          <c:showBubbleSize val="0"/>
        </c:dLbls>
        <c:gapWidth val="150"/>
        <c:axId val="539479560"/>
        <c:axId val="539477208"/>
      </c:barChart>
      <c:catAx>
        <c:axId val="539479560"/>
        <c:scaling>
          <c:orientation val="minMax"/>
        </c:scaling>
        <c:delete val="0"/>
        <c:axPos val="b"/>
        <c:numFmt formatCode="General" sourceLinked="1"/>
        <c:majorTickMark val="out"/>
        <c:minorTickMark val="none"/>
        <c:tickLblPos val="nextTo"/>
        <c:crossAx val="539477208"/>
        <c:crosses val="autoZero"/>
        <c:auto val="1"/>
        <c:lblAlgn val="ctr"/>
        <c:lblOffset val="100"/>
        <c:noMultiLvlLbl val="0"/>
      </c:catAx>
      <c:valAx>
        <c:axId val="539477208"/>
        <c:scaling>
          <c:orientation val="minMax"/>
          <c:max val="10"/>
        </c:scaling>
        <c:delete val="0"/>
        <c:axPos val="l"/>
        <c:majorGridlines>
          <c:spPr>
            <a:ln>
              <a:noFill/>
            </a:ln>
          </c:spPr>
        </c:majorGridlines>
        <c:title>
          <c:tx>
            <c:rich>
              <a:bodyPr rot="-5400000" vert="horz"/>
              <a:lstStyle/>
              <a:p>
                <a:pPr>
                  <a:defRPr/>
                </a:pPr>
                <a:r>
                  <a:rPr lang="en-US"/>
                  <a:t>Personal Risk Perception</a:t>
                </a:r>
              </a:p>
            </c:rich>
          </c:tx>
          <c:overlay val="0"/>
        </c:title>
        <c:numFmt formatCode="General" sourceLinked="1"/>
        <c:majorTickMark val="out"/>
        <c:minorTickMark val="none"/>
        <c:tickLblPos val="nextTo"/>
        <c:crossAx val="539479560"/>
        <c:crosses val="autoZero"/>
        <c:crossBetween val="between"/>
      </c:valAx>
    </c:plotArea>
    <c:legend>
      <c:legendPos val="r"/>
      <c:overlay val="0"/>
    </c:legend>
    <c:plotVisOnly val="1"/>
    <c:dispBlanksAs val="gap"/>
    <c:showDLblsOverMax val="0"/>
  </c:chart>
  <c:spPr>
    <a:ln>
      <a:noFill/>
    </a:ln>
  </c:spPr>
  <c:txPr>
    <a:bodyPr/>
    <a:lstStyle/>
    <a:p>
      <a:pPr>
        <a:defRPr sz="14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a:t>Safespot</a:t>
            </a:r>
          </a:p>
        </c:rich>
      </c:tx>
      <c:overlay val="0"/>
    </c:title>
    <c:autoTitleDeleted val="0"/>
    <c:plotArea>
      <c:layout/>
      <c:barChart>
        <c:barDir val="col"/>
        <c:grouping val="clustered"/>
        <c:varyColors val="0"/>
        <c:ser>
          <c:idx val="0"/>
          <c:order val="0"/>
          <c:tx>
            <c:v>male</c:v>
          </c:tx>
          <c:invertIfNegative val="0"/>
          <c:errBars>
            <c:errBarType val="plus"/>
            <c:errValType val="cust"/>
            <c:noEndCap val="0"/>
            <c:plus>
              <c:numRef>
                <c:f>('correlation table'!$E$94,'correlation table'!$E$96)</c:f>
                <c:numCache>
                  <c:formatCode>General</c:formatCode>
                  <c:ptCount val="2"/>
                  <c:pt idx="0">
                    <c:v>0.26154672409694235</c:v>
                  </c:pt>
                  <c:pt idx="1">
                    <c:v>0.28856147026561874</c:v>
                  </c:pt>
                </c:numCache>
              </c:numRef>
            </c:plus>
            <c:minus>
              <c:numLit>
                <c:formatCode>General</c:formatCode>
                <c:ptCount val="1"/>
                <c:pt idx="0">
                  <c:v>1</c:v>
                </c:pt>
              </c:numLit>
            </c:minus>
          </c:errBars>
          <c:cat>
            <c:strRef>
              <c:f>'correlation table'!$I$95:$I$96</c:f>
              <c:strCache>
                <c:ptCount val="2"/>
                <c:pt idx="0">
                  <c:v>robbery</c:v>
                </c:pt>
                <c:pt idx="1">
                  <c:v>physical assault</c:v>
                </c:pt>
              </c:strCache>
            </c:strRef>
          </c:cat>
          <c:val>
            <c:numRef>
              <c:f>('correlation table'!$D$98,'correlation table'!$D$100)</c:f>
              <c:numCache>
                <c:formatCode>General</c:formatCode>
                <c:ptCount val="2"/>
                <c:pt idx="0">
                  <c:v>4.6599999999999975</c:v>
                </c:pt>
                <c:pt idx="1">
                  <c:v>3.4979999999999998</c:v>
                </c:pt>
              </c:numCache>
            </c:numRef>
          </c:val>
        </c:ser>
        <c:ser>
          <c:idx val="1"/>
          <c:order val="1"/>
          <c:tx>
            <c:v>female</c:v>
          </c:tx>
          <c:invertIfNegative val="0"/>
          <c:errBars>
            <c:errBarType val="plus"/>
            <c:errValType val="cust"/>
            <c:noEndCap val="0"/>
            <c:plus>
              <c:numRef>
                <c:f>('correlation table'!$E$95,'correlation table'!$E$97)</c:f>
                <c:numCache>
                  <c:formatCode>General</c:formatCode>
                  <c:ptCount val="2"/>
                  <c:pt idx="0">
                    <c:v>0.32236826518581058</c:v>
                  </c:pt>
                  <c:pt idx="1">
                    <c:v>0.30566782469922832</c:v>
                  </c:pt>
                </c:numCache>
              </c:numRef>
            </c:plus>
            <c:minus>
              <c:numLit>
                <c:formatCode>General</c:formatCode>
                <c:ptCount val="1"/>
                <c:pt idx="0">
                  <c:v>1</c:v>
                </c:pt>
              </c:numLit>
            </c:minus>
          </c:errBars>
          <c:cat>
            <c:strRef>
              <c:f>'correlation table'!$I$95:$I$96</c:f>
              <c:strCache>
                <c:ptCount val="2"/>
                <c:pt idx="0">
                  <c:v>robbery</c:v>
                </c:pt>
                <c:pt idx="1">
                  <c:v>physical assault</c:v>
                </c:pt>
              </c:strCache>
            </c:strRef>
          </c:cat>
          <c:val>
            <c:numRef>
              <c:f>('correlation table'!$D$99,'correlation table'!$D$101)</c:f>
              <c:numCache>
                <c:formatCode>General</c:formatCode>
                <c:ptCount val="2"/>
                <c:pt idx="0">
                  <c:v>3.927</c:v>
                </c:pt>
                <c:pt idx="1">
                  <c:v>2.5339999999999998</c:v>
                </c:pt>
              </c:numCache>
            </c:numRef>
          </c:val>
        </c:ser>
        <c:dLbls>
          <c:showLegendKey val="0"/>
          <c:showVal val="0"/>
          <c:showCatName val="0"/>
          <c:showSerName val="0"/>
          <c:showPercent val="0"/>
          <c:showBubbleSize val="0"/>
        </c:dLbls>
        <c:gapWidth val="150"/>
        <c:axId val="539473008"/>
        <c:axId val="539471832"/>
      </c:barChart>
      <c:catAx>
        <c:axId val="539473008"/>
        <c:scaling>
          <c:orientation val="minMax"/>
        </c:scaling>
        <c:delete val="0"/>
        <c:axPos val="b"/>
        <c:numFmt formatCode="General" sourceLinked="1"/>
        <c:majorTickMark val="out"/>
        <c:minorTickMark val="none"/>
        <c:tickLblPos val="nextTo"/>
        <c:crossAx val="539471832"/>
        <c:crosses val="autoZero"/>
        <c:auto val="1"/>
        <c:lblAlgn val="ctr"/>
        <c:lblOffset val="100"/>
        <c:noMultiLvlLbl val="0"/>
      </c:catAx>
      <c:valAx>
        <c:axId val="539471832"/>
        <c:scaling>
          <c:orientation val="minMax"/>
          <c:max val="10"/>
        </c:scaling>
        <c:delete val="0"/>
        <c:axPos val="l"/>
        <c:majorGridlines>
          <c:spPr>
            <a:ln>
              <a:noFill/>
            </a:ln>
          </c:spPr>
        </c:majorGridlines>
        <c:title>
          <c:tx>
            <c:rich>
              <a:bodyPr rot="-5400000" vert="horz"/>
              <a:lstStyle/>
              <a:p>
                <a:pPr>
                  <a:defRPr/>
                </a:pPr>
                <a:r>
                  <a:rPr lang="en-US"/>
                  <a:t>Personal Risk Perception</a:t>
                </a:r>
              </a:p>
            </c:rich>
          </c:tx>
          <c:overlay val="0"/>
        </c:title>
        <c:numFmt formatCode="General" sourceLinked="1"/>
        <c:majorTickMark val="out"/>
        <c:minorTickMark val="none"/>
        <c:tickLblPos val="nextTo"/>
        <c:crossAx val="539473008"/>
        <c:crosses val="autoZero"/>
        <c:crossBetween val="between"/>
      </c:valAx>
    </c:plotArea>
    <c:legend>
      <c:legendPos val="r"/>
      <c:overlay val="0"/>
    </c:legend>
    <c:plotVisOnly val="1"/>
    <c:dispBlanksAs val="gap"/>
    <c:showDLblsOverMax val="0"/>
  </c:chart>
  <c:spPr>
    <a:ln>
      <a:noFill/>
    </a:ln>
  </c:spPr>
  <c:txPr>
    <a:bodyPr/>
    <a:lstStyle/>
    <a:p>
      <a:pPr>
        <a:defRPr sz="14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C44E-1ABE-4B91-BCFE-696789AF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10126</Words>
  <Characters>57723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hr98</dc:creator>
  <cp:lastModifiedBy>John</cp:lastModifiedBy>
  <cp:revision>2</cp:revision>
  <cp:lastPrinted>2015-08-04T12:26:00Z</cp:lastPrinted>
  <dcterms:created xsi:type="dcterms:W3CDTF">2016-01-27T15:16:00Z</dcterms:created>
  <dcterms:modified xsi:type="dcterms:W3CDTF">2016-01-27T15:16:00Z</dcterms:modified>
</cp:coreProperties>
</file>