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C3612" w14:textId="30CA165C" w:rsidR="001117D9" w:rsidRPr="00DE64C0" w:rsidRDefault="001117D9" w:rsidP="00FF4C5F">
      <w:pPr>
        <w:rPr>
          <w:b/>
        </w:rPr>
      </w:pPr>
      <w:bookmarkStart w:id="0" w:name="_Toc406070512"/>
      <w:r w:rsidRPr="00DE64C0">
        <w:rPr>
          <w:b/>
        </w:rPr>
        <w:t>A Community Based Primary Prevention Programme for Type 2 Diabetes Integrating Identification and Lifestyl</w:t>
      </w:r>
      <w:r w:rsidR="000A3876" w:rsidRPr="00DE64C0">
        <w:rPr>
          <w:b/>
        </w:rPr>
        <w:t xml:space="preserve">e Intervention for Prevention: </w:t>
      </w:r>
      <w:r w:rsidR="001605AD" w:rsidRPr="00DE64C0">
        <w:rPr>
          <w:b/>
        </w:rPr>
        <w:t>t</w:t>
      </w:r>
      <w:r w:rsidR="000A3876" w:rsidRPr="00DE64C0">
        <w:rPr>
          <w:b/>
        </w:rPr>
        <w:t>he Let’s Prevent Diabetes</w:t>
      </w:r>
      <w:r w:rsidRPr="00DE64C0">
        <w:rPr>
          <w:b/>
        </w:rPr>
        <w:t xml:space="preserve"> Cluster Randomised Controlled Trial</w:t>
      </w:r>
    </w:p>
    <w:p w14:paraId="0D0323CA" w14:textId="77777777" w:rsidR="001117D9" w:rsidRPr="00DE64C0" w:rsidRDefault="001117D9" w:rsidP="00FF4C5F"/>
    <w:p w14:paraId="4C80A84A" w14:textId="77777777" w:rsidR="001117D9" w:rsidRPr="00DE64C0" w:rsidRDefault="001117D9" w:rsidP="00FF4C5F">
      <w:pPr>
        <w:rPr>
          <w:lang w:val="en"/>
        </w:rPr>
      </w:pPr>
    </w:p>
    <w:p w14:paraId="7EC509A7" w14:textId="7A414128" w:rsidR="00106C97" w:rsidRPr="00DE64C0" w:rsidRDefault="00106C97" w:rsidP="00FF4C5F">
      <w:r w:rsidRPr="00DE64C0">
        <w:t xml:space="preserve">Melanie J </w:t>
      </w:r>
      <w:proofErr w:type="spellStart"/>
      <w:r w:rsidRPr="00DE64C0">
        <w:t>Davies</w:t>
      </w:r>
      <w:r w:rsidR="00DA3BAD" w:rsidRPr="00DE64C0">
        <w:rPr>
          <w:vertAlign w:val="superscript"/>
        </w:rPr>
        <w:t>a</w:t>
      </w:r>
      <w:r w:rsidR="005304C6" w:rsidRPr="00DE64C0">
        <w:rPr>
          <w:vertAlign w:val="superscript"/>
        </w:rPr>
        <w:t>,</w:t>
      </w:r>
      <w:r w:rsidR="00DA3BAD" w:rsidRPr="00DE64C0">
        <w:rPr>
          <w:vertAlign w:val="superscript"/>
        </w:rPr>
        <w:t>b</w:t>
      </w:r>
      <w:proofErr w:type="spellEnd"/>
      <w:r w:rsidRPr="00DE64C0">
        <w:t xml:space="preserve">, Laura J </w:t>
      </w:r>
      <w:proofErr w:type="spellStart"/>
      <w:r w:rsidRPr="00DE64C0">
        <w:t>Gray</w:t>
      </w:r>
      <w:r w:rsidR="00DA3BAD" w:rsidRPr="00DE64C0">
        <w:rPr>
          <w:vertAlign w:val="superscript"/>
        </w:rPr>
        <w:t>c</w:t>
      </w:r>
      <w:proofErr w:type="spellEnd"/>
      <w:r w:rsidRPr="00DE64C0">
        <w:t xml:space="preserve">, Jacqui </w:t>
      </w:r>
      <w:proofErr w:type="spellStart"/>
      <w:r w:rsidRPr="00DE64C0">
        <w:t>Troughton</w:t>
      </w:r>
      <w:r w:rsidR="00DA3BAD" w:rsidRPr="00DE64C0">
        <w:rPr>
          <w:vertAlign w:val="superscript"/>
        </w:rPr>
        <w:t>d</w:t>
      </w:r>
      <w:proofErr w:type="spellEnd"/>
      <w:r w:rsidRPr="00DE64C0">
        <w:t xml:space="preserve">, </w:t>
      </w:r>
      <w:r w:rsidR="005304C6" w:rsidRPr="00DE64C0">
        <w:t xml:space="preserve">Alastair </w:t>
      </w:r>
      <w:proofErr w:type="spellStart"/>
      <w:r w:rsidR="005304C6" w:rsidRPr="00DE64C0">
        <w:t>Gray</w:t>
      </w:r>
      <w:r w:rsidR="00DA3BAD" w:rsidRPr="00DE64C0">
        <w:rPr>
          <w:rFonts w:cs="Times New Roman"/>
          <w:vertAlign w:val="superscript"/>
        </w:rPr>
        <w:t>e</w:t>
      </w:r>
      <w:proofErr w:type="spellEnd"/>
      <w:r w:rsidR="005304C6" w:rsidRPr="00DE64C0">
        <w:rPr>
          <w:rFonts w:cs="Times New Roman"/>
        </w:rPr>
        <w:t xml:space="preserve">, </w:t>
      </w:r>
      <w:proofErr w:type="spellStart"/>
      <w:r w:rsidR="005304C6" w:rsidRPr="00DE64C0">
        <w:rPr>
          <w:rFonts w:cs="Times New Roman"/>
        </w:rPr>
        <w:t>Jaakko</w:t>
      </w:r>
      <w:proofErr w:type="spellEnd"/>
      <w:r w:rsidR="005304C6" w:rsidRPr="00DE64C0">
        <w:rPr>
          <w:rFonts w:cs="Times New Roman"/>
        </w:rPr>
        <w:t xml:space="preserve"> </w:t>
      </w:r>
      <w:proofErr w:type="spellStart"/>
      <w:r w:rsidR="005304C6" w:rsidRPr="00DE64C0">
        <w:rPr>
          <w:rFonts w:cs="Times New Roman"/>
        </w:rPr>
        <w:t>Tuomilehto</w:t>
      </w:r>
      <w:r w:rsidR="00DA3BAD" w:rsidRPr="00DE64C0">
        <w:rPr>
          <w:rFonts w:cs="Times New Roman"/>
          <w:vertAlign w:val="superscript"/>
        </w:rPr>
        <w:t>f</w:t>
      </w:r>
      <w:proofErr w:type="spellEnd"/>
      <w:r w:rsidR="00DA3BAD" w:rsidRPr="00DE64C0">
        <w:rPr>
          <w:rFonts w:cs="Times New Roman"/>
          <w:vertAlign w:val="superscript"/>
        </w:rPr>
        <w:t>-h</w:t>
      </w:r>
      <w:r w:rsidR="005304C6" w:rsidRPr="00DE64C0">
        <w:rPr>
          <w:rFonts w:cs="Times New Roman"/>
        </w:rPr>
        <w:t xml:space="preserve">, </w:t>
      </w:r>
      <w:r w:rsidR="005304C6" w:rsidRPr="00DE64C0">
        <w:t xml:space="preserve">Azhar </w:t>
      </w:r>
      <w:proofErr w:type="spellStart"/>
      <w:r w:rsidR="005304C6" w:rsidRPr="00DE64C0">
        <w:t>Farooqi</w:t>
      </w:r>
      <w:r w:rsidR="00DA3BAD" w:rsidRPr="00DE64C0">
        <w:rPr>
          <w:rFonts w:cs="Times New Roman"/>
          <w:vertAlign w:val="superscript"/>
        </w:rPr>
        <w:t>a</w:t>
      </w:r>
      <w:proofErr w:type="spellEnd"/>
      <w:r w:rsidR="005304C6" w:rsidRPr="00DE64C0">
        <w:t xml:space="preserve">, </w:t>
      </w:r>
      <w:r w:rsidRPr="00DE64C0">
        <w:t xml:space="preserve">Kamlesh </w:t>
      </w:r>
      <w:proofErr w:type="spellStart"/>
      <w:r w:rsidRPr="00DE64C0">
        <w:t>Khunti</w:t>
      </w:r>
      <w:r w:rsidR="00DA3BAD" w:rsidRPr="00DE64C0">
        <w:rPr>
          <w:rFonts w:cs="Times New Roman"/>
          <w:vertAlign w:val="superscript"/>
        </w:rPr>
        <w:t>a</w:t>
      </w:r>
      <w:proofErr w:type="spellEnd"/>
      <w:r w:rsidRPr="00DE64C0">
        <w:t xml:space="preserve">, </w:t>
      </w:r>
      <w:r w:rsidR="005304C6" w:rsidRPr="00DE64C0">
        <w:t xml:space="preserve">Thomas </w:t>
      </w:r>
      <w:proofErr w:type="spellStart"/>
      <w:r w:rsidR="005304C6" w:rsidRPr="00DE64C0">
        <w:t>Yates</w:t>
      </w:r>
      <w:r w:rsidR="00DA3BAD" w:rsidRPr="00DE64C0">
        <w:rPr>
          <w:rFonts w:cs="Times New Roman"/>
          <w:vertAlign w:val="superscript"/>
        </w:rPr>
        <w:t>a,b</w:t>
      </w:r>
      <w:proofErr w:type="spellEnd"/>
      <w:r w:rsidR="005304C6" w:rsidRPr="00DE64C0">
        <w:t xml:space="preserve">, </w:t>
      </w:r>
      <w:r w:rsidR="001605AD" w:rsidRPr="00DE64C0">
        <w:t>o</w:t>
      </w:r>
      <w:r w:rsidRPr="00DE64C0">
        <w:t>n behalf of the Let’s Prevent Diabetes Team.</w:t>
      </w:r>
    </w:p>
    <w:p w14:paraId="681045A6" w14:textId="77777777" w:rsidR="00106C97" w:rsidRPr="00DE64C0" w:rsidRDefault="00106C97" w:rsidP="00FF4C5F">
      <w:r w:rsidRPr="00DE64C0">
        <w:t xml:space="preserve"> </w:t>
      </w:r>
    </w:p>
    <w:p w14:paraId="782CF78D" w14:textId="1F219C66" w:rsidR="001605BE" w:rsidRPr="00DE64C0" w:rsidRDefault="00DA3BAD" w:rsidP="00FF4C5F">
      <w:pPr>
        <w:rPr>
          <w:rFonts w:cs="Times New Roman"/>
        </w:rPr>
      </w:pPr>
      <w:proofErr w:type="spellStart"/>
      <w:proofErr w:type="gramStart"/>
      <w:r w:rsidRPr="00DE64C0">
        <w:rPr>
          <w:vertAlign w:val="superscript"/>
        </w:rPr>
        <w:t>a</w:t>
      </w:r>
      <w:r w:rsidR="00106C97" w:rsidRPr="00DE64C0">
        <w:t>Diabetes</w:t>
      </w:r>
      <w:proofErr w:type="spellEnd"/>
      <w:proofErr w:type="gramEnd"/>
      <w:r w:rsidR="00106C97" w:rsidRPr="00DE64C0">
        <w:t xml:space="preserve"> Research Centre, University of Leicester, Leicester, UK.</w:t>
      </w:r>
      <w:r w:rsidR="003172C0" w:rsidRPr="00DE64C0">
        <w:t xml:space="preserve"> </w:t>
      </w:r>
      <w:proofErr w:type="gramStart"/>
      <w:r w:rsidRPr="00DE64C0">
        <w:rPr>
          <w:vertAlign w:val="superscript"/>
        </w:rPr>
        <w:t>b</w:t>
      </w:r>
      <w:proofErr w:type="gramEnd"/>
      <w:r w:rsidR="005304C6" w:rsidRPr="00DE64C0">
        <w:t xml:space="preserve"> Leicester-Loughborough Diet, Lifestyle and Physical Activity Biomedical </w:t>
      </w:r>
      <w:r w:rsidR="00D63CEB" w:rsidRPr="00DE64C0">
        <w:t>Research</w:t>
      </w:r>
      <w:r w:rsidR="005304C6" w:rsidRPr="00DE64C0">
        <w:t xml:space="preserve"> Unit, Leicester, UK</w:t>
      </w:r>
      <w:r w:rsidR="003172C0" w:rsidRPr="00DE64C0">
        <w:t xml:space="preserve">. </w:t>
      </w:r>
      <w:proofErr w:type="spellStart"/>
      <w:r w:rsidRPr="00DE64C0">
        <w:rPr>
          <w:vertAlign w:val="superscript"/>
        </w:rPr>
        <w:t>c</w:t>
      </w:r>
      <w:r w:rsidR="00106C97" w:rsidRPr="00DE64C0">
        <w:t>Department</w:t>
      </w:r>
      <w:proofErr w:type="spellEnd"/>
      <w:r w:rsidR="00106C97" w:rsidRPr="00DE64C0">
        <w:t xml:space="preserve"> of Health Sciences, University of Leicester, Leicester, </w:t>
      </w:r>
      <w:proofErr w:type="spellStart"/>
      <w:r w:rsidR="00106C97" w:rsidRPr="00DE64C0">
        <w:t>UK.</w:t>
      </w:r>
      <w:r w:rsidRPr="00DE64C0">
        <w:rPr>
          <w:vertAlign w:val="superscript"/>
        </w:rPr>
        <w:t>d</w:t>
      </w:r>
      <w:r w:rsidRPr="00DE64C0">
        <w:t>Leicester</w:t>
      </w:r>
      <w:proofErr w:type="spellEnd"/>
      <w:r w:rsidRPr="00DE64C0">
        <w:t xml:space="preserve"> Diabetes Centre, University Hospitals of Leicester, Leicester, UK. </w:t>
      </w:r>
      <w:proofErr w:type="gramStart"/>
      <w:r w:rsidRPr="00DE64C0">
        <w:rPr>
          <w:vertAlign w:val="superscript"/>
        </w:rPr>
        <w:t>e</w:t>
      </w:r>
      <w:r w:rsidR="00106C97" w:rsidRPr="00DE64C0">
        <w:t>Health</w:t>
      </w:r>
      <w:proofErr w:type="gramEnd"/>
      <w:r w:rsidR="00106C97" w:rsidRPr="00DE64C0">
        <w:t xml:space="preserve"> Economics Research Centre, Nuffield Department of Population Health, University of Oxford, Oxford, UK.</w:t>
      </w:r>
      <w:r w:rsidR="003172C0" w:rsidRPr="00DE64C0">
        <w:t xml:space="preserve"> </w:t>
      </w:r>
      <w:proofErr w:type="spellStart"/>
      <w:proofErr w:type="gramStart"/>
      <w:r w:rsidRPr="00DE64C0">
        <w:rPr>
          <w:vertAlign w:val="superscript"/>
        </w:rPr>
        <w:t>f</w:t>
      </w:r>
      <w:r w:rsidR="001605BE" w:rsidRPr="00DE64C0">
        <w:rPr>
          <w:rFonts w:cs="Times New Roman"/>
        </w:rPr>
        <w:t>Centre</w:t>
      </w:r>
      <w:proofErr w:type="spellEnd"/>
      <w:proofErr w:type="gramEnd"/>
      <w:r w:rsidR="001605BE" w:rsidRPr="00DE64C0">
        <w:rPr>
          <w:rFonts w:cs="Times New Roman"/>
        </w:rPr>
        <w:t xml:space="preserve"> for Vascular Prevention, Danube-University </w:t>
      </w:r>
      <w:proofErr w:type="spellStart"/>
      <w:r w:rsidR="001605BE" w:rsidRPr="00DE64C0">
        <w:rPr>
          <w:rFonts w:cs="Times New Roman"/>
        </w:rPr>
        <w:t>Krems</w:t>
      </w:r>
      <w:proofErr w:type="spellEnd"/>
      <w:r w:rsidR="001605BE" w:rsidRPr="00DE64C0">
        <w:rPr>
          <w:rFonts w:cs="Times New Roman"/>
        </w:rPr>
        <w:t xml:space="preserve">, 3500 </w:t>
      </w:r>
      <w:proofErr w:type="spellStart"/>
      <w:r w:rsidR="001605BE" w:rsidRPr="00DE64C0">
        <w:rPr>
          <w:rFonts w:cs="Times New Roman"/>
        </w:rPr>
        <w:t>Krems</w:t>
      </w:r>
      <w:proofErr w:type="spellEnd"/>
      <w:r w:rsidR="001605BE" w:rsidRPr="00DE64C0">
        <w:rPr>
          <w:rFonts w:cs="Times New Roman"/>
        </w:rPr>
        <w:t>, Austria</w:t>
      </w:r>
      <w:r w:rsidR="003172C0" w:rsidRPr="00DE64C0">
        <w:rPr>
          <w:rFonts w:cs="Times New Roman"/>
        </w:rPr>
        <w:t xml:space="preserve">. </w:t>
      </w:r>
      <w:proofErr w:type="gramStart"/>
      <w:r w:rsidRPr="00DE64C0">
        <w:rPr>
          <w:vertAlign w:val="superscript"/>
        </w:rPr>
        <w:t>g</w:t>
      </w:r>
      <w:r w:rsidR="001605BE" w:rsidRPr="00DE64C0">
        <w:rPr>
          <w:rFonts w:cs="Times New Roman"/>
          <w:lang w:val="en-US"/>
        </w:rPr>
        <w:t>Department</w:t>
      </w:r>
      <w:proofErr w:type="gramEnd"/>
      <w:r w:rsidR="001605BE" w:rsidRPr="00DE64C0">
        <w:rPr>
          <w:rFonts w:cs="Times New Roman"/>
          <w:lang w:val="en-US"/>
        </w:rPr>
        <w:t xml:space="preserve"> of Chronic Disease Prevention, National Institute for Health and Welfare, 00271 Helsinki, Finland</w:t>
      </w:r>
      <w:r w:rsidR="003172C0" w:rsidRPr="00DE64C0">
        <w:rPr>
          <w:rFonts w:cs="Times New Roman"/>
          <w:lang w:val="en-US"/>
        </w:rPr>
        <w:t xml:space="preserve">. </w:t>
      </w:r>
      <w:proofErr w:type="spellStart"/>
      <w:proofErr w:type="gramStart"/>
      <w:r w:rsidRPr="00DE64C0">
        <w:rPr>
          <w:vertAlign w:val="superscript"/>
        </w:rPr>
        <w:t>h</w:t>
      </w:r>
      <w:r w:rsidR="001605BE" w:rsidRPr="00DE64C0">
        <w:rPr>
          <w:rFonts w:cs="Times New Roman"/>
        </w:rPr>
        <w:t>Diabetes</w:t>
      </w:r>
      <w:proofErr w:type="spellEnd"/>
      <w:proofErr w:type="gramEnd"/>
      <w:r w:rsidR="001605BE" w:rsidRPr="00DE64C0">
        <w:rPr>
          <w:rFonts w:cs="Times New Roman"/>
        </w:rPr>
        <w:t xml:space="preserve"> Research Group, King </w:t>
      </w:r>
      <w:proofErr w:type="spellStart"/>
      <w:r w:rsidR="001605BE" w:rsidRPr="00DE64C0">
        <w:rPr>
          <w:rFonts w:cs="Times New Roman"/>
        </w:rPr>
        <w:t>Abdulaziz</w:t>
      </w:r>
      <w:proofErr w:type="spellEnd"/>
      <w:r w:rsidR="001605BE" w:rsidRPr="00DE64C0">
        <w:rPr>
          <w:rFonts w:cs="Times New Roman"/>
        </w:rPr>
        <w:t xml:space="preserve"> University, 21589 Jeddah, Saudi Arabia</w:t>
      </w:r>
    </w:p>
    <w:p w14:paraId="28D9F852" w14:textId="77777777" w:rsidR="001605BE" w:rsidRPr="00DE64C0" w:rsidRDefault="001605BE" w:rsidP="00FF4C5F"/>
    <w:p w14:paraId="1BB72274" w14:textId="2AA78CE0" w:rsidR="00C26090" w:rsidRPr="00DE64C0" w:rsidRDefault="00DA3BAD" w:rsidP="00DA3BAD">
      <w:pPr>
        <w:jc w:val="left"/>
        <w:rPr>
          <w:lang w:val="en"/>
        </w:rPr>
      </w:pPr>
      <w:r w:rsidRPr="00DE64C0">
        <w:rPr>
          <w:lang w:val="en"/>
        </w:rPr>
        <w:t xml:space="preserve">Email addresses: </w:t>
      </w:r>
      <w:hyperlink r:id="rId9" w:history="1">
        <w:r w:rsidRPr="00DE64C0">
          <w:rPr>
            <w:rStyle w:val="Hyperlink"/>
            <w:lang w:val="en"/>
          </w:rPr>
          <w:t>melanie.davies@uhl-tr.nhs.uk</w:t>
        </w:r>
      </w:hyperlink>
      <w:r w:rsidRPr="00DE64C0">
        <w:rPr>
          <w:lang w:val="en"/>
        </w:rPr>
        <w:t xml:space="preserve">; </w:t>
      </w:r>
      <w:hyperlink r:id="rId10" w:history="1">
        <w:r w:rsidRPr="00DE64C0">
          <w:rPr>
            <w:rStyle w:val="Hyperlink"/>
            <w:lang w:val="en"/>
          </w:rPr>
          <w:t>lg48@le.ac.uk</w:t>
        </w:r>
      </w:hyperlink>
      <w:r w:rsidRPr="00DE64C0">
        <w:rPr>
          <w:lang w:val="en"/>
        </w:rPr>
        <w:t xml:space="preserve">; </w:t>
      </w:r>
      <w:hyperlink r:id="rId11" w:history="1">
        <w:r w:rsidRPr="00DE64C0">
          <w:rPr>
            <w:rStyle w:val="Hyperlink"/>
            <w:lang w:val="en"/>
          </w:rPr>
          <w:t>Jacqui.Troughton@uhl-tr.nhs.uk</w:t>
        </w:r>
      </w:hyperlink>
      <w:r w:rsidRPr="00DE64C0">
        <w:rPr>
          <w:lang w:val="en"/>
        </w:rPr>
        <w:t xml:space="preserve">; </w:t>
      </w:r>
      <w:hyperlink r:id="rId12" w:history="1">
        <w:r w:rsidRPr="00DE64C0">
          <w:rPr>
            <w:rStyle w:val="Hyperlink"/>
            <w:lang w:val="en"/>
          </w:rPr>
          <w:t>alastair.gray@dph.ox.ac.uk</w:t>
        </w:r>
      </w:hyperlink>
      <w:r w:rsidRPr="00DE64C0">
        <w:rPr>
          <w:lang w:val="en"/>
        </w:rPr>
        <w:t xml:space="preserve">; </w:t>
      </w:r>
      <w:hyperlink r:id="rId13" w:history="1">
        <w:r w:rsidRPr="00DE64C0">
          <w:rPr>
            <w:rStyle w:val="Hyperlink"/>
            <w:lang w:val="en"/>
          </w:rPr>
          <w:t>jaakko.tuomilehto@thl.fi</w:t>
        </w:r>
      </w:hyperlink>
      <w:r w:rsidRPr="00DE64C0">
        <w:rPr>
          <w:lang w:val="en"/>
        </w:rPr>
        <w:t xml:space="preserve">; </w:t>
      </w:r>
      <w:hyperlink r:id="rId14" w:history="1">
        <w:r w:rsidRPr="00DE64C0">
          <w:rPr>
            <w:rStyle w:val="Hyperlink"/>
            <w:lang w:val="en"/>
          </w:rPr>
          <w:t>azhar_farooqi@hotmail.com</w:t>
        </w:r>
      </w:hyperlink>
      <w:r w:rsidRPr="00DE64C0">
        <w:rPr>
          <w:lang w:val="en"/>
        </w:rPr>
        <w:t xml:space="preserve">; </w:t>
      </w:r>
      <w:hyperlink r:id="rId15" w:history="1">
        <w:r w:rsidRPr="00DE64C0">
          <w:rPr>
            <w:rStyle w:val="Hyperlink"/>
            <w:lang w:val="en"/>
          </w:rPr>
          <w:t>kk22@le.ac.uk</w:t>
        </w:r>
      </w:hyperlink>
      <w:r w:rsidRPr="00DE64C0">
        <w:rPr>
          <w:lang w:val="en"/>
        </w:rPr>
        <w:t xml:space="preserve">; </w:t>
      </w:r>
      <w:hyperlink r:id="rId16" w:history="1">
        <w:r w:rsidRPr="00DE64C0">
          <w:rPr>
            <w:rStyle w:val="Hyperlink"/>
            <w:lang w:val="en"/>
          </w:rPr>
          <w:t>ty20@le.ac.uk</w:t>
        </w:r>
      </w:hyperlink>
      <w:r w:rsidRPr="00DE64C0">
        <w:rPr>
          <w:lang w:val="en"/>
        </w:rPr>
        <w:t xml:space="preserve"> </w:t>
      </w:r>
    </w:p>
    <w:p w14:paraId="19D1D1D2" w14:textId="1454CFCB" w:rsidR="00165097" w:rsidRPr="00DE64C0" w:rsidRDefault="00165097" w:rsidP="00FF4C5F">
      <w:pPr>
        <w:rPr>
          <w:lang w:val="en"/>
        </w:rPr>
      </w:pPr>
    </w:p>
    <w:p w14:paraId="78BA3E2E" w14:textId="7F496356" w:rsidR="00C26090" w:rsidRPr="00DE64C0" w:rsidRDefault="003172C0" w:rsidP="00FF4C5F">
      <w:pPr>
        <w:rPr>
          <w:lang w:val="en"/>
        </w:rPr>
      </w:pPr>
      <w:r w:rsidRPr="00DE64C0">
        <w:rPr>
          <w:lang w:val="en"/>
        </w:rPr>
        <w:t>Word counts</w:t>
      </w:r>
      <w:r w:rsidR="00FA6019" w:rsidRPr="00DE64C0">
        <w:rPr>
          <w:lang w:val="en"/>
        </w:rPr>
        <w:t>:</w:t>
      </w:r>
    </w:p>
    <w:p w14:paraId="715B8236" w14:textId="3060CE8B" w:rsidR="003172C0" w:rsidRPr="00DE64C0" w:rsidRDefault="003172C0" w:rsidP="00FF4C5F">
      <w:pPr>
        <w:rPr>
          <w:lang w:val="en"/>
        </w:rPr>
      </w:pPr>
      <w:r w:rsidRPr="00DE64C0">
        <w:rPr>
          <w:lang w:val="en"/>
        </w:rPr>
        <w:t xml:space="preserve">Abstract: </w:t>
      </w:r>
      <w:r w:rsidR="00DA427A" w:rsidRPr="00DE64C0">
        <w:rPr>
          <w:lang w:val="en"/>
        </w:rPr>
        <w:t>249</w:t>
      </w:r>
    </w:p>
    <w:p w14:paraId="0AEF4C68" w14:textId="1721D493" w:rsidR="003172C0" w:rsidRPr="00DE64C0" w:rsidRDefault="003172C0" w:rsidP="00FF4C5F">
      <w:pPr>
        <w:rPr>
          <w:lang w:val="en"/>
        </w:rPr>
      </w:pPr>
      <w:r w:rsidRPr="00DE64C0">
        <w:rPr>
          <w:lang w:val="en"/>
        </w:rPr>
        <w:t>Main text:</w:t>
      </w:r>
      <w:r w:rsidR="00FA6019" w:rsidRPr="00DE64C0">
        <w:rPr>
          <w:lang w:val="en"/>
        </w:rPr>
        <w:t xml:space="preserve"> </w:t>
      </w:r>
      <w:r w:rsidR="00BA6791" w:rsidRPr="00DE64C0">
        <w:rPr>
          <w:lang w:val="en"/>
        </w:rPr>
        <w:t>3502</w:t>
      </w:r>
    </w:p>
    <w:p w14:paraId="71E35D82" w14:textId="77777777" w:rsidR="00C26090" w:rsidRPr="00DE64C0" w:rsidRDefault="00C26090" w:rsidP="00FF4C5F">
      <w:pPr>
        <w:rPr>
          <w:lang w:val="en"/>
        </w:rPr>
      </w:pPr>
    </w:p>
    <w:p w14:paraId="20CA49A5" w14:textId="77777777" w:rsidR="005D5504" w:rsidRPr="00DE64C0" w:rsidRDefault="001117D9" w:rsidP="00FF4C5F">
      <w:r w:rsidRPr="00DE64C0">
        <w:t xml:space="preserve">Corresponding author: </w:t>
      </w:r>
    </w:p>
    <w:p w14:paraId="3A874A59" w14:textId="0B77F9D7" w:rsidR="001117D9" w:rsidRPr="00DE64C0" w:rsidRDefault="001117D9" w:rsidP="00FF4C5F">
      <w:r w:rsidRPr="00DE64C0">
        <w:t xml:space="preserve">Dr Laura Gray, </w:t>
      </w:r>
      <w:hyperlink r:id="rId17" w:history="1">
        <w:r w:rsidRPr="00DE64C0">
          <w:rPr>
            <w:rStyle w:val="Hyperlink"/>
          </w:rPr>
          <w:t>lg48@leicester.ac.uk</w:t>
        </w:r>
      </w:hyperlink>
    </w:p>
    <w:p w14:paraId="6360EA58" w14:textId="3D74D101" w:rsidR="001117D9" w:rsidRPr="00DE64C0" w:rsidRDefault="001117D9" w:rsidP="00FF4C5F">
      <w:r w:rsidRPr="00DE64C0">
        <w:t>Leicester Diabetes Centre (Bloom), Leicester General Hospital,</w:t>
      </w:r>
      <w:r w:rsidR="005D5504" w:rsidRPr="00DE64C0">
        <w:t xml:space="preserve"> </w:t>
      </w:r>
      <w:r w:rsidRPr="00DE64C0">
        <w:t>Gwendolen Road, Leicester, LE5 4PW, UK.</w:t>
      </w:r>
    </w:p>
    <w:p w14:paraId="180B15B3" w14:textId="77777777" w:rsidR="001117D9" w:rsidRPr="00DE64C0" w:rsidRDefault="001117D9" w:rsidP="00FF4C5F">
      <w:pPr>
        <w:rPr>
          <w:rFonts w:eastAsiaTheme="majorEastAsia" w:cstheme="majorBidi"/>
          <w:szCs w:val="20"/>
        </w:rPr>
      </w:pPr>
      <w:r w:rsidRPr="00DE64C0">
        <w:br w:type="page"/>
      </w:r>
    </w:p>
    <w:bookmarkEnd w:id="0"/>
    <w:p w14:paraId="216B268E" w14:textId="26B2D115" w:rsidR="00165097" w:rsidRPr="00DE64C0" w:rsidRDefault="00165097" w:rsidP="00FF4C5F">
      <w:pPr>
        <w:rPr>
          <w:rFonts w:cs="Times New Roman"/>
          <w:b/>
        </w:rPr>
      </w:pPr>
      <w:r w:rsidRPr="00DE64C0">
        <w:rPr>
          <w:rFonts w:cs="Times New Roman"/>
          <w:b/>
        </w:rPr>
        <w:lastRenderedPageBreak/>
        <w:t>ABSTRACT</w:t>
      </w:r>
    </w:p>
    <w:p w14:paraId="491E526F" w14:textId="3E54A9DB" w:rsidR="00BF1648" w:rsidRPr="00DE64C0" w:rsidRDefault="00BF1648" w:rsidP="00FF4C5F">
      <w:pPr>
        <w:rPr>
          <w:rFonts w:cs="Times New Roman"/>
        </w:rPr>
      </w:pPr>
      <w:r w:rsidRPr="00DE64C0">
        <w:rPr>
          <w:rFonts w:cs="Times New Roman"/>
          <w:b/>
        </w:rPr>
        <w:t>Aims</w:t>
      </w:r>
      <w:r w:rsidRPr="00DE64C0">
        <w:rPr>
          <w:b/>
        </w:rPr>
        <w:t>:</w:t>
      </w:r>
      <w:r w:rsidRPr="00DE64C0">
        <w:t xml:space="preserve"> P</w:t>
      </w:r>
      <w:proofErr w:type="spellStart"/>
      <w:r w:rsidRPr="00DE64C0">
        <w:rPr>
          <w:lang w:val="en"/>
        </w:rPr>
        <w:t>revention</w:t>
      </w:r>
      <w:proofErr w:type="spellEnd"/>
      <w:r w:rsidRPr="00DE64C0">
        <w:rPr>
          <w:lang w:val="en"/>
        </w:rPr>
        <w:t xml:space="preserve"> of type 2 diabetes (T2DM) is a priority in healthcare, but there is a lack of evidence investigating how to effectively translate prevention research into a UK primary care setting. We</w:t>
      </w:r>
      <w:r w:rsidRPr="00DE64C0">
        <w:rPr>
          <w:rFonts w:cs="Times New Roman"/>
        </w:rPr>
        <w:t xml:space="preserve"> assessed whether a structured education programme targeting lifestyle and behaviour change was effective at preventing progression to T2DM in people with prediabetes</w:t>
      </w:r>
      <w:proofErr w:type="gramStart"/>
      <w:r w:rsidR="008471CA" w:rsidRPr="00DE64C0">
        <w:rPr>
          <w:rFonts w:cs="Times New Roman"/>
        </w:rPr>
        <w:t>.</w:t>
      </w:r>
      <w:r w:rsidRPr="00DE64C0">
        <w:rPr>
          <w:rFonts w:cs="Times New Roman"/>
        </w:rPr>
        <w:t>.</w:t>
      </w:r>
      <w:proofErr w:type="gramEnd"/>
      <w:r w:rsidRPr="00DE64C0">
        <w:rPr>
          <w:rFonts w:cs="Times New Roman"/>
        </w:rPr>
        <w:t xml:space="preserve"> </w:t>
      </w:r>
      <w:bookmarkStart w:id="1" w:name="_GoBack"/>
      <w:bookmarkEnd w:id="1"/>
    </w:p>
    <w:p w14:paraId="2B4D420B" w14:textId="547EC4B2" w:rsidR="00BF1648" w:rsidRPr="00DE64C0" w:rsidRDefault="00BF1648" w:rsidP="00FF4C5F">
      <w:pPr>
        <w:rPr>
          <w:rFonts w:cs="Times New Roman"/>
        </w:rPr>
      </w:pPr>
      <w:r w:rsidRPr="00DE64C0">
        <w:rPr>
          <w:rFonts w:cs="Times New Roman"/>
          <w:b/>
        </w:rPr>
        <w:t>Materials and methods</w:t>
      </w:r>
      <w:r w:rsidR="00FF4C5F" w:rsidRPr="00DE64C0">
        <w:rPr>
          <w:rFonts w:cs="Times New Roman"/>
          <w:b/>
        </w:rPr>
        <w:t>:</w:t>
      </w:r>
      <w:r w:rsidRPr="00DE64C0">
        <w:rPr>
          <w:rFonts w:cs="Times New Roman"/>
        </w:rPr>
        <w:t xml:space="preserve"> 44 General Practices were randomised to receive either standard care or a six hour group structured education programme with an annual refresher course, and regular phone contact. Participants were followed up for 3 years. The primary outcome was progression to T2DM. </w:t>
      </w:r>
    </w:p>
    <w:p w14:paraId="4DEB720B" w14:textId="6C009AD2" w:rsidR="00BF1648" w:rsidRPr="00DE64C0" w:rsidRDefault="00BF1648" w:rsidP="00FF4C5F">
      <w:r w:rsidRPr="00DE64C0">
        <w:rPr>
          <w:rFonts w:cs="Times New Roman"/>
          <w:b/>
          <w:color w:val="000000" w:themeColor="text1"/>
        </w:rPr>
        <w:t>Results:</w:t>
      </w:r>
      <w:r w:rsidRPr="00DE64C0">
        <w:rPr>
          <w:rFonts w:cs="Times New Roman"/>
          <w:color w:val="000000" w:themeColor="text1"/>
        </w:rPr>
        <w:t xml:space="preserve"> </w:t>
      </w:r>
      <w:r w:rsidRPr="00DE64C0">
        <w:rPr>
          <w:rFonts w:cs="Times New Roman"/>
        </w:rPr>
        <w:t>Eight hundred and eighty participants were included (36% female, mean age 64 years, 16% ethnic minority group); 131 participants developed T2DM. There was a</w:t>
      </w:r>
      <w:r w:rsidR="00593FFB" w:rsidRPr="00DE64C0">
        <w:rPr>
          <w:rFonts w:cs="Times New Roman"/>
        </w:rPr>
        <w:t xml:space="preserve"> non-significant</w:t>
      </w:r>
      <w:r w:rsidRPr="00DE64C0">
        <w:rPr>
          <w:rFonts w:cs="Times New Roman"/>
        </w:rPr>
        <w:t xml:space="preserve"> 26% reduced risk of developing T2DM in the intervention arm</w:t>
      </w:r>
      <w:r w:rsidR="00593FFB" w:rsidRPr="00DE64C0">
        <w:rPr>
          <w:rFonts w:cs="Times New Roman"/>
        </w:rPr>
        <w:t xml:space="preserve"> compared to standard care</w:t>
      </w:r>
      <w:r w:rsidRPr="00DE64C0">
        <w:rPr>
          <w:rFonts w:cs="Times New Roman"/>
        </w:rPr>
        <w:t xml:space="preserve"> (HR 0.74, 95%CI 0.48, 1.14, p=0.18). </w:t>
      </w:r>
      <w:r w:rsidR="004B4C72" w:rsidRPr="00DE64C0">
        <w:rPr>
          <w:rFonts w:cs="Times New Roman"/>
        </w:rPr>
        <w:t>The reduction in T2DM risk when e</w:t>
      </w:r>
      <w:r w:rsidR="00C6169A" w:rsidRPr="00DE64C0">
        <w:rPr>
          <w:rFonts w:cs="Times New Roman"/>
        </w:rPr>
        <w:t>xcluding those who did not attend the initial education session</w:t>
      </w:r>
      <w:r w:rsidRPr="00DE64C0">
        <w:rPr>
          <w:rFonts w:cs="Times New Roman"/>
        </w:rPr>
        <w:t xml:space="preserve"> </w:t>
      </w:r>
      <w:r w:rsidR="004B4C72" w:rsidRPr="00DE64C0">
        <w:rPr>
          <w:rFonts w:cs="Times New Roman"/>
        </w:rPr>
        <w:t xml:space="preserve">was also non-significant </w:t>
      </w:r>
      <w:r w:rsidRPr="00DE64C0">
        <w:rPr>
          <w:rFonts w:cs="Times New Roman"/>
        </w:rPr>
        <w:t xml:space="preserve">(HR 0.65, 0.41, 1.03, p=0.07). </w:t>
      </w:r>
      <w:r w:rsidR="000E34CF" w:rsidRPr="00DE64C0">
        <w:rPr>
          <w:rFonts w:cs="Times New Roman"/>
        </w:rPr>
        <w:t>T</w:t>
      </w:r>
      <w:r w:rsidRPr="00DE64C0">
        <w:rPr>
          <w:rFonts w:cs="Times New Roman"/>
        </w:rPr>
        <w:t>here were statistically significant improvements in HbA1c</w:t>
      </w:r>
      <w:r w:rsidR="000E34CF" w:rsidRPr="00DE64C0">
        <w:rPr>
          <w:rFonts w:cs="Times New Roman"/>
        </w:rPr>
        <w:t xml:space="preserve"> (-0.06, -0.11, -0.01)</w:t>
      </w:r>
      <w:r w:rsidRPr="00DE64C0">
        <w:rPr>
          <w:rFonts w:cs="Times New Roman"/>
        </w:rPr>
        <w:t>,</w:t>
      </w:r>
      <w:r w:rsidR="000E34CF" w:rsidRPr="00DE64C0">
        <w:rPr>
          <w:rFonts w:cs="Times New Roman"/>
        </w:rPr>
        <w:t xml:space="preserve"> </w:t>
      </w:r>
      <w:r w:rsidRPr="00DE64C0">
        <w:rPr>
          <w:rFonts w:cs="Times New Roman"/>
        </w:rPr>
        <w:t>LDL cholesterol</w:t>
      </w:r>
      <w:r w:rsidR="000E34CF" w:rsidRPr="00DE64C0">
        <w:rPr>
          <w:rFonts w:cs="Times New Roman"/>
        </w:rPr>
        <w:t xml:space="preserve"> (-0.08, -0.15, -0.01)</w:t>
      </w:r>
      <w:r w:rsidRPr="00DE64C0">
        <w:rPr>
          <w:rFonts w:cs="Times New Roman"/>
        </w:rPr>
        <w:t>, sedentary time</w:t>
      </w:r>
      <w:r w:rsidR="000E34CF" w:rsidRPr="00DE64C0">
        <w:rPr>
          <w:rFonts w:cs="Times New Roman"/>
        </w:rPr>
        <w:t xml:space="preserve"> (-26.29, -45.26, -7.32)</w:t>
      </w:r>
      <w:r w:rsidRPr="00DE64C0">
        <w:rPr>
          <w:rFonts w:cs="Times New Roman"/>
        </w:rPr>
        <w:t xml:space="preserve"> and step count</w:t>
      </w:r>
      <w:r w:rsidR="000E34CF" w:rsidRPr="00DE64C0">
        <w:rPr>
          <w:rFonts w:cs="Times New Roman"/>
        </w:rPr>
        <w:t xml:space="preserve"> (</w:t>
      </w:r>
      <w:r w:rsidR="00A34628" w:rsidRPr="00DE64C0">
        <w:rPr>
          <w:rFonts w:cs="Times New Roman"/>
        </w:rPr>
        <w:t>498.15, 162.10, 834.20</w:t>
      </w:r>
      <w:r w:rsidR="000E34CF" w:rsidRPr="00DE64C0">
        <w:rPr>
          <w:rFonts w:cs="Times New Roman"/>
        </w:rPr>
        <w:t>) when data were analysed across all time points</w:t>
      </w:r>
      <w:r w:rsidRPr="00DE64C0">
        <w:rPr>
          <w:rFonts w:cs="Times New Roman"/>
        </w:rPr>
        <w:t>.</w:t>
      </w:r>
      <w:r w:rsidRPr="00DE64C0">
        <w:t xml:space="preserve"> </w:t>
      </w:r>
    </w:p>
    <w:p w14:paraId="5C82E5DD" w14:textId="23DED43E" w:rsidR="00BF1648" w:rsidRPr="00DE64C0" w:rsidRDefault="00BF1648" w:rsidP="00FF4C5F">
      <w:r w:rsidRPr="00DE64C0">
        <w:rPr>
          <w:rFonts w:cs="Times New Roman"/>
          <w:b/>
          <w:color w:val="000000" w:themeColor="text1"/>
        </w:rPr>
        <w:t>Conclusions:</w:t>
      </w:r>
      <w:r w:rsidRPr="00DE64C0">
        <w:rPr>
          <w:color w:val="000000" w:themeColor="text1"/>
        </w:rPr>
        <w:t xml:space="preserve"> This study suggests that a relatively low resource, pragmatic diabetes prevention programme </w:t>
      </w:r>
      <w:r w:rsidR="0002366F" w:rsidRPr="00DE64C0">
        <w:rPr>
          <w:color w:val="000000" w:themeColor="text1"/>
        </w:rPr>
        <w:t>resulted in modest</w:t>
      </w:r>
      <w:r w:rsidR="004B4C72" w:rsidRPr="00DE64C0">
        <w:rPr>
          <w:color w:val="000000" w:themeColor="text1"/>
        </w:rPr>
        <w:t xml:space="preserve"> </w:t>
      </w:r>
      <w:r w:rsidR="0002366F" w:rsidRPr="00DE64C0">
        <w:rPr>
          <w:color w:val="000000" w:themeColor="text1"/>
        </w:rPr>
        <w:t>benefits to</w:t>
      </w:r>
      <w:r w:rsidR="004B4C72" w:rsidRPr="00DE64C0">
        <w:rPr>
          <w:color w:val="000000" w:themeColor="text1"/>
        </w:rPr>
        <w:t xml:space="preserve"> biomedical, lifestyle and psychosocial </w:t>
      </w:r>
      <w:proofErr w:type="gramStart"/>
      <w:r w:rsidR="004B4C72" w:rsidRPr="00DE64C0">
        <w:rPr>
          <w:color w:val="000000" w:themeColor="text1"/>
        </w:rPr>
        <w:t>outcomes,</w:t>
      </w:r>
      <w:proofErr w:type="gramEnd"/>
      <w:r w:rsidR="004B4C72" w:rsidRPr="00DE64C0">
        <w:rPr>
          <w:color w:val="000000" w:themeColor="text1"/>
        </w:rPr>
        <w:t xml:space="preserve"> however the reduction to the risk of T2DM did not reach significance. The findings have important implications for future research and primary care. </w:t>
      </w:r>
    </w:p>
    <w:p w14:paraId="6F5737B1" w14:textId="77777777" w:rsidR="00BF1648" w:rsidRPr="00DE64C0" w:rsidRDefault="00BF1648" w:rsidP="00FF4C5F">
      <w:pPr>
        <w:rPr>
          <w:rFonts w:cs="Times New Roman"/>
        </w:rPr>
      </w:pPr>
    </w:p>
    <w:p w14:paraId="0000620A" w14:textId="77777777" w:rsidR="00BF1648" w:rsidRPr="00DE64C0" w:rsidRDefault="00BF1648" w:rsidP="00FF4C5F">
      <w:pPr>
        <w:rPr>
          <w:rFonts w:cs="Times New Roman"/>
        </w:rPr>
      </w:pPr>
      <w:r w:rsidRPr="00DE64C0">
        <w:rPr>
          <w:rFonts w:cs="Times New Roman"/>
          <w:b/>
        </w:rPr>
        <w:t>Trial Registration:</w:t>
      </w:r>
      <w:r w:rsidRPr="00DE64C0">
        <w:rPr>
          <w:rFonts w:cs="Times New Roman"/>
        </w:rPr>
        <w:t xml:space="preserve"> ISRCTN80605705</w:t>
      </w:r>
    </w:p>
    <w:p w14:paraId="29BDB9EE" w14:textId="36E28024" w:rsidR="00BF1648" w:rsidRPr="00DE64C0" w:rsidRDefault="00B91B03" w:rsidP="00FF4C5F">
      <w:pPr>
        <w:rPr>
          <w:rFonts w:cs="Times New Roman"/>
        </w:rPr>
      </w:pPr>
      <w:r w:rsidRPr="00DE64C0">
        <w:rPr>
          <w:rFonts w:cs="Times New Roman"/>
          <w:b/>
        </w:rPr>
        <w:t>Keywords</w:t>
      </w:r>
      <w:r w:rsidR="00BF1648" w:rsidRPr="00DE64C0">
        <w:rPr>
          <w:rFonts w:cs="Times New Roman"/>
          <w:b/>
        </w:rPr>
        <w:t>:</w:t>
      </w:r>
      <w:r w:rsidRPr="00DE64C0">
        <w:rPr>
          <w:rFonts w:cs="Times New Roman"/>
        </w:rPr>
        <w:t xml:space="preserve"> Type 2 diabetes,</w:t>
      </w:r>
      <w:r w:rsidR="001326CF" w:rsidRPr="00DE64C0">
        <w:rPr>
          <w:rFonts w:cs="Times New Roman"/>
        </w:rPr>
        <w:t xml:space="preserve"> pre-diabetes. </w:t>
      </w:r>
      <w:proofErr w:type="gramStart"/>
      <w:r w:rsidR="001326CF" w:rsidRPr="00DE64C0">
        <w:rPr>
          <w:rFonts w:cs="Times New Roman"/>
        </w:rPr>
        <w:t>prevention</w:t>
      </w:r>
      <w:proofErr w:type="gramEnd"/>
      <w:r w:rsidR="001326CF" w:rsidRPr="00DE64C0">
        <w:rPr>
          <w:rFonts w:cs="Times New Roman"/>
        </w:rPr>
        <w:t xml:space="preserve">, lifestyle, clinical trial </w:t>
      </w:r>
    </w:p>
    <w:p w14:paraId="65E29972" w14:textId="410B320D" w:rsidR="003C5A01" w:rsidRPr="00DE64C0" w:rsidRDefault="0013432F">
      <w:pPr>
        <w:spacing w:after="200" w:line="276" w:lineRule="auto"/>
        <w:jc w:val="left"/>
        <w:rPr>
          <w:b/>
        </w:rPr>
      </w:pPr>
      <w:bookmarkStart w:id="2" w:name="_Toc406070583"/>
      <w:r w:rsidRPr="00DE64C0">
        <w:br w:type="page"/>
      </w:r>
    </w:p>
    <w:p w14:paraId="618D27FD" w14:textId="14B459B8" w:rsidR="00814D1C" w:rsidRPr="00DE64C0" w:rsidRDefault="004D45A9" w:rsidP="00FF4C5F">
      <w:pPr>
        <w:rPr>
          <w:b/>
        </w:rPr>
      </w:pPr>
      <w:r w:rsidRPr="00DE64C0">
        <w:rPr>
          <w:b/>
        </w:rPr>
        <w:lastRenderedPageBreak/>
        <w:t>INTRODUCTION</w:t>
      </w:r>
      <w:bookmarkEnd w:id="2"/>
      <w:r w:rsidRPr="00DE64C0">
        <w:rPr>
          <w:b/>
        </w:rPr>
        <w:t xml:space="preserve"> </w:t>
      </w:r>
    </w:p>
    <w:p w14:paraId="7F43FFFB" w14:textId="5D703B94" w:rsidR="001117D9" w:rsidRPr="00DE64C0" w:rsidRDefault="001117D9" w:rsidP="00FF4C5F">
      <w:r w:rsidRPr="00DE64C0">
        <w:t>Type 2 diabetes mellitus (T2DM) is associated with reduced quality of life</w:t>
      </w:r>
      <w:r w:rsidR="002A6F7F" w:rsidRPr="00DE64C0">
        <w:t xml:space="preserve"> and</w:t>
      </w:r>
      <w:r w:rsidRPr="00DE64C0">
        <w:t xml:space="preserve"> serious complications. The life expectancy of individuals with T2DM may be shortened by as much as ten years, with </w:t>
      </w:r>
      <w:r w:rsidR="002A6F7F" w:rsidRPr="00DE64C0">
        <w:t>most</w:t>
      </w:r>
      <w:r w:rsidRPr="00DE64C0">
        <w:t xml:space="preserve"> dying of </w:t>
      </w:r>
      <w:r w:rsidR="00CC1A3E" w:rsidRPr="00DE64C0">
        <w:t>cardiovascular diseases (</w:t>
      </w:r>
      <w:r w:rsidR="002A6F7F" w:rsidRPr="00DE64C0">
        <w:t>CVD</w:t>
      </w:r>
      <w:r w:rsidR="00CC1A3E" w:rsidRPr="00DE64C0">
        <w:t>)</w:t>
      </w:r>
      <w:r w:rsidRPr="00DE64C0">
        <w:t>.</w:t>
      </w:r>
      <w:r w:rsidR="00A37409" w:rsidRPr="00DE64C0">
        <w:fldChar w:fldCharType="begin"/>
      </w:r>
      <w:r w:rsidR="00452800" w:rsidRPr="00DE64C0">
        <w:instrText xml:space="preserve"> ADDIN EN.CITE &lt;EndNote&gt;&lt;Cite&gt;&lt;Author&gt;Roper&lt;/Author&gt;&lt;Year&gt;2001&lt;/Year&gt;&lt;RecNum&gt;607&lt;/RecNum&gt;&lt;DisplayText&gt;(1)&lt;/DisplayText&gt;&lt;record&gt;&lt;rec-number&gt;607&lt;/rec-number&gt;&lt;foreign-keys&gt;&lt;key app="EN" db-id="eevzp0wtbzpeebedtwpperz9vszffvs0tsdt" timestamp="0"&gt;607&lt;/key&gt;&lt;/foreign-keys&gt;&lt;ref-type name="Journal Article"&gt;17&lt;/ref-type&gt;&lt;contributors&gt;&lt;authors&gt;&lt;author&gt;Roper, N.A. &lt;/author&gt;&lt;author&gt;Bilous, R.W. &lt;/author&gt;&lt;author&gt;Kelly, W.F. &lt;/author&gt;&lt;author&gt;Unwin, N.C. &lt;/author&gt;&lt;author&gt;Connolly, V.M. &lt;/author&gt;&lt;/authors&gt;&lt;/contributors&gt;&lt;titles&gt;&lt;title&gt;Excess mortality in a population with diabetes and the impact of material deprivation: longitudinal, population based study&lt;/title&gt;&lt;secondary-title&gt;BMJ&lt;/secondary-title&gt;&lt;/titles&gt;&lt;periodical&gt;&lt;full-title&gt;BMJ&lt;/full-title&gt;&lt;/periodical&gt;&lt;pages&gt;1389-1393&lt;/pages&gt;&lt;volume&gt;322&lt;/volume&gt;&lt;number&gt;7299&lt;/number&gt;&lt;dates&gt;&lt;year&gt;2001&lt;/year&gt;&lt;/dates&gt;&lt;urls&gt;&lt;/urls&gt;&lt;/record&gt;&lt;/Cite&gt;&lt;/EndNote&gt;</w:instrText>
      </w:r>
      <w:r w:rsidR="00A37409" w:rsidRPr="00DE64C0">
        <w:fldChar w:fldCharType="separate"/>
      </w:r>
      <w:r w:rsidR="00923110" w:rsidRPr="00DE64C0">
        <w:rPr>
          <w:noProof/>
        </w:rPr>
        <w:t>(1)</w:t>
      </w:r>
      <w:r w:rsidR="00A37409" w:rsidRPr="00DE64C0">
        <w:fldChar w:fldCharType="end"/>
      </w:r>
      <w:r w:rsidR="007E2C4D" w:rsidRPr="00DE64C0">
        <w:t xml:space="preserve"> </w:t>
      </w:r>
      <w:r w:rsidR="009F43E2" w:rsidRPr="00DE64C0">
        <w:t>The management of T2DM consumes around 10% of health care expenditure</w:t>
      </w:r>
      <w:r w:rsidR="00CC1A3E" w:rsidRPr="00DE64C0">
        <w:t>.</w:t>
      </w:r>
      <w:r w:rsidR="009F43E2" w:rsidRPr="00DE64C0">
        <w:fldChar w:fldCharType="begin"/>
      </w:r>
      <w:r w:rsidR="00DC1614" w:rsidRPr="00DE64C0">
        <w:instrText xml:space="preserve"> ADDIN EN.CITE &lt;EndNote&gt;&lt;Cite&gt;&lt;Author&gt;Hex&lt;/Author&gt;&lt;Year&gt;2012&lt;/Year&gt;&lt;RecNum&gt;336&lt;/RecNum&gt;&lt;DisplayText&gt;(2)&lt;/DisplayText&gt;&lt;record&gt;&lt;rec-number&gt;336&lt;/rec-number&gt;&lt;foreign-keys&gt;&lt;key app="EN" db-id="eevzp0wtbzpeebedtwpperz9vszffvs0tsdt" timestamp="0"&gt;336&lt;/key&gt;&lt;/foreign-keys&gt;&lt;ref-type name="Journal Article"&gt;17&lt;/ref-type&gt;&lt;contributors&gt;&lt;authors&gt;&lt;author&gt;Hex, N. &lt;/author&gt;&lt;author&gt;Bartlett, C. &lt;/author&gt;&lt;author&gt;Wright, D. &lt;/author&gt;&lt;author&gt;Taylor, M. &lt;/author&gt;&lt;author&gt;Varley, D.&lt;/author&gt;&lt;/authors&gt;&lt;/contributors&gt;&lt;titles&gt;&lt;title&gt;Estimating the current and future costs of Type 1 and Type 2 diabetes in the UK, including direct health costs and indirect societal and productivity costs.&lt;/title&gt;&lt;secondary-title&gt;Diabet Med&lt;/secondary-title&gt;&lt;/titles&gt;&lt;pages&gt;855-62&lt;/pages&gt;&lt;volume&gt;29&lt;/volume&gt;&lt;number&gt;7&lt;/number&gt;&lt;dates&gt;&lt;year&gt;2012&lt;/year&gt;&lt;/dates&gt;&lt;urls&gt;&lt;/urls&gt;&lt;/record&gt;&lt;/Cite&gt;&lt;/EndNote&gt;</w:instrText>
      </w:r>
      <w:r w:rsidR="009F43E2" w:rsidRPr="00DE64C0">
        <w:fldChar w:fldCharType="separate"/>
      </w:r>
      <w:r w:rsidR="00923110" w:rsidRPr="00DE64C0">
        <w:rPr>
          <w:noProof/>
        </w:rPr>
        <w:t>(2)</w:t>
      </w:r>
      <w:r w:rsidR="009F43E2" w:rsidRPr="00DE64C0">
        <w:fldChar w:fldCharType="end"/>
      </w:r>
      <w:r w:rsidR="009F43E2" w:rsidRPr="00DE64C0">
        <w:t xml:space="preserve"> Consequently, the prevention of T2DM is a priority and has been highlighted by the NHS, UK, as one of four priority areas.</w:t>
      </w:r>
      <w:r w:rsidR="009F43E2" w:rsidRPr="00DE64C0">
        <w:fldChar w:fldCharType="begin"/>
      </w:r>
      <w:r w:rsidR="00DC1614" w:rsidRPr="00DE64C0">
        <w:instrText xml:space="preserve"> ADDIN EN.CITE &lt;EndNote&gt;&lt;Cite&gt;&lt;Author&gt;NHS&lt;/Author&gt;&lt;Year&gt;2014&lt;/Year&gt;&lt;RecNum&gt;664&lt;/RecNum&gt;&lt;DisplayText&gt;(3)&lt;/DisplayText&gt;&lt;record&gt;&lt;rec-number&gt;664&lt;/rec-number&gt;&lt;foreign-keys&gt;&lt;key app="EN" db-id="eevzp0wtbzpeebedtwpperz9vszffvs0tsdt" timestamp="0"&gt;664&lt;/key&gt;&lt;/foreign-keys&gt;&lt;ref-type name="Report"&gt;27&lt;/ref-type&gt;&lt;contributors&gt;&lt;authors&gt;&lt;author&gt;NHS, &lt;/author&gt;&lt;/authors&gt;&lt;secondary-authors&gt;&lt;author&gt;http://www.england.nhs.uk/wp-content/uploads/2014/10/5yfv-web.pdf&lt;/author&gt;&lt;/secondary-authors&gt;&lt;/contributors&gt;&lt;titles&gt;&lt;title&gt;Five year forward view&lt;/title&gt;&lt;/titles&gt;&lt;dates&gt;&lt;year&gt;2014&lt;/year&gt;&lt;/dates&gt;&lt;urls&gt;&lt;/urls&gt;&lt;/record&gt;&lt;/Cite&gt;&lt;/EndNote&gt;</w:instrText>
      </w:r>
      <w:r w:rsidR="009F43E2" w:rsidRPr="00DE64C0">
        <w:fldChar w:fldCharType="separate"/>
      </w:r>
      <w:r w:rsidR="00923110" w:rsidRPr="00DE64C0">
        <w:rPr>
          <w:noProof/>
        </w:rPr>
        <w:t>(3)</w:t>
      </w:r>
      <w:r w:rsidR="009F43E2" w:rsidRPr="00DE64C0">
        <w:fldChar w:fldCharType="end"/>
      </w:r>
      <w:r w:rsidR="009F43E2" w:rsidRPr="00DE64C0">
        <w:t xml:space="preserve">  </w:t>
      </w:r>
    </w:p>
    <w:p w14:paraId="6EC02FAD" w14:textId="77777777" w:rsidR="00CF55E5" w:rsidRPr="00DE64C0" w:rsidRDefault="00CF55E5" w:rsidP="00FF4C5F"/>
    <w:p w14:paraId="085DD831" w14:textId="60B4AECF" w:rsidR="001117D9" w:rsidRPr="00DE64C0" w:rsidRDefault="00BA6791" w:rsidP="00FF4C5F">
      <w:pPr>
        <w:rPr>
          <w:color w:val="FF0000"/>
        </w:rPr>
      </w:pPr>
      <w:r w:rsidRPr="00DE64C0">
        <w:t>Prediabetes (PDM) is a high-</w:t>
      </w:r>
      <w:r w:rsidR="00D259A0" w:rsidRPr="00DE64C0">
        <w:t>risk state where glucose levels are elevated but do not reach the threshold for diagnosis of T2DM.</w:t>
      </w:r>
      <w:r w:rsidR="00D259A0" w:rsidRPr="00DE64C0" w:rsidDel="0056190B">
        <w:t xml:space="preserve"> </w:t>
      </w:r>
      <w:r w:rsidRPr="00DE64C0">
        <w:t>T</w:t>
      </w:r>
      <w:r w:rsidR="001117D9" w:rsidRPr="00DE64C0">
        <w:rPr>
          <w:color w:val="000000" w:themeColor="text1"/>
        </w:rPr>
        <w:t>rials</w:t>
      </w:r>
      <w:r w:rsidR="0056190B" w:rsidRPr="00DE64C0">
        <w:rPr>
          <w:color w:val="000000" w:themeColor="text1"/>
        </w:rPr>
        <w:t xml:space="preserve"> </w:t>
      </w:r>
      <w:r w:rsidR="001117D9" w:rsidRPr="00DE64C0">
        <w:rPr>
          <w:color w:val="000000" w:themeColor="text1"/>
        </w:rPr>
        <w:t>have unequivocally demonstrated that lifestyle interventions</w:t>
      </w:r>
      <w:r w:rsidR="00060689" w:rsidRPr="00DE64C0">
        <w:rPr>
          <w:color w:val="000000" w:themeColor="text1"/>
        </w:rPr>
        <w:t xml:space="preserve">, </w:t>
      </w:r>
      <w:r w:rsidRPr="00DE64C0">
        <w:rPr>
          <w:color w:val="000000" w:themeColor="text1"/>
        </w:rPr>
        <w:t>which promote</w:t>
      </w:r>
      <w:r w:rsidR="00060689" w:rsidRPr="00DE64C0">
        <w:rPr>
          <w:color w:val="000000" w:themeColor="text1"/>
        </w:rPr>
        <w:t xml:space="preserve"> moderate to vigorous-intensity physical activity, a healthy diet and weight regulation,</w:t>
      </w:r>
      <w:r w:rsidR="001117D9" w:rsidRPr="00DE64C0">
        <w:rPr>
          <w:color w:val="000000" w:themeColor="text1"/>
        </w:rPr>
        <w:t xml:space="preserve"> reduce the </w:t>
      </w:r>
      <w:r w:rsidR="008A1018" w:rsidRPr="00DE64C0">
        <w:rPr>
          <w:color w:val="000000" w:themeColor="text1"/>
        </w:rPr>
        <w:t>risk of progressing to T2DM by 3</w:t>
      </w:r>
      <w:r w:rsidR="001117D9" w:rsidRPr="00DE64C0">
        <w:rPr>
          <w:color w:val="000000" w:themeColor="text1"/>
        </w:rPr>
        <w:t>0</w:t>
      </w:r>
      <w:r w:rsidR="00CC1A3E" w:rsidRPr="00DE64C0">
        <w:rPr>
          <w:color w:val="000000" w:themeColor="text1"/>
        </w:rPr>
        <w:t>-</w:t>
      </w:r>
      <w:r w:rsidR="001117D9" w:rsidRPr="00DE64C0">
        <w:rPr>
          <w:color w:val="000000" w:themeColor="text1"/>
        </w:rPr>
        <w:t>60% in those with</w:t>
      </w:r>
      <w:r w:rsidR="0048747A" w:rsidRPr="00DE64C0">
        <w:rPr>
          <w:color w:val="000000" w:themeColor="text1"/>
        </w:rPr>
        <w:t xml:space="preserve"> </w:t>
      </w:r>
      <w:r w:rsidR="001117D9" w:rsidRPr="00DE64C0">
        <w:rPr>
          <w:color w:val="000000" w:themeColor="text1"/>
        </w:rPr>
        <w:t>PDM.</w:t>
      </w:r>
      <w:r w:rsidR="00116EC8" w:rsidRPr="00DE64C0">
        <w:rPr>
          <w:color w:val="000000" w:themeColor="text1"/>
        </w:rPr>
        <w:fldChar w:fldCharType="begin"/>
      </w:r>
      <w:r w:rsidR="00452800" w:rsidRPr="00DE64C0">
        <w:rPr>
          <w:color w:val="000000" w:themeColor="text1"/>
        </w:rPr>
        <w:instrText xml:space="preserve"> ADDIN EN.CITE &lt;EndNote&gt;&lt;Cite&gt;&lt;Author&gt;Gillies&lt;/Author&gt;&lt;Year&gt;2007&lt;/Year&gt;&lt;RecNum&gt;55&lt;/RecNum&gt;&lt;DisplayText&gt;(4)&lt;/DisplayText&gt;&lt;record&gt;&lt;rec-number&gt;55&lt;/rec-number&gt;&lt;foreign-keys&gt;&lt;key app="EN" db-id="eevzp0wtbzpeebedtwpperz9vszffvs0tsdt" timestamp="0"&gt;55&lt;/key&gt;&lt;/foreign-keys&gt;&lt;ref-type name="Journal Article"&gt;17&lt;/ref-type&gt;&lt;contributors&gt;&lt;authors&gt;&lt;author&gt;Gillies, C.L.&lt;/author&gt;&lt;author&gt;Abrams, K.R.&lt;/author&gt;&lt;author&gt;Lambert, P.C.&lt;/author&gt;&lt;author&gt;Cooper, N.J.&lt;/author&gt;&lt;author&gt;Sutton, A.J.&lt;/author&gt;&lt;author&gt;Hsu, R.T.&lt;/author&gt;&lt;author&gt;Khunti, K.&lt;/author&gt;&lt;/authors&gt;&lt;/contributors&gt;&lt;titles&gt;&lt;title&gt;Pharmacological and lifestyle interventions to prevent or delay type 2 diabetes in people with impaired glucose tolerance: systematic review and meta-analysis&lt;/title&gt;&lt;secondary-title&gt;BMJ&lt;/secondary-title&gt;&lt;/titles&gt;&lt;periodical&gt;&lt;full-title&gt;BMJ&lt;/full-title&gt;&lt;/periodical&gt;&lt;pages&gt;299&lt;/pages&gt;&lt;volume&gt;334&lt;/volume&gt;&lt;number&gt;7588&lt;/number&gt;&lt;dates&gt;&lt;year&gt;2007&lt;/year&gt;&lt;/dates&gt;&lt;urls&gt;&lt;/urls&gt;&lt;/record&gt;&lt;/Cite&gt;&lt;/EndNote&gt;</w:instrText>
      </w:r>
      <w:r w:rsidR="00116EC8" w:rsidRPr="00DE64C0">
        <w:rPr>
          <w:color w:val="000000" w:themeColor="text1"/>
        </w:rPr>
        <w:fldChar w:fldCharType="separate"/>
      </w:r>
      <w:r w:rsidR="00923110" w:rsidRPr="00DE64C0">
        <w:rPr>
          <w:noProof/>
          <w:color w:val="000000" w:themeColor="text1"/>
        </w:rPr>
        <w:t>(4)</w:t>
      </w:r>
      <w:r w:rsidR="00116EC8" w:rsidRPr="00DE64C0">
        <w:rPr>
          <w:color w:val="000000" w:themeColor="text1"/>
        </w:rPr>
        <w:fldChar w:fldCharType="end"/>
      </w:r>
      <w:r w:rsidR="001117D9" w:rsidRPr="00DE64C0">
        <w:rPr>
          <w:color w:val="000000" w:themeColor="text1"/>
        </w:rPr>
        <w:t xml:space="preserve"> For example, the Finnish Diabetes Prevention Study (DPS) found that the risk of T2DM was reduced by 58% in those </w:t>
      </w:r>
      <w:r w:rsidR="008A1018" w:rsidRPr="00DE64C0">
        <w:rPr>
          <w:color w:val="000000" w:themeColor="text1"/>
        </w:rPr>
        <w:t xml:space="preserve">referred to </w:t>
      </w:r>
      <w:r w:rsidR="001117D9" w:rsidRPr="00DE64C0">
        <w:rPr>
          <w:color w:val="000000" w:themeColor="text1"/>
        </w:rPr>
        <w:t>an intensive lifestyle intervention compared to usual care over a three</w:t>
      </w:r>
      <w:r w:rsidR="001605AD" w:rsidRPr="00DE64C0">
        <w:rPr>
          <w:color w:val="000000" w:themeColor="text1"/>
        </w:rPr>
        <w:t>-</w:t>
      </w:r>
      <w:r w:rsidR="001117D9" w:rsidRPr="00DE64C0">
        <w:rPr>
          <w:color w:val="000000" w:themeColor="text1"/>
        </w:rPr>
        <w:t>year period.</w:t>
      </w:r>
      <w:r w:rsidR="00116EC8" w:rsidRPr="00DE64C0">
        <w:rPr>
          <w:color w:val="000000" w:themeColor="text1"/>
        </w:rPr>
        <w:fldChar w:fldCharType="begin"/>
      </w:r>
      <w:r w:rsidR="00DC1614" w:rsidRPr="00DE64C0">
        <w:rPr>
          <w:color w:val="000000" w:themeColor="text1"/>
        </w:rPr>
        <w:instrText xml:space="preserve"> ADDIN EN.CITE &lt;EndNote&gt;&lt;Cite&gt;&lt;Author&gt;Tuomilehto&lt;/Author&gt;&lt;Year&gt;2001&lt;/Year&gt;&lt;RecNum&gt;42&lt;/RecNum&gt;&lt;DisplayText&gt;(5)&lt;/DisplayText&gt;&lt;record&gt;&lt;rec-number&gt;42&lt;/rec-number&gt;&lt;foreign-keys&gt;&lt;key app="EN" db-id="eevzp0wtbzpeebedtwpperz9vszffvs0tsdt" timestamp="0"&gt;42&lt;/key&gt;&lt;/foreign-keys&gt;&lt;ref-type name="Journal Article"&gt;17&lt;/ref-type&gt;&lt;contributors&gt;&lt;authors&gt;&lt;author&gt;Tuomilehto, Jaakko&lt;/author&gt;&lt;author&gt;Lindstrom, Jaana&lt;/author&gt;&lt;author&gt;Eriksson, Johan G.&lt;/author&gt;&lt;author&gt;Valle, Timo T.&lt;/author&gt;&lt;author&gt;Hamalainen, Helena&lt;/author&gt;&lt;author&gt;Ilanne-Parikka, Pirjo&lt;/author&gt;&lt;author&gt;Keinanen-Kiukaanniemi, Sirkka&lt;/author&gt;&lt;author&gt;Laakso, Mauri&lt;/author&gt;&lt;author&gt;Louheranta, Anne&lt;/author&gt;&lt;author&gt;Rastas, Merja&lt;/author&gt;&lt;author&gt;Salminen, Virpi&lt;/author&gt;&lt;author&gt;Aunola, Sirkka&lt;/author&gt;&lt;author&gt;Cepaitis, Zygimantas&lt;/author&gt;&lt;author&gt;Moltchanov, Vladislav&lt;/author&gt;&lt;author&gt;Hakumaki, Martti&lt;/author&gt;&lt;author&gt;Mannelin, Marjo&lt;/author&gt;&lt;author&gt;Martikkala, Vesa&lt;/author&gt;&lt;author&gt;Sundvall, Jouko&lt;/author&gt;&lt;author&gt;Uusitupa, Matti&lt;/author&gt;&lt;author&gt;the Finnish Diabetes Prevention Study, Group&lt;/author&gt;&lt;/authors&gt;&lt;/contributors&gt;&lt;titles&gt;&lt;title&gt;Prevention of Type 2 Diabetes Mellitus by changes in lifestyle among subjects with Impaired Glucose Tolerance&lt;/title&gt;&lt;secondary-title&gt;New England Journal of Medicine&lt;/secondary-title&gt;&lt;/titles&gt;&lt;pages&gt;1343-1350&lt;/pages&gt;&lt;volume&gt;344&lt;/volume&gt;&lt;number&gt;18&lt;/number&gt;&lt;dates&gt;&lt;year&gt;2001&lt;/year&gt;&lt;/dates&gt;&lt;urls&gt;&lt;related-urls&gt;&lt;url&gt;http://content.nejm.org/cgi/content/abstract/344/18/1343&lt;/url&gt;&lt;/related-urls&gt;&lt;/urls&gt;&lt;/record&gt;&lt;/Cite&gt;&lt;/EndNote&gt;</w:instrText>
      </w:r>
      <w:r w:rsidR="00116EC8" w:rsidRPr="00DE64C0">
        <w:rPr>
          <w:color w:val="000000" w:themeColor="text1"/>
        </w:rPr>
        <w:fldChar w:fldCharType="separate"/>
      </w:r>
      <w:r w:rsidR="00923110" w:rsidRPr="00DE64C0">
        <w:rPr>
          <w:noProof/>
          <w:color w:val="000000" w:themeColor="text1"/>
        </w:rPr>
        <w:t>(5)</w:t>
      </w:r>
      <w:r w:rsidR="00116EC8" w:rsidRPr="00DE64C0">
        <w:rPr>
          <w:color w:val="000000" w:themeColor="text1"/>
        </w:rPr>
        <w:fldChar w:fldCharType="end"/>
      </w:r>
      <w:r w:rsidR="001117D9" w:rsidRPr="00DE64C0">
        <w:rPr>
          <w:color w:val="000000" w:themeColor="text1"/>
        </w:rPr>
        <w:t xml:space="preserve"> </w:t>
      </w:r>
      <w:r w:rsidR="00146BB4" w:rsidRPr="00DE64C0">
        <w:rPr>
          <w:color w:val="000000" w:themeColor="text1"/>
        </w:rPr>
        <w:t xml:space="preserve">Consistent </w:t>
      </w:r>
      <w:r w:rsidR="001117D9" w:rsidRPr="00DE64C0">
        <w:t xml:space="preserve">findings </w:t>
      </w:r>
      <w:r w:rsidR="00146BB4" w:rsidRPr="00DE64C0">
        <w:t xml:space="preserve">have been </w:t>
      </w:r>
      <w:r w:rsidR="001117D9" w:rsidRPr="00DE64C0">
        <w:t xml:space="preserve">reported </w:t>
      </w:r>
      <w:r w:rsidR="00D259A0" w:rsidRPr="00DE64C0">
        <w:t>from</w:t>
      </w:r>
      <w:r w:rsidR="001117D9" w:rsidRPr="00DE64C0">
        <w:t xml:space="preserve"> </w:t>
      </w:r>
      <w:r w:rsidR="001605AD" w:rsidRPr="00DE64C0">
        <w:t xml:space="preserve">the </w:t>
      </w:r>
      <w:r w:rsidR="00F76808" w:rsidRPr="00DE64C0">
        <w:t xml:space="preserve">USA </w:t>
      </w:r>
      <w:r w:rsidR="001117D9" w:rsidRPr="00DE64C0">
        <w:t>Diabetes Prevention Program (DPP)</w:t>
      </w:r>
      <w:r w:rsidR="0056190B" w:rsidRPr="00DE64C0">
        <w:t>.</w:t>
      </w:r>
      <w:r w:rsidR="00116EC8" w:rsidRPr="00DE64C0">
        <w:fldChar w:fldCharType="begin"/>
      </w:r>
      <w:r w:rsidR="00DC1614" w:rsidRPr="00DE64C0">
        <w:instrText xml:space="preserve"> ADDIN EN.CITE &lt;EndNote&gt;&lt;Cite&gt;&lt;Author&gt;Knowler&lt;/Author&gt;&lt;Year&gt;2002&lt;/Year&gt;&lt;RecNum&gt;358&lt;/RecNum&gt;&lt;DisplayText&gt;(6)&lt;/DisplayText&gt;&lt;record&gt;&lt;rec-number&gt;358&lt;/rec-number&gt;&lt;foreign-keys&gt;&lt;key app="EN" db-id="eevzp0wtbzpeebedtwpperz9vszffvs0tsdt" timestamp="0"&gt;358&lt;/key&gt;&lt;/foreign-keys&gt;&lt;ref-type name="Journal Article"&gt;17&lt;/ref-type&gt;&lt;contributors&gt;&lt;authors&gt;&lt;author&gt;Knowler, W.C. &lt;/author&gt;&lt;author&gt;Barrett-Connor, E. &lt;/author&gt;&lt;author&gt;Fowler, S.E. &lt;/author&gt;&lt;author&gt;Hamman, R.F.&lt;/author&gt;&lt;author&gt;Lachin, J.M.&lt;/author&gt;&lt;author&gt;Walker, E.A.&lt;/author&gt;&lt;author&gt;et al &lt;/author&gt;&lt;/authors&gt;&lt;/contributors&gt;&lt;titles&gt;&lt;title&gt;Reduction in the incidence of type 2 diabetes with lifestyle intervention or metformin.&lt;/title&gt;&lt;secondary-title&gt;New England Journal of Medicine&lt;/secondary-title&gt;&lt;/titles&gt;&lt;pages&gt;393–403.&lt;/pages&gt;&lt;volume&gt;346&lt;/volume&gt;&lt;number&gt;6&lt;/number&gt;&lt;dates&gt;&lt;year&gt;2002&lt;/year&gt;&lt;/dates&gt;&lt;urls&gt;&lt;/urls&gt;&lt;/record&gt;&lt;/Cite&gt;&lt;/EndNote&gt;</w:instrText>
      </w:r>
      <w:r w:rsidR="00116EC8" w:rsidRPr="00DE64C0">
        <w:fldChar w:fldCharType="separate"/>
      </w:r>
      <w:r w:rsidR="00923110" w:rsidRPr="00DE64C0">
        <w:rPr>
          <w:noProof/>
        </w:rPr>
        <w:t>(6)</w:t>
      </w:r>
      <w:r w:rsidR="00116EC8" w:rsidRPr="00DE64C0">
        <w:fldChar w:fldCharType="end"/>
      </w:r>
      <w:r w:rsidR="008A1018" w:rsidRPr="00DE64C0">
        <w:t xml:space="preserve"> </w:t>
      </w:r>
    </w:p>
    <w:p w14:paraId="133B8321" w14:textId="77777777" w:rsidR="003037A3" w:rsidRPr="00DE64C0" w:rsidRDefault="003037A3" w:rsidP="00FF4C5F"/>
    <w:p w14:paraId="6D224CB9" w14:textId="49519EAA" w:rsidR="001117D9" w:rsidRPr="00DE64C0" w:rsidRDefault="001117D9" w:rsidP="00FF4C5F">
      <w:pPr>
        <w:rPr>
          <w:color w:val="000000" w:themeColor="text1"/>
        </w:rPr>
      </w:pPr>
      <w:r w:rsidRPr="00DE64C0">
        <w:t xml:space="preserve">Despite </w:t>
      </w:r>
      <w:r w:rsidR="0056190B" w:rsidRPr="00DE64C0">
        <w:t xml:space="preserve">the </w:t>
      </w:r>
      <w:r w:rsidRPr="00DE64C0">
        <w:t xml:space="preserve">strong evidence </w:t>
      </w:r>
      <w:r w:rsidR="001605AD" w:rsidRPr="00DE64C0">
        <w:t>for</w:t>
      </w:r>
      <w:r w:rsidRPr="00DE64C0">
        <w:t xml:space="preserve"> </w:t>
      </w:r>
      <w:r w:rsidR="005A069F" w:rsidRPr="00DE64C0">
        <w:t xml:space="preserve">lifestyle </w:t>
      </w:r>
      <w:r w:rsidR="001605AD" w:rsidRPr="00DE64C0">
        <w:t xml:space="preserve">interventions </w:t>
      </w:r>
      <w:r w:rsidR="005A069F" w:rsidRPr="00DE64C0">
        <w:t xml:space="preserve">in the prevention of </w:t>
      </w:r>
      <w:r w:rsidR="000146CE" w:rsidRPr="00DE64C0">
        <w:t>T2DM,</w:t>
      </w:r>
      <w:r w:rsidRPr="00DE64C0">
        <w:t xml:space="preserve"> there has been a translational gap between trial evidence and implementation into routine care. This is predominantly due to the resource</w:t>
      </w:r>
      <w:r w:rsidR="001605AD" w:rsidRPr="00DE64C0">
        <w:t>-</w:t>
      </w:r>
      <w:r w:rsidRPr="00DE64C0">
        <w:t xml:space="preserve">intensive nature of lifestyle interventions tested. For example, </w:t>
      </w:r>
      <w:r w:rsidR="007A60DB" w:rsidRPr="00DE64C0">
        <w:t xml:space="preserve">in the first year of </w:t>
      </w:r>
      <w:r w:rsidRPr="00DE64C0">
        <w:t xml:space="preserve">the </w:t>
      </w:r>
      <w:r w:rsidR="00CC1A3E" w:rsidRPr="00DE64C0">
        <w:t>DPP programme</w:t>
      </w:r>
      <w:r w:rsidR="00524EA2" w:rsidRPr="00DE64C0">
        <w:t>,</w:t>
      </w:r>
      <w:r w:rsidRPr="00DE64C0">
        <w:t xml:space="preserve"> </w:t>
      </w:r>
      <w:r w:rsidR="007A60DB" w:rsidRPr="00DE64C0">
        <w:t xml:space="preserve">participants received </w:t>
      </w:r>
      <w:r w:rsidRPr="00DE64C0">
        <w:t xml:space="preserve">16 </w:t>
      </w:r>
      <w:r w:rsidR="00CC1A3E" w:rsidRPr="00DE64C0">
        <w:t xml:space="preserve">one hour </w:t>
      </w:r>
      <w:r w:rsidRPr="00DE64C0">
        <w:t>one-to-one counselling sessions</w:t>
      </w:r>
      <w:r w:rsidR="000A785C" w:rsidRPr="00DE64C0">
        <w:t xml:space="preserve"> </w:t>
      </w:r>
      <w:r w:rsidR="007A60DB" w:rsidRPr="00DE64C0">
        <w:t xml:space="preserve">followed by an average of </w:t>
      </w:r>
      <w:r w:rsidR="00F24398" w:rsidRPr="00DE64C0">
        <w:t>eight</w:t>
      </w:r>
      <w:r w:rsidR="007A60DB" w:rsidRPr="00DE64C0">
        <w:t xml:space="preserve"> additional </w:t>
      </w:r>
      <w:r w:rsidR="005A069F" w:rsidRPr="00DE64C0">
        <w:t>contacts</w:t>
      </w:r>
      <w:r w:rsidR="00F24398" w:rsidRPr="00DE64C0">
        <w:t xml:space="preserve"> and two</w:t>
      </w:r>
      <w:r w:rsidR="007A60DB" w:rsidRPr="00DE64C0">
        <w:t xml:space="preserve"> telephone consultations.</w:t>
      </w:r>
      <w:r w:rsidR="00762047" w:rsidRPr="00DE64C0">
        <w:t xml:space="preserve">  </w:t>
      </w:r>
      <w:r w:rsidR="005A069F" w:rsidRPr="00DE64C0">
        <w:t>P</w:t>
      </w:r>
      <w:r w:rsidR="007A60DB" w:rsidRPr="00DE64C0">
        <w:t>articipants were</w:t>
      </w:r>
      <w:r w:rsidR="005A069F" w:rsidRPr="00DE64C0">
        <w:t xml:space="preserve"> also</w:t>
      </w:r>
      <w:r w:rsidR="007A60DB" w:rsidRPr="00DE64C0">
        <w:t xml:space="preserve"> offered supervised ex</w:t>
      </w:r>
      <w:r w:rsidR="005304C6" w:rsidRPr="00DE64C0">
        <w:t>ercise classes</w:t>
      </w:r>
      <w:r w:rsidRPr="00DE64C0">
        <w:t>.</w:t>
      </w:r>
      <w:r w:rsidR="00FE1F00" w:rsidRPr="00DE64C0">
        <w:fldChar w:fldCharType="begin"/>
      </w:r>
      <w:r w:rsidR="00DC1614" w:rsidRPr="00DE64C0">
        <w:instrText xml:space="preserve"> ADDIN EN.CITE &lt;EndNote&gt;&lt;Cite&gt;&lt;Author&gt;Knowler&lt;/Author&gt;&lt;Year&gt;2002&lt;/Year&gt;&lt;RecNum&gt;358&lt;/RecNum&gt;&lt;DisplayText&gt;(6)&lt;/DisplayText&gt;&lt;record&gt;&lt;rec-number&gt;358&lt;/rec-number&gt;&lt;foreign-keys&gt;&lt;key app="EN" db-id="eevzp0wtbzpeebedtwpperz9vszffvs0tsdt" timestamp="0"&gt;358&lt;/key&gt;&lt;/foreign-keys&gt;&lt;ref-type name="Journal Article"&gt;17&lt;/ref-type&gt;&lt;contributors&gt;&lt;authors&gt;&lt;author&gt;Knowler, W.C. &lt;/author&gt;&lt;author&gt;Barrett-Connor, E. &lt;/author&gt;&lt;author&gt;Fowler, S.E. &lt;/author&gt;&lt;author&gt;Hamman, R.F.&lt;/author&gt;&lt;author&gt;Lachin, J.M.&lt;/author&gt;&lt;author&gt;Walker, E.A.&lt;/author&gt;&lt;author&gt;et al &lt;/author&gt;&lt;/authors&gt;&lt;/contributors&gt;&lt;titles&gt;&lt;title&gt;Reduction in the incidence of type 2 diabetes with lifestyle intervention or metformin.&lt;/title&gt;&lt;secondary-title&gt;New England Journal of Medicine&lt;/secondary-title&gt;&lt;/titles&gt;&lt;pages&gt;393–403.&lt;/pages&gt;&lt;volume&gt;346&lt;/volume&gt;&lt;number&gt;6&lt;/number&gt;&lt;dates&gt;&lt;year&gt;2002&lt;/year&gt;&lt;/dates&gt;&lt;urls&gt;&lt;/urls&gt;&lt;/record&gt;&lt;/Cite&gt;&lt;/EndNote&gt;</w:instrText>
      </w:r>
      <w:r w:rsidR="00FE1F00" w:rsidRPr="00DE64C0">
        <w:fldChar w:fldCharType="separate"/>
      </w:r>
      <w:r w:rsidR="00923110" w:rsidRPr="00DE64C0">
        <w:rPr>
          <w:noProof/>
        </w:rPr>
        <w:t>(6)</w:t>
      </w:r>
      <w:r w:rsidR="00FE1F00" w:rsidRPr="00DE64C0">
        <w:fldChar w:fldCharType="end"/>
      </w:r>
      <w:r w:rsidRPr="00DE64C0">
        <w:t xml:space="preserve"> </w:t>
      </w:r>
      <w:r w:rsidR="00CE7757" w:rsidRPr="00DE64C0">
        <w:t xml:space="preserve">This </w:t>
      </w:r>
      <w:r w:rsidR="00F01356" w:rsidRPr="00DE64C0">
        <w:t>intensity</w:t>
      </w:r>
      <w:r w:rsidR="00CE7757" w:rsidRPr="00DE64C0">
        <w:t xml:space="preserve"> of care </w:t>
      </w:r>
      <w:r w:rsidR="008173FA" w:rsidRPr="00DE64C0">
        <w:t>is</w:t>
      </w:r>
      <w:r w:rsidR="004C578B" w:rsidRPr="00DE64C0">
        <w:t xml:space="preserve"> </w:t>
      </w:r>
      <w:r w:rsidR="00CE7757" w:rsidRPr="00DE64C0">
        <w:t xml:space="preserve">incompatible with </w:t>
      </w:r>
      <w:r w:rsidR="008173FA" w:rsidRPr="00DE64C0">
        <w:t>routine care pathways</w:t>
      </w:r>
      <w:r w:rsidR="004C578B" w:rsidRPr="00DE64C0">
        <w:t>.</w:t>
      </w:r>
      <w:r w:rsidR="00CE7757" w:rsidRPr="00DE64C0">
        <w:t xml:space="preserve"> </w:t>
      </w:r>
      <w:r w:rsidRPr="00DE64C0">
        <w:rPr>
          <w:bCs/>
        </w:rPr>
        <w:t>Therefore, the emphasis needs to be</w:t>
      </w:r>
      <w:r w:rsidR="005A069F" w:rsidRPr="00DE64C0">
        <w:rPr>
          <w:bCs/>
        </w:rPr>
        <w:t xml:space="preserve"> </w:t>
      </w:r>
      <w:r w:rsidRPr="00DE64C0">
        <w:rPr>
          <w:bCs/>
        </w:rPr>
        <w:t xml:space="preserve">shifted to examining the </w:t>
      </w:r>
      <w:r w:rsidR="00F01356" w:rsidRPr="00DE64C0">
        <w:rPr>
          <w:bCs/>
        </w:rPr>
        <w:t xml:space="preserve">effectiveness of approaches </w:t>
      </w:r>
      <w:r w:rsidR="005A069F" w:rsidRPr="00DE64C0">
        <w:rPr>
          <w:bCs/>
        </w:rPr>
        <w:t>designed for implementation within</w:t>
      </w:r>
      <w:r w:rsidR="00F01356" w:rsidRPr="00DE64C0">
        <w:rPr>
          <w:bCs/>
        </w:rPr>
        <w:t xml:space="preserve"> routine primary care.</w:t>
      </w:r>
      <w:r w:rsidRPr="00DE64C0">
        <w:rPr>
          <w:bCs/>
        </w:rPr>
        <w:t xml:space="preserve"> </w:t>
      </w:r>
      <w:r w:rsidR="00216CA3" w:rsidRPr="00DE64C0">
        <w:rPr>
          <w:bCs/>
          <w:color w:val="000000" w:themeColor="text1"/>
        </w:rPr>
        <w:t>As healthcare services have differences in funding, organisation and infrastructure</w:t>
      </w:r>
      <w:r w:rsidR="00707993" w:rsidRPr="00DE64C0">
        <w:rPr>
          <w:bCs/>
          <w:color w:val="000000" w:themeColor="text1"/>
        </w:rPr>
        <w:t>,</w:t>
      </w:r>
      <w:r w:rsidR="00216CA3" w:rsidRPr="00DE64C0">
        <w:rPr>
          <w:bCs/>
          <w:color w:val="000000" w:themeColor="text1"/>
        </w:rPr>
        <w:t xml:space="preserve"> programmes cannot be assumed to be general</w:t>
      </w:r>
      <w:r w:rsidR="004E7113" w:rsidRPr="00DE64C0">
        <w:rPr>
          <w:bCs/>
          <w:color w:val="000000" w:themeColor="text1"/>
        </w:rPr>
        <w:t xml:space="preserve">izable across contexts. </w:t>
      </w:r>
      <w:r w:rsidR="0048747A" w:rsidRPr="00DE64C0">
        <w:rPr>
          <w:bCs/>
          <w:color w:val="000000" w:themeColor="text1"/>
        </w:rPr>
        <w:t xml:space="preserve">To date there has been a dearth of evidence </w:t>
      </w:r>
      <w:r w:rsidR="004C578B" w:rsidRPr="00DE64C0">
        <w:rPr>
          <w:bCs/>
          <w:color w:val="000000" w:themeColor="text1"/>
        </w:rPr>
        <w:t>concerning</w:t>
      </w:r>
      <w:r w:rsidR="0048747A" w:rsidRPr="00DE64C0">
        <w:rPr>
          <w:bCs/>
          <w:color w:val="000000" w:themeColor="text1"/>
        </w:rPr>
        <w:t xml:space="preserve"> </w:t>
      </w:r>
      <w:r w:rsidR="009323FC" w:rsidRPr="00DE64C0">
        <w:rPr>
          <w:bCs/>
          <w:color w:val="000000" w:themeColor="text1"/>
        </w:rPr>
        <w:t>T2DM</w:t>
      </w:r>
      <w:r w:rsidR="0048747A" w:rsidRPr="00DE64C0">
        <w:rPr>
          <w:bCs/>
          <w:color w:val="000000" w:themeColor="text1"/>
        </w:rPr>
        <w:t xml:space="preserve"> prevention in </w:t>
      </w:r>
      <w:r w:rsidR="004C578B" w:rsidRPr="00DE64C0">
        <w:rPr>
          <w:bCs/>
          <w:color w:val="000000" w:themeColor="text1"/>
        </w:rPr>
        <w:t xml:space="preserve">the </w:t>
      </w:r>
      <w:r w:rsidR="0048747A" w:rsidRPr="00DE64C0">
        <w:rPr>
          <w:bCs/>
          <w:color w:val="000000" w:themeColor="text1"/>
        </w:rPr>
        <w:t>UK</w:t>
      </w:r>
      <w:r w:rsidR="004C578B" w:rsidRPr="00DE64C0">
        <w:rPr>
          <w:bCs/>
          <w:color w:val="000000" w:themeColor="text1"/>
        </w:rPr>
        <w:t>,</w:t>
      </w:r>
      <w:r w:rsidR="0048747A" w:rsidRPr="00DE64C0">
        <w:rPr>
          <w:bCs/>
          <w:color w:val="000000" w:themeColor="text1"/>
        </w:rPr>
        <w:t xml:space="preserve"> with small</w:t>
      </w:r>
      <w:r w:rsidR="00707993" w:rsidRPr="00DE64C0">
        <w:rPr>
          <w:bCs/>
          <w:color w:val="000000" w:themeColor="text1"/>
        </w:rPr>
        <w:t>-</w:t>
      </w:r>
      <w:r w:rsidR="0048747A" w:rsidRPr="00DE64C0">
        <w:rPr>
          <w:bCs/>
          <w:color w:val="000000" w:themeColor="text1"/>
        </w:rPr>
        <w:t>scale projects showing mixed results</w:t>
      </w:r>
      <w:r w:rsidR="00216CA3" w:rsidRPr="00DE64C0">
        <w:rPr>
          <w:bCs/>
          <w:color w:val="000000" w:themeColor="text1"/>
        </w:rPr>
        <w:t>.</w:t>
      </w:r>
      <w:r w:rsidR="00FE1F00" w:rsidRPr="00DE64C0">
        <w:rPr>
          <w:bCs/>
          <w:color w:val="000000" w:themeColor="text1"/>
        </w:rPr>
        <w:fldChar w:fldCharType="begin">
          <w:fldData xml:space="preserve">PEVuZE5vdGU+PENpdGU+PEF1dGhvcj5ZYXRlczwvQXV0aG9yPjxZZWFyPjIwMDk8L1llYXI+PFJl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=
</w:fldData>
        </w:fldChar>
      </w:r>
      <w:r w:rsidR="00452800" w:rsidRPr="00DE64C0">
        <w:rPr>
          <w:bCs/>
          <w:color w:val="000000" w:themeColor="text1"/>
        </w:rPr>
        <w:instrText xml:space="preserve"> ADDIN EN.CITE </w:instrText>
      </w:r>
      <w:r w:rsidR="00452800" w:rsidRPr="00DE64C0">
        <w:rPr>
          <w:bCs/>
          <w:color w:val="000000" w:themeColor="text1"/>
        </w:rPr>
        <w:fldChar w:fldCharType="begin">
          <w:fldData xml:space="preserve">PEVuZE5vdGU+PENpdGU+PEF1dGhvcj5ZYXRlczwvQXV0aG9yPjxZZWFyPjIwMDk8L1llYXI+PFJl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=
</w:fldData>
        </w:fldChar>
      </w:r>
      <w:r w:rsidR="00452800" w:rsidRPr="00DE64C0">
        <w:rPr>
          <w:bCs/>
          <w:color w:val="000000" w:themeColor="text1"/>
        </w:rPr>
        <w:instrText xml:space="preserve"> ADDIN EN.CITE.DATA </w:instrText>
      </w:r>
      <w:r w:rsidR="00452800" w:rsidRPr="00DE64C0">
        <w:rPr>
          <w:bCs/>
          <w:color w:val="000000" w:themeColor="text1"/>
        </w:rPr>
      </w:r>
      <w:r w:rsidR="00452800" w:rsidRPr="00DE64C0">
        <w:rPr>
          <w:bCs/>
          <w:color w:val="000000" w:themeColor="text1"/>
        </w:rPr>
        <w:fldChar w:fldCharType="end"/>
      </w:r>
      <w:r w:rsidR="00FE1F00" w:rsidRPr="00DE64C0">
        <w:rPr>
          <w:bCs/>
          <w:color w:val="000000" w:themeColor="text1"/>
        </w:rPr>
      </w:r>
      <w:r w:rsidR="00FE1F00" w:rsidRPr="00DE64C0">
        <w:rPr>
          <w:bCs/>
          <w:color w:val="000000" w:themeColor="text1"/>
        </w:rPr>
        <w:fldChar w:fldCharType="separate"/>
      </w:r>
      <w:r w:rsidR="00923110" w:rsidRPr="00DE64C0">
        <w:rPr>
          <w:bCs/>
          <w:noProof/>
          <w:color w:val="000000" w:themeColor="text1"/>
        </w:rPr>
        <w:t>(7-10)</w:t>
      </w:r>
      <w:r w:rsidR="00FE1F00" w:rsidRPr="00DE64C0">
        <w:rPr>
          <w:bCs/>
          <w:color w:val="000000" w:themeColor="text1"/>
        </w:rPr>
        <w:fldChar w:fldCharType="end"/>
      </w:r>
    </w:p>
    <w:p w14:paraId="57E636D6" w14:textId="77777777" w:rsidR="001117D9" w:rsidRPr="00DE64C0" w:rsidRDefault="001117D9" w:rsidP="00FF4C5F"/>
    <w:p w14:paraId="35D2A3A8" w14:textId="0605957E" w:rsidR="003037A3" w:rsidRPr="00DE64C0" w:rsidRDefault="003037A3" w:rsidP="00FF4C5F">
      <w:pPr>
        <w:rPr>
          <w:rFonts w:cs="Times New Roman"/>
        </w:rPr>
      </w:pPr>
      <w:r w:rsidRPr="00DE64C0">
        <w:rPr>
          <w:lang w:val="en"/>
        </w:rPr>
        <w:t>This</w:t>
      </w:r>
      <w:r w:rsidRPr="00DE64C0">
        <w:rPr>
          <w:rFonts w:cs="Times New Roman"/>
        </w:rPr>
        <w:t xml:space="preserve"> study assess</w:t>
      </w:r>
      <w:r w:rsidR="00146BB4" w:rsidRPr="00DE64C0">
        <w:rPr>
          <w:rFonts w:cs="Times New Roman"/>
        </w:rPr>
        <w:t>es</w:t>
      </w:r>
      <w:r w:rsidRPr="00DE64C0">
        <w:rPr>
          <w:rFonts w:cs="Times New Roman"/>
        </w:rPr>
        <w:t xml:space="preserve"> whether </w:t>
      </w:r>
      <w:r w:rsidR="00707993" w:rsidRPr="00DE64C0">
        <w:rPr>
          <w:rFonts w:cs="Times New Roman"/>
        </w:rPr>
        <w:t xml:space="preserve">the </w:t>
      </w:r>
      <w:r w:rsidR="000A785C" w:rsidRPr="00DE64C0">
        <w:rPr>
          <w:rFonts w:cs="Times New Roman"/>
        </w:rPr>
        <w:t xml:space="preserve">Let’s Prevent </w:t>
      </w:r>
      <w:r w:rsidR="00F24398" w:rsidRPr="00DE64C0">
        <w:rPr>
          <w:rFonts w:cs="Times New Roman"/>
        </w:rPr>
        <w:t>T2DM programme</w:t>
      </w:r>
      <w:r w:rsidR="000A785C" w:rsidRPr="00DE64C0">
        <w:rPr>
          <w:rFonts w:cs="Times New Roman"/>
        </w:rPr>
        <w:t xml:space="preserve"> is effective at preventing progression to T2DM in people with PDM identified through a systematic screening pathway within primary care. Let’s Prevent is </w:t>
      </w:r>
      <w:r w:rsidRPr="00DE64C0">
        <w:rPr>
          <w:rFonts w:cs="Times New Roman"/>
        </w:rPr>
        <w:t>a pragmatic, relatively low resource, group</w:t>
      </w:r>
      <w:r w:rsidR="000A785C" w:rsidRPr="00DE64C0">
        <w:rPr>
          <w:rFonts w:cs="Times New Roman"/>
        </w:rPr>
        <w:t>-based</w:t>
      </w:r>
      <w:r w:rsidRPr="00DE64C0">
        <w:rPr>
          <w:rFonts w:cs="Times New Roman"/>
        </w:rPr>
        <w:t xml:space="preserve"> </w:t>
      </w:r>
      <w:r w:rsidRPr="00DE64C0">
        <w:rPr>
          <w:rFonts w:cs="Times New Roman"/>
        </w:rPr>
        <w:lastRenderedPageBreak/>
        <w:t>structured</w:t>
      </w:r>
      <w:r w:rsidR="00707993" w:rsidRPr="00DE64C0">
        <w:rPr>
          <w:rFonts w:cs="Times New Roman"/>
        </w:rPr>
        <w:t>-</w:t>
      </w:r>
      <w:r w:rsidRPr="00DE64C0">
        <w:rPr>
          <w:rFonts w:cs="Times New Roman"/>
        </w:rPr>
        <w:t>education programme</w:t>
      </w:r>
      <w:r w:rsidR="00CE7757" w:rsidRPr="00DE64C0">
        <w:rPr>
          <w:rFonts w:cs="Times New Roman"/>
        </w:rPr>
        <w:t xml:space="preserve"> targeting lifestyle behaviour change</w:t>
      </w:r>
      <w:r w:rsidR="000A785C" w:rsidRPr="00DE64C0">
        <w:rPr>
          <w:rFonts w:cs="Times New Roman"/>
        </w:rPr>
        <w:t xml:space="preserve"> specifically designed for implementation within </w:t>
      </w:r>
      <w:r w:rsidR="00B07B4A" w:rsidRPr="00DE64C0">
        <w:rPr>
          <w:rFonts w:cs="Times New Roman"/>
        </w:rPr>
        <w:t>a community setting</w:t>
      </w:r>
      <w:r w:rsidR="000A785C" w:rsidRPr="00DE64C0">
        <w:rPr>
          <w:rFonts w:cs="Times New Roman"/>
        </w:rPr>
        <w:t xml:space="preserve">. </w:t>
      </w:r>
      <w:r w:rsidR="00CE7757" w:rsidRPr="00DE64C0">
        <w:rPr>
          <w:rFonts w:cs="Times New Roman"/>
        </w:rPr>
        <w:t xml:space="preserve"> </w:t>
      </w:r>
    </w:p>
    <w:p w14:paraId="3A5B6E95" w14:textId="77777777" w:rsidR="00196F29" w:rsidRPr="00DE64C0" w:rsidRDefault="00196F29" w:rsidP="00FF4C5F"/>
    <w:p w14:paraId="7BCE4043" w14:textId="77777777" w:rsidR="002A6F7F" w:rsidRPr="00DE64C0" w:rsidRDefault="002A6F7F" w:rsidP="00FF4C5F">
      <w:r w:rsidRPr="00DE64C0">
        <w:br w:type="page"/>
      </w:r>
    </w:p>
    <w:p w14:paraId="3C525A26" w14:textId="2C094CA6" w:rsidR="001117D9" w:rsidRPr="00DE64C0" w:rsidRDefault="004D45A9" w:rsidP="00FF4C5F">
      <w:pPr>
        <w:rPr>
          <w:b/>
        </w:rPr>
      </w:pPr>
      <w:r w:rsidRPr="00DE64C0">
        <w:rPr>
          <w:b/>
        </w:rPr>
        <w:lastRenderedPageBreak/>
        <w:t xml:space="preserve">METHODS </w:t>
      </w:r>
    </w:p>
    <w:p w14:paraId="5F590F23" w14:textId="7DCAD65E" w:rsidR="00707993" w:rsidRPr="00DE64C0" w:rsidRDefault="00BD36DA" w:rsidP="00FF4C5F">
      <w:pPr>
        <w:rPr>
          <w:rFonts w:cs="Times New Roman"/>
        </w:rPr>
      </w:pPr>
      <w:r w:rsidRPr="00DE64C0">
        <w:t>The study had two phases. The first was a screening phase which identified people at risk of PDM/T2DM through the use of a screening tool that had been developed and validated for use within Primary Care.</w:t>
      </w:r>
      <w:r w:rsidR="00FE1F00" w:rsidRPr="00DE64C0">
        <w:fldChar w:fldCharType="begin">
          <w:fldData xml:space="preserve">PEVuZE5vdGU+PENpdGU+PEF1dGhvcj5HcmF5IExKPC9BdXRob3I+PFllYXI+MjAxMjwvWWVhcj48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==
</w:fldData>
        </w:fldChar>
      </w:r>
      <w:r w:rsidR="00452800" w:rsidRPr="00DE64C0">
        <w:instrText xml:space="preserve"> ADDIN EN.CITE </w:instrText>
      </w:r>
      <w:r w:rsidR="00452800" w:rsidRPr="00DE64C0">
        <w:fldChar w:fldCharType="begin">
          <w:fldData xml:space="preserve">PEVuZE5vdGU+PENpdGU+PEF1dGhvcj5HcmF5IExKPC9BdXRob3I+PFllYXI+MjAxMjwvWWVhcj48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==
</w:fldData>
        </w:fldChar>
      </w:r>
      <w:r w:rsidR="00452800" w:rsidRPr="00DE64C0">
        <w:instrText xml:space="preserve"> ADDIN EN.CITE.DATA </w:instrText>
      </w:r>
      <w:r w:rsidR="00452800" w:rsidRPr="00DE64C0">
        <w:fldChar w:fldCharType="end"/>
      </w:r>
      <w:r w:rsidR="00FE1F00" w:rsidRPr="00DE64C0">
        <w:fldChar w:fldCharType="separate"/>
      </w:r>
      <w:r w:rsidR="00923110" w:rsidRPr="00DE64C0">
        <w:rPr>
          <w:noProof/>
        </w:rPr>
        <w:t>(11, 12)</w:t>
      </w:r>
      <w:r w:rsidR="00FE1F00" w:rsidRPr="00DE64C0">
        <w:fldChar w:fldCharType="end"/>
      </w:r>
      <w:r w:rsidRPr="00DE64C0">
        <w:t xml:space="preserve"> </w:t>
      </w:r>
      <w:r w:rsidR="003D1198" w:rsidRPr="00DE64C0">
        <w:rPr>
          <w:noProof/>
          <w:vertAlign w:val="superscript"/>
        </w:rPr>
        <w:t xml:space="preserve"> </w:t>
      </w:r>
      <w:r w:rsidR="00707993" w:rsidRPr="00DE64C0">
        <w:t>In the second phase, p</w:t>
      </w:r>
      <w:r w:rsidRPr="00DE64C0">
        <w:t xml:space="preserve">articipants who had been </w:t>
      </w:r>
      <w:r w:rsidR="005A069F" w:rsidRPr="00DE64C0">
        <w:t xml:space="preserve">screened and found to have PDM </w:t>
      </w:r>
      <w:r w:rsidR="00532E5E" w:rsidRPr="00DE64C0">
        <w:t xml:space="preserve">progressed to the </w:t>
      </w:r>
      <w:r w:rsidRPr="00DE64C0">
        <w:t xml:space="preserve">cluster </w:t>
      </w:r>
      <w:r w:rsidR="009417C4" w:rsidRPr="00DE64C0">
        <w:t>RCT</w:t>
      </w:r>
      <w:r w:rsidRPr="00DE64C0">
        <w:t xml:space="preserve">. </w:t>
      </w:r>
      <w:r w:rsidR="002C66A3" w:rsidRPr="00DE64C0">
        <w:rPr>
          <w:color w:val="000000" w:themeColor="text1"/>
        </w:rPr>
        <w:t xml:space="preserve">The cluster RCT </w:t>
      </w:r>
      <w:r w:rsidR="003D1198" w:rsidRPr="00DE64C0">
        <w:rPr>
          <w:color w:val="000000" w:themeColor="text1"/>
        </w:rPr>
        <w:t>design</w:t>
      </w:r>
      <w:r w:rsidR="002C66A3" w:rsidRPr="00DE64C0">
        <w:rPr>
          <w:color w:val="000000" w:themeColor="text1"/>
        </w:rPr>
        <w:t xml:space="preserve"> has been described in detail elsewhere</w:t>
      </w:r>
      <w:r w:rsidRPr="00DE64C0">
        <w:rPr>
          <w:color w:val="000000" w:themeColor="text1"/>
        </w:rPr>
        <w:t>.</w:t>
      </w:r>
      <w:r w:rsidR="00FE1F00" w:rsidRPr="00DE64C0">
        <w:rPr>
          <w:color w:val="000000" w:themeColor="text1"/>
        </w:rPr>
        <w:fldChar w:fldCharType="begin"/>
      </w:r>
      <w:r w:rsidR="00DC1614" w:rsidRPr="00DE64C0">
        <w:rPr>
          <w:color w:val="000000" w:themeColor="text1"/>
        </w:rPr>
        <w:instrText xml:space="preserve"> ADDIN EN.CITE &lt;EndNote&gt;&lt;Cite&gt;&lt;Author&gt;Gray&lt;/Author&gt;&lt;Year&gt;2012&lt;/Year&gt;&lt;RecNum&gt;187&lt;/RecNum&gt;&lt;DisplayText&gt;(13)&lt;/DisplayText&gt;&lt;record&gt;&lt;rec-number&gt;187&lt;/rec-number&gt;&lt;foreign-keys&gt;&lt;key app="EN" db-id="eevzp0wtbzpeebedtwpperz9vszffvs0tsdt" timestamp="0"&gt;187&lt;/key&gt;&lt;/foreign-keys&gt;&lt;ref-type name="Journal Article"&gt;17&lt;/ref-type&gt;&lt;contributors&gt;&lt;authors&gt;&lt;author&gt;Gray, L.J.&lt;/author&gt;&lt;author&gt;Khunti , K.&lt;/author&gt;&lt;author&gt;Williams, S.&lt;/author&gt;&lt;author&gt;Goldby, S.&lt;/author&gt;&lt;author&gt;Troughton, J.&lt;/author&gt;&lt;author&gt;Yates, T.&lt;/author&gt;&lt;author&gt;Gray, A.&lt;/author&gt;&lt;author&gt;Davies, M.&lt;/author&gt;&lt;author&gt;for the Let’s Prevent Collaborators,&lt;/author&gt;&lt;/authors&gt;&lt;/contributors&gt;&lt;titles&gt;&lt;title&gt;Let’s Prevent Diabetes: study protocol for a cluster randomised controlled trial of an educational intervention in a multi-ethnic UK population with screen detected impaired glucose regulation. &lt;/title&gt;&lt;secondary-title&gt;Cardiovascular Diabetology&lt;/secondary-title&gt;&lt;/titles&gt;&lt;dates&gt;&lt;year&gt;2012&lt;/year&gt;&lt;/dates&gt;&lt;urls&gt;&lt;/urls&gt;&lt;/record&gt;&lt;/Cite&gt;&lt;/EndNote&gt;</w:instrText>
      </w:r>
      <w:r w:rsidR="00FE1F00" w:rsidRPr="00DE64C0">
        <w:rPr>
          <w:color w:val="000000" w:themeColor="text1"/>
        </w:rPr>
        <w:fldChar w:fldCharType="separate"/>
      </w:r>
      <w:r w:rsidR="00923110" w:rsidRPr="00DE64C0">
        <w:rPr>
          <w:noProof/>
          <w:color w:val="000000" w:themeColor="text1"/>
        </w:rPr>
        <w:t>(13)</w:t>
      </w:r>
      <w:r w:rsidR="00FE1F00" w:rsidRPr="00DE64C0">
        <w:rPr>
          <w:color w:val="000000" w:themeColor="text1"/>
        </w:rPr>
        <w:fldChar w:fldCharType="end"/>
      </w:r>
      <w:r w:rsidR="002C66A3" w:rsidRPr="00DE64C0">
        <w:rPr>
          <w:color w:val="000000" w:themeColor="text1"/>
        </w:rPr>
        <w:t xml:space="preserve"> </w:t>
      </w:r>
      <w:r w:rsidR="003A20FD" w:rsidRPr="00DE64C0">
        <w:rPr>
          <w:color w:val="000000" w:themeColor="text1"/>
        </w:rPr>
        <w:t>The trial randomis</w:t>
      </w:r>
      <w:r w:rsidR="00146BB4" w:rsidRPr="00DE64C0">
        <w:rPr>
          <w:color w:val="000000" w:themeColor="text1"/>
        </w:rPr>
        <w:t>ed</w:t>
      </w:r>
      <w:r w:rsidR="003A20FD" w:rsidRPr="00DE64C0">
        <w:rPr>
          <w:color w:val="000000" w:themeColor="text1"/>
        </w:rPr>
        <w:t xml:space="preserve"> practices to avoid the risk of contamination. </w:t>
      </w:r>
      <w:r w:rsidR="00674985" w:rsidRPr="00DE64C0">
        <w:rPr>
          <w:color w:val="000000" w:themeColor="text1"/>
        </w:rPr>
        <w:t xml:space="preserve">Ethical </w:t>
      </w:r>
      <w:r w:rsidR="00146BB4" w:rsidRPr="00DE64C0">
        <w:rPr>
          <w:color w:val="000000" w:themeColor="text1"/>
        </w:rPr>
        <w:t>approval</w:t>
      </w:r>
      <w:r w:rsidR="00674985" w:rsidRPr="00DE64C0">
        <w:rPr>
          <w:color w:val="000000" w:themeColor="text1"/>
        </w:rPr>
        <w:t xml:space="preserve"> was </w:t>
      </w:r>
      <w:r w:rsidR="00146BB4" w:rsidRPr="00DE64C0">
        <w:rPr>
          <w:color w:val="000000" w:themeColor="text1"/>
        </w:rPr>
        <w:t>sought</w:t>
      </w:r>
      <w:r w:rsidR="002A6F7F" w:rsidRPr="00DE64C0">
        <w:rPr>
          <w:color w:val="000000" w:themeColor="text1"/>
        </w:rPr>
        <w:t xml:space="preserve"> and</w:t>
      </w:r>
      <w:r w:rsidR="00674985" w:rsidRPr="00DE64C0">
        <w:rPr>
          <w:color w:val="000000" w:themeColor="text1"/>
        </w:rPr>
        <w:t xml:space="preserve"> </w:t>
      </w:r>
      <w:r w:rsidR="00795599" w:rsidRPr="00DE64C0">
        <w:rPr>
          <w:color w:val="000000" w:themeColor="text1"/>
        </w:rPr>
        <w:t xml:space="preserve">the </w:t>
      </w:r>
      <w:r w:rsidR="00674985" w:rsidRPr="00DE64C0">
        <w:rPr>
          <w:color w:val="000000" w:themeColor="text1"/>
        </w:rPr>
        <w:t xml:space="preserve">study involved practice level and individual level </w:t>
      </w:r>
      <w:r w:rsidR="00F24398" w:rsidRPr="00DE64C0">
        <w:rPr>
          <w:color w:val="000000" w:themeColor="text1"/>
        </w:rPr>
        <w:t xml:space="preserve">informed </w:t>
      </w:r>
      <w:r w:rsidR="00674985" w:rsidRPr="00DE64C0">
        <w:rPr>
          <w:color w:val="000000" w:themeColor="text1"/>
        </w:rPr>
        <w:t xml:space="preserve">consent. </w:t>
      </w:r>
      <w:r w:rsidR="00707993" w:rsidRPr="00DE64C0">
        <w:rPr>
          <w:rFonts w:cs="Times New Roman"/>
        </w:rPr>
        <w:t xml:space="preserve">Recruitment took place between May 2009 and June 2011, with follow up data collected up to July 2014.  </w:t>
      </w:r>
    </w:p>
    <w:p w14:paraId="3DA8176A" w14:textId="77777777" w:rsidR="004D45A9" w:rsidRPr="00DE64C0" w:rsidRDefault="004D45A9" w:rsidP="00FF4C5F">
      <w:pPr>
        <w:rPr>
          <w:color w:val="000000" w:themeColor="text1"/>
        </w:rPr>
      </w:pPr>
    </w:p>
    <w:p w14:paraId="755C77A3" w14:textId="642FC75E" w:rsidR="004A5D40" w:rsidRPr="00DE64C0" w:rsidRDefault="004A5D40" w:rsidP="00FF4C5F">
      <w:r w:rsidRPr="00DE64C0">
        <w:t xml:space="preserve">Practices and </w:t>
      </w:r>
      <w:r w:rsidR="001338B2" w:rsidRPr="00DE64C0">
        <w:t>p</w:t>
      </w:r>
      <w:r w:rsidRPr="00DE64C0">
        <w:t xml:space="preserve">articipants </w:t>
      </w:r>
    </w:p>
    <w:p w14:paraId="7766AA83" w14:textId="6E0D2367" w:rsidR="00A11382" w:rsidRPr="00DE64C0" w:rsidRDefault="00236575" w:rsidP="00FF4C5F">
      <w:pPr>
        <w:rPr>
          <w:color w:val="000000" w:themeColor="text1"/>
        </w:rPr>
      </w:pPr>
      <w:r w:rsidRPr="00DE64C0">
        <w:t>P</w:t>
      </w:r>
      <w:r w:rsidR="00D346DF" w:rsidRPr="00DE64C0">
        <w:t>ractices</w:t>
      </w:r>
      <w:r w:rsidR="00D64D18" w:rsidRPr="00DE64C0">
        <w:t xml:space="preserve"> in</w:t>
      </w:r>
      <w:r w:rsidR="0048488C" w:rsidRPr="00DE64C0">
        <w:t xml:space="preserve"> Leicestershire, UK,</w:t>
      </w:r>
      <w:r w:rsidR="00D346DF" w:rsidRPr="00DE64C0">
        <w:t xml:space="preserve"> were</w:t>
      </w:r>
      <w:r w:rsidR="0048488C" w:rsidRPr="00DE64C0">
        <w:t xml:space="preserve"> recruited and</w:t>
      </w:r>
      <w:r w:rsidR="00D346DF" w:rsidRPr="00DE64C0">
        <w:t xml:space="preserve"> </w:t>
      </w:r>
      <w:r w:rsidR="00602B50" w:rsidRPr="00DE64C0">
        <w:t>randomised</w:t>
      </w:r>
      <w:r w:rsidR="00835CE3" w:rsidRPr="00DE64C0">
        <w:t xml:space="preserve"> using a computer</w:t>
      </w:r>
      <w:r w:rsidR="00D04E4E" w:rsidRPr="00DE64C0">
        <w:t>-</w:t>
      </w:r>
      <w:r w:rsidR="00835CE3" w:rsidRPr="00DE64C0">
        <w:t>generated list</w:t>
      </w:r>
      <w:r w:rsidR="00D346DF" w:rsidRPr="00DE64C0">
        <w:t xml:space="preserve"> 1:1 to either the standard</w:t>
      </w:r>
      <w:r w:rsidR="0049443E" w:rsidRPr="00DE64C0">
        <w:t>-</w:t>
      </w:r>
      <w:r w:rsidR="00D346DF" w:rsidRPr="00DE64C0">
        <w:t>care or intervention arm by a</w:t>
      </w:r>
      <w:r w:rsidR="00602B50" w:rsidRPr="00DE64C0">
        <w:t>n</w:t>
      </w:r>
      <w:r w:rsidR="00D346DF" w:rsidRPr="00DE64C0">
        <w:t xml:space="preserve"> </w:t>
      </w:r>
      <w:r w:rsidR="00602B50" w:rsidRPr="00DE64C0">
        <w:t xml:space="preserve">independent </w:t>
      </w:r>
      <w:r w:rsidR="00D346DF" w:rsidRPr="00DE64C0">
        <w:t xml:space="preserve">researcher, using stratification by list size (&lt;6,000, ≥6,000), and ethnicity (percentage South Asian &lt;21%, ≥21% - </w:t>
      </w:r>
      <w:r w:rsidR="00602B50" w:rsidRPr="00DE64C0">
        <w:t>taken from</w:t>
      </w:r>
      <w:r w:rsidR="00D346DF" w:rsidRPr="00DE64C0">
        <w:t xml:space="preserve"> ADDITION-Leicester study </w:t>
      </w:r>
      <w:r w:rsidR="00D346DF" w:rsidRPr="00DE64C0">
        <w:fldChar w:fldCharType="begin"/>
      </w:r>
      <w:r w:rsidR="00452800" w:rsidRPr="00DE64C0">
        <w:instrText xml:space="preserve"> ADDIN EN.CITE &lt;EndNote&gt;&lt;Cite&gt;&lt;Author&gt;Webb&lt;/Author&gt;&lt;Year&gt;2010&lt;/Year&gt;&lt;RecNum&gt;70&lt;/RecNum&gt;&lt;DisplayText&gt;(14)&lt;/DisplayText&gt;&lt;record&gt;&lt;rec-number&gt;70&lt;/rec-number&gt;&lt;foreign-keys&gt;&lt;key app="EN" db-id="eevzp0wtbzpeebedtwpperz9vszffvs0tsdt" timestamp="0"&gt;70&lt;/key&gt;&lt;/foreign-keys&gt;&lt;ref-type name="Journal Article"&gt;17&lt;/ref-type&gt;&lt;contributors&gt;&lt;authors&gt;&lt;author&gt;Webb, D.R. &lt;/author&gt;&lt;author&gt;Khunti, K.&lt;/author&gt;&lt;author&gt;Srinivasan, B.&lt;/author&gt;&lt;author&gt;Gray, LJ.&lt;/author&gt;&lt;author&gt;Taub, N. &lt;/author&gt;&lt;author&gt;Campbell, S.&lt;/author&gt;&lt;author&gt;Barnett, J.&lt;/author&gt;&lt;author&gt;Henson, J. &lt;/author&gt;&lt;author&gt;Hiles, S.&lt;/author&gt;&lt;author&gt;Farooqi, A.&lt;/author&gt;&lt;author&gt;Griffin, SJ. &lt;/author&gt;&lt;author&gt;Wareham, NJ.&lt;/author&gt;&lt;author&gt;Davies, MJ. &lt;/author&gt;&lt;/authors&gt;&lt;/contributors&gt;&lt;titles&gt;&lt;title&gt;Rationale and design of the ADDITION-Leicester study, a systematic screening programme and randomised controlled trial of multi-factorial cardiovascular risk intervention in people with type 2 diabetes mellitus detected by screening.&lt;/title&gt;&lt;secondary-title&gt;Trials&lt;/secondary-title&gt;&lt;/titles&gt;&lt;periodical&gt;&lt;full-title&gt;Trials&lt;/full-title&gt;&lt;/periodical&gt;&lt;pages&gt;16&lt;/pages&gt;&lt;volume&gt;11&lt;/volume&gt;&lt;dates&gt;&lt;year&gt;2010&lt;/year&gt;&lt;/dates&gt;&lt;urls&gt;&lt;/urls&gt;&lt;/record&gt;&lt;/Cite&gt;&lt;/EndNote&gt;</w:instrText>
      </w:r>
      <w:r w:rsidR="00D346DF" w:rsidRPr="00DE64C0">
        <w:fldChar w:fldCharType="separate"/>
      </w:r>
      <w:r w:rsidR="00923110" w:rsidRPr="00DE64C0">
        <w:rPr>
          <w:noProof/>
        </w:rPr>
        <w:t>(14)</w:t>
      </w:r>
      <w:r w:rsidR="00D346DF" w:rsidRPr="00DE64C0">
        <w:fldChar w:fldCharType="end"/>
      </w:r>
      <w:r w:rsidR="00D346DF" w:rsidRPr="00DE64C0">
        <w:t>)</w:t>
      </w:r>
      <w:r w:rsidR="00835CE3" w:rsidRPr="00DE64C0">
        <w:t xml:space="preserve"> with a block size of four</w:t>
      </w:r>
      <w:r w:rsidR="00D346DF" w:rsidRPr="00DE64C0">
        <w:t>.</w:t>
      </w:r>
      <w:r w:rsidR="001B6BCB" w:rsidRPr="00DE64C0">
        <w:t xml:space="preserve"> </w:t>
      </w:r>
      <w:r w:rsidR="000C16FD" w:rsidRPr="00DE64C0">
        <w:t xml:space="preserve">Practices and participants were informed of their allocation in the results letters </w:t>
      </w:r>
      <w:r w:rsidR="0024524D" w:rsidRPr="00DE64C0">
        <w:t>after</w:t>
      </w:r>
      <w:r w:rsidR="000C16FD" w:rsidRPr="00DE64C0">
        <w:t xml:space="preserve"> the screening/baseline measurement</w:t>
      </w:r>
      <w:r w:rsidR="00D04E4E" w:rsidRPr="00DE64C0">
        <w:t>s</w:t>
      </w:r>
      <w:r w:rsidR="000C16FD" w:rsidRPr="00DE64C0">
        <w:t xml:space="preserve"> </w:t>
      </w:r>
      <w:r w:rsidR="0041795A" w:rsidRPr="00DE64C0">
        <w:t>were complete</w:t>
      </w:r>
      <w:r w:rsidR="000C16FD" w:rsidRPr="00DE64C0">
        <w:t xml:space="preserve">. </w:t>
      </w:r>
      <w:r w:rsidR="00CD6B67" w:rsidRPr="00DE64C0">
        <w:rPr>
          <w:color w:val="000000" w:themeColor="text1"/>
        </w:rPr>
        <w:t xml:space="preserve">Eligible participants were identified from </w:t>
      </w:r>
      <w:r w:rsidR="00981B16" w:rsidRPr="00DE64C0">
        <w:rPr>
          <w:color w:val="000000" w:themeColor="text1"/>
        </w:rPr>
        <w:t>recruited practices</w:t>
      </w:r>
      <w:r w:rsidR="00CD6B67" w:rsidRPr="00DE64C0">
        <w:rPr>
          <w:color w:val="000000" w:themeColor="text1"/>
        </w:rPr>
        <w:t xml:space="preserve"> via a two-stage screening process. </w:t>
      </w:r>
      <w:r w:rsidR="007025A8" w:rsidRPr="00DE64C0">
        <w:t>The Leicester Diabetes Practice Risk Score was used in each prac</w:t>
      </w:r>
      <w:r w:rsidR="00BA6791" w:rsidRPr="00DE64C0">
        <w:t>tice to identify people at high-</w:t>
      </w:r>
      <w:r w:rsidR="007025A8" w:rsidRPr="00DE64C0">
        <w:t>risk of PDM/T2DM for invitation to screening.</w:t>
      </w:r>
      <w:r w:rsidR="00FE1F00" w:rsidRPr="00DE64C0">
        <w:fldChar w:fldCharType="begin"/>
      </w:r>
      <w:r w:rsidR="00452800" w:rsidRPr="00DE64C0">
        <w:instrText xml:space="preserve"> ADDIN EN.CITE &lt;EndNote&gt;&lt;Cite&gt;&lt;Author&gt;Gray LJ&lt;/Author&gt;&lt;Year&gt;2012&lt;/Year&gt;&lt;RecNum&gt;145&lt;/RecNum&gt;&lt;DisplayText&gt;(11)&lt;/DisplayText&gt;&lt;record&gt;&lt;rec-number&gt;145&lt;/rec-number&gt;&lt;foreign-keys&gt;&lt;key app="EN" db-id="eevzp0wtbzpeebedtwpperz9vszffvs0tsdt" timestamp="0"&gt;145&lt;/key&gt;&lt;/foreign-keys&gt;&lt;ref-type name="Journal Article"&gt;17&lt;/ref-type&gt;&lt;contributors&gt;&lt;authors&gt;&lt;author&gt;Gray LJ, &lt;/author&gt;&lt;author&gt;Davies MJ,&lt;/author&gt;&lt;author&gt;Hiles S, &lt;/author&gt;&lt;author&gt;Taub NA, &lt;/author&gt;&lt;author&gt;Webb DR, &lt;/author&gt;&lt;author&gt;Srinivasan BT, &lt;/author&gt;&lt;author&gt;Khunti K.&lt;/author&gt;&lt;/authors&gt;&lt;/contributors&gt;&lt;titles&gt;&lt;title&gt;Detection of impaired glucose regulation and/or type 2 diabetes mellitus, using primary care electronic data, in a multiethnic UK community setting.&lt;/title&gt;&lt;secondary-title&gt;Diabetologia&lt;/secondary-title&gt;&lt;/titles&gt;&lt;periodical&gt;&lt;full-title&gt;Diabetologia&lt;/full-title&gt;&lt;abbr-1&gt;Diabetologia&lt;/abbr-1&gt;&lt;/periodical&gt;&lt;pages&gt;959-66&lt;/pages&gt;&lt;volume&gt;55&lt;/volume&gt;&lt;number&gt;4&lt;/number&gt;&lt;dates&gt;&lt;year&gt;2012&lt;/year&gt;&lt;/dates&gt;&lt;urls&gt;&lt;/urls&gt;&lt;/record&gt;&lt;/Cite&gt;&lt;/EndNote&gt;</w:instrText>
      </w:r>
      <w:r w:rsidR="00FE1F00" w:rsidRPr="00DE64C0">
        <w:fldChar w:fldCharType="separate"/>
      </w:r>
      <w:r w:rsidR="00923110" w:rsidRPr="00DE64C0">
        <w:rPr>
          <w:noProof/>
        </w:rPr>
        <w:t>(11)</w:t>
      </w:r>
      <w:r w:rsidR="00FE1F00" w:rsidRPr="00DE64C0">
        <w:fldChar w:fldCharType="end"/>
      </w:r>
      <w:r w:rsidR="007025A8" w:rsidRPr="00DE64C0">
        <w:t xml:space="preserve"> </w:t>
      </w:r>
      <w:r w:rsidR="00131199" w:rsidRPr="00DE64C0">
        <w:t xml:space="preserve">The top 10% of patients with the highest score </w:t>
      </w:r>
      <w:r w:rsidR="00E447C8" w:rsidRPr="00DE64C0">
        <w:t xml:space="preserve">fulfilling the inclusion criteria </w:t>
      </w:r>
      <w:r w:rsidR="00131199" w:rsidRPr="00DE64C0">
        <w:t xml:space="preserve">were invited. </w:t>
      </w:r>
      <w:r w:rsidR="00E447C8" w:rsidRPr="00DE64C0">
        <w:t xml:space="preserve">The inclusion criteria for </w:t>
      </w:r>
      <w:r w:rsidR="00D259A0" w:rsidRPr="00DE64C0">
        <w:t>screening</w:t>
      </w:r>
      <w:r w:rsidR="00E447C8" w:rsidRPr="00DE64C0">
        <w:t xml:space="preserve"> were aged 40 to 75 if White European, or 25-75 years if South Asian. Participants were excluded if they </w:t>
      </w:r>
      <w:r w:rsidR="00C34342" w:rsidRPr="00DE64C0">
        <w:t xml:space="preserve">were </w:t>
      </w:r>
      <w:r w:rsidR="00E447C8" w:rsidRPr="00DE64C0">
        <w:t>unable to give informed consent, pregnant or lactating, had established diabetes or a terminal illness</w:t>
      </w:r>
      <w:r w:rsidR="00D04E4E" w:rsidRPr="00DE64C0">
        <w:t>,</w:t>
      </w:r>
      <w:r w:rsidR="00E447C8" w:rsidRPr="00DE64C0">
        <w:t xml:space="preserve"> or if they required an interpreter for a language other than one of the </w:t>
      </w:r>
      <w:r w:rsidR="00BA015D" w:rsidRPr="00DE64C0">
        <w:t xml:space="preserve">locally used </w:t>
      </w:r>
      <w:r w:rsidR="00E447C8" w:rsidRPr="00DE64C0">
        <w:t>South Asian languages</w:t>
      </w:r>
      <w:r w:rsidR="00BA015D" w:rsidRPr="00DE64C0">
        <w:t xml:space="preserve"> accommodated within this study</w:t>
      </w:r>
      <w:r w:rsidR="00E447C8" w:rsidRPr="00DE64C0">
        <w:t xml:space="preserve">. All those agreeing </w:t>
      </w:r>
      <w:r w:rsidR="00F951AE" w:rsidRPr="00DE64C0">
        <w:t xml:space="preserve">to take part received an oral glucose tolerance test (OGTT). </w:t>
      </w:r>
      <w:r w:rsidR="00CD6B67" w:rsidRPr="00DE64C0">
        <w:t>Only p</w:t>
      </w:r>
      <w:r w:rsidR="00F951AE" w:rsidRPr="00DE64C0">
        <w:t>articipants who were identified as having PDM (IF</w:t>
      </w:r>
      <w:r w:rsidR="00D04E4E" w:rsidRPr="00DE64C0">
        <w:t>G</w:t>
      </w:r>
      <w:r w:rsidR="00F951AE" w:rsidRPr="00DE64C0">
        <w:t xml:space="preserve"> and/or IGT WHO 1999 criteria </w:t>
      </w:r>
      <w:r w:rsidR="00F951AE" w:rsidRPr="00DE64C0">
        <w:fldChar w:fldCharType="begin"/>
      </w:r>
      <w:r w:rsidR="00DC1614" w:rsidRPr="00DE64C0">
        <w:instrText xml:space="preserve"> ADDIN EN.CITE &lt;EndNote&gt;&lt;Cite&gt;&lt;Author&gt;World Health Organisation&lt;/Author&gt;&lt;Year&gt;1999&lt;/Year&gt;&lt;RecNum&gt;48&lt;/RecNum&gt;&lt;DisplayText&gt;(15)&lt;/DisplayText&gt;&lt;record&gt;&lt;rec-number&gt;48&lt;/rec-number&gt;&lt;foreign-keys&gt;&lt;key app="EN" db-id="eevzp0wtbzpeebedtwpperz9vszffvs0tsdt" timestamp="0"&gt;48&lt;/key&gt;&lt;/foreign-keys&gt;&lt;ref-type name="Report"&gt;27&lt;/ref-type&gt;&lt;contributors&gt;&lt;authors&gt;&lt;author&gt;World Health Organisation,&lt;/author&gt;&lt;/authors&gt;&lt;/contributors&gt;&lt;titles&gt;&lt;title&gt;Definition, Diagnosis, and Classification of Diabetes Mellitus and its Complications. Report of a WHO consultation. Part 1: Diagnosis and Classification of Diabetes Mellitus&lt;/title&gt;&lt;/titles&gt;&lt;dates&gt;&lt;year&gt;1999&lt;/year&gt;&lt;/dates&gt;&lt;pub-location&gt;Geneva&lt;/pub-location&gt;&lt;publisher&gt;World Health Organisation&lt;/publisher&gt;&lt;work-type&gt;Report&lt;/work-type&gt;&lt;urls&gt;&lt;/urls&gt;&lt;/record&gt;&lt;/Cite&gt;&lt;/EndNote&gt;</w:instrText>
      </w:r>
      <w:r w:rsidR="00F951AE" w:rsidRPr="00DE64C0">
        <w:fldChar w:fldCharType="separate"/>
      </w:r>
      <w:r w:rsidR="00923110" w:rsidRPr="00DE64C0">
        <w:rPr>
          <w:noProof/>
        </w:rPr>
        <w:t>(15)</w:t>
      </w:r>
      <w:r w:rsidR="00F951AE" w:rsidRPr="00DE64C0">
        <w:fldChar w:fldCharType="end"/>
      </w:r>
      <w:r w:rsidR="00F951AE" w:rsidRPr="00DE64C0">
        <w:t>)</w:t>
      </w:r>
      <w:r w:rsidR="00CD6B67" w:rsidRPr="00DE64C0">
        <w:t xml:space="preserve"> during screening</w:t>
      </w:r>
      <w:r w:rsidR="00F951AE" w:rsidRPr="00DE64C0">
        <w:t xml:space="preserve"> </w:t>
      </w:r>
      <w:r w:rsidR="00602B50" w:rsidRPr="00DE64C0">
        <w:t>took</w:t>
      </w:r>
      <w:r w:rsidR="00F951AE" w:rsidRPr="00DE64C0">
        <w:t xml:space="preserve"> part in</w:t>
      </w:r>
      <w:r w:rsidR="0048488C" w:rsidRPr="00DE64C0">
        <w:t xml:space="preserve"> </w:t>
      </w:r>
      <w:r w:rsidR="00F951AE" w:rsidRPr="00DE64C0">
        <w:t xml:space="preserve">the </w:t>
      </w:r>
      <w:r w:rsidR="00F951AE" w:rsidRPr="00DE64C0">
        <w:rPr>
          <w:color w:val="000000" w:themeColor="text1"/>
        </w:rPr>
        <w:t>RCT.</w:t>
      </w:r>
      <w:r w:rsidR="0048488C" w:rsidRPr="00DE64C0">
        <w:rPr>
          <w:color w:val="000000" w:themeColor="text1"/>
        </w:rPr>
        <w:t xml:space="preserve"> In one small practice (list size=1650) no participants were identified with PDM</w:t>
      </w:r>
      <w:r w:rsidR="00981B16" w:rsidRPr="00DE64C0">
        <w:rPr>
          <w:color w:val="000000" w:themeColor="text1"/>
        </w:rPr>
        <w:t xml:space="preserve"> and</w:t>
      </w:r>
      <w:r w:rsidR="004A6296" w:rsidRPr="00DE64C0">
        <w:rPr>
          <w:color w:val="000000" w:themeColor="text1"/>
        </w:rPr>
        <w:t xml:space="preserve"> was excluded</w:t>
      </w:r>
      <w:r w:rsidR="0048488C" w:rsidRPr="00DE64C0">
        <w:rPr>
          <w:color w:val="000000" w:themeColor="text1"/>
        </w:rPr>
        <w:t>.</w:t>
      </w:r>
    </w:p>
    <w:p w14:paraId="38A85EFF" w14:textId="77777777" w:rsidR="0048488C" w:rsidRPr="00DE64C0" w:rsidRDefault="0048488C" w:rsidP="00FF4C5F"/>
    <w:p w14:paraId="2E513CC5" w14:textId="6F404D57" w:rsidR="002721D2" w:rsidRPr="00DE64C0" w:rsidRDefault="00A11382" w:rsidP="00FF4C5F">
      <w:r w:rsidRPr="00DE64C0">
        <w:t>The screening</w:t>
      </w:r>
      <w:r w:rsidR="00D04E4E" w:rsidRPr="00DE64C0">
        <w:t>-</w:t>
      </w:r>
      <w:r w:rsidRPr="00DE64C0">
        <w:t xml:space="preserve">visit data formed the baseline assessment for the RCT; participants were followed up at 6, 12, 24 and 36 months. </w:t>
      </w:r>
    </w:p>
    <w:p w14:paraId="74970390" w14:textId="77777777" w:rsidR="004D45A9" w:rsidRPr="00DE64C0" w:rsidRDefault="004D45A9" w:rsidP="00FF4C5F"/>
    <w:p w14:paraId="2170668A" w14:textId="77777777" w:rsidR="00FF4C5F" w:rsidRPr="00DE64C0" w:rsidRDefault="00FF4C5F" w:rsidP="00FF4C5F"/>
    <w:p w14:paraId="101D6002" w14:textId="77777777" w:rsidR="00981B16" w:rsidRPr="00DE64C0" w:rsidRDefault="00981B16" w:rsidP="00FF4C5F"/>
    <w:p w14:paraId="7D952D20" w14:textId="77777777" w:rsidR="009417C4" w:rsidRPr="00DE64C0" w:rsidRDefault="004A5D40" w:rsidP="00FF4C5F">
      <w:r w:rsidRPr="00DE64C0">
        <w:lastRenderedPageBreak/>
        <w:t>Interventions</w:t>
      </w:r>
    </w:p>
    <w:p w14:paraId="5EF1237A" w14:textId="34DA4D83" w:rsidR="009417C4" w:rsidRPr="00DE64C0" w:rsidRDefault="00981B16" w:rsidP="00FF4C5F">
      <w:r w:rsidRPr="00DE64C0">
        <w:t>All participants</w:t>
      </w:r>
      <w:r w:rsidR="009417C4" w:rsidRPr="00DE64C0">
        <w:t xml:space="preserve"> </w:t>
      </w:r>
      <w:r w:rsidR="00674985" w:rsidRPr="00DE64C0">
        <w:t>received an</w:t>
      </w:r>
      <w:r w:rsidR="009417C4" w:rsidRPr="00DE64C0">
        <w:t xml:space="preserve"> information booklet </w:t>
      </w:r>
      <w:r w:rsidR="001C3A3A" w:rsidRPr="00DE64C0">
        <w:t xml:space="preserve">which </w:t>
      </w:r>
      <w:r w:rsidR="00602B50" w:rsidRPr="00DE64C0">
        <w:t>included</w:t>
      </w:r>
      <w:r w:rsidR="009417C4" w:rsidRPr="00DE64C0">
        <w:t xml:space="preserve"> information on risk factors for T2DM, and how dietary and lifestyle changes and increased physical activity can prevent progression </w:t>
      </w:r>
      <w:r w:rsidR="00602B50" w:rsidRPr="00DE64C0">
        <w:t>to T2DM</w:t>
      </w:r>
      <w:r w:rsidR="009417C4" w:rsidRPr="00DE64C0">
        <w:t xml:space="preserve">. </w:t>
      </w:r>
    </w:p>
    <w:p w14:paraId="63EAED17" w14:textId="77777777" w:rsidR="009417C4" w:rsidRPr="00DE64C0" w:rsidRDefault="009417C4" w:rsidP="00FF4C5F"/>
    <w:p w14:paraId="4696692A" w14:textId="635D694C" w:rsidR="008314F6" w:rsidRPr="00DE64C0" w:rsidRDefault="009417C4" w:rsidP="00FF4C5F">
      <w:pPr>
        <w:rPr>
          <w:color w:val="000000" w:themeColor="text1"/>
        </w:rPr>
      </w:pPr>
      <w:r w:rsidRPr="00DE64C0">
        <w:t>Participants in the intervention practices were invited to attend the Let’s Prevent programme</w:t>
      </w:r>
      <w:r w:rsidR="007B65C0" w:rsidRPr="00DE64C0">
        <w:t xml:space="preserve">, </w:t>
      </w:r>
      <w:r w:rsidR="00FE1F00" w:rsidRPr="00DE64C0">
        <w:fldChar w:fldCharType="begin"/>
      </w:r>
      <w:r w:rsidR="00DC1614" w:rsidRPr="00DE64C0">
        <w:instrText xml:space="preserve"> ADDIN EN.CITE &lt;EndNote&gt;&lt;Cite&gt;&lt;Author&gt;Gray&lt;/Author&gt;&lt;Year&gt;2012&lt;/Year&gt;&lt;RecNum&gt;187&lt;/RecNum&gt;&lt;DisplayText&gt;(13)&lt;/DisplayText&gt;&lt;record&gt;&lt;rec-number&gt;187&lt;/rec-number&gt;&lt;foreign-keys&gt;&lt;key app="EN" db-id="eevzp0wtbzpeebedtwpperz9vszffvs0tsdt" timestamp="0"&gt;187&lt;/key&gt;&lt;/foreign-keys&gt;&lt;ref-type name="Journal Article"&gt;17&lt;/ref-type&gt;&lt;contributors&gt;&lt;authors&gt;&lt;author&gt;Gray, L.J.&lt;/author&gt;&lt;author&gt;Khunti , K.&lt;/author&gt;&lt;author&gt;Williams, S.&lt;/author&gt;&lt;author&gt;Goldby, S.&lt;/author&gt;&lt;author&gt;Troughton, J.&lt;/author&gt;&lt;author&gt;Yates, T.&lt;/author&gt;&lt;author&gt;Gray, A.&lt;/author&gt;&lt;author&gt;Davies, M.&lt;/author&gt;&lt;author&gt;for the Let’s Prevent Collaborators,&lt;/author&gt;&lt;/authors&gt;&lt;/contributors&gt;&lt;titles&gt;&lt;title&gt;Let’s Prevent Diabetes: study protocol for a cluster randomised controlled trial of an educational intervention in a multi-ethnic UK population with screen detected impaired glucose regulation. &lt;/title&gt;&lt;secondary-title&gt;Cardiovascular Diabetology&lt;/secondary-title&gt;&lt;/titles&gt;&lt;dates&gt;&lt;year&gt;2012&lt;/year&gt;&lt;/dates&gt;&lt;urls&gt;&lt;/urls&gt;&lt;/record&gt;&lt;/Cite&gt;&lt;/EndNote&gt;</w:instrText>
      </w:r>
      <w:r w:rsidR="00FE1F00" w:rsidRPr="00DE64C0">
        <w:fldChar w:fldCharType="separate"/>
      </w:r>
      <w:r w:rsidR="00923110" w:rsidRPr="00DE64C0">
        <w:rPr>
          <w:noProof/>
        </w:rPr>
        <w:t>(13)</w:t>
      </w:r>
      <w:r w:rsidR="00FE1F00" w:rsidRPr="00DE64C0">
        <w:fldChar w:fldCharType="end"/>
      </w:r>
      <w:r w:rsidR="00CC2B91" w:rsidRPr="00DE64C0">
        <w:t xml:space="preserve"> </w:t>
      </w:r>
      <w:r w:rsidR="007B65C0" w:rsidRPr="00DE64C0">
        <w:rPr>
          <w:color w:val="000000" w:themeColor="text1"/>
        </w:rPr>
        <w:t>which tailors</w:t>
      </w:r>
      <w:r w:rsidR="00BA015D" w:rsidRPr="00DE64C0">
        <w:rPr>
          <w:color w:val="000000" w:themeColor="text1"/>
        </w:rPr>
        <w:t xml:space="preserve"> the </w:t>
      </w:r>
      <w:r w:rsidR="00B17F08" w:rsidRPr="00DE64C0">
        <w:rPr>
          <w:color w:val="000000" w:themeColor="text1"/>
        </w:rPr>
        <w:t xml:space="preserve">widely delivered </w:t>
      </w:r>
      <w:r w:rsidR="00BA015D" w:rsidRPr="00DE64C0">
        <w:rPr>
          <w:color w:val="000000" w:themeColor="text1"/>
        </w:rPr>
        <w:t xml:space="preserve">DESMOND </w:t>
      </w:r>
      <w:r w:rsidR="00B17F08" w:rsidRPr="00DE64C0">
        <w:rPr>
          <w:color w:val="000000" w:themeColor="text1"/>
        </w:rPr>
        <w:t xml:space="preserve">structured-education </w:t>
      </w:r>
      <w:r w:rsidR="00BA015D" w:rsidRPr="00DE64C0">
        <w:rPr>
          <w:color w:val="000000" w:themeColor="text1"/>
        </w:rPr>
        <w:t>programme</w:t>
      </w:r>
      <w:r w:rsidR="00B17F08" w:rsidRPr="00DE64C0">
        <w:rPr>
          <w:color w:val="000000" w:themeColor="text1"/>
        </w:rPr>
        <w:t xml:space="preserve"> </w:t>
      </w:r>
      <w:r w:rsidR="00BA3A47" w:rsidRPr="00DE64C0">
        <w:rPr>
          <w:color w:val="000000" w:themeColor="text1"/>
        </w:rPr>
        <w:t>into</w:t>
      </w:r>
      <w:r w:rsidR="00CC2B91" w:rsidRPr="00DE64C0">
        <w:rPr>
          <w:color w:val="000000" w:themeColor="text1"/>
        </w:rPr>
        <w:t xml:space="preserve"> a prevention</w:t>
      </w:r>
      <w:r w:rsidR="00BA015D" w:rsidRPr="00DE64C0">
        <w:rPr>
          <w:color w:val="000000" w:themeColor="text1"/>
        </w:rPr>
        <w:t xml:space="preserve"> </w:t>
      </w:r>
      <w:r w:rsidR="00CC2B91" w:rsidRPr="00DE64C0">
        <w:rPr>
          <w:color w:val="000000" w:themeColor="text1"/>
        </w:rPr>
        <w:t>context.</w:t>
      </w:r>
      <w:r w:rsidR="002C66A3" w:rsidRPr="00DE64C0">
        <w:rPr>
          <w:color w:val="000000" w:themeColor="text1"/>
        </w:rPr>
        <w:t xml:space="preserve"> </w:t>
      </w:r>
      <w:r w:rsidR="00FE1F00" w:rsidRPr="00DE64C0">
        <w:rPr>
          <w:color w:val="000000" w:themeColor="text1"/>
        </w:rPr>
        <w:fldChar w:fldCharType="begin">
          <w:fldData xml:space="preserve">PEVuZE5vdGU+PENpdGU+PEF1dGhvcj5EYXZpZXM8L0F1dGhvcj48WWVhcj4yMDA4PC9ZZWFyPjxS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==
</w:fldData>
        </w:fldChar>
      </w:r>
      <w:r w:rsidR="00452800" w:rsidRPr="00DE64C0">
        <w:rPr>
          <w:color w:val="000000" w:themeColor="text1"/>
        </w:rPr>
        <w:instrText xml:space="preserve"> ADDIN EN.CITE </w:instrText>
      </w:r>
      <w:r w:rsidR="00452800" w:rsidRPr="00DE64C0">
        <w:rPr>
          <w:color w:val="000000" w:themeColor="text1"/>
        </w:rPr>
        <w:fldChar w:fldCharType="begin">
          <w:fldData xml:space="preserve">PEVuZE5vdGU+PENpdGU+PEF1dGhvcj5EYXZpZXM8L0F1dGhvcj48WWVhcj4yMDA4PC9ZZWFyPjxS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==
</w:fldData>
        </w:fldChar>
      </w:r>
      <w:r w:rsidR="00452800" w:rsidRPr="00DE64C0">
        <w:rPr>
          <w:color w:val="000000" w:themeColor="text1"/>
        </w:rPr>
        <w:instrText xml:space="preserve"> ADDIN EN.CITE.DATA </w:instrText>
      </w:r>
      <w:r w:rsidR="00452800" w:rsidRPr="00DE64C0">
        <w:rPr>
          <w:color w:val="000000" w:themeColor="text1"/>
        </w:rPr>
      </w:r>
      <w:r w:rsidR="00452800" w:rsidRPr="00DE64C0">
        <w:rPr>
          <w:color w:val="000000" w:themeColor="text1"/>
        </w:rPr>
        <w:fldChar w:fldCharType="end"/>
      </w:r>
      <w:r w:rsidR="00FE1F00" w:rsidRPr="00DE64C0">
        <w:rPr>
          <w:color w:val="000000" w:themeColor="text1"/>
        </w:rPr>
      </w:r>
      <w:r w:rsidR="00FE1F00" w:rsidRPr="00DE64C0">
        <w:rPr>
          <w:color w:val="000000" w:themeColor="text1"/>
        </w:rPr>
        <w:fldChar w:fldCharType="separate"/>
      </w:r>
      <w:r w:rsidR="00923110" w:rsidRPr="00DE64C0">
        <w:rPr>
          <w:noProof/>
          <w:color w:val="000000" w:themeColor="text1"/>
        </w:rPr>
        <w:t>(16, 17)</w:t>
      </w:r>
      <w:r w:rsidR="00FE1F00" w:rsidRPr="00DE64C0">
        <w:rPr>
          <w:color w:val="000000" w:themeColor="text1"/>
        </w:rPr>
        <w:fldChar w:fldCharType="end"/>
      </w:r>
      <w:r w:rsidR="008314F6" w:rsidRPr="00DE64C0">
        <w:rPr>
          <w:color w:val="000000" w:themeColor="text1"/>
        </w:rPr>
        <w:t xml:space="preserve"> </w:t>
      </w:r>
    </w:p>
    <w:p w14:paraId="134D59FC" w14:textId="77777777" w:rsidR="008314F6" w:rsidRPr="00DE64C0" w:rsidRDefault="008314F6" w:rsidP="00FF4C5F"/>
    <w:p w14:paraId="1981D757" w14:textId="641CA03F" w:rsidR="00CC2B91" w:rsidRPr="00DE64C0" w:rsidRDefault="00F2102C" w:rsidP="00FF4C5F">
      <w:r w:rsidRPr="00DE64C0">
        <w:t xml:space="preserve">Let’s Prevent </w:t>
      </w:r>
      <w:r w:rsidR="008314F6" w:rsidRPr="00DE64C0">
        <w:t>was</w:t>
      </w:r>
      <w:r w:rsidRPr="00DE64C0">
        <w:t xml:space="preserve"> delivered </w:t>
      </w:r>
      <w:r w:rsidR="008E06D9" w:rsidRPr="00DE64C0">
        <w:t xml:space="preserve">to groups of </w:t>
      </w:r>
      <w:r w:rsidR="00F24398" w:rsidRPr="00DE64C0">
        <w:t>ten</w:t>
      </w:r>
      <w:r w:rsidR="008E06D9" w:rsidRPr="00DE64C0">
        <w:t xml:space="preserve"> </w:t>
      </w:r>
      <w:r w:rsidR="00F24398" w:rsidRPr="00DE64C0">
        <w:t>over six</w:t>
      </w:r>
      <w:r w:rsidRPr="00DE64C0">
        <w:t xml:space="preserve"> hours, either over a full</w:t>
      </w:r>
      <w:r w:rsidR="007B65C0" w:rsidRPr="00DE64C0">
        <w:t>-</w:t>
      </w:r>
      <w:r w:rsidRPr="00DE64C0">
        <w:t>day or two half</w:t>
      </w:r>
      <w:r w:rsidR="004F4803" w:rsidRPr="00DE64C0">
        <w:t>-</w:t>
      </w:r>
      <w:r w:rsidRPr="00DE64C0">
        <w:t>days,</w:t>
      </w:r>
      <w:r w:rsidR="00CC2B91" w:rsidRPr="00DE64C0">
        <w:t xml:space="preserve"> </w:t>
      </w:r>
      <w:r w:rsidRPr="00DE64C0">
        <w:t xml:space="preserve">by two trained educators. The programme </w:t>
      </w:r>
      <w:r w:rsidR="007B65C0" w:rsidRPr="00DE64C0">
        <w:t xml:space="preserve">was </w:t>
      </w:r>
      <w:r w:rsidRPr="00DE64C0">
        <w:t>underpinned</w:t>
      </w:r>
      <w:r w:rsidR="00BA3A47" w:rsidRPr="00DE64C0">
        <w:t xml:space="preserve"> by</w:t>
      </w:r>
      <w:r w:rsidRPr="00DE64C0">
        <w:t xml:space="preserve"> a theoretical</w:t>
      </w:r>
      <w:r w:rsidR="001C788C" w:rsidRPr="00DE64C0">
        <w:t xml:space="preserve"> basis</w:t>
      </w:r>
      <w:r w:rsidR="008314F6" w:rsidRPr="00DE64C0">
        <w:t xml:space="preserve"> with a</w:t>
      </w:r>
      <w:r w:rsidRPr="00DE64C0">
        <w:t xml:space="preserve"> philosophy centred on </w:t>
      </w:r>
      <w:r w:rsidR="001C788C" w:rsidRPr="00DE64C0">
        <w:t>patient empowerment</w:t>
      </w:r>
      <w:r w:rsidRPr="00DE64C0">
        <w:t>.</w:t>
      </w:r>
      <w:r w:rsidR="00CC2B91" w:rsidRPr="00DE64C0">
        <w:t xml:space="preserve"> </w:t>
      </w:r>
      <w:r w:rsidRPr="00DE64C0">
        <w:t xml:space="preserve">The aim </w:t>
      </w:r>
      <w:r w:rsidR="007B65C0" w:rsidRPr="00DE64C0">
        <w:t xml:space="preserve">was </w:t>
      </w:r>
      <w:r w:rsidRPr="00DE64C0">
        <w:t xml:space="preserve">to increase knowledge and </w:t>
      </w:r>
      <w:r w:rsidR="001735D3" w:rsidRPr="00DE64C0">
        <w:t xml:space="preserve">promote realistic </w:t>
      </w:r>
      <w:r w:rsidRPr="00DE64C0">
        <w:t>perceptions of PDM</w:t>
      </w:r>
      <w:r w:rsidR="00301FD2" w:rsidRPr="00DE64C0">
        <w:t>,</w:t>
      </w:r>
      <w:r w:rsidRPr="00DE64C0">
        <w:t xml:space="preserve"> and to promote health behaviour</w:t>
      </w:r>
      <w:r w:rsidR="004F4803" w:rsidRPr="00DE64C0">
        <w:t>,</w:t>
      </w:r>
      <w:r w:rsidRPr="00DE64C0">
        <w:t xml:space="preserve"> </w:t>
      </w:r>
      <w:r w:rsidR="00301FD2" w:rsidRPr="00DE64C0">
        <w:t>with the aims of</w:t>
      </w:r>
      <w:r w:rsidRPr="00DE64C0">
        <w:t xml:space="preserve"> reducing body weight by 5%, </w:t>
      </w:r>
      <w:r w:rsidR="005A406A" w:rsidRPr="00DE64C0">
        <w:t>limit</w:t>
      </w:r>
      <w:r w:rsidR="008E06D9" w:rsidRPr="00DE64C0">
        <w:t>ing</w:t>
      </w:r>
      <w:r w:rsidRPr="00DE64C0">
        <w:t xml:space="preserve"> total and saturated fat intake</w:t>
      </w:r>
      <w:r w:rsidR="005A406A" w:rsidRPr="00DE64C0">
        <w:t xml:space="preserve"> to 30% and 10% of total energy intake respectively</w:t>
      </w:r>
      <w:r w:rsidR="008E06D9" w:rsidRPr="00DE64C0">
        <w:t>, increasing fibre intak</w:t>
      </w:r>
      <w:r w:rsidR="001C788C" w:rsidRPr="00DE64C0">
        <w:t>e and promoting</w:t>
      </w:r>
      <w:r w:rsidRPr="00DE64C0">
        <w:t xml:space="preserve"> physical activity. The physical activity </w:t>
      </w:r>
      <w:r w:rsidR="005A406A" w:rsidRPr="00DE64C0">
        <w:t>section incorporated the successful PREPARE structured</w:t>
      </w:r>
      <w:r w:rsidR="004F4803" w:rsidRPr="00DE64C0">
        <w:t>-</w:t>
      </w:r>
      <w:r w:rsidR="005A406A" w:rsidRPr="00DE64C0">
        <w:t>education programme</w:t>
      </w:r>
      <w:r w:rsidR="001C3A3A" w:rsidRPr="00DE64C0">
        <w:t>,</w:t>
      </w:r>
      <w:r w:rsidR="00C57EB0" w:rsidRPr="00DE64C0">
        <w:fldChar w:fldCharType="begin"/>
      </w:r>
      <w:r w:rsidR="00DC1614" w:rsidRPr="00DE64C0">
        <w:instrText xml:space="preserve"> ADDIN EN.CITE &lt;EndNote&gt;&lt;Cite&gt;&lt;Author&gt;Yates&lt;/Author&gt;&lt;Year&gt;2009&lt;/Year&gt;&lt;RecNum&gt;122&lt;/RecNum&gt;&lt;DisplayText&gt;(7)&lt;/DisplayText&gt;&lt;record&gt;&lt;rec-number&gt;122&lt;/rec-number&gt;&lt;foreign-keys&gt;&lt;key app="EN" db-id="eevzp0wtbzpeebedtwpperz9vszffvs0tsdt" timestamp="0"&gt;122&lt;/key&gt;&lt;/foreign-keys&gt;&lt;ref-type name="Journal Article"&gt;17&lt;/ref-type&gt;&lt;contributors&gt;&lt;authors&gt;&lt;author&gt;Yates, T. &lt;/author&gt;&lt;author&gt;Davies, M. &lt;/author&gt;&lt;author&gt;Gorely, T.&lt;/author&gt;&lt;author&gt;Bull, F. &lt;/author&gt;&lt;author&gt;Khunti, K.&lt;/author&gt;&lt;/authors&gt;&lt;/contributors&gt;&lt;titles&gt;&lt;title&gt;Effectiveness of a pragmatic education programme aimed at promoting walking activity in individuals with impaired glucose tolerance: a randomized controlled trial. &lt;/title&gt;&lt;secondary-title&gt;Diabetes Care&lt;/secondary-title&gt;&lt;/titles&gt;&lt;periodical&gt;&lt;full-title&gt;Diabetes Care&lt;/full-title&gt;&lt;/periodical&gt;&lt;pages&gt;1404-1410&lt;/pages&gt;&lt;volume&gt;32&lt;/volume&gt;&lt;number&gt;8&lt;/number&gt;&lt;dates&gt;&lt;year&gt;2009&lt;/year&gt;&lt;/dates&gt;&lt;urls&gt;&lt;/urls&gt;&lt;/record&gt;&lt;/Cite&gt;&lt;/EndNote&gt;</w:instrText>
      </w:r>
      <w:r w:rsidR="00C57EB0" w:rsidRPr="00DE64C0">
        <w:fldChar w:fldCharType="separate"/>
      </w:r>
      <w:r w:rsidR="00923110" w:rsidRPr="00DE64C0">
        <w:rPr>
          <w:noProof/>
        </w:rPr>
        <w:t>(7)</w:t>
      </w:r>
      <w:r w:rsidR="00C57EB0" w:rsidRPr="00DE64C0">
        <w:fldChar w:fldCharType="end"/>
      </w:r>
      <w:r w:rsidR="004C059B" w:rsidRPr="00DE64C0">
        <w:t xml:space="preserve"> </w:t>
      </w:r>
      <w:r w:rsidR="005A406A" w:rsidRPr="00DE64C0">
        <w:t xml:space="preserve"> based on providing participants with a pedometer and enabling the formation of personalised step</w:t>
      </w:r>
      <w:r w:rsidR="004F4803" w:rsidRPr="00DE64C0">
        <w:t>-</w:t>
      </w:r>
      <w:r w:rsidR="005A406A" w:rsidRPr="00DE64C0">
        <w:t>per</w:t>
      </w:r>
      <w:r w:rsidR="004F4803" w:rsidRPr="00DE64C0">
        <w:t>-</w:t>
      </w:r>
      <w:r w:rsidR="005A406A" w:rsidRPr="00DE64C0">
        <w:t>day goals</w:t>
      </w:r>
      <w:r w:rsidR="00BA3A47" w:rsidRPr="00DE64C0">
        <w:t xml:space="preserve">. </w:t>
      </w:r>
      <w:r w:rsidR="005A406A" w:rsidRPr="00DE64C0">
        <w:t xml:space="preserve">The content and educational resources used within the programme were further tailored to </w:t>
      </w:r>
      <w:r w:rsidR="00B9625F" w:rsidRPr="00DE64C0">
        <w:t xml:space="preserve">the </w:t>
      </w:r>
      <w:r w:rsidR="005A406A" w:rsidRPr="00DE64C0">
        <w:t xml:space="preserve">need </w:t>
      </w:r>
      <w:r w:rsidR="00B9625F" w:rsidRPr="00DE64C0">
        <w:t>of</w:t>
      </w:r>
      <w:r w:rsidR="005A406A" w:rsidRPr="00DE64C0">
        <w:t xml:space="preserve"> local South Asian </w:t>
      </w:r>
      <w:r w:rsidR="00B9625F" w:rsidRPr="00DE64C0">
        <w:t>populations</w:t>
      </w:r>
      <w:r w:rsidR="005A406A" w:rsidRPr="00DE64C0">
        <w:t xml:space="preserve">, including delivery through interpreters where required. </w:t>
      </w:r>
      <w:r w:rsidR="00B9625F" w:rsidRPr="00DE64C0">
        <w:t>Educators were trained using an accredited pathway</w:t>
      </w:r>
      <w:r w:rsidR="004F4803" w:rsidRPr="00DE64C0">
        <w:t>,</w:t>
      </w:r>
      <w:r w:rsidR="00B9625F" w:rsidRPr="00DE64C0">
        <w:t xml:space="preserve"> and received ongoing support and quality development </w:t>
      </w:r>
      <w:r w:rsidR="00ED6F9D" w:rsidRPr="00DE64C0">
        <w:t xml:space="preserve">to ensure consistent </w:t>
      </w:r>
      <w:r w:rsidR="00BA3A47" w:rsidRPr="00DE64C0">
        <w:t>delivery</w:t>
      </w:r>
      <w:r w:rsidR="00B9625F" w:rsidRPr="00DE64C0">
        <w:t xml:space="preserve">. </w:t>
      </w:r>
    </w:p>
    <w:p w14:paraId="252EE053" w14:textId="77777777" w:rsidR="006C1587" w:rsidRPr="00DE64C0" w:rsidRDefault="006C1587" w:rsidP="00FF4C5F"/>
    <w:p w14:paraId="1260A114" w14:textId="7E87F785" w:rsidR="009417C4" w:rsidRPr="00DE64C0" w:rsidRDefault="00F753B5" w:rsidP="00FF4C5F">
      <w:r w:rsidRPr="00DE64C0">
        <w:t>P</w:t>
      </w:r>
      <w:r w:rsidR="00B9625F" w:rsidRPr="00DE64C0">
        <w:t>articipant</w:t>
      </w:r>
      <w:r w:rsidR="00BA3A47" w:rsidRPr="00DE64C0">
        <w:t>s</w:t>
      </w:r>
      <w:r w:rsidR="00B9625F" w:rsidRPr="00DE64C0">
        <w:t xml:space="preserve"> </w:t>
      </w:r>
      <w:r w:rsidR="00BA3A47" w:rsidRPr="00DE64C0">
        <w:t>were</w:t>
      </w:r>
      <w:r w:rsidR="00B9625F" w:rsidRPr="00DE64C0">
        <w:t xml:space="preserve"> invited to three</w:t>
      </w:r>
      <w:r w:rsidR="004F4803" w:rsidRPr="00DE64C0">
        <w:t>-</w:t>
      </w:r>
      <w:r w:rsidR="00B9625F" w:rsidRPr="00DE64C0">
        <w:t>hour refresher session</w:t>
      </w:r>
      <w:r w:rsidR="006808CD" w:rsidRPr="00DE64C0">
        <w:t>s</w:t>
      </w:r>
      <w:r w:rsidR="00B9625F" w:rsidRPr="00DE64C0">
        <w:t xml:space="preserve"> at 12 and 24 months to reinforce key messages, review risk factors and </w:t>
      </w:r>
      <w:r w:rsidR="001C788C" w:rsidRPr="00DE64C0">
        <w:t>update</w:t>
      </w:r>
      <w:r w:rsidR="008E06D9" w:rsidRPr="00DE64C0">
        <w:t xml:space="preserve"> </w:t>
      </w:r>
      <w:r w:rsidR="00B9625F" w:rsidRPr="00DE64C0">
        <w:t>action plans.</w:t>
      </w:r>
      <w:r w:rsidR="008871E2" w:rsidRPr="00DE64C0">
        <w:t xml:space="preserve"> </w:t>
      </w:r>
      <w:r w:rsidR="009417C4" w:rsidRPr="00DE64C0">
        <w:t>In addition</w:t>
      </w:r>
      <w:r w:rsidR="001C788C" w:rsidRPr="00DE64C0">
        <w:t>,</w:t>
      </w:r>
      <w:r w:rsidR="009417C4" w:rsidRPr="00DE64C0">
        <w:t xml:space="preserve"> </w:t>
      </w:r>
      <w:r w:rsidR="00B9625F" w:rsidRPr="00DE64C0">
        <w:t xml:space="preserve">participants </w:t>
      </w:r>
      <w:r w:rsidR="009417C4" w:rsidRPr="00DE64C0">
        <w:t>received a</w:t>
      </w:r>
      <w:r w:rsidR="00F01356" w:rsidRPr="00DE64C0">
        <w:t xml:space="preserve"> </w:t>
      </w:r>
      <w:r w:rsidR="00566582" w:rsidRPr="00DE64C0">
        <w:t>15</w:t>
      </w:r>
      <w:r w:rsidR="004F4803" w:rsidRPr="00DE64C0">
        <w:t>-</w:t>
      </w:r>
      <w:r w:rsidR="00F01356" w:rsidRPr="00DE64C0">
        <w:t>minute</w:t>
      </w:r>
      <w:r w:rsidR="009417C4" w:rsidRPr="00DE64C0">
        <w:t xml:space="preserve"> telephone call every three months from</w:t>
      </w:r>
      <w:r w:rsidR="001C3A3A" w:rsidRPr="00DE64C0">
        <w:t xml:space="preserve"> healthcare professionals</w:t>
      </w:r>
      <w:r w:rsidR="009417C4" w:rsidRPr="00DE64C0">
        <w:t xml:space="preserve"> trained to offer on-going support in behaviour change. </w:t>
      </w:r>
      <w:r w:rsidRPr="00DE64C0">
        <w:t>Those who did not attend the initial session were not invited to the refresher sessions, but continued to be followed up.</w:t>
      </w:r>
    </w:p>
    <w:p w14:paraId="6070A525" w14:textId="77777777" w:rsidR="004D45A9" w:rsidRPr="00DE64C0" w:rsidRDefault="004D45A9" w:rsidP="00FF4C5F"/>
    <w:p w14:paraId="20103656" w14:textId="77777777" w:rsidR="00FD3D99" w:rsidRPr="00DE64C0" w:rsidRDefault="001338B2" w:rsidP="00FF4C5F">
      <w:r w:rsidRPr="00DE64C0">
        <w:t xml:space="preserve">Outcome measures </w:t>
      </w:r>
    </w:p>
    <w:p w14:paraId="29015251" w14:textId="09ADB450" w:rsidR="000A5063" w:rsidRPr="00DE64C0" w:rsidRDefault="003A20FD" w:rsidP="00FF4C5F">
      <w:r w:rsidRPr="00DE64C0">
        <w:t xml:space="preserve">All outcomes were measured at the participant level. </w:t>
      </w:r>
      <w:r w:rsidR="001338B2" w:rsidRPr="00DE64C0">
        <w:t xml:space="preserve">The primary outcome was progression to T2DM </w:t>
      </w:r>
      <w:r w:rsidR="009323FC" w:rsidRPr="00DE64C0">
        <w:t>during</w:t>
      </w:r>
      <w:r w:rsidR="001338B2" w:rsidRPr="00DE64C0">
        <w:t xml:space="preserve"> three years</w:t>
      </w:r>
      <w:r w:rsidR="000A5063" w:rsidRPr="00DE64C0">
        <w:t xml:space="preserve">. </w:t>
      </w:r>
      <w:r w:rsidR="009323FC" w:rsidRPr="00DE64C0">
        <w:t>T2DM</w:t>
      </w:r>
      <w:r w:rsidR="000A5063" w:rsidRPr="00DE64C0">
        <w:t xml:space="preserve"> diagnosis was </w:t>
      </w:r>
      <w:r w:rsidR="009323FC" w:rsidRPr="00DE64C0">
        <w:t xml:space="preserve">defined </w:t>
      </w:r>
      <w:r w:rsidR="000A5063" w:rsidRPr="00DE64C0">
        <w:t xml:space="preserve">according to WHO </w:t>
      </w:r>
      <w:r w:rsidR="00C34342" w:rsidRPr="00DE64C0">
        <w:t xml:space="preserve">1999 </w:t>
      </w:r>
      <w:r w:rsidR="000A5063" w:rsidRPr="00DE64C0">
        <w:t>criteria/guidelines.</w:t>
      </w:r>
      <w:r w:rsidR="00362468" w:rsidRPr="00DE64C0">
        <w:fldChar w:fldCharType="begin"/>
      </w:r>
      <w:r w:rsidR="00DC1614" w:rsidRPr="00DE64C0">
        <w:instrText xml:space="preserve"> ADDIN EN.CITE &lt;EndNote&gt;&lt;Cite&gt;&lt;Author&gt;World Health Organisation&lt;/Author&gt;&lt;Year&gt;1999&lt;/Year&gt;&lt;RecNum&gt;48&lt;/RecNum&gt;&lt;DisplayText&gt;(15)&lt;/DisplayText&gt;&lt;record&gt;&lt;rec-number&gt;48&lt;/rec-number&gt;&lt;foreign-keys&gt;&lt;key app="EN" db-id="eevzp0wtbzpeebedtwpperz9vszffvs0tsdt" timestamp="0"&gt;48&lt;/key&gt;&lt;/foreign-keys&gt;&lt;ref-type name="Report"&gt;27&lt;/ref-type&gt;&lt;contributors&gt;&lt;authors&gt;&lt;author&gt;World Health Organisation,&lt;/author&gt;&lt;/authors&gt;&lt;/contributors&gt;&lt;titles&gt;&lt;title&gt;Definition, Diagnosis, and Classification of Diabetes Mellitus and its Complications. Report of a WHO consultation. Part 1: Diagnosis and Classification of Diabetes Mellitus&lt;/title&gt;&lt;/titles&gt;&lt;dates&gt;&lt;year&gt;1999&lt;/year&gt;&lt;/dates&gt;&lt;pub-location&gt;Geneva&lt;/pub-location&gt;&lt;publisher&gt;World Health Organisation&lt;/publisher&gt;&lt;work-type&gt;Report&lt;/work-type&gt;&lt;urls&gt;&lt;/urls&gt;&lt;/record&gt;&lt;/Cite&gt;&lt;/EndNote&gt;</w:instrText>
      </w:r>
      <w:r w:rsidR="00362468" w:rsidRPr="00DE64C0">
        <w:fldChar w:fldCharType="separate"/>
      </w:r>
      <w:r w:rsidR="00923110" w:rsidRPr="00DE64C0">
        <w:rPr>
          <w:noProof/>
        </w:rPr>
        <w:t>(15)</w:t>
      </w:r>
      <w:r w:rsidR="00362468" w:rsidRPr="00DE64C0">
        <w:fldChar w:fldCharType="end"/>
      </w:r>
      <w:r w:rsidR="000A5063" w:rsidRPr="00DE64C0">
        <w:t xml:space="preserve"> </w:t>
      </w:r>
      <w:r w:rsidR="00F24398" w:rsidRPr="00DE64C0">
        <w:t>P</w:t>
      </w:r>
      <w:r w:rsidR="009323FC" w:rsidRPr="00DE64C0">
        <w:t>articipants</w:t>
      </w:r>
      <w:r w:rsidR="000A5063" w:rsidRPr="00DE64C0">
        <w:t xml:space="preserve"> without symptoms of diabetes in whom the initial OG</w:t>
      </w:r>
      <w:r w:rsidR="00F24398" w:rsidRPr="00DE64C0">
        <w:t>TT showed T2DM were</w:t>
      </w:r>
      <w:r w:rsidR="000A5063" w:rsidRPr="00DE64C0">
        <w:t xml:space="preserve"> re-called for a second </w:t>
      </w:r>
      <w:r w:rsidR="00585725" w:rsidRPr="00DE64C0">
        <w:t xml:space="preserve">test </w:t>
      </w:r>
      <w:r w:rsidR="000A5063" w:rsidRPr="00DE64C0">
        <w:t>to</w:t>
      </w:r>
      <w:r w:rsidR="0048488C" w:rsidRPr="00DE64C0">
        <w:t xml:space="preserve"> confirm </w:t>
      </w:r>
      <w:r w:rsidR="00F24398" w:rsidRPr="00DE64C0">
        <w:t>the diagnosis</w:t>
      </w:r>
      <w:r w:rsidR="0048488C" w:rsidRPr="00DE64C0">
        <w:rPr>
          <w:color w:val="000000" w:themeColor="text1"/>
        </w:rPr>
        <w:t xml:space="preserve">. </w:t>
      </w:r>
      <w:r w:rsidR="00F24398" w:rsidRPr="00DE64C0">
        <w:rPr>
          <w:color w:val="000000" w:themeColor="text1"/>
        </w:rPr>
        <w:t>Participants</w:t>
      </w:r>
      <w:r w:rsidR="0048488C" w:rsidRPr="00DE64C0">
        <w:rPr>
          <w:color w:val="000000" w:themeColor="text1"/>
        </w:rPr>
        <w:t xml:space="preserve"> found to </w:t>
      </w:r>
      <w:r w:rsidR="0048488C" w:rsidRPr="00DE64C0">
        <w:rPr>
          <w:color w:val="000000" w:themeColor="text1"/>
        </w:rPr>
        <w:lastRenderedPageBreak/>
        <w:t xml:space="preserve">have </w:t>
      </w:r>
      <w:r w:rsidR="00F24398" w:rsidRPr="00DE64C0">
        <w:rPr>
          <w:color w:val="000000" w:themeColor="text1"/>
        </w:rPr>
        <w:t>T2DM</w:t>
      </w:r>
      <w:r w:rsidR="0048488C" w:rsidRPr="00DE64C0">
        <w:rPr>
          <w:color w:val="000000" w:themeColor="text1"/>
        </w:rPr>
        <w:t xml:space="preserve"> at </w:t>
      </w:r>
      <w:r w:rsidR="001B6BCB" w:rsidRPr="00DE64C0">
        <w:rPr>
          <w:color w:val="000000" w:themeColor="text1"/>
        </w:rPr>
        <w:t>baseline</w:t>
      </w:r>
      <w:r w:rsidR="0048488C" w:rsidRPr="00DE64C0">
        <w:rPr>
          <w:color w:val="000000" w:themeColor="text1"/>
        </w:rPr>
        <w:t xml:space="preserve"> were excluded. </w:t>
      </w:r>
      <w:r w:rsidR="00C74086" w:rsidRPr="00DE64C0">
        <w:t xml:space="preserve">Following the update of the WHO diagnostic criteria to include HbA1c </w:t>
      </w:r>
      <w:r w:rsidR="00362468" w:rsidRPr="00DE64C0">
        <w:fldChar w:fldCharType="begin"/>
      </w:r>
      <w:r w:rsidR="00DC1614" w:rsidRPr="00DE64C0">
        <w:instrText xml:space="preserve"> ADDIN EN.CITE &lt;EndNote&gt;&lt;Cite&gt;&lt;Author&gt;World Health Organisation&lt;/Author&gt;&lt;Year&gt;2011&lt;/Year&gt;&lt;RecNum&gt;79&lt;/RecNum&gt;&lt;DisplayText&gt;(18)&lt;/DisplayText&gt;&lt;record&gt;&lt;rec-number&gt;79&lt;/rec-number&gt;&lt;foreign-keys&gt;&lt;key app="EN" db-id="eevzp0wtbzpeebedtwpperz9vszffvs0tsdt" timestamp="0"&gt;79&lt;/key&gt;&lt;/foreign-keys&gt;&lt;ref-type name="Report"&gt;27&lt;/ref-type&gt;&lt;contributors&gt;&lt;authors&gt;&lt;author&gt;World Health Organisation,&lt;/author&gt;&lt;/authors&gt;&lt;secondary-authors&gt;&lt;author&gt;World Health Organisation,&lt;/author&gt;&lt;/secondary-authors&gt;&lt;/contributors&gt;&lt;titles&gt;&lt;title&gt;Use of glycated haemoglobin (HbA1c) in the diagnosis of diabetes mellitus&lt;/title&gt;&lt;/titles&gt;&lt;dates&gt;&lt;year&gt;2011&lt;/year&gt;&lt;/dates&gt;&lt;pub-location&gt;Geneva&lt;/pub-location&gt;&lt;urls&gt;&lt;/urls&gt;&lt;/record&gt;&lt;/Cite&gt;&lt;/EndNote&gt;</w:instrText>
      </w:r>
      <w:r w:rsidR="00362468" w:rsidRPr="00DE64C0">
        <w:fldChar w:fldCharType="separate"/>
      </w:r>
      <w:r w:rsidR="00923110" w:rsidRPr="00DE64C0">
        <w:rPr>
          <w:noProof/>
        </w:rPr>
        <w:t>(18)</w:t>
      </w:r>
      <w:r w:rsidR="00362468" w:rsidRPr="00DE64C0">
        <w:fldChar w:fldCharType="end"/>
      </w:r>
      <w:r w:rsidR="006741AC" w:rsidRPr="00DE64C0">
        <w:t xml:space="preserve">  </w:t>
      </w:r>
      <w:r w:rsidR="00C74086" w:rsidRPr="00DE64C0">
        <w:t>we obtained</w:t>
      </w:r>
      <w:r w:rsidR="006741AC" w:rsidRPr="00DE64C0">
        <w:t xml:space="preserve"> </w:t>
      </w:r>
      <w:r w:rsidR="000A5063" w:rsidRPr="00DE64C0">
        <w:t>a protocol amendment in January 2013</w:t>
      </w:r>
      <w:r w:rsidR="006741AC" w:rsidRPr="00DE64C0">
        <w:t xml:space="preserve"> allowing </w:t>
      </w:r>
      <w:r w:rsidR="000A5063" w:rsidRPr="00DE64C0">
        <w:t>HbA1c ≥6.5%</w:t>
      </w:r>
      <w:r w:rsidR="006741AC" w:rsidRPr="00DE64C0">
        <w:t xml:space="preserve"> to become part of diagnostic criteria for </w:t>
      </w:r>
      <w:r w:rsidR="008D7191" w:rsidRPr="00DE64C0">
        <w:t>T2DM</w:t>
      </w:r>
      <w:r w:rsidR="00624DDB" w:rsidRPr="00DE64C0">
        <w:t xml:space="preserve"> within this study.</w:t>
      </w:r>
      <w:r w:rsidR="000A5063" w:rsidRPr="00DE64C0">
        <w:t xml:space="preserve"> </w:t>
      </w:r>
      <w:r w:rsidR="00C74086" w:rsidRPr="00DE64C0">
        <w:t>Therefore</w:t>
      </w:r>
      <w:r w:rsidR="000A5063" w:rsidRPr="00DE64C0">
        <w:t xml:space="preserve"> T2DM was diagnosed using OGTT prior to January 2013, and with either an</w:t>
      </w:r>
      <w:r w:rsidR="001C3A3A" w:rsidRPr="00DE64C0">
        <w:t xml:space="preserve"> </w:t>
      </w:r>
      <w:r w:rsidR="000A5063" w:rsidRPr="00DE64C0">
        <w:t xml:space="preserve">OGTT or HbA1c post January 2013. </w:t>
      </w:r>
      <w:r w:rsidR="005A1E19" w:rsidRPr="00DE64C0">
        <w:t>P</w:t>
      </w:r>
      <w:r w:rsidR="000A5063" w:rsidRPr="00DE64C0">
        <w:t>articipants and their GP were informed of the results</w:t>
      </w:r>
      <w:r w:rsidR="000A5063" w:rsidRPr="00DE64C0">
        <w:rPr>
          <w:color w:val="000000" w:themeColor="text1"/>
        </w:rPr>
        <w:t xml:space="preserve">. </w:t>
      </w:r>
      <w:r w:rsidR="004F1AE8" w:rsidRPr="00DE64C0">
        <w:rPr>
          <w:color w:val="000000" w:themeColor="text1"/>
        </w:rPr>
        <w:t xml:space="preserve">Diagnosis of </w:t>
      </w:r>
      <w:r w:rsidR="008D7191" w:rsidRPr="00DE64C0">
        <w:rPr>
          <w:color w:val="000000" w:themeColor="text1"/>
        </w:rPr>
        <w:t>T2DM</w:t>
      </w:r>
      <w:r w:rsidR="004F1AE8" w:rsidRPr="00DE64C0">
        <w:rPr>
          <w:color w:val="000000" w:themeColor="text1"/>
        </w:rPr>
        <w:t xml:space="preserve"> within primary care was also captured by self-report followed by confirmation through GP records. </w:t>
      </w:r>
      <w:r w:rsidR="000A5063" w:rsidRPr="00DE64C0">
        <w:rPr>
          <w:color w:val="000000" w:themeColor="text1"/>
        </w:rPr>
        <w:t xml:space="preserve">Participants </w:t>
      </w:r>
      <w:r w:rsidR="001C3A3A" w:rsidRPr="00DE64C0">
        <w:t xml:space="preserve">diagnosed with </w:t>
      </w:r>
      <w:r w:rsidR="00482CFE" w:rsidRPr="00DE64C0">
        <w:t xml:space="preserve">T2DM </w:t>
      </w:r>
      <w:r w:rsidR="0048488C" w:rsidRPr="00DE64C0">
        <w:t xml:space="preserve">after </w:t>
      </w:r>
      <w:r w:rsidR="001B6BCB" w:rsidRPr="00DE64C0">
        <w:t xml:space="preserve">baseline </w:t>
      </w:r>
      <w:r w:rsidR="000A5063" w:rsidRPr="00DE64C0">
        <w:t xml:space="preserve">remained in the study to complete the questionnaires and other biomedical </w:t>
      </w:r>
      <w:r w:rsidR="00EC7784" w:rsidRPr="00DE64C0">
        <w:t>data</w:t>
      </w:r>
      <w:r w:rsidR="005A1E19" w:rsidRPr="00DE64C0">
        <w:t>, but</w:t>
      </w:r>
      <w:r w:rsidR="000A5063" w:rsidRPr="00DE64C0">
        <w:t xml:space="preserve"> did not undertake further OGTT</w:t>
      </w:r>
      <w:r w:rsidR="004F1AE8" w:rsidRPr="00DE64C0">
        <w:t>s</w:t>
      </w:r>
      <w:r w:rsidR="000A5063" w:rsidRPr="00DE64C0">
        <w:t xml:space="preserve">. </w:t>
      </w:r>
    </w:p>
    <w:p w14:paraId="26FCF7A2" w14:textId="77777777" w:rsidR="004F4803" w:rsidRPr="00DE64C0" w:rsidRDefault="004F4803" w:rsidP="00FF4C5F"/>
    <w:p w14:paraId="7FA02C27" w14:textId="3E38784C" w:rsidR="00EC7784" w:rsidRPr="00DE64C0" w:rsidRDefault="008314F6" w:rsidP="00FF4C5F">
      <w:r w:rsidRPr="00DE64C0">
        <w:t xml:space="preserve">A full list of the </w:t>
      </w:r>
      <w:r w:rsidR="009323FC" w:rsidRPr="00DE64C0">
        <w:t xml:space="preserve">secondary </w:t>
      </w:r>
      <w:r w:rsidRPr="00DE64C0">
        <w:t xml:space="preserve">outcomes assessed at each time point is described </w:t>
      </w:r>
      <w:r w:rsidR="00CC2D8E" w:rsidRPr="00DE64C0">
        <w:t>elsewhere</w:t>
      </w:r>
      <w:r w:rsidRPr="00DE64C0">
        <w:t xml:space="preserve"> </w:t>
      </w:r>
      <w:r w:rsidR="00CC2D8E" w:rsidRPr="00DE64C0">
        <w:fldChar w:fldCharType="begin"/>
      </w:r>
      <w:r w:rsidR="00DC1614" w:rsidRPr="00DE64C0">
        <w:instrText xml:space="preserve"> ADDIN EN.CITE &lt;EndNote&gt;&lt;Cite&gt;&lt;Author&gt;Gray&lt;/Author&gt;&lt;Year&gt;2012&lt;/Year&gt;&lt;RecNum&gt;187&lt;/RecNum&gt;&lt;DisplayText&gt;(13)&lt;/DisplayText&gt;&lt;record&gt;&lt;rec-number&gt;187&lt;/rec-number&gt;&lt;foreign-keys&gt;&lt;key app="EN" db-id="eevzp0wtbzpeebedtwpperz9vszffvs0tsdt" timestamp="0"&gt;187&lt;/key&gt;&lt;/foreign-keys&gt;&lt;ref-type name="Journal Article"&gt;17&lt;/ref-type&gt;&lt;contributors&gt;&lt;authors&gt;&lt;author&gt;Gray, L.J.&lt;/author&gt;&lt;author&gt;Khunti , K.&lt;/author&gt;&lt;author&gt;Williams, S.&lt;/author&gt;&lt;author&gt;Goldby, S.&lt;/author&gt;&lt;author&gt;Troughton, J.&lt;/author&gt;&lt;author&gt;Yates, T.&lt;/author&gt;&lt;author&gt;Gray, A.&lt;/author&gt;&lt;author&gt;Davies, M.&lt;/author&gt;&lt;author&gt;for the Let’s Prevent Collaborators,&lt;/author&gt;&lt;/authors&gt;&lt;/contributors&gt;&lt;titles&gt;&lt;title&gt;Let’s Prevent Diabetes: study protocol for a cluster randomised controlled trial of an educational intervention in a multi-ethnic UK population with screen detected impaired glucose regulation. &lt;/title&gt;&lt;secondary-title&gt;Cardiovascular Diabetology&lt;/secondary-title&gt;&lt;/titles&gt;&lt;dates&gt;&lt;year&gt;2012&lt;/year&gt;&lt;/dates&gt;&lt;urls&gt;&lt;/urls&gt;&lt;/record&gt;&lt;/Cite&gt;&lt;/EndNote&gt;</w:instrText>
      </w:r>
      <w:r w:rsidR="00CC2D8E" w:rsidRPr="00DE64C0">
        <w:fldChar w:fldCharType="separate"/>
      </w:r>
      <w:r w:rsidR="00923110" w:rsidRPr="00DE64C0">
        <w:rPr>
          <w:noProof/>
        </w:rPr>
        <w:t>(13)</w:t>
      </w:r>
      <w:r w:rsidR="00CC2D8E" w:rsidRPr="00DE64C0">
        <w:fldChar w:fldCharType="end"/>
      </w:r>
      <w:r w:rsidR="00ED073F" w:rsidRPr="00DE64C0">
        <w:t>,</w:t>
      </w:r>
      <w:r w:rsidRPr="00DE64C0">
        <w:t xml:space="preserve"> </w:t>
      </w:r>
      <w:r w:rsidR="00ED073F" w:rsidRPr="00DE64C0">
        <w:t>these included</w:t>
      </w:r>
      <w:r w:rsidR="004709C0" w:rsidRPr="00DE64C0">
        <w:t xml:space="preserve">: lipid levels, HbA1c, </w:t>
      </w:r>
      <w:r w:rsidR="005A1E19" w:rsidRPr="00DE64C0">
        <w:t>m</w:t>
      </w:r>
      <w:r w:rsidR="004709C0" w:rsidRPr="00DE64C0">
        <w:t xml:space="preserve">edical and medication history, blood pressure, weight, waist and body mass index (BMI). Participants also completed a questionnaire containing a number of validated questionnaires which assessed </w:t>
      </w:r>
      <w:r w:rsidR="00102E4B" w:rsidRPr="00DE64C0">
        <w:t xml:space="preserve">total </w:t>
      </w:r>
      <w:r w:rsidR="004709C0" w:rsidRPr="00DE64C0">
        <w:t>self-reported physical activity</w:t>
      </w:r>
      <w:r w:rsidR="004F4803" w:rsidRPr="00DE64C0">
        <w:t>, subsequently</w:t>
      </w:r>
      <w:r w:rsidR="00102E4B" w:rsidRPr="00DE64C0">
        <w:t xml:space="preserve"> reported as </w:t>
      </w:r>
      <w:r w:rsidR="001C3A3A" w:rsidRPr="00DE64C0">
        <w:t>metabolic equivalent minutes per week</w:t>
      </w:r>
      <w:r w:rsidR="00102E4B" w:rsidRPr="00DE64C0">
        <w:t xml:space="preserve"> (</w:t>
      </w:r>
      <w:proofErr w:type="spellStart"/>
      <w:r w:rsidR="00102E4B" w:rsidRPr="00DE64C0">
        <w:t>METS</w:t>
      </w:r>
      <w:r w:rsidR="001C3A3A" w:rsidRPr="00DE64C0">
        <w:t>.mins</w:t>
      </w:r>
      <w:proofErr w:type="spellEnd"/>
      <w:r w:rsidR="001C3A3A" w:rsidRPr="00DE64C0">
        <w:t>/</w:t>
      </w:r>
      <w:proofErr w:type="spellStart"/>
      <w:r w:rsidR="001C3A3A" w:rsidRPr="00DE64C0">
        <w:t>wk</w:t>
      </w:r>
      <w:proofErr w:type="spellEnd"/>
      <w:r w:rsidR="00102E4B" w:rsidRPr="00DE64C0">
        <w:t>)</w:t>
      </w:r>
      <w:r w:rsidR="004709C0" w:rsidRPr="00DE64C0">
        <w:t>,</w:t>
      </w:r>
      <w:r w:rsidR="00362468" w:rsidRPr="00DE64C0">
        <w:fldChar w:fldCharType="begin"/>
      </w:r>
      <w:r w:rsidR="00DC1614" w:rsidRPr="00DE64C0">
        <w:instrText xml:space="preserve"> ADDIN EN.CITE &lt;EndNote&gt;&lt;Cite&gt;&lt;Author&gt;Craig&lt;/Author&gt;&lt;Year&gt;2003&lt;/Year&gt;&lt;RecNum&gt;138&lt;/RecNum&gt;&lt;DisplayText&gt;(19)&lt;/DisplayText&gt;&lt;record&gt;&lt;rec-number&gt;138&lt;/rec-number&gt;&lt;foreign-keys&gt;&lt;key app="EN" db-id="eevzp0wtbzpeebedtwpperz9vszffvs0tsdt" timestamp="0"&gt;138&lt;/key&gt;&lt;/foreign-keys&gt;&lt;ref-type name="Journal Article"&gt;17&lt;/ref-type&gt;&lt;contributors&gt;&lt;authors&gt;&lt;author&gt;Craig, C.L. &lt;/author&gt;&lt;author&gt;Marshall, A.L. &lt;/author&gt;&lt;author&gt;Sjöström, M. &lt;/author&gt;&lt;author&gt;Bauman, A.E. &lt;/author&gt;&lt;author&gt;Booth, M.L.&lt;/author&gt;&lt;author&gt;Ainsworth, B.E. &lt;/author&gt;&lt;author&gt;Pratt, M. &lt;/author&gt;&lt;author&gt;Ekelund, U. &lt;/author&gt;&lt;author&gt;Yngve, A. &lt;/author&gt;&lt;author&gt;Sallis, J.F. &lt;/author&gt;&lt;author&gt;Oja, P. &lt;/author&gt;&lt;/authors&gt;&lt;/contributors&gt;&lt;titles&gt;&lt;title&gt;International physical activity questionnaire: 12-country reliability and validity.&lt;/title&gt;&lt;secondary-title&gt;Medicine and Science in Sports and Exercise&lt;/secondary-title&gt;&lt;/titles&gt;&lt;pages&gt;1381-1395&lt;/pages&gt;&lt;volume&gt;35&lt;/volume&gt;&lt;dates&gt;&lt;year&gt;2003&lt;/year&gt;&lt;/dates&gt;&lt;urls&gt;&lt;/urls&gt;&lt;/record&gt;&lt;/Cite&gt;&lt;/EndNote&gt;</w:instrText>
      </w:r>
      <w:r w:rsidR="00362468" w:rsidRPr="00DE64C0">
        <w:fldChar w:fldCharType="separate"/>
      </w:r>
      <w:r w:rsidR="00923110" w:rsidRPr="00DE64C0">
        <w:rPr>
          <w:noProof/>
        </w:rPr>
        <w:t>(19)</w:t>
      </w:r>
      <w:r w:rsidR="00362468" w:rsidRPr="00DE64C0">
        <w:fldChar w:fldCharType="end"/>
      </w:r>
      <w:r w:rsidR="004709C0" w:rsidRPr="00DE64C0">
        <w:t xml:space="preserve"> diet</w:t>
      </w:r>
      <w:r w:rsidR="00E5414A" w:rsidRPr="00DE64C0">
        <w:t xml:space="preserve"> </w:t>
      </w:r>
      <w:r w:rsidR="001C3A3A" w:rsidRPr="00DE64C0">
        <w:t>reported as a unit</w:t>
      </w:r>
      <w:r w:rsidR="009323FC" w:rsidRPr="00DE64C0">
        <w:t>-</w:t>
      </w:r>
      <w:r w:rsidR="001C3A3A" w:rsidRPr="00DE64C0">
        <w:t xml:space="preserve">less fibre, </w:t>
      </w:r>
      <w:r w:rsidR="007E430A" w:rsidRPr="00DE64C0">
        <w:t>total</w:t>
      </w:r>
      <w:r w:rsidR="001C3A3A" w:rsidRPr="00DE64C0">
        <w:t xml:space="preserve"> fat and unsaturated fat score</w:t>
      </w:r>
      <w:r w:rsidR="004709C0" w:rsidRPr="00DE64C0">
        <w:t>,</w:t>
      </w:r>
      <w:r w:rsidR="00362468" w:rsidRPr="00DE64C0">
        <w:fldChar w:fldCharType="begin"/>
      </w:r>
      <w:r w:rsidR="00DC1614" w:rsidRPr="00DE64C0">
        <w:instrText xml:space="preserve"> ADDIN EN.CITE &lt;EndNote&gt;&lt;Cite&gt;&lt;Author&gt;Roe&lt;/Author&gt;&lt;Year&gt;1994&lt;/Year&gt;&lt;RecNum&gt;134&lt;/RecNum&gt;&lt;DisplayText&gt;(20)&lt;/DisplayText&gt;&lt;record&gt;&lt;rec-number&gt;134&lt;/rec-number&gt;&lt;foreign-keys&gt;&lt;key app="EN" db-id="eevzp0wtbzpeebedtwpperz9vszffvs0tsdt" timestamp="0"&gt;134&lt;/key&gt;&lt;/foreign-keys&gt;&lt;ref-type name="Journal Article"&gt;17&lt;/ref-type&gt;&lt;contributors&gt;&lt;authors&gt;&lt;author&gt;Roe, L. &lt;/author&gt;&lt;author&gt;Strong, C. &lt;/author&gt;&lt;author&gt;Whiteside, C. &lt;/author&gt;&lt;author&gt;Neil, A. &lt;/author&gt;&lt;author&gt;Mant, D. &lt;/author&gt;&lt;/authors&gt;&lt;/contributors&gt;&lt;titles&gt;&lt;title&gt;Dietary intervention in primary care: Validity of the DINE method for diet assessment.&lt;/title&gt;&lt;secondary-title&gt;Family practice &lt;/secondary-title&gt;&lt;/titles&gt;&lt;pages&gt;375-381&lt;/pages&gt;&lt;volume&gt;11&lt;/volume&gt;&lt;dates&gt;&lt;year&gt;1994&lt;/year&gt;&lt;/dates&gt;&lt;urls&gt;&lt;/urls&gt;&lt;/record&gt;&lt;/Cite&gt;&lt;/EndNote&gt;</w:instrText>
      </w:r>
      <w:r w:rsidR="00362468" w:rsidRPr="00DE64C0">
        <w:fldChar w:fldCharType="separate"/>
      </w:r>
      <w:r w:rsidR="00923110" w:rsidRPr="00DE64C0">
        <w:rPr>
          <w:noProof/>
        </w:rPr>
        <w:t>(20)</w:t>
      </w:r>
      <w:r w:rsidR="00362468" w:rsidRPr="00DE64C0">
        <w:fldChar w:fldCharType="end"/>
      </w:r>
      <w:r w:rsidR="004709C0" w:rsidRPr="00DE64C0">
        <w:t xml:space="preserve"> illness beliefs,</w:t>
      </w:r>
      <w:r w:rsidR="00362468" w:rsidRPr="00DE64C0">
        <w:fldChar w:fldCharType="begin"/>
      </w:r>
      <w:r w:rsidR="00DC1614" w:rsidRPr="00DE64C0">
        <w:instrText xml:space="preserve"> ADDIN EN.CITE &lt;EndNote&gt;&lt;Cite&gt;&lt;Author&gt;Broadbent&lt;/Author&gt;&lt;Year&gt;2006&lt;/Year&gt;&lt;RecNum&gt;137&lt;/RecNum&gt;&lt;DisplayText&gt;(21)&lt;/DisplayText&gt;&lt;record&gt;&lt;rec-number&gt;137&lt;/rec-number&gt;&lt;foreign-keys&gt;&lt;key app="EN" db-id="eevzp0wtbzpeebedtwpperz9vszffvs0tsdt" timestamp="0"&gt;137&lt;/key&gt;&lt;/foreign-keys&gt;&lt;ref-type name="Journal Article"&gt;17&lt;/ref-type&gt;&lt;contributors&gt;&lt;authors&gt;&lt;author&gt;Broadbent, E. &lt;/author&gt;&lt;author&gt;Petrie, K.J.&lt;/author&gt;&lt;author&gt;Main, J.&lt;/author&gt;&lt;author&gt;Weinman, J.&lt;/author&gt;&lt;/authors&gt;&lt;/contributors&gt;&lt;titles&gt;&lt;title&gt;The brief illness perception questionnaire&lt;/title&gt;&lt;secondary-title&gt;Journal of Psychosomatic Research&lt;/secondary-title&gt;&lt;/titles&gt;&lt;pages&gt;631-637&lt;/pages&gt;&lt;volume&gt;60&lt;/volume&gt;&lt;dates&gt;&lt;year&gt;2006&lt;/year&gt;&lt;/dates&gt;&lt;urls&gt;&lt;/urls&gt;&lt;/record&gt;&lt;/Cite&gt;&lt;/EndNote&gt;</w:instrText>
      </w:r>
      <w:r w:rsidR="00362468" w:rsidRPr="00DE64C0">
        <w:fldChar w:fldCharType="separate"/>
      </w:r>
      <w:r w:rsidR="00923110" w:rsidRPr="00DE64C0">
        <w:rPr>
          <w:noProof/>
        </w:rPr>
        <w:t>(21)</w:t>
      </w:r>
      <w:r w:rsidR="00362468" w:rsidRPr="00DE64C0">
        <w:fldChar w:fldCharType="end"/>
      </w:r>
      <w:r w:rsidR="004709C0" w:rsidRPr="00DE64C0">
        <w:t xml:space="preserve"> anxiety and depression,</w:t>
      </w:r>
      <w:r w:rsidR="00362468" w:rsidRPr="00DE64C0">
        <w:fldChar w:fldCharType="begin"/>
      </w:r>
      <w:r w:rsidR="00DC1614" w:rsidRPr="00DE64C0">
        <w:instrText xml:space="preserve"> ADDIN EN.CITE &lt;EndNote&gt;&lt;Cite&gt;&lt;Author&gt;Zigmond&lt;/Author&gt;&lt;Year&gt;2006&lt;/Year&gt;&lt;RecNum&gt;136&lt;/RecNum&gt;&lt;DisplayText&gt;(22)&lt;/DisplayText&gt;&lt;record&gt;&lt;rec-number&gt;136&lt;/rec-number&gt;&lt;foreign-keys&gt;&lt;key app="EN" db-id="eevzp0wtbzpeebedtwpperz9vszffvs0tsdt" timestamp="0"&gt;136&lt;/key&gt;&lt;/foreign-keys&gt;&lt;ref-type name="Journal Article"&gt;17&lt;/ref-type&gt;&lt;contributors&gt;&lt;authors&gt;&lt;author&gt;Zigmond, A.S.&lt;/author&gt;&lt;author&gt;Snaith, R.P.&lt;/author&gt;&lt;/authors&gt;&lt;/contributors&gt;&lt;titles&gt;&lt;title&gt;The hospital anxiety and depression scale&lt;/title&gt;&lt;secondary-title&gt;Acta Psychiatr Scand&lt;/secondary-title&gt;&lt;/titles&gt;&lt;pages&gt;361-70&lt;/pages&gt;&lt;volume&gt;67&lt;/volume&gt;&lt;dates&gt;&lt;year&gt;2006&lt;/year&gt;&lt;/dates&gt;&lt;urls&gt;&lt;/urls&gt;&lt;/record&gt;&lt;/Cite&gt;&lt;/EndNote&gt;</w:instrText>
      </w:r>
      <w:r w:rsidR="00362468" w:rsidRPr="00DE64C0">
        <w:fldChar w:fldCharType="separate"/>
      </w:r>
      <w:r w:rsidR="00923110" w:rsidRPr="00DE64C0">
        <w:rPr>
          <w:noProof/>
        </w:rPr>
        <w:t>(22)</w:t>
      </w:r>
      <w:r w:rsidR="00362468" w:rsidRPr="00DE64C0">
        <w:fldChar w:fldCharType="end"/>
      </w:r>
      <w:r w:rsidR="004709C0" w:rsidRPr="00DE64C0">
        <w:t xml:space="preserve"> quality of life</w:t>
      </w:r>
      <w:r w:rsidR="00362468" w:rsidRPr="00DE64C0">
        <w:fldChar w:fldCharType="begin"/>
      </w:r>
      <w:r w:rsidR="00DC1614" w:rsidRPr="00DE64C0">
        <w:instrText xml:space="preserve"> ADDIN EN.CITE &lt;EndNote&gt;&lt;Cite&gt;&lt;Author&gt;Sintonen H&lt;/Author&gt;&lt;Year&gt;1993&lt;/Year&gt;&lt;RecNum&gt;135&lt;/RecNum&gt;&lt;DisplayText&gt;(23)&lt;/DisplayText&gt;&lt;record&gt;&lt;rec-number&gt;135&lt;/rec-number&gt;&lt;foreign-keys&gt;&lt;key app="EN" db-id="eevzp0wtbzpeebedtwpperz9vszffvs0tsdt" timestamp="0"&gt;135&lt;/key&gt;&lt;/foreign-keys&gt;&lt;ref-type name="Book Section"&gt;5&lt;/ref-type&gt;&lt;contributors&gt;&lt;authors&gt;&lt;author&gt;Sintonen H, &lt;/author&gt;&lt;author&gt;Pekurinen M,&lt;/author&gt;&lt;/authors&gt;&lt;secondary-authors&gt;&lt;author&gt;Walker, S.R&lt;/author&gt;&lt;author&gt;Rosser, R.M&lt;/author&gt;&lt;/secondary-authors&gt;&lt;/contributors&gt;&lt;titles&gt;&lt;title&gt;A fifteen-dimensional measure of health-related quality of life (15D) and its applications&lt;/title&gt;&lt;secondary-title&gt;Quality of Life Assessment: Key Issues in the 1990s&lt;/secondary-title&gt;&lt;/titles&gt;&lt;pages&gt; 185-195&lt;/pages&gt;&lt;dates&gt;&lt;year&gt;1993&lt;/year&gt;&lt;/dates&gt;&lt;pub-location&gt;Dordrecht&lt;/pub-location&gt;&lt;publisher&gt;Kluwer Academic Publishers&lt;/publisher&gt;&lt;urls&gt;&lt;/urls&gt;&lt;/record&gt;&lt;/Cite&gt;&lt;/EndNote&gt;</w:instrText>
      </w:r>
      <w:r w:rsidR="00362468" w:rsidRPr="00DE64C0">
        <w:fldChar w:fldCharType="separate"/>
      </w:r>
      <w:r w:rsidR="00923110" w:rsidRPr="00DE64C0">
        <w:rPr>
          <w:noProof/>
        </w:rPr>
        <w:t>(23)</w:t>
      </w:r>
      <w:r w:rsidR="00362468" w:rsidRPr="00DE64C0">
        <w:fldChar w:fldCharType="end"/>
      </w:r>
      <w:r w:rsidR="00E5414A" w:rsidRPr="00DE64C0">
        <w:t xml:space="preserve"> </w:t>
      </w:r>
      <w:r w:rsidR="005A1E19" w:rsidRPr="00DE64C0">
        <w:t xml:space="preserve">and </w:t>
      </w:r>
      <w:r w:rsidR="00E5414A" w:rsidRPr="00DE64C0">
        <w:t>sleep pattern</w:t>
      </w:r>
      <w:r w:rsidR="005A1E19" w:rsidRPr="00DE64C0">
        <w:t>;</w:t>
      </w:r>
      <w:r w:rsidR="004709C0" w:rsidRPr="00DE64C0">
        <w:t xml:space="preserve"> resource usage data </w:t>
      </w:r>
      <w:r w:rsidR="005A1E19" w:rsidRPr="00DE64C0">
        <w:t>and</w:t>
      </w:r>
      <w:r w:rsidR="004709C0" w:rsidRPr="00DE64C0">
        <w:t xml:space="preserve"> EQ-5D</w:t>
      </w:r>
      <w:r w:rsidR="005A1E19" w:rsidRPr="00DE64C0">
        <w:t xml:space="preserve"> responses</w:t>
      </w:r>
      <w:r w:rsidR="004709C0" w:rsidRPr="00DE64C0">
        <w:t xml:space="preserve"> </w:t>
      </w:r>
      <w:r w:rsidR="005A1E19" w:rsidRPr="00DE64C0">
        <w:t xml:space="preserve">were also collected </w:t>
      </w:r>
      <w:r w:rsidR="000858E8" w:rsidRPr="00DE64C0">
        <w:t>for the cost-</w:t>
      </w:r>
      <w:r w:rsidR="004709C0" w:rsidRPr="00DE64C0">
        <w:t>effectiveness analysis.</w:t>
      </w:r>
      <w:r w:rsidR="00362468" w:rsidRPr="00DE64C0">
        <w:fldChar w:fldCharType="begin"/>
      </w:r>
      <w:r w:rsidR="00DC1614" w:rsidRPr="00DE64C0">
        <w:instrText xml:space="preserve"> ADDIN EN.CITE &lt;EndNote&gt;&lt;Cite&gt;&lt;Author&gt;Gusi&lt;/Author&gt;&lt;Year&gt;2010&lt;/Year&gt;&lt;RecNum&gt;573&lt;/RecNum&gt;&lt;DisplayText&gt;(24)&lt;/DisplayText&gt;&lt;record&gt;&lt;rec-number&gt;573&lt;/rec-number&gt;&lt;foreign-keys&gt;&lt;key app="EN" db-id="eevzp0wtbzpeebedtwpperz9vszffvs0tsdt" timestamp="0"&gt;573&lt;/key&gt;&lt;/foreign-keys&gt;&lt;ref-type name="Book Section"&gt;5&lt;/ref-type&gt;&lt;contributors&gt;&lt;authors&gt;&lt;author&gt;Gusi, N.&lt;/author&gt;&lt;author&gt;Olivares, P.R.&lt;/author&gt;&lt;author&gt;Rajendram, R.&lt;/author&gt;&lt;/authors&gt;&lt;secondary-authors&gt;&lt;author&gt;Victor R Preedy.&lt;/author&gt;&lt;author&gt;Ronald R Watson.&lt;/author&gt;&lt;/secondary-authors&gt;&lt;/contributors&gt;&lt;titles&gt;&lt;title&gt;The EQ-5D Health-Related Quality of Life Questionnaire&lt;/title&gt;&lt;secondary-title&gt;Handbook of Disease Burdens and Quality of Life Measures &lt;/secondary-title&gt;&lt;/titles&gt;&lt;pages&gt;87-99&lt;/pages&gt;&lt;dates&gt;&lt;year&gt;2010&lt;/year&gt;&lt;/dates&gt;&lt;pub-location&gt;New York&lt;/pub-location&gt;&lt;publisher&gt;Springer&lt;/publisher&gt;&lt;urls&gt;&lt;/urls&gt;&lt;/record&gt;&lt;/Cite&gt;&lt;/EndNote&gt;</w:instrText>
      </w:r>
      <w:r w:rsidR="00362468" w:rsidRPr="00DE64C0">
        <w:fldChar w:fldCharType="separate"/>
      </w:r>
      <w:r w:rsidR="00923110" w:rsidRPr="00DE64C0">
        <w:rPr>
          <w:noProof/>
        </w:rPr>
        <w:t>(24)</w:t>
      </w:r>
      <w:r w:rsidR="00362468" w:rsidRPr="00DE64C0">
        <w:fldChar w:fldCharType="end"/>
      </w:r>
      <w:r w:rsidR="004709C0" w:rsidRPr="00DE64C0">
        <w:t xml:space="preserve"> </w:t>
      </w:r>
      <w:r w:rsidR="00E5414A" w:rsidRPr="00DE64C0">
        <w:t>Participants also wore a</w:t>
      </w:r>
      <w:r w:rsidR="00B14346" w:rsidRPr="00DE64C0">
        <w:t xml:space="preserve"> sealed</w:t>
      </w:r>
      <w:r w:rsidR="00E5414A" w:rsidRPr="00DE64C0">
        <w:t xml:space="preserve"> pedometer</w:t>
      </w:r>
      <w:r w:rsidR="00102E4B" w:rsidRPr="00DE64C0">
        <w:t xml:space="preserve"> (NL-800, </w:t>
      </w:r>
      <w:r w:rsidR="00B14346" w:rsidRPr="00DE64C0">
        <w:t>New Lifestyles, Inc., Lees Summit, MO, USA)</w:t>
      </w:r>
      <w:r w:rsidR="00E5414A" w:rsidRPr="00DE64C0">
        <w:t xml:space="preserve"> </w:t>
      </w:r>
      <w:r w:rsidR="00704066" w:rsidRPr="00DE64C0">
        <w:t>with a seven</w:t>
      </w:r>
      <w:r w:rsidR="004F4803" w:rsidRPr="00DE64C0">
        <w:t>-</w:t>
      </w:r>
      <w:r w:rsidR="00704066" w:rsidRPr="00DE64C0">
        <w:t xml:space="preserve">day memory during waking hours </w:t>
      </w:r>
      <w:r w:rsidR="00E5414A" w:rsidRPr="00DE64C0">
        <w:t xml:space="preserve">to provide </w:t>
      </w:r>
      <w:r w:rsidR="000858E8" w:rsidRPr="00DE64C0">
        <w:t>habitual ambulatory activity</w:t>
      </w:r>
      <w:r w:rsidR="00704066" w:rsidRPr="00DE64C0">
        <w:t xml:space="preserve"> (average daily step count derived by summing total accumulated steps and dividing by days worn)</w:t>
      </w:r>
      <w:r w:rsidR="00E5414A" w:rsidRPr="00DE64C0">
        <w:t xml:space="preserve">. </w:t>
      </w:r>
      <w:r w:rsidR="00C82AD0" w:rsidRPr="00DE64C0">
        <w:t>For the purposes of this study, at least three valid days of data were required; a valid day constituted at least 10 hours of wear time</w:t>
      </w:r>
      <w:r w:rsidR="009A55BE" w:rsidRPr="00DE64C0">
        <w:t xml:space="preserve"> </w:t>
      </w:r>
      <w:r w:rsidR="009A55BE" w:rsidRPr="00DE64C0">
        <w:fldChar w:fldCharType="begin"/>
      </w:r>
      <w:r w:rsidR="009A55BE" w:rsidRPr="00DE64C0">
        <w:instrText xml:space="preserve"> ADDIN EN.CITE &lt;EndNote&gt;&lt;Cite&gt;&lt;Author&gt;Tudor-Locke&lt;/Author&gt;&lt;Year&gt;2004&lt;/Year&gt;&lt;RecNum&gt;562&lt;/RecNum&gt;&lt;DisplayText&gt;(25)&lt;/DisplayText&gt;&lt;record&gt;&lt;rec-number&gt;562&lt;/rec-number&gt;&lt;foreign-keys&gt;&lt;key app="EN" db-id="eevzp0wtbzpeebedtwpperz9vszffvs0tsdt" timestamp="0"&gt;562&lt;/key&gt;&lt;/foreign-keys&gt;&lt;ref-type name="Journal Article"&gt;17&lt;/ref-type&gt;&lt;contributors&gt;&lt;authors&gt;&lt;author&gt;Tudor-Locke, C.&lt;/author&gt;&lt;author&gt;Bassett, D.R. &lt;/author&gt;&lt;/authors&gt;&lt;/contributors&gt;&lt;titles&gt;&lt;title&gt;How many steps/day are enough? Preliminary pedometer indices for public health.&lt;/title&gt;&lt;secondary-title&gt;Sports Med&lt;/secondary-title&gt;&lt;/titles&gt;&lt;pages&gt;1-8&lt;/pages&gt;&lt;volume&gt;34&lt;/volume&gt;&lt;dates&gt;&lt;year&gt;2004&lt;/year&gt;&lt;/dates&gt;&lt;urls&gt;&lt;/urls&gt;&lt;/record&gt;&lt;/Cite&gt;&lt;/EndNote&gt;</w:instrText>
      </w:r>
      <w:r w:rsidR="009A55BE" w:rsidRPr="00DE64C0">
        <w:fldChar w:fldCharType="separate"/>
      </w:r>
      <w:r w:rsidR="009A55BE" w:rsidRPr="00DE64C0">
        <w:rPr>
          <w:noProof/>
        </w:rPr>
        <w:t>(25)</w:t>
      </w:r>
      <w:r w:rsidR="009A55BE" w:rsidRPr="00DE64C0">
        <w:fldChar w:fldCharType="end"/>
      </w:r>
      <w:r w:rsidR="00C82AD0" w:rsidRPr="00DE64C0">
        <w:t xml:space="preserve">. </w:t>
      </w:r>
    </w:p>
    <w:p w14:paraId="3ECAC349" w14:textId="77777777" w:rsidR="008314F6" w:rsidRPr="00DE64C0" w:rsidRDefault="008314F6" w:rsidP="00FF4C5F"/>
    <w:p w14:paraId="03B2AFC0" w14:textId="4172B057" w:rsidR="008314F6" w:rsidRPr="00DE64C0" w:rsidRDefault="004F1AE8" w:rsidP="00FF4C5F">
      <w:r w:rsidRPr="00DE64C0">
        <w:t xml:space="preserve">Other secondary outcomes included </w:t>
      </w:r>
      <w:r w:rsidR="008314F6" w:rsidRPr="00DE64C0">
        <w:t>change in cardiovascular risk as calculated by the</w:t>
      </w:r>
      <w:r w:rsidRPr="00DE64C0">
        <w:t xml:space="preserve"> Framingham risk calculator</w:t>
      </w:r>
      <w:r w:rsidR="005A1E19" w:rsidRPr="00DE64C0">
        <w:t>,</w:t>
      </w:r>
      <w:r w:rsidRPr="00DE64C0">
        <w:t xml:space="preserve"> and </w:t>
      </w:r>
      <w:r w:rsidR="008314F6" w:rsidRPr="00DE64C0">
        <w:t xml:space="preserve">presence of </w:t>
      </w:r>
      <w:r w:rsidR="004F4803" w:rsidRPr="00DE64C0">
        <w:t>m</w:t>
      </w:r>
      <w:r w:rsidR="008314F6" w:rsidRPr="00DE64C0">
        <w:t xml:space="preserve">etabolic </w:t>
      </w:r>
      <w:r w:rsidR="004F4803" w:rsidRPr="00DE64C0">
        <w:t>s</w:t>
      </w:r>
      <w:r w:rsidR="008314F6" w:rsidRPr="00DE64C0">
        <w:t>yndr</w:t>
      </w:r>
      <w:r w:rsidRPr="00DE64C0">
        <w:t>ome as defined by NCEP ATP III.</w:t>
      </w:r>
    </w:p>
    <w:p w14:paraId="790CFF43" w14:textId="77777777" w:rsidR="00102E4B" w:rsidRPr="00DE64C0" w:rsidRDefault="00102E4B" w:rsidP="00FF4C5F">
      <w:pPr>
        <w:rPr>
          <w:color w:val="FF0000"/>
        </w:rPr>
      </w:pPr>
    </w:p>
    <w:p w14:paraId="3ECA6967" w14:textId="77777777" w:rsidR="00E168EA" w:rsidRPr="00DE64C0" w:rsidRDefault="00E168EA" w:rsidP="00FF4C5F">
      <w:bookmarkStart w:id="3" w:name="_Toc403395573"/>
      <w:bookmarkStart w:id="4" w:name="_Toc406070567"/>
      <w:r w:rsidRPr="00DE64C0">
        <w:t>S</w:t>
      </w:r>
      <w:bookmarkEnd w:id="3"/>
      <w:r w:rsidRPr="00DE64C0">
        <w:t>ample Size</w:t>
      </w:r>
      <w:bookmarkEnd w:id="4"/>
    </w:p>
    <w:p w14:paraId="763A7586" w14:textId="2F73DB7C" w:rsidR="00E5371D" w:rsidRPr="00DE64C0" w:rsidRDefault="009A55BE" w:rsidP="00FF4C5F">
      <w:r w:rsidRPr="00DE64C0">
        <w:t>The</w:t>
      </w:r>
      <w:r w:rsidR="00B251D9" w:rsidRPr="00DE64C0">
        <w:t xml:space="preserve"> sample </w:t>
      </w:r>
      <w:r w:rsidRPr="00DE64C0">
        <w:t>size takes into</w:t>
      </w:r>
      <w:r w:rsidR="00B251D9" w:rsidRPr="00DE64C0">
        <w:t xml:space="preserve"> account </w:t>
      </w:r>
      <w:r w:rsidRPr="00DE64C0">
        <w:t>the</w:t>
      </w:r>
      <w:r w:rsidR="00B251D9" w:rsidRPr="00DE64C0">
        <w:t xml:space="preserve"> clustering by GP practice. </w:t>
      </w:r>
      <w:r w:rsidR="00F24398" w:rsidRPr="00DE64C0">
        <w:t>Assuming a three</w:t>
      </w:r>
      <w:r w:rsidR="004F4803" w:rsidRPr="00DE64C0">
        <w:t>-</w:t>
      </w:r>
      <w:r w:rsidR="00E168EA" w:rsidRPr="00DE64C0">
        <w:t xml:space="preserve">year cumulative conversion rate to T2DM of 35% in the </w:t>
      </w:r>
      <w:r w:rsidR="00BE5F55" w:rsidRPr="00DE64C0">
        <w:t>standard</w:t>
      </w:r>
      <w:r w:rsidR="004F4803" w:rsidRPr="00DE64C0">
        <w:t>-</w:t>
      </w:r>
      <w:r w:rsidR="00BE5F55" w:rsidRPr="00DE64C0">
        <w:t xml:space="preserve">care </w:t>
      </w:r>
      <w:r w:rsidR="00E168EA" w:rsidRPr="00DE64C0">
        <w:t>group</w:t>
      </w:r>
      <w:r w:rsidR="002F5871" w:rsidRPr="00DE64C0">
        <w:t xml:space="preserve"> (</w:t>
      </w:r>
      <w:r w:rsidR="000858E8" w:rsidRPr="00DE64C0">
        <w:t xml:space="preserve">equivalent to </w:t>
      </w:r>
      <w:r w:rsidR="00DF024C" w:rsidRPr="00DE64C0">
        <w:t>117</w:t>
      </w:r>
      <w:r w:rsidR="00E05829" w:rsidRPr="00DE64C0">
        <w:t xml:space="preserve"> events per 1000 follow-up years)</w:t>
      </w:r>
      <w:r w:rsidR="00E168EA" w:rsidRPr="00DE64C0">
        <w:t xml:space="preserve">, an </w:t>
      </w:r>
      <w:proofErr w:type="spellStart"/>
      <w:r w:rsidR="00E168EA" w:rsidRPr="00DE64C0">
        <w:t>intraclass</w:t>
      </w:r>
      <w:proofErr w:type="spellEnd"/>
      <w:r w:rsidR="00E168EA" w:rsidRPr="00DE64C0">
        <w:t xml:space="preserve"> correlation of 0.05, </w:t>
      </w:r>
      <w:r w:rsidR="00BA3A47" w:rsidRPr="00DE64C0">
        <w:t xml:space="preserve">and </w:t>
      </w:r>
      <w:r w:rsidR="00E168EA" w:rsidRPr="00DE64C0">
        <w:t>17 participants per practice</w:t>
      </w:r>
      <w:r w:rsidR="003A20FD" w:rsidRPr="00DE64C0">
        <w:t xml:space="preserve"> (equal clusters assumed)</w:t>
      </w:r>
      <w:r w:rsidR="00E168EA" w:rsidRPr="00DE64C0">
        <w:t>, we need</w:t>
      </w:r>
      <w:r w:rsidR="00FF5D68" w:rsidRPr="00DE64C0">
        <w:t>ed</w:t>
      </w:r>
      <w:r w:rsidR="00E168EA" w:rsidRPr="00DE64C0">
        <w:t xml:space="preserve"> </w:t>
      </w:r>
      <w:r w:rsidR="00E5371D" w:rsidRPr="00DE64C0">
        <w:t xml:space="preserve">280 per group </w:t>
      </w:r>
      <w:r w:rsidR="00BC0C48" w:rsidRPr="00DE64C0">
        <w:t>to detect a 40% risk reduction in the intervention group</w:t>
      </w:r>
      <w:r w:rsidR="00E5371D" w:rsidRPr="00DE64C0">
        <w:t>. Allowing for a 25% drop-out rate, a total of 748 participants need</w:t>
      </w:r>
      <w:r w:rsidR="00BA3A47" w:rsidRPr="00DE64C0">
        <w:t>ed</w:t>
      </w:r>
      <w:r w:rsidR="00E5371D" w:rsidRPr="00DE64C0">
        <w:t xml:space="preserve"> to be recruited</w:t>
      </w:r>
      <w:r w:rsidR="00ED073F" w:rsidRPr="00DE64C0">
        <w:t>.</w:t>
      </w:r>
    </w:p>
    <w:p w14:paraId="267A708A" w14:textId="77777777" w:rsidR="00E168EA" w:rsidRPr="00DE64C0" w:rsidRDefault="00E168EA" w:rsidP="00FF4C5F">
      <w:r w:rsidRPr="00DE64C0">
        <w:lastRenderedPageBreak/>
        <w:t xml:space="preserve">Statistical analysis </w:t>
      </w:r>
    </w:p>
    <w:p w14:paraId="423C12BC" w14:textId="2C9E0D5E" w:rsidR="00E168EA" w:rsidRPr="00DE64C0" w:rsidRDefault="00E168EA" w:rsidP="00FF4C5F">
      <w:r w:rsidRPr="00DE64C0">
        <w:t>A statistical</w:t>
      </w:r>
      <w:r w:rsidR="004F4803" w:rsidRPr="00DE64C0">
        <w:t>-</w:t>
      </w:r>
      <w:r w:rsidRPr="00DE64C0">
        <w:t xml:space="preserve">analysis plan was </w:t>
      </w:r>
      <w:r w:rsidR="00CA3290" w:rsidRPr="00DE64C0">
        <w:t>agreed</w:t>
      </w:r>
      <w:r w:rsidRPr="00DE64C0">
        <w:t xml:space="preserve"> before </w:t>
      </w:r>
      <w:r w:rsidR="000858E8" w:rsidRPr="00DE64C0">
        <w:t>data were available</w:t>
      </w:r>
      <w:r w:rsidRPr="00DE64C0">
        <w:t>. Practice and participant level characteristics were compared by group, using either means (SD) or medians (IQR) for continuous variables</w:t>
      </w:r>
      <w:r w:rsidR="004F4803" w:rsidRPr="00DE64C0">
        <w:t>,</w:t>
      </w:r>
      <w:r w:rsidRPr="00DE64C0">
        <w:t xml:space="preserve"> and counts and percentages for nominal variables. Cluster randomisation gives balance with respect to cluster</w:t>
      </w:r>
      <w:r w:rsidR="00D35238" w:rsidRPr="00DE64C0">
        <w:t>-</w:t>
      </w:r>
      <w:r w:rsidRPr="00DE64C0">
        <w:t xml:space="preserve">level covariates but can lead to imbalance in participant level </w:t>
      </w:r>
      <w:r w:rsidR="00055CEA" w:rsidRPr="00DE64C0">
        <w:t>covariates;</w:t>
      </w:r>
      <w:r w:rsidRPr="00DE64C0">
        <w:t xml:space="preserve"> therefore differences were assessed using t-tests and chi-squared tests. </w:t>
      </w:r>
    </w:p>
    <w:p w14:paraId="15A77D68" w14:textId="77777777" w:rsidR="00E168EA" w:rsidRPr="00DE64C0" w:rsidRDefault="00E168EA" w:rsidP="00FF4C5F"/>
    <w:p w14:paraId="5582C0B8" w14:textId="7BA6DEF2" w:rsidR="00E168EA" w:rsidRPr="00DE64C0" w:rsidRDefault="00ED073F" w:rsidP="00FF4C5F">
      <w:r w:rsidRPr="00DE64C0">
        <w:t>P</w:t>
      </w:r>
      <w:r w:rsidR="00E168EA" w:rsidRPr="00DE64C0">
        <w:t xml:space="preserve">rogression to </w:t>
      </w:r>
      <w:r w:rsidRPr="00DE64C0">
        <w:t>T2DM</w:t>
      </w:r>
      <w:r w:rsidR="00E168EA" w:rsidRPr="00DE64C0">
        <w:t xml:space="preserve"> was analysed on an intention</w:t>
      </w:r>
      <w:r w:rsidR="00D35238" w:rsidRPr="00DE64C0">
        <w:t>-</w:t>
      </w:r>
      <w:r w:rsidR="00E168EA" w:rsidRPr="00DE64C0">
        <w:t>to</w:t>
      </w:r>
      <w:r w:rsidR="00D35238" w:rsidRPr="00DE64C0">
        <w:t>-</w:t>
      </w:r>
      <w:r w:rsidR="00E168EA" w:rsidRPr="00DE64C0">
        <w:t xml:space="preserve">treat basis </w:t>
      </w:r>
      <w:r w:rsidR="00E168EA" w:rsidRPr="00DE64C0">
        <w:rPr>
          <w:color w:val="000000" w:themeColor="text1"/>
        </w:rPr>
        <w:t>(ITT).</w:t>
      </w:r>
      <w:r w:rsidR="00C82E0A" w:rsidRPr="00DE64C0">
        <w:rPr>
          <w:color w:val="000000" w:themeColor="text1"/>
        </w:rPr>
        <w:t xml:space="preserve"> </w:t>
      </w:r>
      <w:r w:rsidR="00E168EA" w:rsidRPr="00DE64C0">
        <w:rPr>
          <w:color w:val="000000" w:themeColor="text1"/>
        </w:rPr>
        <w:t xml:space="preserve">The event rate per 1,000 person years was calculated by group. </w:t>
      </w:r>
      <w:r w:rsidR="00C82E0A" w:rsidRPr="00DE64C0">
        <w:rPr>
          <w:color w:val="000000" w:themeColor="text1"/>
        </w:rPr>
        <w:t xml:space="preserve">Participants were censored at the </w:t>
      </w:r>
      <w:r w:rsidRPr="00DE64C0">
        <w:rPr>
          <w:color w:val="000000" w:themeColor="text1"/>
        </w:rPr>
        <w:t xml:space="preserve">date </w:t>
      </w:r>
      <w:r w:rsidR="00C82E0A" w:rsidRPr="00DE64C0">
        <w:rPr>
          <w:color w:val="000000" w:themeColor="text1"/>
        </w:rPr>
        <w:t xml:space="preserve">of their last clinical appointment or </w:t>
      </w:r>
      <w:r w:rsidR="00AD5C43" w:rsidRPr="00DE64C0">
        <w:rPr>
          <w:color w:val="000000" w:themeColor="text1"/>
        </w:rPr>
        <w:t>at diagnosis of</w:t>
      </w:r>
      <w:r w:rsidR="00C82E0A" w:rsidRPr="00DE64C0">
        <w:rPr>
          <w:color w:val="000000" w:themeColor="text1"/>
        </w:rPr>
        <w:t xml:space="preserve"> </w:t>
      </w:r>
      <w:r w:rsidR="008D7191" w:rsidRPr="00DE64C0">
        <w:rPr>
          <w:color w:val="000000" w:themeColor="text1"/>
        </w:rPr>
        <w:t>T2DM</w:t>
      </w:r>
      <w:r w:rsidR="00C82E0A" w:rsidRPr="00DE64C0">
        <w:rPr>
          <w:color w:val="000000" w:themeColor="text1"/>
        </w:rPr>
        <w:t xml:space="preserve">.  </w:t>
      </w:r>
      <w:r w:rsidR="00E168EA" w:rsidRPr="00DE64C0">
        <w:rPr>
          <w:color w:val="000000" w:themeColor="text1"/>
        </w:rPr>
        <w:t xml:space="preserve">Cox proportional </w:t>
      </w:r>
      <w:r w:rsidR="00E168EA" w:rsidRPr="00DE64C0">
        <w:t>hazards models with group as a covariate were fitted</w:t>
      </w:r>
      <w:r w:rsidR="00FE111E" w:rsidRPr="00DE64C0">
        <w:t>;</w:t>
      </w:r>
      <w:r w:rsidR="00E168EA" w:rsidRPr="00DE64C0">
        <w:t xml:space="preserve"> practices were assumed to have the same frailty. Hazard ratios (HR) </w:t>
      </w:r>
      <w:r w:rsidRPr="00DE64C0">
        <w:t>and</w:t>
      </w:r>
      <w:r w:rsidR="00E168EA" w:rsidRPr="00DE64C0">
        <w:t xml:space="preserve"> 95% confidence intervals were presented. </w:t>
      </w:r>
      <w:r w:rsidR="00055CEA" w:rsidRPr="00DE64C0">
        <w:rPr>
          <w:color w:val="000000" w:themeColor="text1"/>
        </w:rPr>
        <w:t>Subgroup analyses were performed by PDM status (IGT, IFG, IGT and IFG, HbA1c 6.0-6.4%).</w:t>
      </w:r>
    </w:p>
    <w:p w14:paraId="142826B1" w14:textId="77777777" w:rsidR="00C82E0A" w:rsidRPr="00DE64C0" w:rsidRDefault="00C82E0A" w:rsidP="00FF4C5F"/>
    <w:p w14:paraId="63611197" w14:textId="29EB91B9" w:rsidR="00E168EA" w:rsidRPr="00DE64C0" w:rsidRDefault="00E168EA" w:rsidP="00FF4C5F">
      <w:r w:rsidRPr="00DE64C0">
        <w:t xml:space="preserve">For all secondary outcomes, </w:t>
      </w:r>
      <w:r w:rsidR="009323FC" w:rsidRPr="00DE64C0">
        <w:t>participants</w:t>
      </w:r>
      <w:r w:rsidRPr="00DE64C0">
        <w:t xml:space="preserve"> who developed T2DM during the study had their last value from before their diagnosis carried forward for the remainder of the study. This method was used in </w:t>
      </w:r>
      <w:r w:rsidR="00584581" w:rsidRPr="00DE64C0">
        <w:t xml:space="preserve">a </w:t>
      </w:r>
      <w:r w:rsidR="00F24398" w:rsidRPr="00DE64C0">
        <w:t>previous</w:t>
      </w:r>
      <w:r w:rsidRPr="00DE64C0">
        <w:t xml:space="preserve"> </w:t>
      </w:r>
      <w:r w:rsidR="00ED073F" w:rsidRPr="00DE64C0">
        <w:t>similar</w:t>
      </w:r>
      <w:r w:rsidR="00584581" w:rsidRPr="00DE64C0">
        <w:t xml:space="preserve"> study</w:t>
      </w:r>
      <w:r w:rsidRPr="00DE64C0">
        <w:t>.</w:t>
      </w:r>
      <w:r w:rsidR="00362468" w:rsidRPr="00DE64C0">
        <w:fldChar w:fldCharType="begin"/>
      </w:r>
      <w:r w:rsidR="00DC1614" w:rsidRPr="00DE64C0">
        <w:instrText xml:space="preserve"> ADDIN EN.CITE &lt;EndNote&gt;&lt;Cite&gt;&lt;Author&gt;Yates&lt;/Author&gt;&lt;Year&gt;2009&lt;/Year&gt;&lt;RecNum&gt;122&lt;/RecNum&gt;&lt;DisplayText&gt;(7)&lt;/DisplayText&gt;&lt;record&gt;&lt;rec-number&gt;122&lt;/rec-number&gt;&lt;foreign-keys&gt;&lt;key app="EN" db-id="eevzp0wtbzpeebedtwpperz9vszffvs0tsdt" timestamp="0"&gt;122&lt;/key&gt;&lt;/foreign-keys&gt;&lt;ref-type name="Journal Article"&gt;17&lt;/ref-type&gt;&lt;contributors&gt;&lt;authors&gt;&lt;author&gt;Yates, T. &lt;/author&gt;&lt;author&gt;Davies, M. &lt;/author&gt;&lt;author&gt;Gorely, T.&lt;/author&gt;&lt;author&gt;Bull, F. &lt;/author&gt;&lt;author&gt;Khunti, K.&lt;/author&gt;&lt;/authors&gt;&lt;/contributors&gt;&lt;titles&gt;&lt;title&gt;Effectiveness of a pragmatic education programme aimed at promoting walking activity in individuals with impaired glucose tolerance: a randomized controlled trial. &lt;/title&gt;&lt;secondary-title&gt;Diabetes Care&lt;/secondary-title&gt;&lt;/titles&gt;&lt;periodical&gt;&lt;full-title&gt;Diabetes Care&lt;/full-title&gt;&lt;/periodical&gt;&lt;pages&gt;1404-1410&lt;/pages&gt;&lt;volume&gt;32&lt;/volume&gt;&lt;number&gt;8&lt;/number&gt;&lt;dates&gt;&lt;year&gt;2009&lt;/year&gt;&lt;/dates&gt;&lt;urls&gt;&lt;/urls&gt;&lt;/record&gt;&lt;/Cite&gt;&lt;/EndNote&gt;</w:instrText>
      </w:r>
      <w:r w:rsidR="00362468" w:rsidRPr="00DE64C0">
        <w:fldChar w:fldCharType="separate"/>
      </w:r>
      <w:r w:rsidR="00923110" w:rsidRPr="00DE64C0">
        <w:rPr>
          <w:noProof/>
        </w:rPr>
        <w:t>(7)</w:t>
      </w:r>
      <w:r w:rsidR="00362468" w:rsidRPr="00DE64C0">
        <w:fldChar w:fldCharType="end"/>
      </w:r>
      <w:r w:rsidRPr="00DE64C0">
        <w:t xml:space="preserve"> </w:t>
      </w:r>
      <w:r w:rsidR="00AF3AB7" w:rsidRPr="00DE64C0">
        <w:t xml:space="preserve"> </w:t>
      </w:r>
      <w:r w:rsidRPr="00DE64C0">
        <w:t xml:space="preserve">All secondary outcomes were analysed using generalised estimating equation models with an exchangeable correlation structure, which adjusted for clustering. For binary outcomes we used a logit link with a binomial distribution for the outcome, and for continuous outcomes we used an identity link with a normal distribution. The analysis was </w:t>
      </w:r>
      <w:r w:rsidR="009323FC" w:rsidRPr="00DE64C0">
        <w:t>repeated</w:t>
      </w:r>
      <w:r w:rsidRPr="00DE64C0">
        <w:t xml:space="preserve"> at each time point. The missing outcomes were not replaced and we derived an average of</w:t>
      </w:r>
      <w:r w:rsidR="00C82E0A" w:rsidRPr="00DE64C0">
        <w:t xml:space="preserve"> continuous outcomes over time.</w:t>
      </w:r>
      <w:r w:rsidR="00CD6B67" w:rsidRPr="00DE64C0">
        <w:t xml:space="preserve"> </w:t>
      </w:r>
      <w:r w:rsidRPr="00DE64C0">
        <w:t xml:space="preserve">This procedure measures the cumulative effect of the intervention and has the maximum number of participants. </w:t>
      </w:r>
    </w:p>
    <w:p w14:paraId="1DECBE07" w14:textId="77777777" w:rsidR="00E168EA" w:rsidRPr="00DE64C0" w:rsidRDefault="00E168EA" w:rsidP="00FF4C5F"/>
    <w:p w14:paraId="1E42C2CD" w14:textId="404B39C2" w:rsidR="00E168EA" w:rsidRPr="00DE64C0" w:rsidRDefault="004D1D37" w:rsidP="00FF4C5F">
      <w:pPr>
        <w:rPr>
          <w:color w:val="000000" w:themeColor="text1"/>
        </w:rPr>
      </w:pPr>
      <w:r w:rsidRPr="00DE64C0">
        <w:t>Subsidiary</w:t>
      </w:r>
      <w:r w:rsidRPr="00DE64C0" w:rsidDel="004D1D37">
        <w:t xml:space="preserve"> </w:t>
      </w:r>
      <w:r w:rsidR="00F24398" w:rsidRPr="00DE64C0">
        <w:t>analyse</w:t>
      </w:r>
      <w:r w:rsidR="00E168EA" w:rsidRPr="00DE64C0">
        <w:t xml:space="preserve">s </w:t>
      </w:r>
      <w:r w:rsidR="00F24398" w:rsidRPr="00DE64C0">
        <w:t>were</w:t>
      </w:r>
      <w:r w:rsidR="00E168EA" w:rsidRPr="00DE64C0">
        <w:t xml:space="preserve"> carried out for the main secondary outcomes</w:t>
      </w:r>
      <w:r w:rsidR="001563A3" w:rsidRPr="00DE64C0">
        <w:t xml:space="preserve"> at 12 and 36 months</w:t>
      </w:r>
      <w:r w:rsidR="00E168EA" w:rsidRPr="00DE64C0">
        <w:t>. The analysis was repeated: (i) excluding those from the intervention group who did not attend the</w:t>
      </w:r>
      <w:r w:rsidR="00C82E0A" w:rsidRPr="00DE64C0">
        <w:t xml:space="preserve"> initial Let’s Prevent </w:t>
      </w:r>
      <w:r w:rsidR="00D35238" w:rsidRPr="00DE64C0">
        <w:t>e</w:t>
      </w:r>
      <w:r w:rsidR="00C82E0A" w:rsidRPr="00DE64C0">
        <w:t>ducation session</w:t>
      </w:r>
      <w:r w:rsidR="00E168EA" w:rsidRPr="00DE64C0">
        <w:t xml:space="preserve"> (</w:t>
      </w:r>
      <w:r w:rsidR="00D35238" w:rsidRPr="00DE64C0">
        <w:t>p</w:t>
      </w:r>
      <w:r w:rsidR="009A55BE" w:rsidRPr="00DE64C0">
        <w:t>er-</w:t>
      </w:r>
      <w:r w:rsidR="00E168EA" w:rsidRPr="00DE64C0">
        <w:t xml:space="preserve">protocol); and (ii) imputing any missing values </w:t>
      </w:r>
      <w:r w:rsidR="00C82E0A" w:rsidRPr="00DE64C0">
        <w:t xml:space="preserve">for </w:t>
      </w:r>
      <w:r w:rsidR="00C82E0A" w:rsidRPr="00DE64C0">
        <w:rPr>
          <w:color w:val="000000" w:themeColor="text1"/>
        </w:rPr>
        <w:t xml:space="preserve">the secondary outcomes </w:t>
      </w:r>
      <w:r w:rsidR="00E168EA" w:rsidRPr="00DE64C0">
        <w:rPr>
          <w:color w:val="000000" w:themeColor="text1"/>
        </w:rPr>
        <w:t xml:space="preserve">using multiple </w:t>
      </w:r>
      <w:proofErr w:type="gramStart"/>
      <w:r w:rsidR="00E168EA" w:rsidRPr="00DE64C0">
        <w:rPr>
          <w:color w:val="000000" w:themeColor="text1"/>
        </w:rPr>
        <w:t>imputation</w:t>
      </w:r>
      <w:proofErr w:type="gramEnd"/>
      <w:r w:rsidR="00E168EA" w:rsidRPr="00DE64C0">
        <w:rPr>
          <w:color w:val="000000" w:themeColor="text1"/>
        </w:rPr>
        <w:t xml:space="preserve"> (ITT). </w:t>
      </w:r>
      <w:r w:rsidR="003F3D27" w:rsidRPr="00DE64C0">
        <w:rPr>
          <w:color w:val="000000" w:themeColor="text1"/>
        </w:rPr>
        <w:t>The imputation was carried out using the command MI in Stata. MI replaces missing values with multiple sets of simulated values to complete the data, performs standard analysis on each completed dataset, and adjusts the obtained parameter estimates for missing-data uncertainty using Rubin’s rules to combine estimates.</w:t>
      </w:r>
      <w:r w:rsidR="003F3D27" w:rsidRPr="00DE64C0">
        <w:rPr>
          <w:color w:val="000000" w:themeColor="text1"/>
        </w:rPr>
        <w:fldChar w:fldCharType="begin"/>
      </w:r>
      <w:r w:rsidR="009A55BE" w:rsidRPr="00DE64C0">
        <w:rPr>
          <w:color w:val="000000" w:themeColor="text1"/>
        </w:rPr>
        <w:instrText xml:space="preserve"> ADDIN EN.CITE &lt;EndNote&gt;&lt;Cite&gt;&lt;Author&gt;Rubin&lt;/Author&gt;&lt;Year&gt;2004&lt;/Year&gt;&lt;RecNum&gt;672&lt;/RecNum&gt;&lt;DisplayText&gt;(26)&lt;/DisplayText&gt;&lt;record&gt;&lt;rec-number&gt;672&lt;/rec-number&gt;&lt;foreign-keys&gt;&lt;key app="EN" db-id="eevzp0wtbzpeebedtwpperz9vszffvs0tsdt" timestamp="1446470784"&gt;672&lt;/key&gt;&lt;/foreign-keys&gt;&lt;ref-type name="Book"&gt;6&lt;/ref-type&gt;&lt;contributors&gt;&lt;authors&gt;&lt;author&gt;Rubin, D.B.&lt;/author&gt;&lt;/authors&gt;&lt;/contributors&gt;&lt;titles&gt;&lt;title&gt;Multiple Imputation for Nonresponse in Surveys.&lt;/title&gt;&lt;/titles&gt;&lt;dates&gt;&lt;year&gt;2004&lt;/year&gt;&lt;/dates&gt;&lt;pub-location&gt;New York&lt;/pub-location&gt;&lt;publisher&gt;John Wiley and Sons&lt;/publisher&gt;&lt;urls&gt;&lt;/urls&gt;&lt;/record&gt;&lt;/Cite&gt;&lt;/EndNote&gt;</w:instrText>
      </w:r>
      <w:r w:rsidR="003F3D27" w:rsidRPr="00DE64C0">
        <w:rPr>
          <w:color w:val="000000" w:themeColor="text1"/>
        </w:rPr>
        <w:fldChar w:fldCharType="separate"/>
      </w:r>
      <w:r w:rsidR="009A55BE" w:rsidRPr="00DE64C0">
        <w:rPr>
          <w:noProof/>
          <w:color w:val="000000" w:themeColor="text1"/>
        </w:rPr>
        <w:t>(26)</w:t>
      </w:r>
      <w:r w:rsidR="003F3D27" w:rsidRPr="00DE64C0">
        <w:rPr>
          <w:color w:val="000000" w:themeColor="text1"/>
        </w:rPr>
        <w:fldChar w:fldCharType="end"/>
      </w:r>
      <w:r w:rsidR="003F3D27" w:rsidRPr="00DE64C0">
        <w:rPr>
          <w:color w:val="000000" w:themeColor="text1"/>
        </w:rPr>
        <w:t xml:space="preserve"> </w:t>
      </w:r>
      <w:r w:rsidR="00E168EA" w:rsidRPr="00DE64C0">
        <w:rPr>
          <w:color w:val="000000" w:themeColor="text1"/>
        </w:rPr>
        <w:t xml:space="preserve">Adjustments were not made for multiple testing. All the results </w:t>
      </w:r>
      <w:r w:rsidR="00E168EA" w:rsidRPr="00DE64C0">
        <w:rPr>
          <w:color w:val="000000" w:themeColor="text1"/>
        </w:rPr>
        <w:lastRenderedPageBreak/>
        <w:t xml:space="preserve">from </w:t>
      </w:r>
      <w:r w:rsidR="009323FC" w:rsidRPr="00DE64C0">
        <w:rPr>
          <w:color w:val="000000" w:themeColor="text1"/>
        </w:rPr>
        <w:t xml:space="preserve">the </w:t>
      </w:r>
      <w:r w:rsidR="00E168EA" w:rsidRPr="00DE64C0">
        <w:rPr>
          <w:color w:val="000000" w:themeColor="text1"/>
        </w:rPr>
        <w:t xml:space="preserve">planned analyses </w:t>
      </w:r>
      <w:r w:rsidR="00D35238" w:rsidRPr="00DE64C0">
        <w:rPr>
          <w:color w:val="000000" w:themeColor="text1"/>
        </w:rPr>
        <w:t>have been</w:t>
      </w:r>
      <w:r w:rsidR="00E168EA" w:rsidRPr="00DE64C0">
        <w:rPr>
          <w:color w:val="000000" w:themeColor="text1"/>
        </w:rPr>
        <w:t xml:space="preserve"> reported and P values interpreted taking into account the overall pattern of the results. Statistical signifi</w:t>
      </w:r>
      <w:r w:rsidR="009323FC" w:rsidRPr="00DE64C0">
        <w:rPr>
          <w:color w:val="000000" w:themeColor="text1"/>
        </w:rPr>
        <w:t>cance was set at 5%. All analyse</w:t>
      </w:r>
      <w:r w:rsidR="00E168EA" w:rsidRPr="00DE64C0">
        <w:rPr>
          <w:color w:val="000000" w:themeColor="text1"/>
        </w:rPr>
        <w:t xml:space="preserve">s </w:t>
      </w:r>
      <w:r w:rsidR="008A27F2" w:rsidRPr="00DE64C0">
        <w:rPr>
          <w:color w:val="000000" w:themeColor="text1"/>
        </w:rPr>
        <w:t>were</w:t>
      </w:r>
      <w:r w:rsidR="00E168EA" w:rsidRPr="00DE64C0">
        <w:rPr>
          <w:color w:val="000000" w:themeColor="text1"/>
        </w:rPr>
        <w:t xml:space="preserve"> conducted using Stata version 13. </w:t>
      </w:r>
    </w:p>
    <w:p w14:paraId="65DBAC74" w14:textId="77777777" w:rsidR="00B251D9" w:rsidRPr="00DE64C0" w:rsidRDefault="00B251D9" w:rsidP="00FF4C5F">
      <w:pPr>
        <w:rPr>
          <w:color w:val="000000" w:themeColor="text1"/>
        </w:rPr>
      </w:pPr>
    </w:p>
    <w:p w14:paraId="2EA746C8" w14:textId="77777777" w:rsidR="00F753B5" w:rsidRPr="00DE64C0" w:rsidRDefault="00F753B5">
      <w:pPr>
        <w:spacing w:after="200" w:line="276" w:lineRule="auto"/>
        <w:jc w:val="left"/>
        <w:rPr>
          <w:b/>
        </w:rPr>
      </w:pPr>
      <w:bookmarkStart w:id="5" w:name="_Toc406070584"/>
      <w:r w:rsidRPr="00DE64C0">
        <w:rPr>
          <w:b/>
        </w:rPr>
        <w:br w:type="page"/>
      </w:r>
    </w:p>
    <w:p w14:paraId="7C7C88FA" w14:textId="1BB5F5E6" w:rsidR="00814D1C" w:rsidRPr="00DE64C0" w:rsidRDefault="004D45A9" w:rsidP="00FF4C5F">
      <w:pPr>
        <w:rPr>
          <w:b/>
        </w:rPr>
      </w:pPr>
      <w:r w:rsidRPr="00DE64C0">
        <w:rPr>
          <w:b/>
        </w:rPr>
        <w:lastRenderedPageBreak/>
        <w:t>RESULTS</w:t>
      </w:r>
      <w:bookmarkEnd w:id="5"/>
    </w:p>
    <w:p w14:paraId="4FCD0465" w14:textId="38FA7946" w:rsidR="00A91DAE" w:rsidRPr="00DE64C0" w:rsidRDefault="001B6BCB" w:rsidP="00FF4C5F">
      <w:r w:rsidRPr="00DE64C0">
        <w:rPr>
          <w:color w:val="000000" w:themeColor="text1"/>
        </w:rPr>
        <w:t>Overall, 43</w:t>
      </w:r>
      <w:r w:rsidR="00814D1C" w:rsidRPr="00DE64C0">
        <w:rPr>
          <w:color w:val="000000" w:themeColor="text1"/>
        </w:rPr>
        <w:t xml:space="preserve"> practices were </w:t>
      </w:r>
      <w:r w:rsidRPr="00DE64C0">
        <w:rPr>
          <w:color w:val="000000" w:themeColor="text1"/>
        </w:rPr>
        <w:t>included</w:t>
      </w:r>
      <w:r w:rsidR="003132EF" w:rsidRPr="00DE64C0">
        <w:rPr>
          <w:color w:val="000000" w:themeColor="text1"/>
        </w:rPr>
        <w:t>; ranging in</w:t>
      </w:r>
      <w:r w:rsidR="00814D1C" w:rsidRPr="00DE64C0">
        <w:t xml:space="preserve"> in size from 1,</w:t>
      </w:r>
      <w:r w:rsidR="00BC0C48" w:rsidRPr="00DE64C0">
        <w:t>65</w:t>
      </w:r>
      <w:r w:rsidR="00814D1C" w:rsidRPr="00DE64C0">
        <w:t>0</w:t>
      </w:r>
      <w:r w:rsidR="00F753B5" w:rsidRPr="00DE64C0">
        <w:t>-</w:t>
      </w:r>
      <w:r w:rsidR="00814D1C" w:rsidRPr="00DE64C0">
        <w:t>24,000. The median number of participants</w:t>
      </w:r>
      <w:r w:rsidRPr="00DE64C0">
        <w:t xml:space="preserve"> with PDM</w:t>
      </w:r>
      <w:r w:rsidR="00814D1C" w:rsidRPr="00DE64C0">
        <w:t xml:space="preserve"> recruited per practice was 23 in the standard</w:t>
      </w:r>
      <w:r w:rsidR="00D35238" w:rsidRPr="00DE64C0">
        <w:t>-</w:t>
      </w:r>
      <w:r w:rsidR="00814D1C" w:rsidRPr="00DE64C0">
        <w:t>care arm and 17 in the intervention arm</w:t>
      </w:r>
      <w:r w:rsidR="00D35238" w:rsidRPr="00DE64C0">
        <w:t>;</w:t>
      </w:r>
      <w:r w:rsidR="00814D1C" w:rsidRPr="00DE64C0">
        <w:t xml:space="preserve"> the number recruited per practice ranged from 2</w:t>
      </w:r>
      <w:r w:rsidR="00F753B5" w:rsidRPr="00DE64C0">
        <w:t>-</w:t>
      </w:r>
      <w:r w:rsidR="00814D1C" w:rsidRPr="00DE64C0">
        <w:t xml:space="preserve">49. In total 880 participants were recruited (433 standard care, 447 </w:t>
      </w:r>
      <w:proofErr w:type="gramStart"/>
      <w:r w:rsidR="00814D1C" w:rsidRPr="00DE64C0">
        <w:t>intervention</w:t>
      </w:r>
      <w:proofErr w:type="gramEnd"/>
      <w:r w:rsidR="00D40C87" w:rsidRPr="00DE64C0">
        <w:t>, Figure 1</w:t>
      </w:r>
      <w:r w:rsidR="00814D1C" w:rsidRPr="00DE64C0">
        <w:t xml:space="preserve">). At 36 months 76% of the intervention group </w:t>
      </w:r>
      <w:r w:rsidR="00060689" w:rsidRPr="00DE64C0">
        <w:t xml:space="preserve">attended </w:t>
      </w:r>
      <w:r w:rsidR="00814D1C" w:rsidRPr="00DE64C0">
        <w:t>compared to 79% in the standard</w:t>
      </w:r>
      <w:r w:rsidR="0049443E" w:rsidRPr="00DE64C0">
        <w:t>-</w:t>
      </w:r>
      <w:r w:rsidR="00814D1C" w:rsidRPr="00DE64C0">
        <w:t>care arm (p=0.43).</w:t>
      </w:r>
      <w:r w:rsidR="00496551" w:rsidRPr="00DE64C0">
        <w:t xml:space="preserve"> Compared to those </w:t>
      </w:r>
      <w:r w:rsidR="00690F86" w:rsidRPr="00DE64C0">
        <w:t>who</w:t>
      </w:r>
      <w:r w:rsidR="00496551" w:rsidRPr="00DE64C0">
        <w:t xml:space="preserve"> attended</w:t>
      </w:r>
      <w:r w:rsidR="00AE039A" w:rsidRPr="00DE64C0">
        <w:t xml:space="preserve"> at 36 months</w:t>
      </w:r>
      <w:r w:rsidR="00496551" w:rsidRPr="00DE64C0">
        <w:t xml:space="preserve">, non-attenders were more likely to be smokers, </w:t>
      </w:r>
      <w:r w:rsidR="008E1694" w:rsidRPr="00DE64C0">
        <w:t xml:space="preserve">and </w:t>
      </w:r>
      <w:r w:rsidR="00496551" w:rsidRPr="00DE64C0">
        <w:t>from more socially</w:t>
      </w:r>
      <w:r w:rsidR="00690F86" w:rsidRPr="00DE64C0">
        <w:t>-</w:t>
      </w:r>
      <w:r w:rsidR="00496551" w:rsidRPr="00DE64C0">
        <w:t xml:space="preserve">deprived locations </w:t>
      </w:r>
      <w:r w:rsidR="00690F86" w:rsidRPr="00DE64C0">
        <w:t>(</w:t>
      </w:r>
      <w:r w:rsidR="002B0728" w:rsidRPr="00DE64C0">
        <w:t>T</w:t>
      </w:r>
      <w:r w:rsidR="00A9245B" w:rsidRPr="00DE64C0">
        <w:t>able A.</w:t>
      </w:r>
      <w:r w:rsidR="001C17A4" w:rsidRPr="00DE64C0">
        <w:t>1</w:t>
      </w:r>
      <w:r w:rsidR="00690F86" w:rsidRPr="00DE64C0">
        <w:t>)</w:t>
      </w:r>
      <w:r w:rsidR="001C17A4" w:rsidRPr="00DE64C0">
        <w:t xml:space="preserve">. </w:t>
      </w:r>
      <w:r w:rsidR="00496551" w:rsidRPr="00DE64C0">
        <w:t>Of those</w:t>
      </w:r>
      <w:r w:rsidR="00A52601" w:rsidRPr="00DE64C0">
        <w:t xml:space="preserve"> participants from practices</w:t>
      </w:r>
      <w:r w:rsidR="00496551" w:rsidRPr="00DE64C0">
        <w:t xml:space="preserve"> randomised to the intervention, </w:t>
      </w:r>
      <w:r w:rsidR="00376525" w:rsidRPr="00DE64C0">
        <w:t xml:space="preserve">101 (22.6%) </w:t>
      </w:r>
      <w:r w:rsidR="00814D1C" w:rsidRPr="00DE64C0">
        <w:t>did not attend the initial education session and w</w:t>
      </w:r>
      <w:r w:rsidR="00376525" w:rsidRPr="00DE64C0">
        <w:t>ere</w:t>
      </w:r>
      <w:r w:rsidR="00814D1C" w:rsidRPr="00DE64C0">
        <w:t xml:space="preserve"> excluded in per</w:t>
      </w:r>
      <w:r w:rsidR="00364E7B" w:rsidRPr="00DE64C0">
        <w:t>-</w:t>
      </w:r>
      <w:r w:rsidR="00814D1C" w:rsidRPr="00DE64C0">
        <w:t>protocol analys</w:t>
      </w:r>
      <w:r w:rsidR="00376525" w:rsidRPr="00DE64C0">
        <w:t>e</w:t>
      </w:r>
      <w:r w:rsidR="00814D1C" w:rsidRPr="00DE64C0">
        <w:t xml:space="preserve">s. </w:t>
      </w:r>
      <w:r w:rsidR="00496551" w:rsidRPr="00DE64C0">
        <w:t xml:space="preserve">Compared to those </w:t>
      </w:r>
      <w:r w:rsidR="00690F86" w:rsidRPr="00DE64C0">
        <w:t xml:space="preserve">who </w:t>
      </w:r>
      <w:r w:rsidR="00496551" w:rsidRPr="00DE64C0">
        <w:t>attended</w:t>
      </w:r>
      <w:r w:rsidR="002C020F" w:rsidRPr="00DE64C0">
        <w:t>,</w:t>
      </w:r>
      <w:r w:rsidR="00496551" w:rsidRPr="00DE64C0">
        <w:t xml:space="preserve"> non-attenders were younger, more likely to be male, from more socially deprived locations, </w:t>
      </w:r>
      <w:r w:rsidR="002B0728" w:rsidRPr="00DE64C0">
        <w:t xml:space="preserve">more likely to be smokers, and less physically active </w:t>
      </w:r>
      <w:r w:rsidR="00690F86" w:rsidRPr="00DE64C0">
        <w:t>(</w:t>
      </w:r>
      <w:r w:rsidR="00A9245B" w:rsidRPr="00DE64C0">
        <w:t>see Table A.</w:t>
      </w:r>
      <w:r w:rsidR="002B0728" w:rsidRPr="00DE64C0">
        <w:t>2</w:t>
      </w:r>
      <w:r w:rsidR="00690F86" w:rsidRPr="00DE64C0">
        <w:t>)</w:t>
      </w:r>
      <w:r w:rsidR="002B0728" w:rsidRPr="00DE64C0">
        <w:t>.</w:t>
      </w:r>
    </w:p>
    <w:p w14:paraId="7D5EB9DE" w14:textId="77777777" w:rsidR="00A91DAE" w:rsidRPr="00DE64C0" w:rsidRDefault="00A91DAE" w:rsidP="00FF4C5F"/>
    <w:p w14:paraId="0D908C30" w14:textId="06937B6D" w:rsidR="00A91DAE" w:rsidRPr="00DE64C0" w:rsidRDefault="00A91DAE" w:rsidP="00FF4C5F">
      <w:pPr>
        <w:rPr>
          <w:color w:val="000000" w:themeColor="text1"/>
        </w:rPr>
      </w:pPr>
      <w:r w:rsidRPr="00DE64C0">
        <w:t>At baseline a higher level</w:t>
      </w:r>
      <w:r w:rsidR="0073475C" w:rsidRPr="00DE64C0">
        <w:t>s</w:t>
      </w:r>
      <w:r w:rsidRPr="00DE64C0">
        <w:t xml:space="preserve"> of deprivation </w:t>
      </w:r>
      <w:r w:rsidR="0073475C" w:rsidRPr="00DE64C0">
        <w:t>and smokers were</w:t>
      </w:r>
      <w:r w:rsidRPr="00DE64C0">
        <w:t xml:space="preserve"> seen in the intervention group (Table 1). </w:t>
      </w:r>
      <w:r w:rsidRPr="00DE64C0">
        <w:rPr>
          <w:color w:val="000000" w:themeColor="text1"/>
        </w:rPr>
        <w:t xml:space="preserve">Weight (p=0.0002), BMI (p=0.003) and waist circumference (p=0.0001) were significantly higher in the standard-care group compared to the intervention group. </w:t>
      </w:r>
    </w:p>
    <w:p w14:paraId="334DF427" w14:textId="77777777" w:rsidR="00A91DAE" w:rsidRPr="00DE64C0" w:rsidRDefault="00A91DAE" w:rsidP="00FF4C5F">
      <w:pPr>
        <w:rPr>
          <w:rFonts w:cs="Times New Roman"/>
        </w:rPr>
      </w:pPr>
      <w:r w:rsidRPr="00DE64C0">
        <w:rPr>
          <w:rFonts w:cs="Times New Roman"/>
        </w:rPr>
        <w:br w:type="page"/>
      </w:r>
    </w:p>
    <w:p w14:paraId="180CA2DE" w14:textId="77777777" w:rsidR="00A91DAE" w:rsidRPr="00DE64C0" w:rsidRDefault="00A91DAE" w:rsidP="00FF4C5F">
      <w:pPr>
        <w:rPr>
          <w:rFonts w:cs="Times New Roman"/>
        </w:rPr>
      </w:pPr>
      <w:r w:rsidRPr="00DE64C0">
        <w:rPr>
          <w:b/>
        </w:rPr>
        <w:lastRenderedPageBreak/>
        <w:t xml:space="preserve">Figure </w:t>
      </w:r>
      <w:r w:rsidRPr="00DE64C0">
        <w:rPr>
          <w:b/>
        </w:rPr>
        <w:fldChar w:fldCharType="begin"/>
      </w:r>
      <w:r w:rsidRPr="00DE64C0">
        <w:rPr>
          <w:b/>
        </w:rPr>
        <w:instrText xml:space="preserve"> SEQ Figure \* ARABIC </w:instrText>
      </w:r>
      <w:r w:rsidRPr="00DE64C0">
        <w:rPr>
          <w:b/>
        </w:rPr>
        <w:fldChar w:fldCharType="separate"/>
      </w:r>
      <w:r w:rsidRPr="00DE64C0">
        <w:rPr>
          <w:b/>
          <w:noProof/>
        </w:rPr>
        <w:t>1</w:t>
      </w:r>
      <w:r w:rsidRPr="00DE64C0">
        <w:rPr>
          <w:b/>
          <w:noProof/>
        </w:rPr>
        <w:fldChar w:fldCharType="end"/>
      </w:r>
      <w:r w:rsidRPr="00DE64C0">
        <w:t xml:space="preserve"> </w:t>
      </w:r>
      <w:r w:rsidRPr="00DE64C0">
        <w:rPr>
          <w:rFonts w:cs="Times New Roman"/>
        </w:rPr>
        <w:t>Flow of practices and participants through the trial</w:t>
      </w:r>
    </w:p>
    <w:p w14:paraId="48A24A0E" w14:textId="20A3FB89" w:rsidR="00814D1C" w:rsidRPr="00DE64C0" w:rsidRDefault="00A91DAE" w:rsidP="00FF4C5F">
      <w:pPr>
        <w:rPr>
          <w:rFonts w:cs="Times New Roman"/>
        </w:rPr>
      </w:pPr>
      <w:r w:rsidRPr="00DE64C0">
        <w:rPr>
          <w:rFonts w:cs="Times New Roman"/>
          <w:noProof/>
          <w:lang w:eastAsia="en-GB"/>
        </w:rPr>
        <w:drawing>
          <wp:inline distT="0" distB="0" distL="0" distR="0" wp14:anchorId="4DF586B8" wp14:editId="022D93E3">
            <wp:extent cx="5731510" cy="81108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_chart.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8110855"/>
                    </a:xfrm>
                    <a:prstGeom prst="rect">
                      <a:avLst/>
                    </a:prstGeom>
                  </pic:spPr>
                </pic:pic>
              </a:graphicData>
            </a:graphic>
          </wp:inline>
        </w:drawing>
      </w:r>
    </w:p>
    <w:p w14:paraId="072E8344" w14:textId="77777777" w:rsidR="00814D1C" w:rsidRPr="00DE64C0" w:rsidRDefault="00814D1C" w:rsidP="00FF4C5F">
      <w:pPr>
        <w:rPr>
          <w:rFonts w:cs="Times New Roman"/>
        </w:rPr>
      </w:pPr>
    </w:p>
    <w:p w14:paraId="2E1411A5" w14:textId="77777777" w:rsidR="00A91DAE" w:rsidRPr="00DE64C0" w:rsidRDefault="00A91DAE" w:rsidP="00FF4C5F">
      <w:pPr>
        <w:rPr>
          <w:rFonts w:cs="Times New Roman"/>
        </w:rPr>
      </w:pPr>
      <w:r w:rsidRPr="00DE64C0">
        <w:rPr>
          <w:b/>
        </w:rPr>
        <w:lastRenderedPageBreak/>
        <w:t>Table 1</w:t>
      </w:r>
      <w:r w:rsidRPr="00DE64C0">
        <w:t xml:space="preserve"> Baseline characteristics</w:t>
      </w:r>
    </w:p>
    <w:p w14:paraId="52F5B6ED" w14:textId="77777777" w:rsidR="00A91DAE" w:rsidRPr="00DE64C0" w:rsidRDefault="00A91DAE" w:rsidP="00FF4C5F">
      <w:r w:rsidRPr="00DE64C0">
        <w:t xml:space="preserve">Data given as mean (SD) unless otherwise stated  </w:t>
      </w:r>
    </w:p>
    <w:tbl>
      <w:tblPr>
        <w:tblW w:w="8420" w:type="dxa"/>
        <w:tblLook w:val="04A0" w:firstRow="1" w:lastRow="0" w:firstColumn="1" w:lastColumn="0" w:noHBand="0" w:noVBand="1"/>
      </w:tblPr>
      <w:tblGrid>
        <w:gridCol w:w="4068"/>
        <w:gridCol w:w="2236"/>
        <w:gridCol w:w="2116"/>
      </w:tblGrid>
      <w:tr w:rsidR="00A91DAE" w:rsidRPr="00DE64C0" w14:paraId="480BBDE7" w14:textId="77777777" w:rsidTr="009310C1">
        <w:trPr>
          <w:trHeight w:val="428"/>
        </w:trPr>
        <w:tc>
          <w:tcPr>
            <w:tcW w:w="4068" w:type="dxa"/>
            <w:tcBorders>
              <w:top w:val="single" w:sz="4" w:space="0" w:color="auto"/>
              <w:bottom w:val="single" w:sz="4" w:space="0" w:color="auto"/>
            </w:tcBorders>
            <w:shd w:val="clear" w:color="auto" w:fill="auto"/>
          </w:tcPr>
          <w:p w14:paraId="37778B56" w14:textId="77777777" w:rsidR="00A91DAE" w:rsidRPr="00DE64C0" w:rsidRDefault="00A91DAE" w:rsidP="00FF4C5F">
            <w:pPr>
              <w:rPr>
                <w:rFonts w:eastAsia="Calibri"/>
              </w:rPr>
            </w:pPr>
          </w:p>
        </w:tc>
        <w:tc>
          <w:tcPr>
            <w:tcW w:w="2236" w:type="dxa"/>
            <w:tcBorders>
              <w:top w:val="single" w:sz="4" w:space="0" w:color="auto"/>
              <w:bottom w:val="single" w:sz="4" w:space="0" w:color="auto"/>
            </w:tcBorders>
            <w:shd w:val="clear" w:color="auto" w:fill="auto"/>
          </w:tcPr>
          <w:p w14:paraId="00292D53" w14:textId="77777777" w:rsidR="00A91DAE" w:rsidRPr="00DE64C0" w:rsidRDefault="00A91DAE" w:rsidP="00FF4C5F">
            <w:pPr>
              <w:rPr>
                <w:rFonts w:eastAsia="Calibri"/>
              </w:rPr>
            </w:pPr>
            <w:r w:rsidRPr="00DE64C0">
              <w:rPr>
                <w:rFonts w:eastAsia="Calibri"/>
              </w:rPr>
              <w:t>Standard care</w:t>
            </w:r>
          </w:p>
        </w:tc>
        <w:tc>
          <w:tcPr>
            <w:tcW w:w="2116" w:type="dxa"/>
            <w:tcBorders>
              <w:top w:val="single" w:sz="4" w:space="0" w:color="auto"/>
              <w:bottom w:val="single" w:sz="4" w:space="0" w:color="auto"/>
            </w:tcBorders>
            <w:shd w:val="clear" w:color="auto" w:fill="auto"/>
          </w:tcPr>
          <w:p w14:paraId="46BC7CC7" w14:textId="77777777" w:rsidR="00A91DAE" w:rsidRPr="00DE64C0" w:rsidRDefault="00A91DAE" w:rsidP="00FF4C5F">
            <w:pPr>
              <w:rPr>
                <w:rFonts w:eastAsia="Calibri"/>
              </w:rPr>
            </w:pPr>
            <w:r w:rsidRPr="00DE64C0">
              <w:rPr>
                <w:rFonts w:eastAsia="Calibri"/>
              </w:rPr>
              <w:t xml:space="preserve">Intervention </w:t>
            </w:r>
          </w:p>
        </w:tc>
      </w:tr>
      <w:tr w:rsidR="00A91DAE" w:rsidRPr="00DE64C0" w14:paraId="65D83ECC" w14:textId="77777777" w:rsidTr="009310C1">
        <w:tc>
          <w:tcPr>
            <w:tcW w:w="4068" w:type="dxa"/>
            <w:tcBorders>
              <w:top w:val="single" w:sz="4" w:space="0" w:color="auto"/>
            </w:tcBorders>
            <w:shd w:val="clear" w:color="auto" w:fill="auto"/>
          </w:tcPr>
          <w:p w14:paraId="05812675" w14:textId="77777777" w:rsidR="00A91DAE" w:rsidRPr="00DE64C0" w:rsidRDefault="00A91DAE" w:rsidP="00FF4C5F">
            <w:pPr>
              <w:rPr>
                <w:rFonts w:eastAsia="Calibri"/>
              </w:rPr>
            </w:pPr>
            <w:r w:rsidRPr="00DE64C0">
              <w:rPr>
                <w:rFonts w:eastAsia="Calibri"/>
              </w:rPr>
              <w:t>Individual level</w:t>
            </w:r>
          </w:p>
        </w:tc>
        <w:tc>
          <w:tcPr>
            <w:tcW w:w="2236" w:type="dxa"/>
            <w:tcBorders>
              <w:top w:val="single" w:sz="4" w:space="0" w:color="auto"/>
            </w:tcBorders>
            <w:shd w:val="clear" w:color="auto" w:fill="auto"/>
          </w:tcPr>
          <w:p w14:paraId="46ACFA52" w14:textId="77777777" w:rsidR="00A91DAE" w:rsidRPr="00DE64C0" w:rsidRDefault="00A91DAE" w:rsidP="00FF4C5F">
            <w:pPr>
              <w:rPr>
                <w:rFonts w:eastAsia="Calibri"/>
              </w:rPr>
            </w:pPr>
          </w:p>
        </w:tc>
        <w:tc>
          <w:tcPr>
            <w:tcW w:w="2116" w:type="dxa"/>
            <w:tcBorders>
              <w:top w:val="single" w:sz="4" w:space="0" w:color="auto"/>
            </w:tcBorders>
            <w:shd w:val="clear" w:color="auto" w:fill="auto"/>
          </w:tcPr>
          <w:p w14:paraId="750BEEE2" w14:textId="77777777" w:rsidR="00A91DAE" w:rsidRPr="00DE64C0" w:rsidRDefault="00A91DAE" w:rsidP="00FF4C5F">
            <w:pPr>
              <w:rPr>
                <w:rFonts w:eastAsia="Calibri"/>
              </w:rPr>
            </w:pPr>
          </w:p>
        </w:tc>
      </w:tr>
      <w:tr w:rsidR="00A91DAE" w:rsidRPr="00DE64C0" w14:paraId="624B1179" w14:textId="77777777" w:rsidTr="009310C1">
        <w:tc>
          <w:tcPr>
            <w:tcW w:w="4068" w:type="dxa"/>
            <w:tcBorders>
              <w:bottom w:val="single" w:sz="4" w:space="0" w:color="auto"/>
            </w:tcBorders>
            <w:shd w:val="clear" w:color="auto" w:fill="auto"/>
          </w:tcPr>
          <w:p w14:paraId="33EE0B20" w14:textId="77777777" w:rsidR="00A91DAE" w:rsidRPr="00DE64C0" w:rsidRDefault="00A91DAE" w:rsidP="00FF4C5F">
            <w:pPr>
              <w:rPr>
                <w:rFonts w:eastAsia="Calibri"/>
              </w:rPr>
            </w:pPr>
            <w:r w:rsidRPr="00DE64C0">
              <w:rPr>
                <w:rFonts w:eastAsia="Calibri"/>
              </w:rPr>
              <w:t>Number of participants</w:t>
            </w:r>
          </w:p>
        </w:tc>
        <w:tc>
          <w:tcPr>
            <w:tcW w:w="2236" w:type="dxa"/>
            <w:tcBorders>
              <w:bottom w:val="single" w:sz="4" w:space="0" w:color="auto"/>
            </w:tcBorders>
            <w:shd w:val="clear" w:color="auto" w:fill="auto"/>
          </w:tcPr>
          <w:p w14:paraId="4E2D9D7F" w14:textId="77777777" w:rsidR="00A91DAE" w:rsidRPr="00DE64C0" w:rsidRDefault="00A91DAE" w:rsidP="00FF4C5F">
            <w:pPr>
              <w:rPr>
                <w:rFonts w:eastAsia="Calibri"/>
              </w:rPr>
            </w:pPr>
            <w:r w:rsidRPr="00DE64C0">
              <w:rPr>
                <w:rFonts w:eastAsia="Calibri"/>
              </w:rPr>
              <w:t>433</w:t>
            </w:r>
          </w:p>
        </w:tc>
        <w:tc>
          <w:tcPr>
            <w:tcW w:w="2116" w:type="dxa"/>
            <w:tcBorders>
              <w:bottom w:val="single" w:sz="4" w:space="0" w:color="auto"/>
            </w:tcBorders>
            <w:shd w:val="clear" w:color="auto" w:fill="auto"/>
          </w:tcPr>
          <w:p w14:paraId="46FFE6EE" w14:textId="77777777" w:rsidR="00A91DAE" w:rsidRPr="00DE64C0" w:rsidRDefault="00A91DAE" w:rsidP="00FF4C5F">
            <w:pPr>
              <w:rPr>
                <w:rFonts w:eastAsia="Calibri"/>
              </w:rPr>
            </w:pPr>
            <w:r w:rsidRPr="00DE64C0">
              <w:rPr>
                <w:rFonts w:eastAsia="Calibri"/>
              </w:rPr>
              <w:t>447</w:t>
            </w:r>
          </w:p>
        </w:tc>
      </w:tr>
      <w:tr w:rsidR="00A91DAE" w:rsidRPr="00DE64C0" w14:paraId="7331F980" w14:textId="77777777" w:rsidTr="009310C1">
        <w:tc>
          <w:tcPr>
            <w:tcW w:w="4068" w:type="dxa"/>
            <w:tcBorders>
              <w:top w:val="single" w:sz="4" w:space="0" w:color="auto"/>
            </w:tcBorders>
            <w:shd w:val="clear" w:color="auto" w:fill="auto"/>
          </w:tcPr>
          <w:p w14:paraId="74EA4710" w14:textId="77777777" w:rsidR="00A91DAE" w:rsidRPr="00DE64C0" w:rsidRDefault="00A91DAE" w:rsidP="00FF4C5F">
            <w:pPr>
              <w:rPr>
                <w:rFonts w:eastAsia="Calibri"/>
              </w:rPr>
            </w:pPr>
            <w:r w:rsidRPr="00DE64C0">
              <w:rPr>
                <w:rFonts w:eastAsia="Calibri"/>
              </w:rPr>
              <w:t>Age</w:t>
            </w:r>
          </w:p>
        </w:tc>
        <w:tc>
          <w:tcPr>
            <w:tcW w:w="2236" w:type="dxa"/>
            <w:tcBorders>
              <w:top w:val="single" w:sz="4" w:space="0" w:color="auto"/>
            </w:tcBorders>
            <w:shd w:val="clear" w:color="auto" w:fill="auto"/>
          </w:tcPr>
          <w:p w14:paraId="5AB53788" w14:textId="77777777" w:rsidR="00A91DAE" w:rsidRPr="00DE64C0" w:rsidRDefault="00A91DAE" w:rsidP="00FF4C5F">
            <w:pPr>
              <w:rPr>
                <w:rFonts w:eastAsia="Calibri"/>
              </w:rPr>
            </w:pPr>
            <w:r w:rsidRPr="00DE64C0">
              <w:rPr>
                <w:rFonts w:eastAsia="Calibri"/>
              </w:rPr>
              <w:t>63.9 (7.9)</w:t>
            </w:r>
          </w:p>
        </w:tc>
        <w:tc>
          <w:tcPr>
            <w:tcW w:w="2116" w:type="dxa"/>
            <w:tcBorders>
              <w:top w:val="single" w:sz="4" w:space="0" w:color="auto"/>
            </w:tcBorders>
            <w:shd w:val="clear" w:color="auto" w:fill="auto"/>
          </w:tcPr>
          <w:p w14:paraId="75204CDF" w14:textId="77777777" w:rsidR="00A91DAE" w:rsidRPr="00DE64C0" w:rsidRDefault="00A91DAE" w:rsidP="00FF4C5F">
            <w:pPr>
              <w:rPr>
                <w:rFonts w:eastAsia="Calibri"/>
              </w:rPr>
            </w:pPr>
            <w:r w:rsidRPr="00DE64C0">
              <w:rPr>
                <w:rFonts w:eastAsia="Calibri"/>
              </w:rPr>
              <w:t>63.9 (7.6)</w:t>
            </w:r>
          </w:p>
        </w:tc>
      </w:tr>
      <w:tr w:rsidR="00A91DAE" w:rsidRPr="00DE64C0" w14:paraId="28BFC8F7" w14:textId="77777777" w:rsidTr="009310C1">
        <w:tc>
          <w:tcPr>
            <w:tcW w:w="4068" w:type="dxa"/>
            <w:shd w:val="clear" w:color="auto" w:fill="auto"/>
          </w:tcPr>
          <w:p w14:paraId="5F3D9251" w14:textId="77777777" w:rsidR="00A91DAE" w:rsidRPr="00DE64C0" w:rsidRDefault="00A91DAE" w:rsidP="00FF4C5F">
            <w:pPr>
              <w:rPr>
                <w:rFonts w:eastAsia="Calibri"/>
              </w:rPr>
            </w:pPr>
            <w:r w:rsidRPr="00DE64C0">
              <w:rPr>
                <w:rFonts w:eastAsia="Calibri"/>
              </w:rPr>
              <w:t>Male n (%)</w:t>
            </w:r>
          </w:p>
        </w:tc>
        <w:tc>
          <w:tcPr>
            <w:tcW w:w="2236" w:type="dxa"/>
            <w:shd w:val="clear" w:color="auto" w:fill="auto"/>
          </w:tcPr>
          <w:p w14:paraId="58232024" w14:textId="77777777" w:rsidR="00A91DAE" w:rsidRPr="00DE64C0" w:rsidRDefault="00A91DAE" w:rsidP="00FF4C5F">
            <w:pPr>
              <w:rPr>
                <w:rFonts w:eastAsia="Calibri"/>
              </w:rPr>
            </w:pPr>
            <w:r w:rsidRPr="00DE64C0">
              <w:rPr>
                <w:rFonts w:eastAsia="Calibri"/>
              </w:rPr>
              <w:t>278 (64.2)</w:t>
            </w:r>
          </w:p>
        </w:tc>
        <w:tc>
          <w:tcPr>
            <w:tcW w:w="2116" w:type="dxa"/>
            <w:shd w:val="clear" w:color="auto" w:fill="auto"/>
          </w:tcPr>
          <w:p w14:paraId="5694E270" w14:textId="77777777" w:rsidR="00A91DAE" w:rsidRPr="00DE64C0" w:rsidRDefault="00A91DAE" w:rsidP="00FF4C5F">
            <w:pPr>
              <w:rPr>
                <w:rFonts w:eastAsia="Calibri"/>
              </w:rPr>
            </w:pPr>
            <w:r w:rsidRPr="00DE64C0">
              <w:rPr>
                <w:rFonts w:eastAsia="Calibri"/>
              </w:rPr>
              <w:t>282 (63.1)</w:t>
            </w:r>
          </w:p>
        </w:tc>
      </w:tr>
      <w:tr w:rsidR="00A91DAE" w:rsidRPr="00DE64C0" w14:paraId="5263312A" w14:textId="77777777" w:rsidTr="009310C1">
        <w:tc>
          <w:tcPr>
            <w:tcW w:w="4068" w:type="dxa"/>
            <w:shd w:val="clear" w:color="auto" w:fill="auto"/>
          </w:tcPr>
          <w:p w14:paraId="608D833F" w14:textId="77777777" w:rsidR="00A91DAE" w:rsidRPr="00DE64C0" w:rsidRDefault="00A91DAE" w:rsidP="00FF4C5F">
            <w:pPr>
              <w:rPr>
                <w:rFonts w:eastAsia="Calibri"/>
              </w:rPr>
            </w:pPr>
            <w:r w:rsidRPr="00DE64C0">
              <w:rPr>
                <w:rFonts w:eastAsia="Calibri"/>
              </w:rPr>
              <w:t>White European, n (%)</w:t>
            </w:r>
          </w:p>
        </w:tc>
        <w:tc>
          <w:tcPr>
            <w:tcW w:w="2236" w:type="dxa"/>
            <w:shd w:val="clear" w:color="auto" w:fill="auto"/>
          </w:tcPr>
          <w:p w14:paraId="2FF0E7B9" w14:textId="77777777" w:rsidR="00A91DAE" w:rsidRPr="00DE64C0" w:rsidRDefault="00A91DAE" w:rsidP="00FF4C5F">
            <w:pPr>
              <w:rPr>
                <w:rFonts w:eastAsia="Calibri"/>
              </w:rPr>
            </w:pPr>
            <w:r w:rsidRPr="00DE64C0">
              <w:rPr>
                <w:rFonts w:eastAsia="Calibri"/>
              </w:rPr>
              <w:t>363 (84.3)</w:t>
            </w:r>
          </w:p>
        </w:tc>
        <w:tc>
          <w:tcPr>
            <w:tcW w:w="2116" w:type="dxa"/>
            <w:shd w:val="clear" w:color="auto" w:fill="auto"/>
          </w:tcPr>
          <w:p w14:paraId="47F663E5" w14:textId="77777777" w:rsidR="00A91DAE" w:rsidRPr="00DE64C0" w:rsidRDefault="00A91DAE" w:rsidP="00FF4C5F">
            <w:pPr>
              <w:rPr>
                <w:rFonts w:eastAsia="Calibri"/>
              </w:rPr>
            </w:pPr>
            <w:r w:rsidRPr="00DE64C0">
              <w:rPr>
                <w:rFonts w:eastAsia="Calibri"/>
              </w:rPr>
              <w:t>377 (84.5)</w:t>
            </w:r>
          </w:p>
        </w:tc>
      </w:tr>
      <w:tr w:rsidR="00A91DAE" w:rsidRPr="00DE64C0" w14:paraId="05DE3FC5" w14:textId="77777777" w:rsidTr="009310C1">
        <w:tc>
          <w:tcPr>
            <w:tcW w:w="4068" w:type="dxa"/>
            <w:shd w:val="clear" w:color="auto" w:fill="auto"/>
          </w:tcPr>
          <w:p w14:paraId="42620474" w14:textId="77777777" w:rsidR="00A91DAE" w:rsidRPr="00DE64C0" w:rsidRDefault="00A91DAE" w:rsidP="00FF4C5F">
            <w:pPr>
              <w:rPr>
                <w:rFonts w:eastAsia="Calibri"/>
              </w:rPr>
            </w:pPr>
            <w:r w:rsidRPr="00DE64C0">
              <w:rPr>
                <w:rFonts w:eastAsia="Calibri"/>
              </w:rPr>
              <w:t>Deprivation, median (IQR)</w:t>
            </w:r>
          </w:p>
        </w:tc>
        <w:tc>
          <w:tcPr>
            <w:tcW w:w="2236" w:type="dxa"/>
            <w:shd w:val="clear" w:color="auto" w:fill="auto"/>
          </w:tcPr>
          <w:p w14:paraId="4551BB12" w14:textId="77777777" w:rsidR="00A91DAE" w:rsidRPr="00DE64C0" w:rsidRDefault="00A91DAE" w:rsidP="00FF4C5F">
            <w:pPr>
              <w:rPr>
                <w:rFonts w:eastAsia="Calibri"/>
              </w:rPr>
            </w:pPr>
            <w:r w:rsidRPr="00DE64C0">
              <w:rPr>
                <w:rFonts w:eastAsia="Calibri"/>
              </w:rPr>
              <w:t>10.1 (6.3, 18.1)</w:t>
            </w:r>
          </w:p>
        </w:tc>
        <w:tc>
          <w:tcPr>
            <w:tcW w:w="2116" w:type="dxa"/>
            <w:shd w:val="clear" w:color="auto" w:fill="auto"/>
          </w:tcPr>
          <w:p w14:paraId="6B826EB6" w14:textId="77777777" w:rsidR="00A91DAE" w:rsidRPr="00DE64C0" w:rsidRDefault="00A91DAE" w:rsidP="00FF4C5F">
            <w:pPr>
              <w:rPr>
                <w:rFonts w:eastAsia="Calibri"/>
              </w:rPr>
            </w:pPr>
            <w:r w:rsidRPr="00DE64C0">
              <w:rPr>
                <w:rFonts w:eastAsia="Calibri"/>
              </w:rPr>
              <w:t>13.4 (8.4, 24.4)*</w:t>
            </w:r>
          </w:p>
        </w:tc>
      </w:tr>
      <w:tr w:rsidR="00A91DAE" w:rsidRPr="00DE64C0" w14:paraId="6C7B8EE4" w14:textId="77777777" w:rsidTr="009310C1">
        <w:tc>
          <w:tcPr>
            <w:tcW w:w="4068" w:type="dxa"/>
            <w:shd w:val="clear" w:color="auto" w:fill="auto"/>
          </w:tcPr>
          <w:p w14:paraId="3A412196" w14:textId="77777777" w:rsidR="00A91DAE" w:rsidRPr="00DE64C0" w:rsidRDefault="00A91DAE" w:rsidP="00FF4C5F">
            <w:pPr>
              <w:rPr>
                <w:rFonts w:eastAsia="Calibri"/>
              </w:rPr>
            </w:pPr>
            <w:r w:rsidRPr="00DE64C0">
              <w:rPr>
                <w:rFonts w:eastAsia="Calibri"/>
              </w:rPr>
              <w:t>Current smoker, n (%)</w:t>
            </w:r>
          </w:p>
        </w:tc>
        <w:tc>
          <w:tcPr>
            <w:tcW w:w="2236" w:type="dxa"/>
            <w:shd w:val="clear" w:color="auto" w:fill="auto"/>
          </w:tcPr>
          <w:p w14:paraId="6FB25A18" w14:textId="77777777" w:rsidR="00A91DAE" w:rsidRPr="00DE64C0" w:rsidRDefault="00A91DAE" w:rsidP="00FF4C5F">
            <w:pPr>
              <w:rPr>
                <w:rFonts w:eastAsia="Calibri"/>
              </w:rPr>
            </w:pPr>
            <w:r w:rsidRPr="00DE64C0">
              <w:rPr>
                <w:rFonts w:eastAsia="Calibri"/>
              </w:rPr>
              <w:t>22 (5.1)</w:t>
            </w:r>
          </w:p>
        </w:tc>
        <w:tc>
          <w:tcPr>
            <w:tcW w:w="2116" w:type="dxa"/>
            <w:shd w:val="clear" w:color="auto" w:fill="auto"/>
          </w:tcPr>
          <w:p w14:paraId="28374C6C" w14:textId="77777777" w:rsidR="00A91DAE" w:rsidRPr="00DE64C0" w:rsidRDefault="00A91DAE" w:rsidP="00FF4C5F">
            <w:pPr>
              <w:rPr>
                <w:rFonts w:eastAsia="Calibri"/>
              </w:rPr>
            </w:pPr>
            <w:r w:rsidRPr="00DE64C0">
              <w:rPr>
                <w:rFonts w:eastAsia="Calibri"/>
              </w:rPr>
              <w:t>38 (8.5)*</w:t>
            </w:r>
          </w:p>
        </w:tc>
      </w:tr>
      <w:tr w:rsidR="00A91DAE" w:rsidRPr="00DE64C0" w14:paraId="3A97B2FD" w14:textId="77777777" w:rsidTr="009310C1">
        <w:tc>
          <w:tcPr>
            <w:tcW w:w="4068" w:type="dxa"/>
            <w:shd w:val="clear" w:color="auto" w:fill="auto"/>
          </w:tcPr>
          <w:p w14:paraId="5B25C1DA" w14:textId="77777777" w:rsidR="00A91DAE" w:rsidRPr="00DE64C0" w:rsidRDefault="00A91DAE" w:rsidP="00FF4C5F">
            <w:pPr>
              <w:rPr>
                <w:rFonts w:eastAsia="Calibri"/>
              </w:rPr>
            </w:pPr>
            <w:r w:rsidRPr="00DE64C0">
              <w:rPr>
                <w:rFonts w:eastAsia="Calibri"/>
              </w:rPr>
              <w:t>Prescribed statins, n (%)</w:t>
            </w:r>
          </w:p>
        </w:tc>
        <w:tc>
          <w:tcPr>
            <w:tcW w:w="2236" w:type="dxa"/>
            <w:shd w:val="clear" w:color="auto" w:fill="auto"/>
          </w:tcPr>
          <w:p w14:paraId="528AC028" w14:textId="77777777" w:rsidR="00A91DAE" w:rsidRPr="00DE64C0" w:rsidRDefault="00A91DAE" w:rsidP="00FF4C5F">
            <w:pPr>
              <w:rPr>
                <w:rFonts w:eastAsia="Calibri"/>
              </w:rPr>
            </w:pPr>
            <w:r w:rsidRPr="00DE64C0">
              <w:rPr>
                <w:rFonts w:eastAsia="Calibri"/>
              </w:rPr>
              <w:t>171 (43.3)</w:t>
            </w:r>
          </w:p>
        </w:tc>
        <w:tc>
          <w:tcPr>
            <w:tcW w:w="2116" w:type="dxa"/>
            <w:shd w:val="clear" w:color="auto" w:fill="auto"/>
          </w:tcPr>
          <w:p w14:paraId="2FFA90F4" w14:textId="77777777" w:rsidR="00A91DAE" w:rsidRPr="00DE64C0" w:rsidRDefault="00A91DAE" w:rsidP="00FF4C5F">
            <w:pPr>
              <w:rPr>
                <w:rFonts w:eastAsia="Calibri"/>
              </w:rPr>
            </w:pPr>
            <w:r w:rsidRPr="00DE64C0">
              <w:rPr>
                <w:rFonts w:eastAsia="Calibri"/>
              </w:rPr>
              <w:t>184 (44.2)</w:t>
            </w:r>
          </w:p>
        </w:tc>
      </w:tr>
      <w:tr w:rsidR="00A91DAE" w:rsidRPr="00DE64C0" w14:paraId="0046E938" w14:textId="77777777" w:rsidTr="009310C1">
        <w:tc>
          <w:tcPr>
            <w:tcW w:w="4068" w:type="dxa"/>
            <w:shd w:val="clear" w:color="auto" w:fill="auto"/>
          </w:tcPr>
          <w:p w14:paraId="68BA5F49" w14:textId="77777777" w:rsidR="00A91DAE" w:rsidRPr="00DE64C0" w:rsidRDefault="00A91DAE" w:rsidP="00FF4C5F">
            <w:pPr>
              <w:rPr>
                <w:rFonts w:eastAsia="Calibri"/>
              </w:rPr>
            </w:pPr>
            <w:r w:rsidRPr="00DE64C0">
              <w:rPr>
                <w:rFonts w:eastAsia="Calibri"/>
              </w:rPr>
              <w:t xml:space="preserve">Prescribed </w:t>
            </w:r>
            <w:proofErr w:type="spellStart"/>
            <w:r w:rsidRPr="00DE64C0">
              <w:rPr>
                <w:rFonts w:eastAsia="Calibri"/>
              </w:rPr>
              <w:t>antihypertensives</w:t>
            </w:r>
            <w:proofErr w:type="spellEnd"/>
            <w:r w:rsidRPr="00DE64C0">
              <w:rPr>
                <w:rFonts w:eastAsia="Calibri"/>
              </w:rPr>
              <w:t>, n (%)</w:t>
            </w:r>
          </w:p>
        </w:tc>
        <w:tc>
          <w:tcPr>
            <w:tcW w:w="2236" w:type="dxa"/>
            <w:shd w:val="clear" w:color="auto" w:fill="auto"/>
          </w:tcPr>
          <w:p w14:paraId="50E66962" w14:textId="77777777" w:rsidR="00A91DAE" w:rsidRPr="00DE64C0" w:rsidRDefault="00A91DAE" w:rsidP="00FF4C5F">
            <w:pPr>
              <w:rPr>
                <w:rFonts w:eastAsia="Calibri"/>
              </w:rPr>
            </w:pPr>
            <w:r w:rsidRPr="00DE64C0">
              <w:rPr>
                <w:rFonts w:eastAsia="Calibri"/>
              </w:rPr>
              <w:t>270 (62.4)</w:t>
            </w:r>
          </w:p>
        </w:tc>
        <w:tc>
          <w:tcPr>
            <w:tcW w:w="2116" w:type="dxa"/>
            <w:shd w:val="clear" w:color="auto" w:fill="auto"/>
          </w:tcPr>
          <w:p w14:paraId="3265A3BA" w14:textId="77777777" w:rsidR="00A91DAE" w:rsidRPr="00DE64C0" w:rsidRDefault="00A91DAE" w:rsidP="00FF4C5F">
            <w:pPr>
              <w:rPr>
                <w:rFonts w:eastAsia="Calibri"/>
              </w:rPr>
            </w:pPr>
            <w:r w:rsidRPr="00DE64C0">
              <w:rPr>
                <w:rFonts w:eastAsia="Calibri"/>
              </w:rPr>
              <w:t>275 (61.5)</w:t>
            </w:r>
          </w:p>
        </w:tc>
      </w:tr>
      <w:tr w:rsidR="00A91DAE" w:rsidRPr="00DE64C0" w14:paraId="046FF72C" w14:textId="77777777" w:rsidTr="009310C1">
        <w:tc>
          <w:tcPr>
            <w:tcW w:w="4068" w:type="dxa"/>
            <w:shd w:val="clear" w:color="auto" w:fill="auto"/>
          </w:tcPr>
          <w:p w14:paraId="3B6DCA3B" w14:textId="77777777" w:rsidR="00A91DAE" w:rsidRPr="00DE64C0" w:rsidRDefault="00A91DAE" w:rsidP="00FF4C5F">
            <w:pPr>
              <w:rPr>
                <w:rFonts w:eastAsia="Calibri"/>
              </w:rPr>
            </w:pPr>
            <w:r w:rsidRPr="00DE64C0">
              <w:rPr>
                <w:rFonts w:eastAsia="Calibri"/>
              </w:rPr>
              <w:t>History CVD, n (%)</w:t>
            </w:r>
          </w:p>
        </w:tc>
        <w:tc>
          <w:tcPr>
            <w:tcW w:w="2236" w:type="dxa"/>
            <w:shd w:val="clear" w:color="auto" w:fill="auto"/>
          </w:tcPr>
          <w:p w14:paraId="7DF41ECF" w14:textId="77777777" w:rsidR="00A91DAE" w:rsidRPr="00DE64C0" w:rsidRDefault="00A91DAE" w:rsidP="00FF4C5F">
            <w:pPr>
              <w:rPr>
                <w:rFonts w:eastAsia="Calibri"/>
              </w:rPr>
            </w:pPr>
            <w:r w:rsidRPr="00DE64C0">
              <w:rPr>
                <w:rFonts w:eastAsia="Calibri"/>
              </w:rPr>
              <w:t>78 (18.0)</w:t>
            </w:r>
          </w:p>
        </w:tc>
        <w:tc>
          <w:tcPr>
            <w:tcW w:w="2116" w:type="dxa"/>
            <w:shd w:val="clear" w:color="auto" w:fill="auto"/>
          </w:tcPr>
          <w:p w14:paraId="194EF093" w14:textId="77777777" w:rsidR="00A91DAE" w:rsidRPr="00DE64C0" w:rsidRDefault="00A91DAE" w:rsidP="00FF4C5F">
            <w:pPr>
              <w:rPr>
                <w:rFonts w:eastAsia="Calibri"/>
              </w:rPr>
            </w:pPr>
            <w:r w:rsidRPr="00DE64C0">
              <w:rPr>
                <w:rFonts w:eastAsia="Calibri"/>
              </w:rPr>
              <w:t>75 (16.8)</w:t>
            </w:r>
          </w:p>
        </w:tc>
      </w:tr>
      <w:tr w:rsidR="00A91DAE" w:rsidRPr="00DE64C0" w14:paraId="6ADD8FE7" w14:textId="77777777" w:rsidTr="009310C1">
        <w:tc>
          <w:tcPr>
            <w:tcW w:w="4068" w:type="dxa"/>
            <w:shd w:val="clear" w:color="auto" w:fill="auto"/>
          </w:tcPr>
          <w:p w14:paraId="5669F633" w14:textId="77777777" w:rsidR="00A91DAE" w:rsidRPr="00DE64C0" w:rsidRDefault="00A91DAE" w:rsidP="00FF4C5F">
            <w:pPr>
              <w:rPr>
                <w:rFonts w:eastAsia="Calibri"/>
              </w:rPr>
            </w:pPr>
            <w:r w:rsidRPr="00DE64C0">
              <w:rPr>
                <w:rFonts w:eastAsia="Calibri"/>
              </w:rPr>
              <w:t>HbA1c (%)</w:t>
            </w:r>
          </w:p>
        </w:tc>
        <w:tc>
          <w:tcPr>
            <w:tcW w:w="2236" w:type="dxa"/>
            <w:shd w:val="clear" w:color="auto" w:fill="auto"/>
          </w:tcPr>
          <w:p w14:paraId="3A16EA9A" w14:textId="77777777" w:rsidR="00A91DAE" w:rsidRPr="00DE64C0" w:rsidRDefault="00A91DAE" w:rsidP="00FF4C5F">
            <w:pPr>
              <w:rPr>
                <w:rFonts w:eastAsia="Calibri"/>
              </w:rPr>
            </w:pPr>
            <w:r w:rsidRPr="00DE64C0">
              <w:rPr>
                <w:rFonts w:eastAsia="Calibri"/>
              </w:rPr>
              <w:t>6.1 (0.4)</w:t>
            </w:r>
          </w:p>
        </w:tc>
        <w:tc>
          <w:tcPr>
            <w:tcW w:w="2116" w:type="dxa"/>
            <w:shd w:val="clear" w:color="auto" w:fill="auto"/>
          </w:tcPr>
          <w:p w14:paraId="1C32FB40" w14:textId="77777777" w:rsidR="00A91DAE" w:rsidRPr="00DE64C0" w:rsidRDefault="00A91DAE" w:rsidP="00FF4C5F">
            <w:pPr>
              <w:rPr>
                <w:rFonts w:eastAsia="Calibri"/>
              </w:rPr>
            </w:pPr>
            <w:r w:rsidRPr="00DE64C0">
              <w:rPr>
                <w:rFonts w:eastAsia="Calibri"/>
              </w:rPr>
              <w:t>6.1 (0.4)</w:t>
            </w:r>
          </w:p>
        </w:tc>
      </w:tr>
      <w:tr w:rsidR="00A91DAE" w:rsidRPr="00DE64C0" w14:paraId="29578AC6" w14:textId="77777777" w:rsidTr="009310C1">
        <w:tc>
          <w:tcPr>
            <w:tcW w:w="4068" w:type="dxa"/>
            <w:shd w:val="clear" w:color="auto" w:fill="auto"/>
          </w:tcPr>
          <w:p w14:paraId="50E67FF6" w14:textId="77777777" w:rsidR="00A91DAE" w:rsidRPr="00DE64C0" w:rsidRDefault="00A91DAE" w:rsidP="00FF4C5F">
            <w:pPr>
              <w:rPr>
                <w:rFonts w:eastAsia="Calibri"/>
              </w:rPr>
            </w:pPr>
            <w:r w:rsidRPr="00DE64C0">
              <w:rPr>
                <w:rFonts w:eastAsia="Calibri"/>
              </w:rPr>
              <w:t>HbA1c (</w:t>
            </w:r>
            <w:proofErr w:type="spellStart"/>
            <w:r w:rsidRPr="00DE64C0">
              <w:rPr>
                <w:rFonts w:eastAsia="Calibri"/>
              </w:rPr>
              <w:t>mmol</w:t>
            </w:r>
            <w:proofErr w:type="spellEnd"/>
            <w:r w:rsidRPr="00DE64C0">
              <w:rPr>
                <w:rFonts w:eastAsia="Calibri"/>
              </w:rPr>
              <w:t>/</w:t>
            </w:r>
            <w:proofErr w:type="spellStart"/>
            <w:r w:rsidRPr="00DE64C0">
              <w:rPr>
                <w:rFonts w:eastAsia="Calibri"/>
              </w:rPr>
              <w:t>mol</w:t>
            </w:r>
            <w:proofErr w:type="spellEnd"/>
            <w:r w:rsidRPr="00DE64C0">
              <w:rPr>
                <w:rFonts w:eastAsia="Calibri"/>
              </w:rPr>
              <w:t>)</w:t>
            </w:r>
          </w:p>
        </w:tc>
        <w:tc>
          <w:tcPr>
            <w:tcW w:w="2236" w:type="dxa"/>
            <w:shd w:val="clear" w:color="auto" w:fill="auto"/>
          </w:tcPr>
          <w:p w14:paraId="35C7E18D" w14:textId="77777777" w:rsidR="00A91DAE" w:rsidRPr="00DE64C0" w:rsidRDefault="00A91DAE" w:rsidP="00FF4C5F">
            <w:pPr>
              <w:rPr>
                <w:rFonts w:eastAsia="Calibri"/>
              </w:rPr>
            </w:pPr>
            <w:r w:rsidRPr="00DE64C0">
              <w:rPr>
                <w:rFonts w:eastAsia="Calibri"/>
              </w:rPr>
              <w:t>42.8 (4.6)</w:t>
            </w:r>
          </w:p>
        </w:tc>
        <w:tc>
          <w:tcPr>
            <w:tcW w:w="2116" w:type="dxa"/>
            <w:shd w:val="clear" w:color="auto" w:fill="auto"/>
          </w:tcPr>
          <w:p w14:paraId="5024A840" w14:textId="77777777" w:rsidR="00A91DAE" w:rsidRPr="00DE64C0" w:rsidRDefault="00A91DAE" w:rsidP="00FF4C5F">
            <w:pPr>
              <w:rPr>
                <w:rFonts w:eastAsia="Calibri"/>
              </w:rPr>
            </w:pPr>
            <w:r w:rsidRPr="00DE64C0">
              <w:rPr>
                <w:rFonts w:eastAsia="Calibri"/>
              </w:rPr>
              <w:t>43.2 (4.7)</w:t>
            </w:r>
          </w:p>
        </w:tc>
      </w:tr>
      <w:tr w:rsidR="00A91DAE" w:rsidRPr="00DE64C0" w14:paraId="051CF690" w14:textId="77777777" w:rsidTr="009310C1">
        <w:tc>
          <w:tcPr>
            <w:tcW w:w="4068" w:type="dxa"/>
            <w:shd w:val="clear" w:color="auto" w:fill="auto"/>
          </w:tcPr>
          <w:p w14:paraId="1E739A82" w14:textId="77777777" w:rsidR="00A91DAE" w:rsidRPr="00DE64C0" w:rsidRDefault="00A91DAE" w:rsidP="00FF4C5F">
            <w:pPr>
              <w:rPr>
                <w:rFonts w:eastAsia="Calibri"/>
              </w:rPr>
            </w:pPr>
            <w:r w:rsidRPr="00DE64C0">
              <w:rPr>
                <w:rFonts w:eastAsia="Calibri"/>
              </w:rPr>
              <w:t xml:space="preserve">Fasting glucose </w:t>
            </w:r>
          </w:p>
        </w:tc>
        <w:tc>
          <w:tcPr>
            <w:tcW w:w="2236" w:type="dxa"/>
            <w:shd w:val="clear" w:color="auto" w:fill="auto"/>
          </w:tcPr>
          <w:p w14:paraId="53FB3921" w14:textId="77777777" w:rsidR="00A91DAE" w:rsidRPr="00DE64C0" w:rsidRDefault="00A91DAE" w:rsidP="00FF4C5F">
            <w:pPr>
              <w:rPr>
                <w:rFonts w:eastAsia="Calibri"/>
              </w:rPr>
            </w:pPr>
            <w:r w:rsidRPr="00DE64C0">
              <w:rPr>
                <w:rFonts w:eastAsia="Calibri"/>
              </w:rPr>
              <w:t>5.6 (0.7)</w:t>
            </w:r>
          </w:p>
        </w:tc>
        <w:tc>
          <w:tcPr>
            <w:tcW w:w="2116" w:type="dxa"/>
            <w:shd w:val="clear" w:color="auto" w:fill="auto"/>
          </w:tcPr>
          <w:p w14:paraId="67CB80E6" w14:textId="77777777" w:rsidR="00A91DAE" w:rsidRPr="00DE64C0" w:rsidRDefault="00A91DAE" w:rsidP="00FF4C5F">
            <w:pPr>
              <w:rPr>
                <w:rFonts w:eastAsia="Calibri"/>
              </w:rPr>
            </w:pPr>
            <w:r w:rsidRPr="00DE64C0">
              <w:rPr>
                <w:rFonts w:eastAsia="Calibri"/>
              </w:rPr>
              <w:t>5.7 (0.7)</w:t>
            </w:r>
          </w:p>
        </w:tc>
      </w:tr>
      <w:tr w:rsidR="00A91DAE" w:rsidRPr="00DE64C0" w14:paraId="13DC2C2E" w14:textId="77777777" w:rsidTr="009310C1">
        <w:tc>
          <w:tcPr>
            <w:tcW w:w="4068" w:type="dxa"/>
            <w:shd w:val="clear" w:color="auto" w:fill="auto"/>
          </w:tcPr>
          <w:p w14:paraId="432BA138" w14:textId="77777777" w:rsidR="00A91DAE" w:rsidRPr="00DE64C0" w:rsidRDefault="00A91DAE" w:rsidP="00FF4C5F">
            <w:pPr>
              <w:rPr>
                <w:rFonts w:eastAsia="Calibri"/>
              </w:rPr>
            </w:pPr>
            <w:r w:rsidRPr="00DE64C0">
              <w:rPr>
                <w:rFonts w:eastAsia="Calibri"/>
              </w:rPr>
              <w:t>2-hour glucose</w:t>
            </w:r>
          </w:p>
        </w:tc>
        <w:tc>
          <w:tcPr>
            <w:tcW w:w="2236" w:type="dxa"/>
            <w:shd w:val="clear" w:color="auto" w:fill="auto"/>
          </w:tcPr>
          <w:p w14:paraId="7BD4AFF1" w14:textId="77777777" w:rsidR="00A91DAE" w:rsidRPr="00DE64C0" w:rsidRDefault="00A91DAE" w:rsidP="00FF4C5F">
            <w:pPr>
              <w:rPr>
                <w:rFonts w:eastAsia="Calibri"/>
              </w:rPr>
            </w:pPr>
            <w:r w:rsidRPr="00DE64C0">
              <w:rPr>
                <w:rFonts w:eastAsia="Calibri"/>
              </w:rPr>
              <w:t>8.8 (1.6)</w:t>
            </w:r>
          </w:p>
        </w:tc>
        <w:tc>
          <w:tcPr>
            <w:tcW w:w="2116" w:type="dxa"/>
            <w:shd w:val="clear" w:color="auto" w:fill="auto"/>
          </w:tcPr>
          <w:p w14:paraId="296E9F26" w14:textId="77777777" w:rsidR="00A91DAE" w:rsidRPr="00DE64C0" w:rsidRDefault="00A91DAE" w:rsidP="00FF4C5F">
            <w:pPr>
              <w:rPr>
                <w:rFonts w:eastAsia="Calibri"/>
              </w:rPr>
            </w:pPr>
            <w:r w:rsidRPr="00DE64C0">
              <w:rPr>
                <w:rFonts w:eastAsia="Calibri"/>
              </w:rPr>
              <w:t>8.9 (1.7)</w:t>
            </w:r>
          </w:p>
        </w:tc>
      </w:tr>
      <w:tr w:rsidR="00A91DAE" w:rsidRPr="00DE64C0" w14:paraId="30F1F422" w14:textId="77777777" w:rsidTr="009310C1">
        <w:tc>
          <w:tcPr>
            <w:tcW w:w="4068" w:type="dxa"/>
            <w:shd w:val="clear" w:color="auto" w:fill="auto"/>
          </w:tcPr>
          <w:p w14:paraId="00979D1B" w14:textId="77777777" w:rsidR="00A91DAE" w:rsidRPr="00DE64C0" w:rsidRDefault="00A91DAE" w:rsidP="00FF4C5F">
            <w:pPr>
              <w:rPr>
                <w:rFonts w:eastAsia="Calibri"/>
              </w:rPr>
            </w:pPr>
            <w:r w:rsidRPr="00DE64C0">
              <w:rPr>
                <w:rFonts w:eastAsia="Calibri"/>
              </w:rPr>
              <w:t>Total cholesterol (</w:t>
            </w:r>
            <w:proofErr w:type="spellStart"/>
            <w:r w:rsidRPr="00DE64C0">
              <w:rPr>
                <w:rFonts w:eastAsia="Calibri"/>
              </w:rPr>
              <w:t>mmol</w:t>
            </w:r>
            <w:proofErr w:type="spellEnd"/>
            <w:r w:rsidRPr="00DE64C0">
              <w:rPr>
                <w:rFonts w:eastAsia="Calibri"/>
              </w:rPr>
              <w:t>/l)</w:t>
            </w:r>
          </w:p>
        </w:tc>
        <w:tc>
          <w:tcPr>
            <w:tcW w:w="2236" w:type="dxa"/>
            <w:shd w:val="clear" w:color="auto" w:fill="auto"/>
          </w:tcPr>
          <w:p w14:paraId="5372D7B8" w14:textId="77777777" w:rsidR="00A91DAE" w:rsidRPr="00DE64C0" w:rsidRDefault="00A91DAE" w:rsidP="00FF4C5F">
            <w:pPr>
              <w:rPr>
                <w:rFonts w:eastAsia="Calibri"/>
              </w:rPr>
            </w:pPr>
            <w:r w:rsidRPr="00DE64C0">
              <w:rPr>
                <w:rFonts w:eastAsia="Calibri"/>
              </w:rPr>
              <w:t>5.1 (1.1)</w:t>
            </w:r>
          </w:p>
        </w:tc>
        <w:tc>
          <w:tcPr>
            <w:tcW w:w="2116" w:type="dxa"/>
            <w:shd w:val="clear" w:color="auto" w:fill="auto"/>
          </w:tcPr>
          <w:p w14:paraId="77CA8F8C" w14:textId="77777777" w:rsidR="00A91DAE" w:rsidRPr="00DE64C0" w:rsidRDefault="00A91DAE" w:rsidP="00FF4C5F">
            <w:pPr>
              <w:rPr>
                <w:rFonts w:eastAsia="Calibri"/>
              </w:rPr>
            </w:pPr>
            <w:r w:rsidRPr="00DE64C0">
              <w:rPr>
                <w:rFonts w:eastAsia="Calibri"/>
              </w:rPr>
              <w:t>5.0 (1.0)</w:t>
            </w:r>
          </w:p>
        </w:tc>
      </w:tr>
      <w:tr w:rsidR="00A91DAE" w:rsidRPr="00DE64C0" w14:paraId="4F843EA6" w14:textId="77777777" w:rsidTr="009310C1">
        <w:tc>
          <w:tcPr>
            <w:tcW w:w="4068" w:type="dxa"/>
            <w:shd w:val="clear" w:color="auto" w:fill="auto"/>
          </w:tcPr>
          <w:p w14:paraId="4D2F8302" w14:textId="77777777" w:rsidR="00A91DAE" w:rsidRPr="00DE64C0" w:rsidRDefault="00A91DAE" w:rsidP="00FF4C5F">
            <w:pPr>
              <w:rPr>
                <w:rFonts w:eastAsia="Calibri"/>
              </w:rPr>
            </w:pPr>
            <w:r w:rsidRPr="00DE64C0">
              <w:rPr>
                <w:rFonts w:eastAsia="Calibri"/>
              </w:rPr>
              <w:t>HDL cholesterol (</w:t>
            </w:r>
            <w:proofErr w:type="spellStart"/>
            <w:r w:rsidRPr="00DE64C0">
              <w:rPr>
                <w:rFonts w:eastAsia="Calibri"/>
              </w:rPr>
              <w:t>mmol</w:t>
            </w:r>
            <w:proofErr w:type="spellEnd"/>
            <w:r w:rsidRPr="00DE64C0">
              <w:rPr>
                <w:rFonts w:eastAsia="Calibri"/>
              </w:rPr>
              <w:t>/l)</w:t>
            </w:r>
          </w:p>
        </w:tc>
        <w:tc>
          <w:tcPr>
            <w:tcW w:w="2236" w:type="dxa"/>
            <w:shd w:val="clear" w:color="auto" w:fill="auto"/>
          </w:tcPr>
          <w:p w14:paraId="32C1C895" w14:textId="77777777" w:rsidR="00A91DAE" w:rsidRPr="00DE64C0" w:rsidRDefault="00A91DAE" w:rsidP="00FF4C5F">
            <w:pPr>
              <w:rPr>
                <w:rFonts w:eastAsia="Calibri"/>
              </w:rPr>
            </w:pPr>
            <w:r w:rsidRPr="00DE64C0">
              <w:rPr>
                <w:rFonts w:eastAsia="Calibri"/>
              </w:rPr>
              <w:t>1.4 (0.5)</w:t>
            </w:r>
          </w:p>
        </w:tc>
        <w:tc>
          <w:tcPr>
            <w:tcW w:w="2116" w:type="dxa"/>
            <w:shd w:val="clear" w:color="auto" w:fill="auto"/>
          </w:tcPr>
          <w:p w14:paraId="4F38C256" w14:textId="77777777" w:rsidR="00A91DAE" w:rsidRPr="00DE64C0" w:rsidRDefault="00A91DAE" w:rsidP="00FF4C5F">
            <w:pPr>
              <w:rPr>
                <w:rFonts w:eastAsia="Calibri"/>
              </w:rPr>
            </w:pPr>
            <w:r w:rsidRPr="00DE64C0">
              <w:rPr>
                <w:rFonts w:eastAsia="Calibri"/>
              </w:rPr>
              <w:t>1.4 (0.5)</w:t>
            </w:r>
          </w:p>
        </w:tc>
      </w:tr>
      <w:tr w:rsidR="00A91DAE" w:rsidRPr="00DE64C0" w14:paraId="4003B21C" w14:textId="77777777" w:rsidTr="009310C1">
        <w:tc>
          <w:tcPr>
            <w:tcW w:w="4068" w:type="dxa"/>
            <w:shd w:val="clear" w:color="auto" w:fill="auto"/>
          </w:tcPr>
          <w:p w14:paraId="1F64453E" w14:textId="77777777" w:rsidR="00A91DAE" w:rsidRPr="00DE64C0" w:rsidRDefault="00A91DAE" w:rsidP="00FF4C5F">
            <w:pPr>
              <w:rPr>
                <w:rFonts w:eastAsia="Calibri"/>
              </w:rPr>
            </w:pPr>
            <w:r w:rsidRPr="00DE64C0">
              <w:rPr>
                <w:rFonts w:eastAsia="Calibri"/>
              </w:rPr>
              <w:t>LDL cholesterol (</w:t>
            </w:r>
            <w:proofErr w:type="spellStart"/>
            <w:r w:rsidRPr="00DE64C0">
              <w:rPr>
                <w:rFonts w:eastAsia="Calibri"/>
              </w:rPr>
              <w:t>mmol</w:t>
            </w:r>
            <w:proofErr w:type="spellEnd"/>
            <w:r w:rsidRPr="00DE64C0">
              <w:rPr>
                <w:rFonts w:eastAsia="Calibri"/>
              </w:rPr>
              <w:t>/l)</w:t>
            </w:r>
          </w:p>
        </w:tc>
        <w:tc>
          <w:tcPr>
            <w:tcW w:w="2236" w:type="dxa"/>
            <w:shd w:val="clear" w:color="auto" w:fill="auto"/>
          </w:tcPr>
          <w:p w14:paraId="64C11451" w14:textId="77777777" w:rsidR="00A91DAE" w:rsidRPr="00DE64C0" w:rsidRDefault="00A91DAE" w:rsidP="00FF4C5F">
            <w:pPr>
              <w:rPr>
                <w:rFonts w:eastAsia="Calibri"/>
              </w:rPr>
            </w:pPr>
            <w:r w:rsidRPr="00DE64C0">
              <w:rPr>
                <w:rFonts w:eastAsia="Calibri"/>
              </w:rPr>
              <w:t>3.0 (0.9)</w:t>
            </w:r>
          </w:p>
        </w:tc>
        <w:tc>
          <w:tcPr>
            <w:tcW w:w="2116" w:type="dxa"/>
            <w:shd w:val="clear" w:color="auto" w:fill="auto"/>
          </w:tcPr>
          <w:p w14:paraId="5E355B7D" w14:textId="77777777" w:rsidR="00A91DAE" w:rsidRPr="00DE64C0" w:rsidRDefault="00A91DAE" w:rsidP="00FF4C5F">
            <w:pPr>
              <w:rPr>
                <w:rFonts w:eastAsia="Calibri"/>
              </w:rPr>
            </w:pPr>
            <w:r w:rsidRPr="00DE64C0">
              <w:rPr>
                <w:rFonts w:eastAsia="Calibri"/>
              </w:rPr>
              <w:t>3.0 (0.9)</w:t>
            </w:r>
          </w:p>
        </w:tc>
      </w:tr>
      <w:tr w:rsidR="00A91DAE" w:rsidRPr="00DE64C0" w14:paraId="4C9ECA36" w14:textId="77777777" w:rsidTr="009310C1">
        <w:tc>
          <w:tcPr>
            <w:tcW w:w="4068" w:type="dxa"/>
            <w:shd w:val="clear" w:color="auto" w:fill="auto"/>
          </w:tcPr>
          <w:p w14:paraId="68D4C4FF" w14:textId="77777777" w:rsidR="00A91DAE" w:rsidRPr="00DE64C0" w:rsidRDefault="00A91DAE" w:rsidP="00FF4C5F">
            <w:pPr>
              <w:rPr>
                <w:rFonts w:eastAsia="Calibri"/>
              </w:rPr>
            </w:pPr>
            <w:r w:rsidRPr="00DE64C0">
              <w:rPr>
                <w:rFonts w:eastAsia="Calibri"/>
              </w:rPr>
              <w:t>Triglycerides (</w:t>
            </w:r>
            <w:proofErr w:type="spellStart"/>
            <w:r w:rsidRPr="00DE64C0">
              <w:rPr>
                <w:rFonts w:eastAsia="Calibri"/>
              </w:rPr>
              <w:t>mmol</w:t>
            </w:r>
            <w:proofErr w:type="spellEnd"/>
            <w:r w:rsidRPr="00DE64C0">
              <w:rPr>
                <w:rFonts w:eastAsia="Calibri"/>
              </w:rPr>
              <w:t>/l)</w:t>
            </w:r>
          </w:p>
        </w:tc>
        <w:tc>
          <w:tcPr>
            <w:tcW w:w="2236" w:type="dxa"/>
            <w:shd w:val="clear" w:color="auto" w:fill="auto"/>
          </w:tcPr>
          <w:p w14:paraId="459648E6" w14:textId="77777777" w:rsidR="00A91DAE" w:rsidRPr="00DE64C0" w:rsidRDefault="00A91DAE" w:rsidP="00FF4C5F">
            <w:pPr>
              <w:rPr>
                <w:rFonts w:eastAsia="Calibri"/>
              </w:rPr>
            </w:pPr>
            <w:r w:rsidRPr="00DE64C0">
              <w:rPr>
                <w:rFonts w:eastAsia="Calibri"/>
              </w:rPr>
              <w:t>1.7 (1.0)</w:t>
            </w:r>
          </w:p>
        </w:tc>
        <w:tc>
          <w:tcPr>
            <w:tcW w:w="2116" w:type="dxa"/>
            <w:shd w:val="clear" w:color="auto" w:fill="auto"/>
          </w:tcPr>
          <w:p w14:paraId="3177665D" w14:textId="77777777" w:rsidR="00A91DAE" w:rsidRPr="00DE64C0" w:rsidRDefault="00A91DAE" w:rsidP="00FF4C5F">
            <w:pPr>
              <w:rPr>
                <w:rFonts w:eastAsia="Calibri"/>
              </w:rPr>
            </w:pPr>
            <w:r w:rsidRPr="00DE64C0">
              <w:rPr>
                <w:rFonts w:eastAsia="Calibri"/>
              </w:rPr>
              <w:t>1.7 (0.9)</w:t>
            </w:r>
          </w:p>
        </w:tc>
      </w:tr>
      <w:tr w:rsidR="00A91DAE" w:rsidRPr="00DE64C0" w14:paraId="384D3847" w14:textId="77777777" w:rsidTr="009310C1">
        <w:tc>
          <w:tcPr>
            <w:tcW w:w="4068" w:type="dxa"/>
            <w:shd w:val="clear" w:color="auto" w:fill="auto"/>
          </w:tcPr>
          <w:p w14:paraId="02C05DF3" w14:textId="77777777" w:rsidR="00A91DAE" w:rsidRPr="00DE64C0" w:rsidRDefault="00A91DAE" w:rsidP="00FF4C5F">
            <w:pPr>
              <w:rPr>
                <w:rFonts w:eastAsia="Calibri"/>
              </w:rPr>
            </w:pPr>
            <w:r w:rsidRPr="00DE64C0">
              <w:rPr>
                <w:rFonts w:eastAsia="Calibri"/>
              </w:rPr>
              <w:t>Systolic blood pressure (mmHg)</w:t>
            </w:r>
          </w:p>
        </w:tc>
        <w:tc>
          <w:tcPr>
            <w:tcW w:w="2236" w:type="dxa"/>
            <w:shd w:val="clear" w:color="auto" w:fill="auto"/>
          </w:tcPr>
          <w:p w14:paraId="28E0EF12" w14:textId="77777777" w:rsidR="00A91DAE" w:rsidRPr="00DE64C0" w:rsidRDefault="00A91DAE" w:rsidP="00FF4C5F">
            <w:pPr>
              <w:rPr>
                <w:rFonts w:eastAsia="Calibri"/>
              </w:rPr>
            </w:pPr>
            <w:r w:rsidRPr="00DE64C0">
              <w:rPr>
                <w:rFonts w:eastAsia="Calibri"/>
              </w:rPr>
              <w:t>147.7 (17.7)</w:t>
            </w:r>
          </w:p>
        </w:tc>
        <w:tc>
          <w:tcPr>
            <w:tcW w:w="2116" w:type="dxa"/>
            <w:shd w:val="clear" w:color="auto" w:fill="auto"/>
          </w:tcPr>
          <w:p w14:paraId="58405D6E" w14:textId="77777777" w:rsidR="00A91DAE" w:rsidRPr="00DE64C0" w:rsidRDefault="00A91DAE" w:rsidP="00FF4C5F">
            <w:pPr>
              <w:rPr>
                <w:rFonts w:eastAsia="Calibri"/>
              </w:rPr>
            </w:pPr>
            <w:r w:rsidRPr="00DE64C0">
              <w:rPr>
                <w:rFonts w:eastAsia="Calibri"/>
              </w:rPr>
              <w:t>147.9 (20.7)</w:t>
            </w:r>
          </w:p>
        </w:tc>
      </w:tr>
      <w:tr w:rsidR="00A91DAE" w:rsidRPr="00DE64C0" w14:paraId="646CF885" w14:textId="77777777" w:rsidTr="009310C1">
        <w:tc>
          <w:tcPr>
            <w:tcW w:w="4068" w:type="dxa"/>
            <w:shd w:val="clear" w:color="auto" w:fill="auto"/>
          </w:tcPr>
          <w:p w14:paraId="0574C42D" w14:textId="77777777" w:rsidR="00A91DAE" w:rsidRPr="00DE64C0" w:rsidRDefault="00A91DAE" w:rsidP="00FF4C5F">
            <w:pPr>
              <w:rPr>
                <w:rFonts w:eastAsia="Calibri"/>
              </w:rPr>
            </w:pPr>
            <w:r w:rsidRPr="00DE64C0">
              <w:rPr>
                <w:rFonts w:eastAsia="Calibri"/>
              </w:rPr>
              <w:t>Diastolic blood pressure (mmHg)</w:t>
            </w:r>
          </w:p>
        </w:tc>
        <w:tc>
          <w:tcPr>
            <w:tcW w:w="2236" w:type="dxa"/>
            <w:shd w:val="clear" w:color="auto" w:fill="auto"/>
          </w:tcPr>
          <w:p w14:paraId="6B96B7A7" w14:textId="77777777" w:rsidR="00A91DAE" w:rsidRPr="00DE64C0" w:rsidRDefault="00A91DAE" w:rsidP="00FF4C5F">
            <w:pPr>
              <w:rPr>
                <w:rFonts w:eastAsia="Calibri"/>
              </w:rPr>
            </w:pPr>
            <w:r w:rsidRPr="00DE64C0">
              <w:rPr>
                <w:rFonts w:eastAsia="Calibri"/>
              </w:rPr>
              <w:t>86.2 (10.6)</w:t>
            </w:r>
          </w:p>
        </w:tc>
        <w:tc>
          <w:tcPr>
            <w:tcW w:w="2116" w:type="dxa"/>
            <w:shd w:val="clear" w:color="auto" w:fill="auto"/>
          </w:tcPr>
          <w:p w14:paraId="1010828C" w14:textId="77777777" w:rsidR="00A91DAE" w:rsidRPr="00DE64C0" w:rsidRDefault="00A91DAE" w:rsidP="00FF4C5F">
            <w:pPr>
              <w:rPr>
                <w:rFonts w:eastAsia="Calibri"/>
              </w:rPr>
            </w:pPr>
            <w:r w:rsidRPr="00DE64C0">
              <w:rPr>
                <w:rFonts w:eastAsia="Calibri"/>
              </w:rPr>
              <w:t>86.6 (11.0)</w:t>
            </w:r>
          </w:p>
        </w:tc>
      </w:tr>
      <w:tr w:rsidR="00A91DAE" w:rsidRPr="00DE64C0" w14:paraId="4C2E4E9D" w14:textId="77777777" w:rsidTr="009310C1">
        <w:tc>
          <w:tcPr>
            <w:tcW w:w="4068" w:type="dxa"/>
            <w:shd w:val="clear" w:color="auto" w:fill="auto"/>
          </w:tcPr>
          <w:p w14:paraId="4386E0FB" w14:textId="77777777" w:rsidR="00A91DAE" w:rsidRPr="00DE64C0" w:rsidRDefault="00A91DAE" w:rsidP="00FF4C5F">
            <w:pPr>
              <w:rPr>
                <w:rFonts w:eastAsia="Calibri"/>
              </w:rPr>
            </w:pPr>
            <w:r w:rsidRPr="00DE64C0">
              <w:rPr>
                <w:rFonts w:eastAsia="Calibri"/>
              </w:rPr>
              <w:t>Heart rate (bmp)</w:t>
            </w:r>
          </w:p>
        </w:tc>
        <w:tc>
          <w:tcPr>
            <w:tcW w:w="2236" w:type="dxa"/>
            <w:shd w:val="clear" w:color="auto" w:fill="auto"/>
          </w:tcPr>
          <w:p w14:paraId="2871CEC8" w14:textId="77777777" w:rsidR="00A91DAE" w:rsidRPr="00DE64C0" w:rsidRDefault="00A91DAE" w:rsidP="00FF4C5F">
            <w:pPr>
              <w:rPr>
                <w:rFonts w:eastAsia="Calibri"/>
              </w:rPr>
            </w:pPr>
            <w:r w:rsidRPr="00DE64C0">
              <w:rPr>
                <w:rFonts w:eastAsia="Calibri"/>
              </w:rPr>
              <w:t>69.1 (12.1)</w:t>
            </w:r>
          </w:p>
        </w:tc>
        <w:tc>
          <w:tcPr>
            <w:tcW w:w="2116" w:type="dxa"/>
            <w:shd w:val="clear" w:color="auto" w:fill="auto"/>
          </w:tcPr>
          <w:p w14:paraId="3116A114" w14:textId="77777777" w:rsidR="00A91DAE" w:rsidRPr="00DE64C0" w:rsidRDefault="00A91DAE" w:rsidP="00FF4C5F">
            <w:pPr>
              <w:rPr>
                <w:rFonts w:eastAsia="Calibri"/>
              </w:rPr>
            </w:pPr>
            <w:r w:rsidRPr="00DE64C0">
              <w:rPr>
                <w:rFonts w:eastAsia="Calibri"/>
              </w:rPr>
              <w:t>68.3 (13.1)</w:t>
            </w:r>
          </w:p>
        </w:tc>
      </w:tr>
      <w:tr w:rsidR="00A91DAE" w:rsidRPr="00DE64C0" w14:paraId="38D956D8" w14:textId="77777777" w:rsidTr="009310C1">
        <w:tc>
          <w:tcPr>
            <w:tcW w:w="4068" w:type="dxa"/>
            <w:shd w:val="clear" w:color="auto" w:fill="auto"/>
          </w:tcPr>
          <w:p w14:paraId="278AA86A" w14:textId="77777777" w:rsidR="00A91DAE" w:rsidRPr="00DE64C0" w:rsidRDefault="00A91DAE" w:rsidP="00FF4C5F">
            <w:pPr>
              <w:rPr>
                <w:rFonts w:eastAsia="Calibri"/>
              </w:rPr>
            </w:pPr>
            <w:r w:rsidRPr="00DE64C0">
              <w:rPr>
                <w:rFonts w:eastAsia="Calibri"/>
              </w:rPr>
              <w:t>Weight (kg)</w:t>
            </w:r>
          </w:p>
        </w:tc>
        <w:tc>
          <w:tcPr>
            <w:tcW w:w="2236" w:type="dxa"/>
            <w:shd w:val="clear" w:color="auto" w:fill="auto"/>
          </w:tcPr>
          <w:p w14:paraId="0D6BBA03" w14:textId="77777777" w:rsidR="00A91DAE" w:rsidRPr="00DE64C0" w:rsidRDefault="00A91DAE" w:rsidP="00FF4C5F">
            <w:pPr>
              <w:rPr>
                <w:rFonts w:eastAsia="Calibri"/>
              </w:rPr>
            </w:pPr>
            <w:r w:rsidRPr="00DE64C0">
              <w:rPr>
                <w:rFonts w:eastAsia="Calibri"/>
              </w:rPr>
              <w:t>94.4 (18.9)</w:t>
            </w:r>
          </w:p>
        </w:tc>
        <w:tc>
          <w:tcPr>
            <w:tcW w:w="2116" w:type="dxa"/>
            <w:shd w:val="clear" w:color="auto" w:fill="auto"/>
          </w:tcPr>
          <w:p w14:paraId="78CBADD9" w14:textId="77777777" w:rsidR="00A91DAE" w:rsidRPr="00DE64C0" w:rsidRDefault="00A91DAE" w:rsidP="00FF4C5F">
            <w:pPr>
              <w:rPr>
                <w:rFonts w:eastAsia="Calibri"/>
              </w:rPr>
            </w:pPr>
            <w:r w:rsidRPr="00DE64C0">
              <w:rPr>
                <w:rFonts w:eastAsia="Calibri"/>
              </w:rPr>
              <w:t>89.9 (16.6)*</w:t>
            </w:r>
          </w:p>
        </w:tc>
      </w:tr>
      <w:tr w:rsidR="00A91DAE" w:rsidRPr="00DE64C0" w14:paraId="233B3FE7" w14:textId="77777777" w:rsidTr="009310C1">
        <w:tc>
          <w:tcPr>
            <w:tcW w:w="4068" w:type="dxa"/>
            <w:shd w:val="clear" w:color="auto" w:fill="auto"/>
          </w:tcPr>
          <w:p w14:paraId="04E55D6F" w14:textId="77777777" w:rsidR="00A91DAE" w:rsidRPr="00DE64C0" w:rsidRDefault="00A91DAE" w:rsidP="00FF4C5F">
            <w:pPr>
              <w:rPr>
                <w:rFonts w:eastAsia="Calibri"/>
              </w:rPr>
            </w:pPr>
            <w:r w:rsidRPr="00DE64C0">
              <w:rPr>
                <w:rFonts w:eastAsia="Calibri"/>
              </w:rPr>
              <w:t>BMI (kg/m</w:t>
            </w:r>
            <w:r w:rsidRPr="00DE64C0">
              <w:rPr>
                <w:rFonts w:eastAsia="Calibri"/>
                <w:vertAlign w:val="superscript"/>
              </w:rPr>
              <w:t>2</w:t>
            </w:r>
            <w:r w:rsidRPr="00DE64C0">
              <w:rPr>
                <w:rFonts w:eastAsia="Calibri"/>
              </w:rPr>
              <w:t>)</w:t>
            </w:r>
          </w:p>
        </w:tc>
        <w:tc>
          <w:tcPr>
            <w:tcW w:w="2236" w:type="dxa"/>
            <w:shd w:val="clear" w:color="auto" w:fill="auto"/>
          </w:tcPr>
          <w:p w14:paraId="6E3E314E" w14:textId="77777777" w:rsidR="00A91DAE" w:rsidRPr="00DE64C0" w:rsidRDefault="00A91DAE" w:rsidP="00FF4C5F">
            <w:pPr>
              <w:rPr>
                <w:rFonts w:eastAsia="Calibri"/>
              </w:rPr>
            </w:pPr>
            <w:r w:rsidRPr="00DE64C0">
              <w:rPr>
                <w:rFonts w:eastAsia="Calibri"/>
              </w:rPr>
              <w:t>33.1 (5.8)</w:t>
            </w:r>
          </w:p>
        </w:tc>
        <w:tc>
          <w:tcPr>
            <w:tcW w:w="2116" w:type="dxa"/>
            <w:shd w:val="clear" w:color="auto" w:fill="auto"/>
          </w:tcPr>
          <w:p w14:paraId="62F67033" w14:textId="77777777" w:rsidR="00A91DAE" w:rsidRPr="00DE64C0" w:rsidRDefault="00A91DAE" w:rsidP="00FF4C5F">
            <w:pPr>
              <w:rPr>
                <w:rFonts w:eastAsia="Calibri"/>
              </w:rPr>
            </w:pPr>
            <w:r w:rsidRPr="00DE64C0">
              <w:rPr>
                <w:rFonts w:eastAsia="Calibri"/>
              </w:rPr>
              <w:t>32.0 (5.2)*</w:t>
            </w:r>
          </w:p>
        </w:tc>
      </w:tr>
      <w:tr w:rsidR="00A91DAE" w:rsidRPr="00DE64C0" w14:paraId="0D11D7CA" w14:textId="77777777" w:rsidTr="009310C1">
        <w:tc>
          <w:tcPr>
            <w:tcW w:w="4068" w:type="dxa"/>
            <w:shd w:val="clear" w:color="auto" w:fill="auto"/>
          </w:tcPr>
          <w:p w14:paraId="330F3F8F" w14:textId="77777777" w:rsidR="00A91DAE" w:rsidRPr="00DE64C0" w:rsidRDefault="00A91DAE" w:rsidP="00FF4C5F">
            <w:pPr>
              <w:rPr>
                <w:rFonts w:eastAsia="Calibri"/>
              </w:rPr>
            </w:pPr>
            <w:r w:rsidRPr="00DE64C0">
              <w:rPr>
                <w:rFonts w:eastAsia="Calibri"/>
              </w:rPr>
              <w:t>Waist circumference (cm)</w:t>
            </w:r>
          </w:p>
        </w:tc>
        <w:tc>
          <w:tcPr>
            <w:tcW w:w="2236" w:type="dxa"/>
            <w:shd w:val="clear" w:color="auto" w:fill="auto"/>
          </w:tcPr>
          <w:p w14:paraId="6B062517" w14:textId="77777777" w:rsidR="00A91DAE" w:rsidRPr="00DE64C0" w:rsidRDefault="00A91DAE" w:rsidP="00FF4C5F">
            <w:pPr>
              <w:rPr>
                <w:rFonts w:eastAsia="Calibri"/>
              </w:rPr>
            </w:pPr>
            <w:r w:rsidRPr="00DE64C0">
              <w:rPr>
                <w:rFonts w:eastAsia="Calibri"/>
              </w:rPr>
              <w:t>111.3 (13.2)</w:t>
            </w:r>
          </w:p>
        </w:tc>
        <w:tc>
          <w:tcPr>
            <w:tcW w:w="2116" w:type="dxa"/>
            <w:shd w:val="clear" w:color="auto" w:fill="auto"/>
          </w:tcPr>
          <w:p w14:paraId="65C9E2E2" w14:textId="77777777" w:rsidR="00A91DAE" w:rsidRPr="00DE64C0" w:rsidRDefault="00A91DAE" w:rsidP="00FF4C5F">
            <w:pPr>
              <w:rPr>
                <w:rFonts w:eastAsia="Calibri"/>
              </w:rPr>
            </w:pPr>
            <w:r w:rsidRPr="00DE64C0">
              <w:rPr>
                <w:rFonts w:eastAsia="Calibri"/>
              </w:rPr>
              <w:t>108.0 (12.4)*</w:t>
            </w:r>
          </w:p>
        </w:tc>
      </w:tr>
      <w:tr w:rsidR="00A91DAE" w:rsidRPr="00DE64C0" w14:paraId="4AFA55BC" w14:textId="77777777" w:rsidTr="009310C1">
        <w:tc>
          <w:tcPr>
            <w:tcW w:w="4068" w:type="dxa"/>
            <w:shd w:val="clear" w:color="auto" w:fill="auto"/>
          </w:tcPr>
          <w:p w14:paraId="00901224" w14:textId="77777777" w:rsidR="00A91DAE" w:rsidRPr="00DE64C0" w:rsidRDefault="00A91DAE" w:rsidP="00FF4C5F">
            <w:pPr>
              <w:rPr>
                <w:rFonts w:eastAsia="Calibri"/>
              </w:rPr>
            </w:pPr>
            <w:r w:rsidRPr="00DE64C0">
              <w:rPr>
                <w:rFonts w:eastAsia="Calibri"/>
              </w:rPr>
              <w:t>Average steps per day</w:t>
            </w:r>
          </w:p>
        </w:tc>
        <w:tc>
          <w:tcPr>
            <w:tcW w:w="2236" w:type="dxa"/>
            <w:shd w:val="clear" w:color="auto" w:fill="auto"/>
          </w:tcPr>
          <w:p w14:paraId="32149392" w14:textId="6E6096B9" w:rsidR="00A91DAE" w:rsidRPr="00DE64C0" w:rsidRDefault="00CC4B30" w:rsidP="00FF4C5F">
            <w:pPr>
              <w:rPr>
                <w:rFonts w:eastAsia="Calibri"/>
              </w:rPr>
            </w:pPr>
            <w:r w:rsidRPr="00DE64C0">
              <w:rPr>
                <w:rFonts w:eastAsia="Calibri"/>
              </w:rPr>
              <w:t>6308.12 (3094.44)</w:t>
            </w:r>
          </w:p>
        </w:tc>
        <w:tc>
          <w:tcPr>
            <w:tcW w:w="2116" w:type="dxa"/>
            <w:shd w:val="clear" w:color="auto" w:fill="auto"/>
          </w:tcPr>
          <w:p w14:paraId="5A6E0D1F" w14:textId="0A831DCA" w:rsidR="00A91DAE" w:rsidRPr="00DE64C0" w:rsidRDefault="00CC4B30" w:rsidP="00FF4C5F">
            <w:pPr>
              <w:rPr>
                <w:rFonts w:eastAsia="Calibri"/>
              </w:rPr>
            </w:pPr>
            <w:r w:rsidRPr="00DE64C0">
              <w:rPr>
                <w:rFonts w:eastAsia="Calibri"/>
              </w:rPr>
              <w:t>6137.97 (2791.02)</w:t>
            </w:r>
          </w:p>
        </w:tc>
      </w:tr>
      <w:tr w:rsidR="00A91DAE" w:rsidRPr="00DE64C0" w14:paraId="02917FF8" w14:textId="77777777" w:rsidTr="009310C1">
        <w:tc>
          <w:tcPr>
            <w:tcW w:w="4068" w:type="dxa"/>
            <w:shd w:val="clear" w:color="auto" w:fill="auto"/>
          </w:tcPr>
          <w:p w14:paraId="00B7EC03" w14:textId="77777777" w:rsidR="00A91DAE" w:rsidRPr="00DE64C0" w:rsidRDefault="00A91DAE" w:rsidP="00FF4C5F">
            <w:pPr>
              <w:rPr>
                <w:rFonts w:eastAsia="Calibri"/>
              </w:rPr>
            </w:pPr>
            <w:r w:rsidRPr="00DE64C0">
              <w:rPr>
                <w:rFonts w:eastAsia="Calibri"/>
              </w:rPr>
              <w:t>IFG only, n (%)</w:t>
            </w:r>
          </w:p>
        </w:tc>
        <w:tc>
          <w:tcPr>
            <w:tcW w:w="2236" w:type="dxa"/>
            <w:shd w:val="clear" w:color="auto" w:fill="auto"/>
          </w:tcPr>
          <w:p w14:paraId="2AE5D2FB" w14:textId="77777777" w:rsidR="00A91DAE" w:rsidRPr="00DE64C0" w:rsidRDefault="00A91DAE" w:rsidP="00FF4C5F">
            <w:pPr>
              <w:rPr>
                <w:rFonts w:eastAsia="Calibri"/>
              </w:rPr>
            </w:pPr>
            <w:r w:rsidRPr="00DE64C0">
              <w:rPr>
                <w:rFonts w:eastAsia="Calibri"/>
              </w:rPr>
              <w:t>51 (11.8)</w:t>
            </w:r>
          </w:p>
        </w:tc>
        <w:tc>
          <w:tcPr>
            <w:tcW w:w="2116" w:type="dxa"/>
            <w:shd w:val="clear" w:color="auto" w:fill="auto"/>
          </w:tcPr>
          <w:p w14:paraId="4DDBC140" w14:textId="77777777" w:rsidR="00A91DAE" w:rsidRPr="00DE64C0" w:rsidRDefault="00A91DAE" w:rsidP="00FF4C5F">
            <w:pPr>
              <w:rPr>
                <w:rFonts w:eastAsia="Calibri"/>
              </w:rPr>
            </w:pPr>
            <w:r w:rsidRPr="00DE64C0">
              <w:rPr>
                <w:rFonts w:eastAsia="Calibri"/>
              </w:rPr>
              <w:t>57 (12.8)</w:t>
            </w:r>
          </w:p>
        </w:tc>
      </w:tr>
      <w:tr w:rsidR="00A91DAE" w:rsidRPr="00DE64C0" w14:paraId="235E9BD2" w14:textId="77777777" w:rsidTr="009310C1">
        <w:tc>
          <w:tcPr>
            <w:tcW w:w="4068" w:type="dxa"/>
            <w:shd w:val="clear" w:color="auto" w:fill="auto"/>
          </w:tcPr>
          <w:p w14:paraId="22E70272" w14:textId="77777777" w:rsidR="00A91DAE" w:rsidRPr="00DE64C0" w:rsidRDefault="00A91DAE" w:rsidP="00FF4C5F">
            <w:pPr>
              <w:rPr>
                <w:rFonts w:eastAsia="Calibri"/>
              </w:rPr>
            </w:pPr>
            <w:r w:rsidRPr="00DE64C0">
              <w:rPr>
                <w:rFonts w:eastAsia="Calibri"/>
              </w:rPr>
              <w:t xml:space="preserve">IGT only, n (%) </w:t>
            </w:r>
          </w:p>
        </w:tc>
        <w:tc>
          <w:tcPr>
            <w:tcW w:w="2236" w:type="dxa"/>
            <w:shd w:val="clear" w:color="auto" w:fill="auto"/>
          </w:tcPr>
          <w:p w14:paraId="13558F7C" w14:textId="77777777" w:rsidR="00A91DAE" w:rsidRPr="00DE64C0" w:rsidRDefault="00A91DAE" w:rsidP="00FF4C5F">
            <w:pPr>
              <w:rPr>
                <w:rFonts w:eastAsia="Calibri"/>
              </w:rPr>
            </w:pPr>
            <w:r w:rsidRPr="00DE64C0">
              <w:rPr>
                <w:rFonts w:eastAsia="Calibri"/>
              </w:rPr>
              <w:t>308 (71.1)</w:t>
            </w:r>
          </w:p>
        </w:tc>
        <w:tc>
          <w:tcPr>
            <w:tcW w:w="2116" w:type="dxa"/>
            <w:shd w:val="clear" w:color="auto" w:fill="auto"/>
          </w:tcPr>
          <w:p w14:paraId="546E37C6" w14:textId="77777777" w:rsidR="00A91DAE" w:rsidRPr="00DE64C0" w:rsidRDefault="00A91DAE" w:rsidP="00FF4C5F">
            <w:pPr>
              <w:rPr>
                <w:rFonts w:eastAsia="Calibri"/>
              </w:rPr>
            </w:pPr>
            <w:r w:rsidRPr="00DE64C0">
              <w:rPr>
                <w:rFonts w:eastAsia="Calibri"/>
              </w:rPr>
              <w:t>301 (67.3)</w:t>
            </w:r>
          </w:p>
        </w:tc>
      </w:tr>
      <w:tr w:rsidR="00A91DAE" w:rsidRPr="00DE64C0" w14:paraId="523A66BD" w14:textId="77777777" w:rsidTr="009310C1">
        <w:tc>
          <w:tcPr>
            <w:tcW w:w="4068" w:type="dxa"/>
            <w:shd w:val="clear" w:color="auto" w:fill="auto"/>
          </w:tcPr>
          <w:p w14:paraId="7F8C888C" w14:textId="77777777" w:rsidR="00A91DAE" w:rsidRPr="00DE64C0" w:rsidRDefault="00A91DAE" w:rsidP="00FF4C5F">
            <w:pPr>
              <w:rPr>
                <w:rFonts w:eastAsia="Calibri"/>
              </w:rPr>
            </w:pPr>
            <w:r w:rsidRPr="00DE64C0">
              <w:rPr>
                <w:rFonts w:eastAsia="Calibri"/>
              </w:rPr>
              <w:t>IFG and IGT, n (%)</w:t>
            </w:r>
          </w:p>
        </w:tc>
        <w:tc>
          <w:tcPr>
            <w:tcW w:w="2236" w:type="dxa"/>
            <w:shd w:val="clear" w:color="auto" w:fill="auto"/>
          </w:tcPr>
          <w:p w14:paraId="4D5F6B14" w14:textId="77777777" w:rsidR="00A91DAE" w:rsidRPr="00DE64C0" w:rsidRDefault="00A91DAE" w:rsidP="00FF4C5F">
            <w:pPr>
              <w:rPr>
                <w:rFonts w:eastAsia="Calibri"/>
              </w:rPr>
            </w:pPr>
            <w:r w:rsidRPr="00DE64C0">
              <w:rPr>
                <w:rFonts w:eastAsia="Calibri"/>
              </w:rPr>
              <w:t>74 (17.1)</w:t>
            </w:r>
          </w:p>
        </w:tc>
        <w:tc>
          <w:tcPr>
            <w:tcW w:w="2116" w:type="dxa"/>
            <w:shd w:val="clear" w:color="auto" w:fill="auto"/>
          </w:tcPr>
          <w:p w14:paraId="609BC0A5" w14:textId="77777777" w:rsidR="00A91DAE" w:rsidRPr="00DE64C0" w:rsidRDefault="00A91DAE" w:rsidP="00FF4C5F">
            <w:pPr>
              <w:rPr>
                <w:rFonts w:eastAsia="Calibri"/>
              </w:rPr>
            </w:pPr>
            <w:r w:rsidRPr="00DE64C0">
              <w:rPr>
                <w:rFonts w:eastAsia="Calibri"/>
              </w:rPr>
              <w:t>89 (19.9)</w:t>
            </w:r>
          </w:p>
        </w:tc>
      </w:tr>
      <w:tr w:rsidR="00A91DAE" w:rsidRPr="00DE64C0" w14:paraId="639D0555" w14:textId="77777777" w:rsidTr="009310C1">
        <w:tc>
          <w:tcPr>
            <w:tcW w:w="4068" w:type="dxa"/>
            <w:shd w:val="clear" w:color="auto" w:fill="auto"/>
          </w:tcPr>
          <w:p w14:paraId="2584309C" w14:textId="77777777" w:rsidR="00A91DAE" w:rsidRPr="00DE64C0" w:rsidRDefault="00A91DAE" w:rsidP="00FF4C5F">
            <w:pPr>
              <w:rPr>
                <w:rFonts w:eastAsia="Calibri"/>
              </w:rPr>
            </w:pPr>
            <w:r w:rsidRPr="00DE64C0">
              <w:rPr>
                <w:rFonts w:eastAsia="Calibri"/>
              </w:rPr>
              <w:t>HbA1c 6.0-6.4% (%)</w:t>
            </w:r>
          </w:p>
        </w:tc>
        <w:tc>
          <w:tcPr>
            <w:tcW w:w="2236" w:type="dxa"/>
            <w:shd w:val="clear" w:color="auto" w:fill="auto"/>
          </w:tcPr>
          <w:p w14:paraId="5B49A33E" w14:textId="77777777" w:rsidR="00A91DAE" w:rsidRPr="00DE64C0" w:rsidRDefault="00A91DAE" w:rsidP="00FF4C5F">
            <w:pPr>
              <w:rPr>
                <w:rFonts w:eastAsia="Calibri"/>
              </w:rPr>
            </w:pPr>
            <w:r w:rsidRPr="00DE64C0">
              <w:rPr>
                <w:rFonts w:eastAsia="Calibri"/>
              </w:rPr>
              <w:t>216 (50.1)</w:t>
            </w:r>
          </w:p>
        </w:tc>
        <w:tc>
          <w:tcPr>
            <w:tcW w:w="2116" w:type="dxa"/>
            <w:shd w:val="clear" w:color="auto" w:fill="auto"/>
          </w:tcPr>
          <w:p w14:paraId="330861CF" w14:textId="77777777" w:rsidR="00A91DAE" w:rsidRPr="00DE64C0" w:rsidRDefault="00A91DAE" w:rsidP="00FF4C5F">
            <w:pPr>
              <w:rPr>
                <w:rFonts w:eastAsia="Calibri"/>
              </w:rPr>
            </w:pPr>
            <w:r w:rsidRPr="00DE64C0">
              <w:rPr>
                <w:rFonts w:eastAsia="Calibri"/>
              </w:rPr>
              <w:t>205 (46.7)</w:t>
            </w:r>
          </w:p>
        </w:tc>
      </w:tr>
      <w:tr w:rsidR="00A91DAE" w:rsidRPr="00DE64C0" w14:paraId="47C1500E" w14:textId="77777777" w:rsidTr="009310C1">
        <w:tc>
          <w:tcPr>
            <w:tcW w:w="4068" w:type="dxa"/>
            <w:shd w:val="clear" w:color="auto" w:fill="auto"/>
            <w:vAlign w:val="bottom"/>
          </w:tcPr>
          <w:p w14:paraId="19E2847E" w14:textId="77777777" w:rsidR="00A91DAE" w:rsidRPr="00DE64C0" w:rsidRDefault="00A91DAE" w:rsidP="00FF4C5F">
            <w:pPr>
              <w:rPr>
                <w:rFonts w:eastAsia="Calibri"/>
              </w:rPr>
            </w:pPr>
            <w:r w:rsidRPr="00DE64C0">
              <w:rPr>
                <w:rFonts w:eastAsia="Calibri"/>
                <w:color w:val="000000"/>
                <w:lang w:eastAsia="en-GB"/>
              </w:rPr>
              <w:t>CHD 10 year risk***</w:t>
            </w:r>
          </w:p>
        </w:tc>
        <w:tc>
          <w:tcPr>
            <w:tcW w:w="2236" w:type="dxa"/>
            <w:shd w:val="clear" w:color="auto" w:fill="auto"/>
          </w:tcPr>
          <w:p w14:paraId="22019DDB" w14:textId="77777777" w:rsidR="00A91DAE" w:rsidRPr="00DE64C0" w:rsidRDefault="00A91DAE" w:rsidP="00FF4C5F">
            <w:pPr>
              <w:rPr>
                <w:rFonts w:eastAsia="Calibri"/>
              </w:rPr>
            </w:pPr>
            <w:r w:rsidRPr="00DE64C0">
              <w:rPr>
                <w:rFonts w:eastAsia="Calibri"/>
              </w:rPr>
              <w:t>14.5 (8.6)</w:t>
            </w:r>
          </w:p>
        </w:tc>
        <w:tc>
          <w:tcPr>
            <w:tcW w:w="2116" w:type="dxa"/>
            <w:shd w:val="clear" w:color="auto" w:fill="auto"/>
          </w:tcPr>
          <w:p w14:paraId="3311AA5C" w14:textId="77777777" w:rsidR="00A91DAE" w:rsidRPr="00DE64C0" w:rsidRDefault="00A91DAE" w:rsidP="00FF4C5F">
            <w:pPr>
              <w:rPr>
                <w:rFonts w:eastAsia="Calibri"/>
              </w:rPr>
            </w:pPr>
            <w:r w:rsidRPr="00DE64C0">
              <w:rPr>
                <w:rFonts w:eastAsia="Calibri"/>
              </w:rPr>
              <w:t>14.5 (8.5)</w:t>
            </w:r>
          </w:p>
        </w:tc>
      </w:tr>
      <w:tr w:rsidR="00A91DAE" w:rsidRPr="00DE64C0" w14:paraId="4307D9F9" w14:textId="77777777" w:rsidTr="009310C1">
        <w:tc>
          <w:tcPr>
            <w:tcW w:w="4068" w:type="dxa"/>
            <w:tcBorders>
              <w:bottom w:val="single" w:sz="4" w:space="0" w:color="auto"/>
            </w:tcBorders>
            <w:shd w:val="clear" w:color="auto" w:fill="auto"/>
            <w:vAlign w:val="bottom"/>
          </w:tcPr>
          <w:p w14:paraId="5E29119C" w14:textId="77777777" w:rsidR="00A91DAE" w:rsidRPr="00DE64C0" w:rsidRDefault="00A91DAE" w:rsidP="00FF4C5F">
            <w:pPr>
              <w:rPr>
                <w:rFonts w:eastAsia="Calibri"/>
              </w:rPr>
            </w:pPr>
            <w:r w:rsidRPr="00DE64C0">
              <w:rPr>
                <w:rFonts w:eastAsia="Calibri"/>
                <w:color w:val="000000"/>
                <w:lang w:eastAsia="en-GB"/>
              </w:rPr>
              <w:lastRenderedPageBreak/>
              <w:t>CVD 10 year risk***</w:t>
            </w:r>
          </w:p>
        </w:tc>
        <w:tc>
          <w:tcPr>
            <w:tcW w:w="2236" w:type="dxa"/>
            <w:tcBorders>
              <w:bottom w:val="single" w:sz="4" w:space="0" w:color="auto"/>
            </w:tcBorders>
            <w:shd w:val="clear" w:color="auto" w:fill="auto"/>
          </w:tcPr>
          <w:p w14:paraId="6895766B" w14:textId="77777777" w:rsidR="00A91DAE" w:rsidRPr="00DE64C0" w:rsidRDefault="00A91DAE" w:rsidP="00FF4C5F">
            <w:pPr>
              <w:rPr>
                <w:rFonts w:eastAsia="Calibri"/>
              </w:rPr>
            </w:pPr>
            <w:r w:rsidRPr="00DE64C0">
              <w:rPr>
                <w:rFonts w:eastAsia="Calibri"/>
              </w:rPr>
              <w:t>20.2 (11.8)</w:t>
            </w:r>
          </w:p>
        </w:tc>
        <w:tc>
          <w:tcPr>
            <w:tcW w:w="2116" w:type="dxa"/>
            <w:tcBorders>
              <w:bottom w:val="single" w:sz="4" w:space="0" w:color="auto"/>
            </w:tcBorders>
            <w:shd w:val="clear" w:color="auto" w:fill="auto"/>
          </w:tcPr>
          <w:p w14:paraId="48ECE487" w14:textId="77777777" w:rsidR="00A91DAE" w:rsidRPr="00DE64C0" w:rsidRDefault="00A91DAE" w:rsidP="00FF4C5F">
            <w:pPr>
              <w:rPr>
                <w:rFonts w:eastAsia="Calibri"/>
              </w:rPr>
            </w:pPr>
            <w:r w:rsidRPr="00DE64C0">
              <w:rPr>
                <w:rFonts w:eastAsia="Calibri"/>
              </w:rPr>
              <w:t>20.3 (11.9)</w:t>
            </w:r>
          </w:p>
        </w:tc>
      </w:tr>
      <w:tr w:rsidR="00A91DAE" w:rsidRPr="00DE64C0" w14:paraId="1EB4F2C7" w14:textId="77777777" w:rsidTr="009310C1">
        <w:tc>
          <w:tcPr>
            <w:tcW w:w="4068" w:type="dxa"/>
            <w:tcBorders>
              <w:top w:val="single" w:sz="4" w:space="0" w:color="auto"/>
            </w:tcBorders>
            <w:shd w:val="clear" w:color="auto" w:fill="auto"/>
          </w:tcPr>
          <w:p w14:paraId="1F41F183" w14:textId="77777777" w:rsidR="00A91DAE" w:rsidRPr="00DE64C0" w:rsidRDefault="00A91DAE" w:rsidP="00FF4C5F">
            <w:pPr>
              <w:rPr>
                <w:rFonts w:eastAsia="Calibri"/>
              </w:rPr>
            </w:pPr>
            <w:r w:rsidRPr="00DE64C0">
              <w:rPr>
                <w:rFonts w:eastAsia="Calibri"/>
              </w:rPr>
              <w:t>Cluster level</w:t>
            </w:r>
          </w:p>
        </w:tc>
        <w:tc>
          <w:tcPr>
            <w:tcW w:w="2236" w:type="dxa"/>
            <w:tcBorders>
              <w:top w:val="single" w:sz="4" w:space="0" w:color="auto"/>
            </w:tcBorders>
            <w:shd w:val="clear" w:color="auto" w:fill="auto"/>
          </w:tcPr>
          <w:p w14:paraId="3FDAF014" w14:textId="77777777" w:rsidR="00A91DAE" w:rsidRPr="00DE64C0" w:rsidRDefault="00A91DAE" w:rsidP="00FF4C5F">
            <w:pPr>
              <w:rPr>
                <w:rFonts w:eastAsia="Calibri"/>
              </w:rPr>
            </w:pPr>
          </w:p>
        </w:tc>
        <w:tc>
          <w:tcPr>
            <w:tcW w:w="2116" w:type="dxa"/>
            <w:tcBorders>
              <w:top w:val="single" w:sz="4" w:space="0" w:color="auto"/>
            </w:tcBorders>
            <w:shd w:val="clear" w:color="auto" w:fill="auto"/>
          </w:tcPr>
          <w:p w14:paraId="4D38FFAA" w14:textId="77777777" w:rsidR="00A91DAE" w:rsidRPr="00DE64C0" w:rsidRDefault="00A91DAE" w:rsidP="00FF4C5F">
            <w:pPr>
              <w:rPr>
                <w:rFonts w:eastAsia="Calibri"/>
              </w:rPr>
            </w:pPr>
          </w:p>
        </w:tc>
      </w:tr>
      <w:tr w:rsidR="00A91DAE" w:rsidRPr="00DE64C0" w14:paraId="26DE48CB" w14:textId="77777777" w:rsidTr="009310C1">
        <w:tc>
          <w:tcPr>
            <w:tcW w:w="4068" w:type="dxa"/>
            <w:tcBorders>
              <w:bottom w:val="single" w:sz="4" w:space="0" w:color="auto"/>
            </w:tcBorders>
            <w:shd w:val="clear" w:color="auto" w:fill="auto"/>
          </w:tcPr>
          <w:p w14:paraId="1ED283DA" w14:textId="77777777" w:rsidR="00A91DAE" w:rsidRPr="00DE64C0" w:rsidRDefault="00A91DAE" w:rsidP="00FF4C5F">
            <w:pPr>
              <w:rPr>
                <w:rFonts w:eastAsia="Calibri"/>
              </w:rPr>
            </w:pPr>
            <w:r w:rsidRPr="00DE64C0">
              <w:rPr>
                <w:rFonts w:eastAsia="Calibri"/>
              </w:rPr>
              <w:t>Number of practices</w:t>
            </w:r>
          </w:p>
        </w:tc>
        <w:tc>
          <w:tcPr>
            <w:tcW w:w="2236" w:type="dxa"/>
            <w:tcBorders>
              <w:bottom w:val="single" w:sz="4" w:space="0" w:color="auto"/>
            </w:tcBorders>
            <w:shd w:val="clear" w:color="auto" w:fill="auto"/>
          </w:tcPr>
          <w:p w14:paraId="0D190795" w14:textId="77777777" w:rsidR="00A91DAE" w:rsidRPr="00DE64C0" w:rsidRDefault="00A91DAE" w:rsidP="00FF4C5F">
            <w:pPr>
              <w:rPr>
                <w:rFonts w:eastAsia="Calibri"/>
              </w:rPr>
            </w:pPr>
            <w:r w:rsidRPr="00DE64C0">
              <w:rPr>
                <w:rFonts w:eastAsia="Calibri"/>
              </w:rPr>
              <w:t>20**</w:t>
            </w:r>
          </w:p>
        </w:tc>
        <w:tc>
          <w:tcPr>
            <w:tcW w:w="2116" w:type="dxa"/>
            <w:tcBorders>
              <w:bottom w:val="single" w:sz="4" w:space="0" w:color="auto"/>
            </w:tcBorders>
            <w:shd w:val="clear" w:color="auto" w:fill="auto"/>
          </w:tcPr>
          <w:p w14:paraId="14449A40" w14:textId="77777777" w:rsidR="00A91DAE" w:rsidRPr="00DE64C0" w:rsidRDefault="00A91DAE" w:rsidP="00FF4C5F">
            <w:pPr>
              <w:rPr>
                <w:rFonts w:eastAsia="Calibri"/>
              </w:rPr>
            </w:pPr>
            <w:r w:rsidRPr="00DE64C0">
              <w:rPr>
                <w:rFonts w:eastAsia="Calibri"/>
              </w:rPr>
              <w:t>23</w:t>
            </w:r>
          </w:p>
        </w:tc>
      </w:tr>
      <w:tr w:rsidR="00A91DAE" w:rsidRPr="00DE64C0" w14:paraId="559A2AF5" w14:textId="77777777" w:rsidTr="009310C1">
        <w:tc>
          <w:tcPr>
            <w:tcW w:w="4068" w:type="dxa"/>
            <w:tcBorders>
              <w:top w:val="single" w:sz="4" w:space="0" w:color="auto"/>
            </w:tcBorders>
            <w:shd w:val="clear" w:color="auto" w:fill="auto"/>
          </w:tcPr>
          <w:p w14:paraId="389B486C" w14:textId="77777777" w:rsidR="00A91DAE" w:rsidRPr="00DE64C0" w:rsidRDefault="00A91DAE" w:rsidP="00FF4C5F">
            <w:pPr>
              <w:rPr>
                <w:rFonts w:eastAsia="Calibri"/>
              </w:rPr>
            </w:pPr>
            <w:r w:rsidRPr="00DE64C0">
              <w:rPr>
                <w:rFonts w:eastAsia="Calibri"/>
              </w:rPr>
              <w:t>Median participants per practice (IQR)</w:t>
            </w:r>
          </w:p>
        </w:tc>
        <w:tc>
          <w:tcPr>
            <w:tcW w:w="2236" w:type="dxa"/>
            <w:tcBorders>
              <w:top w:val="single" w:sz="4" w:space="0" w:color="auto"/>
            </w:tcBorders>
            <w:shd w:val="clear" w:color="auto" w:fill="auto"/>
          </w:tcPr>
          <w:p w14:paraId="3836254F" w14:textId="77777777" w:rsidR="00A91DAE" w:rsidRPr="00DE64C0" w:rsidRDefault="00A91DAE" w:rsidP="00FF4C5F">
            <w:pPr>
              <w:rPr>
                <w:rFonts w:eastAsia="Calibri"/>
              </w:rPr>
            </w:pPr>
            <w:r w:rsidRPr="00DE64C0">
              <w:rPr>
                <w:rFonts w:eastAsia="Calibri"/>
              </w:rPr>
              <w:t>23 (8, 34)</w:t>
            </w:r>
          </w:p>
        </w:tc>
        <w:tc>
          <w:tcPr>
            <w:tcW w:w="2116" w:type="dxa"/>
            <w:tcBorders>
              <w:top w:val="single" w:sz="4" w:space="0" w:color="auto"/>
            </w:tcBorders>
            <w:shd w:val="clear" w:color="auto" w:fill="auto"/>
          </w:tcPr>
          <w:p w14:paraId="10422BE2" w14:textId="77777777" w:rsidR="00A91DAE" w:rsidRPr="00DE64C0" w:rsidRDefault="00A91DAE" w:rsidP="00FF4C5F">
            <w:pPr>
              <w:rPr>
                <w:rFonts w:eastAsia="Calibri"/>
              </w:rPr>
            </w:pPr>
            <w:r w:rsidRPr="00DE64C0">
              <w:rPr>
                <w:rFonts w:eastAsia="Calibri"/>
              </w:rPr>
              <w:t>17 (7, 30)</w:t>
            </w:r>
          </w:p>
        </w:tc>
      </w:tr>
      <w:tr w:rsidR="00A91DAE" w:rsidRPr="00DE64C0" w14:paraId="58226ADA" w14:textId="77777777" w:rsidTr="009310C1">
        <w:tc>
          <w:tcPr>
            <w:tcW w:w="4068" w:type="dxa"/>
            <w:shd w:val="clear" w:color="auto" w:fill="auto"/>
          </w:tcPr>
          <w:p w14:paraId="166ED924" w14:textId="77777777" w:rsidR="00A91DAE" w:rsidRPr="00DE64C0" w:rsidRDefault="00A91DAE" w:rsidP="00FF4C5F">
            <w:pPr>
              <w:rPr>
                <w:rFonts w:eastAsia="Calibri"/>
              </w:rPr>
            </w:pPr>
            <w:r w:rsidRPr="00DE64C0">
              <w:rPr>
                <w:rFonts w:eastAsia="Calibri"/>
              </w:rPr>
              <w:t>Range participants per practice</w:t>
            </w:r>
          </w:p>
        </w:tc>
        <w:tc>
          <w:tcPr>
            <w:tcW w:w="2236" w:type="dxa"/>
            <w:shd w:val="clear" w:color="auto" w:fill="auto"/>
          </w:tcPr>
          <w:p w14:paraId="358CEF47" w14:textId="77777777" w:rsidR="00A91DAE" w:rsidRPr="00DE64C0" w:rsidRDefault="00A91DAE" w:rsidP="00FF4C5F">
            <w:pPr>
              <w:rPr>
                <w:rFonts w:eastAsia="Calibri"/>
              </w:rPr>
            </w:pPr>
            <w:r w:rsidRPr="00DE64C0">
              <w:rPr>
                <w:rFonts w:eastAsia="Calibri"/>
              </w:rPr>
              <w:t>2-41</w:t>
            </w:r>
          </w:p>
        </w:tc>
        <w:tc>
          <w:tcPr>
            <w:tcW w:w="2116" w:type="dxa"/>
            <w:shd w:val="clear" w:color="auto" w:fill="auto"/>
          </w:tcPr>
          <w:p w14:paraId="7AC44F48" w14:textId="77777777" w:rsidR="00A91DAE" w:rsidRPr="00DE64C0" w:rsidRDefault="00A91DAE" w:rsidP="00FF4C5F">
            <w:pPr>
              <w:rPr>
                <w:rFonts w:eastAsia="Calibri"/>
              </w:rPr>
            </w:pPr>
            <w:r w:rsidRPr="00DE64C0">
              <w:rPr>
                <w:rFonts w:eastAsia="Calibri"/>
              </w:rPr>
              <w:t>3-49</w:t>
            </w:r>
          </w:p>
        </w:tc>
      </w:tr>
      <w:tr w:rsidR="00A91DAE" w:rsidRPr="00DE64C0" w14:paraId="093CDEBE" w14:textId="77777777" w:rsidTr="009310C1">
        <w:tc>
          <w:tcPr>
            <w:tcW w:w="4068" w:type="dxa"/>
            <w:shd w:val="clear" w:color="auto" w:fill="auto"/>
          </w:tcPr>
          <w:p w14:paraId="3B6A040A" w14:textId="77777777" w:rsidR="00A91DAE" w:rsidRPr="00DE64C0" w:rsidRDefault="00A91DAE" w:rsidP="00FF4C5F">
            <w:pPr>
              <w:rPr>
                <w:rFonts w:eastAsia="Calibri"/>
              </w:rPr>
            </w:pPr>
            <w:r w:rsidRPr="00DE64C0">
              <w:rPr>
                <w:rFonts w:eastAsia="Calibri"/>
              </w:rPr>
              <w:t>Median practice size (IQR)</w:t>
            </w:r>
          </w:p>
        </w:tc>
        <w:tc>
          <w:tcPr>
            <w:tcW w:w="2236" w:type="dxa"/>
            <w:shd w:val="clear" w:color="auto" w:fill="auto"/>
          </w:tcPr>
          <w:p w14:paraId="6D29BB1D" w14:textId="77777777" w:rsidR="00A91DAE" w:rsidRPr="00DE64C0" w:rsidRDefault="00A91DAE" w:rsidP="00FF4C5F">
            <w:pPr>
              <w:rPr>
                <w:rFonts w:eastAsia="Calibri"/>
              </w:rPr>
            </w:pPr>
            <w:r w:rsidRPr="00DE64C0">
              <w:rPr>
                <w:rFonts w:eastAsia="Calibri"/>
              </w:rPr>
              <w:t>6932 (4008, 10069)</w:t>
            </w:r>
          </w:p>
        </w:tc>
        <w:tc>
          <w:tcPr>
            <w:tcW w:w="2116" w:type="dxa"/>
            <w:shd w:val="clear" w:color="auto" w:fill="auto"/>
          </w:tcPr>
          <w:p w14:paraId="74FC2C50" w14:textId="77777777" w:rsidR="00A91DAE" w:rsidRPr="00DE64C0" w:rsidRDefault="00A91DAE" w:rsidP="00FF4C5F">
            <w:pPr>
              <w:rPr>
                <w:rFonts w:eastAsia="Calibri"/>
              </w:rPr>
            </w:pPr>
            <w:r w:rsidRPr="00DE64C0">
              <w:rPr>
                <w:rFonts w:eastAsia="Calibri"/>
              </w:rPr>
              <w:t>5429 (3356, 8780)</w:t>
            </w:r>
          </w:p>
        </w:tc>
      </w:tr>
      <w:tr w:rsidR="00A91DAE" w:rsidRPr="00DE64C0" w14:paraId="36C8AADE" w14:textId="77777777" w:rsidTr="009310C1">
        <w:tc>
          <w:tcPr>
            <w:tcW w:w="4068" w:type="dxa"/>
            <w:tcBorders>
              <w:bottom w:val="single" w:sz="4" w:space="0" w:color="auto"/>
            </w:tcBorders>
            <w:shd w:val="clear" w:color="auto" w:fill="auto"/>
          </w:tcPr>
          <w:p w14:paraId="7F39E53A" w14:textId="77777777" w:rsidR="00A91DAE" w:rsidRPr="00DE64C0" w:rsidRDefault="00A91DAE" w:rsidP="00FF4C5F">
            <w:pPr>
              <w:rPr>
                <w:rFonts w:eastAsia="Calibri"/>
              </w:rPr>
            </w:pPr>
            <w:r w:rsidRPr="00DE64C0">
              <w:rPr>
                <w:rFonts w:eastAsia="Calibri"/>
              </w:rPr>
              <w:t>High South Asian population, n (%)</w:t>
            </w:r>
          </w:p>
        </w:tc>
        <w:tc>
          <w:tcPr>
            <w:tcW w:w="2236" w:type="dxa"/>
            <w:tcBorders>
              <w:bottom w:val="single" w:sz="4" w:space="0" w:color="auto"/>
            </w:tcBorders>
            <w:shd w:val="clear" w:color="auto" w:fill="auto"/>
          </w:tcPr>
          <w:p w14:paraId="6B1BE9D7" w14:textId="77777777" w:rsidR="00A91DAE" w:rsidRPr="00DE64C0" w:rsidRDefault="00A91DAE" w:rsidP="00FF4C5F">
            <w:pPr>
              <w:rPr>
                <w:rFonts w:eastAsia="Calibri"/>
              </w:rPr>
            </w:pPr>
            <w:r w:rsidRPr="00DE64C0">
              <w:rPr>
                <w:rFonts w:eastAsia="Calibri"/>
              </w:rPr>
              <w:t>2 (10.0)</w:t>
            </w:r>
          </w:p>
        </w:tc>
        <w:tc>
          <w:tcPr>
            <w:tcW w:w="2116" w:type="dxa"/>
            <w:tcBorders>
              <w:bottom w:val="single" w:sz="4" w:space="0" w:color="auto"/>
            </w:tcBorders>
            <w:shd w:val="clear" w:color="auto" w:fill="auto"/>
          </w:tcPr>
          <w:p w14:paraId="28E6BC0B" w14:textId="77777777" w:rsidR="00A91DAE" w:rsidRPr="00DE64C0" w:rsidRDefault="00A91DAE" w:rsidP="00FF4C5F">
            <w:pPr>
              <w:rPr>
                <w:rFonts w:eastAsia="Calibri"/>
              </w:rPr>
            </w:pPr>
            <w:r w:rsidRPr="00DE64C0">
              <w:rPr>
                <w:rFonts w:eastAsia="Calibri"/>
              </w:rPr>
              <w:t>4 (17.4)</w:t>
            </w:r>
          </w:p>
        </w:tc>
      </w:tr>
    </w:tbl>
    <w:p w14:paraId="4B4FDB51" w14:textId="77777777" w:rsidR="00A91DAE" w:rsidRPr="00DE64C0" w:rsidRDefault="00A91DAE" w:rsidP="00FF4C5F"/>
    <w:p w14:paraId="519D9601" w14:textId="77777777" w:rsidR="00A91DAE" w:rsidRPr="00DE64C0" w:rsidRDefault="00A91DAE" w:rsidP="00FF4C5F">
      <w:r w:rsidRPr="00DE64C0">
        <w:t>*groups differ significantly (p&lt;0.05)</w:t>
      </w:r>
    </w:p>
    <w:p w14:paraId="25908D91" w14:textId="77777777" w:rsidR="00A91DAE" w:rsidRPr="00DE64C0" w:rsidRDefault="00A91DAE" w:rsidP="00FF4C5F">
      <w:r w:rsidRPr="00DE64C0">
        <w:t xml:space="preserve">** One practice randomised to standard care had no eligible participants. </w:t>
      </w:r>
    </w:p>
    <w:p w14:paraId="3593A80D" w14:textId="77777777" w:rsidR="00A91DAE" w:rsidRPr="00DE64C0" w:rsidRDefault="00A91DAE" w:rsidP="00FF4C5F">
      <w:r w:rsidRPr="00DE64C0">
        <w:t xml:space="preserve">*** Only calculated for those of </w:t>
      </w:r>
      <w:proofErr w:type="gramStart"/>
      <w:r w:rsidRPr="00DE64C0">
        <w:t>WE</w:t>
      </w:r>
      <w:proofErr w:type="gramEnd"/>
      <w:r w:rsidRPr="00DE64C0">
        <w:t xml:space="preserve"> or SA ethnicity between the ages of 35-75.  </w:t>
      </w:r>
    </w:p>
    <w:p w14:paraId="1A4D99DA" w14:textId="1471EFF7" w:rsidR="00A91DAE" w:rsidRPr="00DE64C0" w:rsidRDefault="00E92898" w:rsidP="00FF4C5F">
      <w:r w:rsidRPr="00DE64C0">
        <w:t xml:space="preserve">HDL: High-density lipoprotein; LDL: Low-density lipoprotein; </w:t>
      </w:r>
      <w:r w:rsidR="00585725" w:rsidRPr="00DE64C0">
        <w:t xml:space="preserve">IGT: Impaired glucose tolerance; IFG: Impaired fasting glucose; CHD: Coronary heart disease; CVD: Cardiovascular disease; IQR: Inter-quartile range. </w:t>
      </w:r>
      <w:r w:rsidR="00A91DAE" w:rsidRPr="00DE64C0">
        <w:br w:type="page"/>
      </w:r>
    </w:p>
    <w:p w14:paraId="109AB853" w14:textId="48A5EA18" w:rsidR="00814D1C" w:rsidRPr="00DE64C0" w:rsidRDefault="00814D1C" w:rsidP="00FF4C5F">
      <w:pPr>
        <w:rPr>
          <w:b/>
          <w:color w:val="000000" w:themeColor="text1"/>
        </w:rPr>
      </w:pPr>
      <w:r w:rsidRPr="00DE64C0">
        <w:rPr>
          <w:b/>
        </w:rPr>
        <w:lastRenderedPageBreak/>
        <w:t>Development of T2DM</w:t>
      </w:r>
    </w:p>
    <w:p w14:paraId="33DD422F" w14:textId="64D323A3" w:rsidR="0027132E" w:rsidRPr="00DE64C0" w:rsidRDefault="00814D1C" w:rsidP="00FF4C5F">
      <w:pPr>
        <w:rPr>
          <w:rFonts w:cs="Times New Roman"/>
          <w:color w:val="000000" w:themeColor="text1"/>
        </w:rPr>
      </w:pPr>
      <w:r w:rsidRPr="00DE64C0">
        <w:rPr>
          <w:rFonts w:cs="Times New Roman"/>
          <w:color w:val="000000" w:themeColor="text1"/>
        </w:rPr>
        <w:t xml:space="preserve">131 participants developed T2DM </w:t>
      </w:r>
      <w:r w:rsidR="00A52601" w:rsidRPr="00DE64C0">
        <w:rPr>
          <w:rFonts w:cs="Times New Roman"/>
          <w:color w:val="000000" w:themeColor="text1"/>
        </w:rPr>
        <w:t>during</w:t>
      </w:r>
      <w:r w:rsidRPr="00DE64C0">
        <w:rPr>
          <w:rFonts w:cs="Times New Roman"/>
          <w:color w:val="000000" w:themeColor="text1"/>
        </w:rPr>
        <w:t xml:space="preserve"> </w:t>
      </w:r>
      <w:r w:rsidR="000D4BFE" w:rsidRPr="00DE64C0">
        <w:rPr>
          <w:rFonts w:cs="Times New Roman"/>
          <w:color w:val="000000" w:themeColor="text1"/>
        </w:rPr>
        <w:t xml:space="preserve">a </w:t>
      </w:r>
      <w:r w:rsidR="00356D78" w:rsidRPr="00DE64C0">
        <w:rPr>
          <w:rFonts w:cs="Times New Roman"/>
          <w:color w:val="000000" w:themeColor="text1"/>
        </w:rPr>
        <w:t xml:space="preserve">median </w:t>
      </w:r>
      <w:r w:rsidR="000D4BFE" w:rsidRPr="00DE64C0">
        <w:rPr>
          <w:rFonts w:cs="Times New Roman"/>
          <w:color w:val="000000" w:themeColor="text1"/>
        </w:rPr>
        <w:t xml:space="preserve">follow-up of </w:t>
      </w:r>
      <w:r w:rsidR="00F24398" w:rsidRPr="00DE64C0">
        <w:rPr>
          <w:rFonts w:cs="Times New Roman"/>
          <w:color w:val="000000" w:themeColor="text1"/>
        </w:rPr>
        <w:t>three</w:t>
      </w:r>
      <w:r w:rsidR="00356D78" w:rsidRPr="00DE64C0">
        <w:rPr>
          <w:rFonts w:cs="Times New Roman"/>
          <w:color w:val="000000" w:themeColor="text1"/>
        </w:rPr>
        <w:t xml:space="preserve"> </w:t>
      </w:r>
      <w:r w:rsidR="00BA679D" w:rsidRPr="00DE64C0">
        <w:rPr>
          <w:rFonts w:cs="Times New Roman"/>
          <w:color w:val="000000" w:themeColor="text1"/>
        </w:rPr>
        <w:t>years</w:t>
      </w:r>
      <w:r w:rsidR="00376525" w:rsidRPr="00DE64C0">
        <w:rPr>
          <w:rFonts w:cs="Times New Roman"/>
          <w:color w:val="000000" w:themeColor="text1"/>
        </w:rPr>
        <w:t>;</w:t>
      </w:r>
      <w:r w:rsidRPr="00DE64C0">
        <w:rPr>
          <w:rFonts w:cs="Times New Roman"/>
        </w:rPr>
        <w:t xml:space="preserve"> this equates to 60.32 events per 1,000 person years (95% CI 50.82, 71.58). Lower rates were seen in the intervention group</w:t>
      </w:r>
      <w:r w:rsidR="00376525" w:rsidRPr="00DE64C0">
        <w:rPr>
          <w:rFonts w:cs="Times New Roman"/>
        </w:rPr>
        <w:t>:</w:t>
      </w:r>
      <w:r w:rsidRPr="00DE64C0">
        <w:rPr>
          <w:rFonts w:cs="Times New Roman"/>
        </w:rPr>
        <w:t xml:space="preserve"> 57.60 events per 1,000 person years compared to 63.16 events per 1,000 person years in the standard</w:t>
      </w:r>
      <w:r w:rsidR="00690F86" w:rsidRPr="00DE64C0">
        <w:rPr>
          <w:rFonts w:cs="Times New Roman"/>
        </w:rPr>
        <w:t>-</w:t>
      </w:r>
      <w:r w:rsidRPr="00DE64C0">
        <w:rPr>
          <w:rFonts w:cs="Times New Roman"/>
        </w:rPr>
        <w:t>care group (</w:t>
      </w:r>
      <w:r w:rsidR="00A9245B" w:rsidRPr="00DE64C0">
        <w:rPr>
          <w:rFonts w:cs="Times New Roman"/>
        </w:rPr>
        <w:t>Figure A.</w:t>
      </w:r>
      <w:r w:rsidR="0087257F" w:rsidRPr="00DE64C0">
        <w:rPr>
          <w:rFonts w:cs="Times New Roman"/>
        </w:rPr>
        <w:t>1</w:t>
      </w:r>
      <w:r w:rsidRPr="00DE64C0">
        <w:rPr>
          <w:rFonts w:cs="Times New Roman"/>
        </w:rPr>
        <w:t>). The hazard ratio</w:t>
      </w:r>
      <w:r w:rsidR="00BF3C6D" w:rsidRPr="00DE64C0">
        <w:rPr>
          <w:rFonts w:cs="Times New Roman"/>
        </w:rPr>
        <w:t xml:space="preserve"> (HR)</w:t>
      </w:r>
      <w:r w:rsidRPr="00DE64C0">
        <w:rPr>
          <w:rFonts w:cs="Times New Roman"/>
        </w:rPr>
        <w:t xml:space="preserve"> showed a</w:t>
      </w:r>
      <w:r w:rsidR="006312A5" w:rsidRPr="00DE64C0">
        <w:rPr>
          <w:rFonts w:cs="Times New Roman"/>
        </w:rPr>
        <w:t xml:space="preserve"> non-significant</w:t>
      </w:r>
      <w:r w:rsidRPr="00DE64C0">
        <w:rPr>
          <w:rFonts w:cs="Times New Roman"/>
        </w:rPr>
        <w:t xml:space="preserve"> 26% reduced risk of developing T2DM in the intervention arm compared to standard</w:t>
      </w:r>
      <w:r w:rsidR="00303EE6" w:rsidRPr="00DE64C0">
        <w:rPr>
          <w:rFonts w:cs="Times New Roman"/>
        </w:rPr>
        <w:t>-</w:t>
      </w:r>
      <w:r w:rsidRPr="00DE64C0">
        <w:rPr>
          <w:rFonts w:cs="Times New Roman"/>
        </w:rPr>
        <w:t xml:space="preserve">care (p=0.18). The effect was </w:t>
      </w:r>
      <w:r w:rsidR="00921FC2" w:rsidRPr="00DE64C0">
        <w:rPr>
          <w:rFonts w:cs="Times New Roman"/>
        </w:rPr>
        <w:t>greater</w:t>
      </w:r>
      <w:r w:rsidRPr="00DE64C0">
        <w:rPr>
          <w:rFonts w:cs="Times New Roman"/>
        </w:rPr>
        <w:t xml:space="preserve"> </w:t>
      </w:r>
      <w:r w:rsidR="00BE552D" w:rsidRPr="00DE64C0">
        <w:rPr>
          <w:rFonts w:cs="Times New Roman"/>
        </w:rPr>
        <w:t xml:space="preserve">(35% reduction) </w:t>
      </w:r>
      <w:r w:rsidR="00BA679D" w:rsidRPr="00DE64C0">
        <w:rPr>
          <w:rFonts w:cs="Times New Roman"/>
        </w:rPr>
        <w:t>in the per-protocol analysis</w:t>
      </w:r>
      <w:r w:rsidR="006312A5" w:rsidRPr="00DE64C0">
        <w:rPr>
          <w:rFonts w:cs="Times New Roman"/>
        </w:rPr>
        <w:t xml:space="preserve"> albeit still non-significant (p=0.07)</w:t>
      </w:r>
      <w:r w:rsidR="00BA679D" w:rsidRPr="00DE64C0">
        <w:rPr>
          <w:rFonts w:cs="Times New Roman"/>
        </w:rPr>
        <w:t xml:space="preserve"> </w:t>
      </w:r>
      <w:r w:rsidR="007E430A" w:rsidRPr="00DE64C0">
        <w:rPr>
          <w:rFonts w:cs="Times New Roman"/>
        </w:rPr>
        <w:t>(Table 2)</w:t>
      </w:r>
      <w:r w:rsidRPr="00DE64C0">
        <w:rPr>
          <w:rFonts w:cs="Times New Roman"/>
        </w:rPr>
        <w:t xml:space="preserve">.  </w:t>
      </w:r>
      <w:r w:rsidR="0027132E" w:rsidRPr="00DE64C0">
        <w:rPr>
          <w:rFonts w:cs="Times New Roman"/>
          <w:color w:val="000000" w:themeColor="text1"/>
        </w:rPr>
        <w:t>The risk of developing T2DM in the interven</w:t>
      </w:r>
      <w:r w:rsidR="006202E3" w:rsidRPr="00DE64C0">
        <w:rPr>
          <w:rFonts w:cs="Times New Roman"/>
          <w:color w:val="000000" w:themeColor="text1"/>
        </w:rPr>
        <w:t>tion group compared to standard-</w:t>
      </w:r>
      <w:r w:rsidR="0027132E" w:rsidRPr="00DE64C0">
        <w:rPr>
          <w:rFonts w:cs="Times New Roman"/>
          <w:color w:val="000000" w:themeColor="text1"/>
        </w:rPr>
        <w:t xml:space="preserve">care was similar across all sub-groups of PDM. </w:t>
      </w:r>
      <w:r w:rsidR="00BF3C6D" w:rsidRPr="00DE64C0">
        <w:rPr>
          <w:rFonts w:cs="Times New Roman"/>
        </w:rPr>
        <w:t>The ICC for the development of T2DM was 0.02 (95% CI 0, 0.05).</w:t>
      </w:r>
    </w:p>
    <w:p w14:paraId="783011B7" w14:textId="77777777" w:rsidR="006C6D25" w:rsidRPr="00DE64C0" w:rsidRDefault="006C6D25" w:rsidP="00FF4C5F">
      <w:pPr>
        <w:rPr>
          <w:rFonts w:cs="Times New Roman"/>
        </w:rPr>
      </w:pPr>
    </w:p>
    <w:p w14:paraId="12965D1D" w14:textId="77777777" w:rsidR="00A91DAE" w:rsidRPr="00DE64C0" w:rsidRDefault="00A91DAE" w:rsidP="00FF4C5F">
      <w:pPr>
        <w:rPr>
          <w:rFonts w:eastAsiaTheme="majorEastAsia" w:cstheme="majorBidi"/>
          <w:szCs w:val="20"/>
        </w:rPr>
      </w:pPr>
      <w:r w:rsidRPr="00DE64C0">
        <w:br w:type="page"/>
      </w:r>
    </w:p>
    <w:p w14:paraId="3B241AED" w14:textId="77777777" w:rsidR="00A91DAE" w:rsidRPr="00DE64C0" w:rsidRDefault="00A91DAE" w:rsidP="00FF4C5F">
      <w:pPr>
        <w:rPr>
          <w:rFonts w:cs="Times New Roman"/>
        </w:rPr>
      </w:pPr>
      <w:r w:rsidRPr="00DE64C0">
        <w:rPr>
          <w:b/>
        </w:rPr>
        <w:lastRenderedPageBreak/>
        <w:t>Table 2</w:t>
      </w:r>
      <w:r w:rsidRPr="00DE64C0">
        <w:rPr>
          <w:rFonts w:cs="Times New Roman"/>
        </w:rPr>
        <w:t xml:space="preserve"> Development of T2DM overall and by PDM diagnosis</w:t>
      </w:r>
    </w:p>
    <w:p w14:paraId="7329C3F2" w14:textId="77777777" w:rsidR="00A91DAE" w:rsidRPr="00DE64C0" w:rsidRDefault="00A91DAE" w:rsidP="00FF4C5F">
      <w:pPr>
        <w:rPr>
          <w:rFonts w:cs="Times New Roman"/>
        </w:rPr>
      </w:pPr>
      <w:r w:rsidRPr="00DE64C0">
        <w:rPr>
          <w:rFonts w:cs="Times New Roman"/>
        </w:rPr>
        <w:t xml:space="preserve">HR (95% CI) takes into account clustering </w:t>
      </w:r>
    </w:p>
    <w:tbl>
      <w:tblPr>
        <w:tblStyle w:val="TableGrid"/>
        <w:tblW w:w="106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2296"/>
        <w:gridCol w:w="2296"/>
        <w:gridCol w:w="716"/>
        <w:gridCol w:w="1296"/>
        <w:gridCol w:w="901"/>
      </w:tblGrid>
      <w:tr w:rsidR="00A91DAE" w:rsidRPr="00DE64C0" w14:paraId="31BD3866" w14:textId="77777777" w:rsidTr="009310C1">
        <w:trPr>
          <w:jc w:val="center"/>
        </w:trPr>
        <w:tc>
          <w:tcPr>
            <w:tcW w:w="3123" w:type="dxa"/>
            <w:tcBorders>
              <w:top w:val="single" w:sz="4" w:space="0" w:color="auto"/>
              <w:bottom w:val="single" w:sz="4" w:space="0" w:color="auto"/>
            </w:tcBorders>
          </w:tcPr>
          <w:p w14:paraId="244F108E" w14:textId="77777777" w:rsidR="00A91DAE" w:rsidRPr="00DE64C0" w:rsidRDefault="00A91DAE" w:rsidP="00FF4C5F">
            <w:pPr>
              <w:rPr>
                <w:rFonts w:cs="Times New Roman"/>
              </w:rPr>
            </w:pPr>
          </w:p>
        </w:tc>
        <w:tc>
          <w:tcPr>
            <w:tcW w:w="2296" w:type="dxa"/>
            <w:tcBorders>
              <w:top w:val="single" w:sz="4" w:space="0" w:color="auto"/>
              <w:bottom w:val="single" w:sz="4" w:space="0" w:color="auto"/>
            </w:tcBorders>
          </w:tcPr>
          <w:p w14:paraId="083AD1CF" w14:textId="77777777" w:rsidR="00A91DAE" w:rsidRPr="00DE64C0" w:rsidRDefault="00A91DAE" w:rsidP="00FF4C5F">
            <w:pPr>
              <w:rPr>
                <w:rFonts w:cs="Times New Roman"/>
              </w:rPr>
            </w:pPr>
            <w:r w:rsidRPr="00DE64C0">
              <w:rPr>
                <w:rFonts w:cs="Times New Roman"/>
              </w:rPr>
              <w:t>Standard care</w:t>
            </w:r>
          </w:p>
        </w:tc>
        <w:tc>
          <w:tcPr>
            <w:tcW w:w="2296" w:type="dxa"/>
            <w:tcBorders>
              <w:top w:val="single" w:sz="4" w:space="0" w:color="auto"/>
              <w:bottom w:val="single" w:sz="4" w:space="0" w:color="auto"/>
            </w:tcBorders>
          </w:tcPr>
          <w:p w14:paraId="538FAAD8" w14:textId="77777777" w:rsidR="00A91DAE" w:rsidRPr="00DE64C0" w:rsidRDefault="00A91DAE" w:rsidP="00FF4C5F">
            <w:pPr>
              <w:rPr>
                <w:rFonts w:cs="Times New Roman"/>
              </w:rPr>
            </w:pPr>
            <w:r w:rsidRPr="00DE64C0">
              <w:rPr>
                <w:rFonts w:cs="Times New Roman"/>
              </w:rPr>
              <w:t>Intervention</w:t>
            </w:r>
          </w:p>
        </w:tc>
        <w:tc>
          <w:tcPr>
            <w:tcW w:w="716" w:type="dxa"/>
            <w:tcBorders>
              <w:top w:val="single" w:sz="4" w:space="0" w:color="auto"/>
              <w:bottom w:val="single" w:sz="4" w:space="0" w:color="auto"/>
            </w:tcBorders>
          </w:tcPr>
          <w:p w14:paraId="499A0699" w14:textId="77777777" w:rsidR="00A91DAE" w:rsidRPr="00DE64C0" w:rsidRDefault="00A91DAE" w:rsidP="00FF4C5F">
            <w:pPr>
              <w:rPr>
                <w:rFonts w:cs="Times New Roman"/>
              </w:rPr>
            </w:pPr>
            <w:r w:rsidRPr="00DE64C0">
              <w:rPr>
                <w:rFonts w:cs="Times New Roman"/>
              </w:rPr>
              <w:t>HR</w:t>
            </w:r>
          </w:p>
        </w:tc>
        <w:tc>
          <w:tcPr>
            <w:tcW w:w="1296" w:type="dxa"/>
            <w:tcBorders>
              <w:top w:val="single" w:sz="4" w:space="0" w:color="auto"/>
              <w:bottom w:val="single" w:sz="4" w:space="0" w:color="auto"/>
            </w:tcBorders>
          </w:tcPr>
          <w:p w14:paraId="34FBE52A" w14:textId="77777777" w:rsidR="00A91DAE" w:rsidRPr="00DE64C0" w:rsidRDefault="00A91DAE" w:rsidP="00FF4C5F">
            <w:pPr>
              <w:rPr>
                <w:rFonts w:cs="Times New Roman"/>
              </w:rPr>
            </w:pPr>
            <w:r w:rsidRPr="00DE64C0">
              <w:rPr>
                <w:rFonts w:cs="Times New Roman"/>
              </w:rPr>
              <w:t>95% CI</w:t>
            </w:r>
          </w:p>
        </w:tc>
        <w:tc>
          <w:tcPr>
            <w:tcW w:w="901" w:type="dxa"/>
            <w:tcBorders>
              <w:top w:val="single" w:sz="4" w:space="0" w:color="auto"/>
              <w:bottom w:val="single" w:sz="4" w:space="0" w:color="auto"/>
            </w:tcBorders>
          </w:tcPr>
          <w:p w14:paraId="3E933DF8" w14:textId="77777777" w:rsidR="00A91DAE" w:rsidRPr="00DE64C0" w:rsidRDefault="00A91DAE" w:rsidP="00FF4C5F">
            <w:pPr>
              <w:rPr>
                <w:rFonts w:cs="Times New Roman"/>
              </w:rPr>
            </w:pPr>
            <w:r w:rsidRPr="00DE64C0">
              <w:rPr>
                <w:rFonts w:cs="Times New Roman"/>
              </w:rPr>
              <w:t>P value</w:t>
            </w:r>
          </w:p>
        </w:tc>
      </w:tr>
      <w:tr w:rsidR="00A91DAE" w:rsidRPr="00DE64C0" w14:paraId="1A766D50" w14:textId="77777777" w:rsidTr="009310C1">
        <w:trPr>
          <w:jc w:val="center"/>
        </w:trPr>
        <w:tc>
          <w:tcPr>
            <w:tcW w:w="3123" w:type="dxa"/>
            <w:tcBorders>
              <w:top w:val="single" w:sz="4" w:space="0" w:color="auto"/>
            </w:tcBorders>
          </w:tcPr>
          <w:p w14:paraId="43296AB6" w14:textId="77777777" w:rsidR="00A91DAE" w:rsidRPr="00DE64C0" w:rsidRDefault="00A91DAE" w:rsidP="00FF4C5F">
            <w:pPr>
              <w:rPr>
                <w:rFonts w:cs="Times New Roman"/>
              </w:rPr>
            </w:pPr>
            <w:r w:rsidRPr="00DE64C0">
              <w:rPr>
                <w:rFonts w:cs="Times New Roman"/>
              </w:rPr>
              <w:t>Intention to treat*</w:t>
            </w:r>
          </w:p>
          <w:p w14:paraId="26EF90CD" w14:textId="77777777" w:rsidR="00A91DAE" w:rsidRPr="00DE64C0" w:rsidRDefault="00A91DAE" w:rsidP="00FF4C5F">
            <w:pPr>
              <w:rPr>
                <w:rFonts w:cs="Times New Roman"/>
              </w:rPr>
            </w:pPr>
            <w:r w:rsidRPr="00DE64C0">
              <w:rPr>
                <w:rFonts w:cs="Times New Roman"/>
              </w:rPr>
              <w:t xml:space="preserve">   Events, n (%)</w:t>
            </w:r>
          </w:p>
          <w:p w14:paraId="4F92C34A" w14:textId="77777777" w:rsidR="00A91DAE" w:rsidRPr="00DE64C0" w:rsidRDefault="00A91DAE" w:rsidP="00FF4C5F">
            <w:pPr>
              <w:rPr>
                <w:rFonts w:cs="Times New Roman"/>
              </w:rPr>
            </w:pPr>
            <w:r w:rsidRPr="00DE64C0">
              <w:rPr>
                <w:rFonts w:cs="Times New Roman"/>
              </w:rPr>
              <w:t xml:space="preserve">   Rate per 1000 </w:t>
            </w:r>
            <w:proofErr w:type="spellStart"/>
            <w:r w:rsidRPr="00DE64C0">
              <w:rPr>
                <w:rFonts w:cs="Times New Roman"/>
              </w:rPr>
              <w:t>py</w:t>
            </w:r>
            <w:proofErr w:type="spellEnd"/>
            <w:r w:rsidRPr="00DE64C0">
              <w:rPr>
                <w:rFonts w:cs="Times New Roman"/>
              </w:rPr>
              <w:t xml:space="preserve"> (95% CI)</w:t>
            </w:r>
          </w:p>
        </w:tc>
        <w:tc>
          <w:tcPr>
            <w:tcW w:w="2296" w:type="dxa"/>
            <w:tcBorders>
              <w:top w:val="single" w:sz="4" w:space="0" w:color="auto"/>
            </w:tcBorders>
          </w:tcPr>
          <w:p w14:paraId="4C5ADE46" w14:textId="77777777" w:rsidR="00A91DAE" w:rsidRPr="00DE64C0" w:rsidRDefault="00A91DAE" w:rsidP="00FF4C5F">
            <w:pPr>
              <w:rPr>
                <w:rFonts w:cs="Times New Roman"/>
              </w:rPr>
            </w:pPr>
          </w:p>
          <w:p w14:paraId="550E0EF3" w14:textId="77777777" w:rsidR="00A91DAE" w:rsidRPr="00DE64C0" w:rsidRDefault="00A91DAE" w:rsidP="00FF4C5F">
            <w:pPr>
              <w:rPr>
                <w:rFonts w:cs="Times New Roman"/>
              </w:rPr>
            </w:pPr>
            <w:r w:rsidRPr="00DE64C0">
              <w:rPr>
                <w:rFonts w:cs="Times New Roman"/>
              </w:rPr>
              <w:t>67 (15.5)</w:t>
            </w:r>
          </w:p>
          <w:p w14:paraId="17607338" w14:textId="77777777" w:rsidR="00A91DAE" w:rsidRPr="00DE64C0" w:rsidRDefault="00A91DAE" w:rsidP="00FF4C5F">
            <w:pPr>
              <w:rPr>
                <w:rFonts w:cs="Times New Roman"/>
              </w:rPr>
            </w:pPr>
            <w:r w:rsidRPr="00DE64C0">
              <w:rPr>
                <w:rFonts w:cs="Times New Roman"/>
              </w:rPr>
              <w:t>63.16 (49.71, 80.24)</w:t>
            </w:r>
          </w:p>
        </w:tc>
        <w:tc>
          <w:tcPr>
            <w:tcW w:w="2296" w:type="dxa"/>
            <w:tcBorders>
              <w:top w:val="single" w:sz="4" w:space="0" w:color="auto"/>
            </w:tcBorders>
          </w:tcPr>
          <w:p w14:paraId="6A30F73E" w14:textId="77777777" w:rsidR="00A91DAE" w:rsidRPr="00DE64C0" w:rsidRDefault="00A91DAE" w:rsidP="00FF4C5F">
            <w:pPr>
              <w:rPr>
                <w:rFonts w:cs="Times New Roman"/>
              </w:rPr>
            </w:pPr>
          </w:p>
          <w:p w14:paraId="738A05CC" w14:textId="77777777" w:rsidR="00A91DAE" w:rsidRPr="00DE64C0" w:rsidRDefault="00A91DAE" w:rsidP="00FF4C5F">
            <w:pPr>
              <w:rPr>
                <w:rFonts w:cs="Times New Roman"/>
              </w:rPr>
            </w:pPr>
            <w:r w:rsidRPr="00DE64C0">
              <w:rPr>
                <w:rFonts w:cs="Times New Roman"/>
              </w:rPr>
              <w:t>64 (14.3)</w:t>
            </w:r>
          </w:p>
          <w:p w14:paraId="110D621E" w14:textId="77777777" w:rsidR="00A91DAE" w:rsidRPr="00DE64C0" w:rsidRDefault="00A91DAE" w:rsidP="00FF4C5F">
            <w:pPr>
              <w:rPr>
                <w:rFonts w:cs="Times New Roman"/>
              </w:rPr>
            </w:pPr>
            <w:r w:rsidRPr="00DE64C0">
              <w:rPr>
                <w:rFonts w:cs="Times New Roman"/>
              </w:rPr>
              <w:t>57.60 (45.09, 73.59)</w:t>
            </w:r>
          </w:p>
        </w:tc>
        <w:tc>
          <w:tcPr>
            <w:tcW w:w="716" w:type="dxa"/>
            <w:tcBorders>
              <w:top w:val="single" w:sz="4" w:space="0" w:color="auto"/>
            </w:tcBorders>
          </w:tcPr>
          <w:p w14:paraId="4979C7E1" w14:textId="77777777" w:rsidR="00A91DAE" w:rsidRPr="00DE64C0" w:rsidRDefault="00A91DAE" w:rsidP="00FF4C5F">
            <w:pPr>
              <w:rPr>
                <w:rFonts w:cs="Times New Roman"/>
              </w:rPr>
            </w:pPr>
            <w:r w:rsidRPr="00DE64C0">
              <w:rPr>
                <w:rFonts w:cs="Times New Roman"/>
              </w:rPr>
              <w:t xml:space="preserve">0.74 </w:t>
            </w:r>
          </w:p>
        </w:tc>
        <w:tc>
          <w:tcPr>
            <w:tcW w:w="1296" w:type="dxa"/>
            <w:tcBorders>
              <w:top w:val="single" w:sz="4" w:space="0" w:color="auto"/>
            </w:tcBorders>
          </w:tcPr>
          <w:p w14:paraId="5FF5D84E" w14:textId="77777777" w:rsidR="00A91DAE" w:rsidRPr="00DE64C0" w:rsidRDefault="00A91DAE" w:rsidP="00FF4C5F">
            <w:pPr>
              <w:rPr>
                <w:rFonts w:cs="Times New Roman"/>
              </w:rPr>
            </w:pPr>
            <w:r w:rsidRPr="00DE64C0">
              <w:rPr>
                <w:rFonts w:cs="Times New Roman"/>
              </w:rPr>
              <w:t>0.48, 1.14</w:t>
            </w:r>
          </w:p>
        </w:tc>
        <w:tc>
          <w:tcPr>
            <w:tcW w:w="901" w:type="dxa"/>
            <w:tcBorders>
              <w:top w:val="single" w:sz="4" w:space="0" w:color="auto"/>
            </w:tcBorders>
          </w:tcPr>
          <w:p w14:paraId="757812CE" w14:textId="77777777" w:rsidR="00A91DAE" w:rsidRPr="00DE64C0" w:rsidRDefault="00A91DAE" w:rsidP="00FF4C5F">
            <w:pPr>
              <w:rPr>
                <w:rFonts w:cs="Times New Roman"/>
              </w:rPr>
            </w:pPr>
            <w:r w:rsidRPr="00DE64C0">
              <w:rPr>
                <w:rFonts w:cs="Times New Roman"/>
              </w:rPr>
              <w:t>0.18</w:t>
            </w:r>
          </w:p>
        </w:tc>
      </w:tr>
      <w:tr w:rsidR="00A91DAE" w:rsidRPr="00DE64C0" w14:paraId="6A5FD5D7" w14:textId="77777777" w:rsidTr="009310C1">
        <w:trPr>
          <w:jc w:val="center"/>
        </w:trPr>
        <w:tc>
          <w:tcPr>
            <w:tcW w:w="3123" w:type="dxa"/>
          </w:tcPr>
          <w:p w14:paraId="4C4C4EEF" w14:textId="77777777" w:rsidR="00A91DAE" w:rsidRPr="00DE64C0" w:rsidRDefault="00A91DAE" w:rsidP="00FF4C5F">
            <w:pPr>
              <w:rPr>
                <w:rFonts w:cs="Times New Roman"/>
              </w:rPr>
            </w:pPr>
            <w:r w:rsidRPr="00DE64C0">
              <w:rPr>
                <w:rFonts w:cs="Times New Roman"/>
              </w:rPr>
              <w:t xml:space="preserve">Per protocol </w:t>
            </w:r>
          </w:p>
          <w:p w14:paraId="267CFB7F" w14:textId="77777777" w:rsidR="00A91DAE" w:rsidRPr="00DE64C0" w:rsidRDefault="00A91DAE" w:rsidP="00FF4C5F">
            <w:pPr>
              <w:rPr>
                <w:rFonts w:cs="Times New Roman"/>
              </w:rPr>
            </w:pPr>
            <w:r w:rsidRPr="00DE64C0">
              <w:rPr>
                <w:rFonts w:cs="Times New Roman"/>
              </w:rPr>
              <w:t xml:space="preserve">   Events, n (%)</w:t>
            </w:r>
          </w:p>
          <w:p w14:paraId="23C8F45B" w14:textId="77777777" w:rsidR="00A91DAE" w:rsidRPr="00DE64C0" w:rsidRDefault="00A91DAE" w:rsidP="00FF4C5F">
            <w:pPr>
              <w:rPr>
                <w:rFonts w:cs="Times New Roman"/>
              </w:rPr>
            </w:pPr>
            <w:r w:rsidRPr="00DE64C0">
              <w:rPr>
                <w:rFonts w:cs="Times New Roman"/>
              </w:rPr>
              <w:t xml:space="preserve">   Rate per 1000 </w:t>
            </w:r>
            <w:proofErr w:type="spellStart"/>
            <w:r w:rsidRPr="00DE64C0">
              <w:rPr>
                <w:rFonts w:cs="Times New Roman"/>
              </w:rPr>
              <w:t>py</w:t>
            </w:r>
            <w:proofErr w:type="spellEnd"/>
            <w:r w:rsidRPr="00DE64C0">
              <w:rPr>
                <w:rFonts w:cs="Times New Roman"/>
              </w:rPr>
              <w:t xml:space="preserve"> (95% CI)</w:t>
            </w:r>
          </w:p>
        </w:tc>
        <w:tc>
          <w:tcPr>
            <w:tcW w:w="2296" w:type="dxa"/>
          </w:tcPr>
          <w:p w14:paraId="6F5309E4" w14:textId="77777777" w:rsidR="00A91DAE" w:rsidRPr="00DE64C0" w:rsidRDefault="00A91DAE" w:rsidP="00FF4C5F">
            <w:pPr>
              <w:rPr>
                <w:rFonts w:cs="Times New Roman"/>
              </w:rPr>
            </w:pPr>
          </w:p>
          <w:p w14:paraId="5FAF70EE" w14:textId="77777777" w:rsidR="00A91DAE" w:rsidRPr="00DE64C0" w:rsidRDefault="00A91DAE" w:rsidP="00FF4C5F">
            <w:pPr>
              <w:rPr>
                <w:rFonts w:cs="Times New Roman"/>
              </w:rPr>
            </w:pPr>
            <w:r w:rsidRPr="00DE64C0">
              <w:rPr>
                <w:rFonts w:cs="Times New Roman"/>
              </w:rPr>
              <w:t>67 (15.5)</w:t>
            </w:r>
          </w:p>
          <w:p w14:paraId="688C3319" w14:textId="77777777" w:rsidR="00A91DAE" w:rsidRPr="00DE64C0" w:rsidRDefault="00A91DAE" w:rsidP="00FF4C5F">
            <w:pPr>
              <w:rPr>
                <w:rFonts w:cs="Times New Roman"/>
              </w:rPr>
            </w:pPr>
            <w:r w:rsidRPr="00DE64C0">
              <w:rPr>
                <w:rFonts w:cs="Times New Roman"/>
              </w:rPr>
              <w:t>63.16 (49.71, 80.24)</w:t>
            </w:r>
          </w:p>
        </w:tc>
        <w:tc>
          <w:tcPr>
            <w:tcW w:w="2296" w:type="dxa"/>
          </w:tcPr>
          <w:p w14:paraId="659141B6" w14:textId="77777777" w:rsidR="00A91DAE" w:rsidRPr="00DE64C0" w:rsidRDefault="00A91DAE" w:rsidP="00FF4C5F">
            <w:pPr>
              <w:rPr>
                <w:rFonts w:cs="Times New Roman"/>
              </w:rPr>
            </w:pPr>
          </w:p>
          <w:p w14:paraId="1092D815" w14:textId="77777777" w:rsidR="00A91DAE" w:rsidRPr="00DE64C0" w:rsidRDefault="00A91DAE" w:rsidP="00FF4C5F">
            <w:pPr>
              <w:rPr>
                <w:rFonts w:cs="Times New Roman"/>
              </w:rPr>
            </w:pPr>
            <w:r w:rsidRPr="00DE64C0">
              <w:rPr>
                <w:rFonts w:cs="Times New Roman"/>
              </w:rPr>
              <w:t>51 (14.7)</w:t>
            </w:r>
          </w:p>
          <w:p w14:paraId="6C7865DB" w14:textId="77777777" w:rsidR="00A91DAE" w:rsidRPr="00DE64C0" w:rsidRDefault="00A91DAE" w:rsidP="00FF4C5F">
            <w:pPr>
              <w:rPr>
                <w:rFonts w:cs="Times New Roman"/>
              </w:rPr>
            </w:pPr>
            <w:r w:rsidRPr="00DE64C0">
              <w:rPr>
                <w:rFonts w:cs="Times New Roman"/>
              </w:rPr>
              <w:t>53.04 (40.31, 69.80)</w:t>
            </w:r>
          </w:p>
        </w:tc>
        <w:tc>
          <w:tcPr>
            <w:tcW w:w="716" w:type="dxa"/>
          </w:tcPr>
          <w:p w14:paraId="61E886A8" w14:textId="77777777" w:rsidR="00A91DAE" w:rsidRPr="00DE64C0" w:rsidRDefault="00A91DAE" w:rsidP="00FF4C5F">
            <w:pPr>
              <w:rPr>
                <w:rFonts w:cs="Times New Roman"/>
              </w:rPr>
            </w:pPr>
            <w:r w:rsidRPr="00DE64C0">
              <w:rPr>
                <w:rFonts w:cs="Times New Roman"/>
              </w:rPr>
              <w:t>0.65</w:t>
            </w:r>
          </w:p>
        </w:tc>
        <w:tc>
          <w:tcPr>
            <w:tcW w:w="1296" w:type="dxa"/>
          </w:tcPr>
          <w:p w14:paraId="3082BDDD" w14:textId="77777777" w:rsidR="00A91DAE" w:rsidRPr="00DE64C0" w:rsidRDefault="00A91DAE" w:rsidP="00FF4C5F">
            <w:pPr>
              <w:rPr>
                <w:rFonts w:cs="Times New Roman"/>
              </w:rPr>
            </w:pPr>
            <w:r w:rsidRPr="00DE64C0">
              <w:rPr>
                <w:rFonts w:cs="Times New Roman"/>
              </w:rPr>
              <w:t>0.41, 1.03</w:t>
            </w:r>
          </w:p>
        </w:tc>
        <w:tc>
          <w:tcPr>
            <w:tcW w:w="901" w:type="dxa"/>
          </w:tcPr>
          <w:p w14:paraId="22BA912B" w14:textId="77777777" w:rsidR="00A91DAE" w:rsidRPr="00DE64C0" w:rsidRDefault="00A91DAE" w:rsidP="00FF4C5F">
            <w:pPr>
              <w:rPr>
                <w:rFonts w:cs="Times New Roman"/>
              </w:rPr>
            </w:pPr>
            <w:r w:rsidRPr="00DE64C0">
              <w:rPr>
                <w:rFonts w:cs="Times New Roman"/>
              </w:rPr>
              <w:t>0.07</w:t>
            </w:r>
          </w:p>
        </w:tc>
      </w:tr>
      <w:tr w:rsidR="00A91DAE" w:rsidRPr="00DE64C0" w14:paraId="62D59DED" w14:textId="77777777" w:rsidTr="009310C1">
        <w:trPr>
          <w:jc w:val="center"/>
        </w:trPr>
        <w:tc>
          <w:tcPr>
            <w:tcW w:w="3123" w:type="dxa"/>
          </w:tcPr>
          <w:p w14:paraId="799B9449" w14:textId="77777777" w:rsidR="00A91DAE" w:rsidRPr="00DE64C0" w:rsidRDefault="00A91DAE" w:rsidP="00FF4C5F">
            <w:pPr>
              <w:rPr>
                <w:rFonts w:cs="Times New Roman"/>
              </w:rPr>
            </w:pPr>
            <w:r w:rsidRPr="00DE64C0">
              <w:rPr>
                <w:rFonts w:cs="Times New Roman"/>
              </w:rPr>
              <w:t>PDM Sub-group</w:t>
            </w:r>
          </w:p>
        </w:tc>
        <w:tc>
          <w:tcPr>
            <w:tcW w:w="2296" w:type="dxa"/>
          </w:tcPr>
          <w:p w14:paraId="6094A609" w14:textId="77777777" w:rsidR="00A91DAE" w:rsidRPr="00DE64C0" w:rsidRDefault="00A91DAE" w:rsidP="00FF4C5F">
            <w:pPr>
              <w:rPr>
                <w:rFonts w:cs="Times New Roman"/>
              </w:rPr>
            </w:pPr>
          </w:p>
        </w:tc>
        <w:tc>
          <w:tcPr>
            <w:tcW w:w="2296" w:type="dxa"/>
          </w:tcPr>
          <w:p w14:paraId="41B2884D" w14:textId="77777777" w:rsidR="00A91DAE" w:rsidRPr="00DE64C0" w:rsidRDefault="00A91DAE" w:rsidP="00FF4C5F">
            <w:pPr>
              <w:rPr>
                <w:rFonts w:cs="Times New Roman"/>
              </w:rPr>
            </w:pPr>
          </w:p>
        </w:tc>
        <w:tc>
          <w:tcPr>
            <w:tcW w:w="716" w:type="dxa"/>
          </w:tcPr>
          <w:p w14:paraId="7923D46D" w14:textId="77777777" w:rsidR="00A91DAE" w:rsidRPr="00DE64C0" w:rsidRDefault="00A91DAE" w:rsidP="00FF4C5F">
            <w:pPr>
              <w:rPr>
                <w:rFonts w:cs="Times New Roman"/>
              </w:rPr>
            </w:pPr>
          </w:p>
        </w:tc>
        <w:tc>
          <w:tcPr>
            <w:tcW w:w="1296" w:type="dxa"/>
          </w:tcPr>
          <w:p w14:paraId="6E994D5C" w14:textId="77777777" w:rsidR="00A91DAE" w:rsidRPr="00DE64C0" w:rsidRDefault="00A91DAE" w:rsidP="00FF4C5F">
            <w:pPr>
              <w:rPr>
                <w:rFonts w:cs="Times New Roman"/>
              </w:rPr>
            </w:pPr>
          </w:p>
        </w:tc>
        <w:tc>
          <w:tcPr>
            <w:tcW w:w="901" w:type="dxa"/>
          </w:tcPr>
          <w:p w14:paraId="0A39B4B1" w14:textId="77777777" w:rsidR="00A91DAE" w:rsidRPr="00DE64C0" w:rsidRDefault="00A91DAE" w:rsidP="00FF4C5F">
            <w:pPr>
              <w:rPr>
                <w:rFonts w:cs="Times New Roman"/>
              </w:rPr>
            </w:pPr>
          </w:p>
        </w:tc>
      </w:tr>
      <w:tr w:rsidR="00A91DAE" w:rsidRPr="00DE64C0" w14:paraId="39C5E194" w14:textId="77777777" w:rsidTr="009310C1">
        <w:trPr>
          <w:jc w:val="center"/>
        </w:trPr>
        <w:tc>
          <w:tcPr>
            <w:tcW w:w="3123" w:type="dxa"/>
          </w:tcPr>
          <w:p w14:paraId="38186CB5" w14:textId="77777777" w:rsidR="00A91DAE" w:rsidRPr="00DE64C0" w:rsidRDefault="00A91DAE" w:rsidP="00FF4C5F">
            <w:pPr>
              <w:rPr>
                <w:rFonts w:cs="Times New Roman"/>
              </w:rPr>
            </w:pPr>
            <w:r w:rsidRPr="00DE64C0">
              <w:rPr>
                <w:rFonts w:cs="Times New Roman"/>
              </w:rPr>
              <w:t xml:space="preserve">   IGT alone</w:t>
            </w:r>
          </w:p>
        </w:tc>
        <w:tc>
          <w:tcPr>
            <w:tcW w:w="2296" w:type="dxa"/>
          </w:tcPr>
          <w:p w14:paraId="1C0F2CE7" w14:textId="77777777" w:rsidR="00A91DAE" w:rsidRPr="00DE64C0" w:rsidRDefault="00A91DAE" w:rsidP="00FF4C5F">
            <w:pPr>
              <w:rPr>
                <w:rFonts w:cs="Times New Roman"/>
              </w:rPr>
            </w:pPr>
            <w:r w:rsidRPr="00DE64C0">
              <w:rPr>
                <w:rFonts w:cs="Times New Roman"/>
              </w:rPr>
              <w:t>34 (11.2)</w:t>
            </w:r>
          </w:p>
        </w:tc>
        <w:tc>
          <w:tcPr>
            <w:tcW w:w="2296" w:type="dxa"/>
          </w:tcPr>
          <w:p w14:paraId="0D3A68E5" w14:textId="77777777" w:rsidR="00A91DAE" w:rsidRPr="00DE64C0" w:rsidRDefault="00A91DAE" w:rsidP="00FF4C5F">
            <w:pPr>
              <w:rPr>
                <w:rFonts w:cs="Times New Roman"/>
              </w:rPr>
            </w:pPr>
            <w:r w:rsidRPr="00DE64C0">
              <w:rPr>
                <w:rFonts w:cs="Times New Roman"/>
              </w:rPr>
              <w:t>32 (10.7)</w:t>
            </w:r>
          </w:p>
        </w:tc>
        <w:tc>
          <w:tcPr>
            <w:tcW w:w="716" w:type="dxa"/>
          </w:tcPr>
          <w:p w14:paraId="14D6DDE7" w14:textId="77777777" w:rsidR="00A91DAE" w:rsidRPr="00DE64C0" w:rsidRDefault="00A91DAE" w:rsidP="00FF4C5F">
            <w:pPr>
              <w:rPr>
                <w:rFonts w:cs="Times New Roman"/>
              </w:rPr>
            </w:pPr>
            <w:r w:rsidRPr="00DE64C0">
              <w:rPr>
                <w:rFonts w:cs="Times New Roman"/>
              </w:rPr>
              <w:t>0.79</w:t>
            </w:r>
          </w:p>
        </w:tc>
        <w:tc>
          <w:tcPr>
            <w:tcW w:w="1296" w:type="dxa"/>
          </w:tcPr>
          <w:p w14:paraId="120BB00D" w14:textId="77777777" w:rsidR="00A91DAE" w:rsidRPr="00DE64C0" w:rsidRDefault="00A91DAE" w:rsidP="00FF4C5F">
            <w:pPr>
              <w:rPr>
                <w:rFonts w:cs="Times New Roman"/>
              </w:rPr>
            </w:pPr>
            <w:r w:rsidRPr="00DE64C0">
              <w:rPr>
                <w:rFonts w:cs="Times New Roman"/>
              </w:rPr>
              <w:t>0.45, 1.38</w:t>
            </w:r>
          </w:p>
        </w:tc>
        <w:tc>
          <w:tcPr>
            <w:tcW w:w="901" w:type="dxa"/>
          </w:tcPr>
          <w:p w14:paraId="656DA0FC" w14:textId="77777777" w:rsidR="00A91DAE" w:rsidRPr="00DE64C0" w:rsidRDefault="00A91DAE" w:rsidP="00FF4C5F">
            <w:pPr>
              <w:rPr>
                <w:rFonts w:cs="Times New Roman"/>
              </w:rPr>
            </w:pPr>
            <w:r w:rsidRPr="00DE64C0">
              <w:rPr>
                <w:rFonts w:cs="Times New Roman"/>
              </w:rPr>
              <w:t>0.41</w:t>
            </w:r>
          </w:p>
        </w:tc>
      </w:tr>
      <w:tr w:rsidR="00A91DAE" w:rsidRPr="00DE64C0" w14:paraId="4AF9E117" w14:textId="77777777" w:rsidTr="009310C1">
        <w:trPr>
          <w:jc w:val="center"/>
        </w:trPr>
        <w:tc>
          <w:tcPr>
            <w:tcW w:w="3123" w:type="dxa"/>
          </w:tcPr>
          <w:p w14:paraId="776BB22B" w14:textId="77777777" w:rsidR="00A91DAE" w:rsidRPr="00DE64C0" w:rsidRDefault="00A91DAE" w:rsidP="00FF4C5F">
            <w:pPr>
              <w:rPr>
                <w:rFonts w:cs="Times New Roman"/>
              </w:rPr>
            </w:pPr>
            <w:r w:rsidRPr="00DE64C0">
              <w:rPr>
                <w:rFonts w:cs="Times New Roman"/>
              </w:rPr>
              <w:t xml:space="preserve">   IFG alone</w:t>
            </w:r>
          </w:p>
        </w:tc>
        <w:tc>
          <w:tcPr>
            <w:tcW w:w="2296" w:type="dxa"/>
          </w:tcPr>
          <w:p w14:paraId="799F1FCB" w14:textId="77777777" w:rsidR="00A91DAE" w:rsidRPr="00DE64C0" w:rsidRDefault="00A91DAE" w:rsidP="00FF4C5F">
            <w:pPr>
              <w:rPr>
                <w:rFonts w:cs="Times New Roman"/>
              </w:rPr>
            </w:pPr>
            <w:r w:rsidRPr="00DE64C0">
              <w:rPr>
                <w:rFonts w:cs="Times New Roman"/>
              </w:rPr>
              <w:t>7 (14.3)</w:t>
            </w:r>
          </w:p>
        </w:tc>
        <w:tc>
          <w:tcPr>
            <w:tcW w:w="2296" w:type="dxa"/>
          </w:tcPr>
          <w:p w14:paraId="68939878" w14:textId="77777777" w:rsidR="00A91DAE" w:rsidRPr="00DE64C0" w:rsidRDefault="00A91DAE" w:rsidP="00FF4C5F">
            <w:pPr>
              <w:rPr>
                <w:rFonts w:cs="Times New Roman"/>
              </w:rPr>
            </w:pPr>
            <w:r w:rsidRPr="00DE64C0">
              <w:rPr>
                <w:rFonts w:cs="Times New Roman"/>
              </w:rPr>
              <w:t>6 (10.5)</w:t>
            </w:r>
          </w:p>
        </w:tc>
        <w:tc>
          <w:tcPr>
            <w:tcW w:w="716" w:type="dxa"/>
          </w:tcPr>
          <w:p w14:paraId="014D18D3" w14:textId="77777777" w:rsidR="00A91DAE" w:rsidRPr="00DE64C0" w:rsidRDefault="00A91DAE" w:rsidP="00FF4C5F">
            <w:pPr>
              <w:rPr>
                <w:rFonts w:cs="Times New Roman"/>
              </w:rPr>
            </w:pPr>
            <w:r w:rsidRPr="00DE64C0">
              <w:rPr>
                <w:rFonts w:cs="Times New Roman"/>
              </w:rPr>
              <w:t>0.52</w:t>
            </w:r>
          </w:p>
        </w:tc>
        <w:tc>
          <w:tcPr>
            <w:tcW w:w="1296" w:type="dxa"/>
          </w:tcPr>
          <w:p w14:paraId="05BE1958" w14:textId="77777777" w:rsidR="00A91DAE" w:rsidRPr="00DE64C0" w:rsidRDefault="00A91DAE" w:rsidP="00FF4C5F">
            <w:pPr>
              <w:rPr>
                <w:rFonts w:cs="Times New Roman"/>
              </w:rPr>
            </w:pPr>
            <w:r w:rsidRPr="00DE64C0">
              <w:rPr>
                <w:rFonts w:cs="Times New Roman"/>
              </w:rPr>
              <w:t>0.15, 1.83</w:t>
            </w:r>
          </w:p>
        </w:tc>
        <w:tc>
          <w:tcPr>
            <w:tcW w:w="901" w:type="dxa"/>
          </w:tcPr>
          <w:p w14:paraId="68DEEB68" w14:textId="77777777" w:rsidR="00A91DAE" w:rsidRPr="00DE64C0" w:rsidRDefault="00A91DAE" w:rsidP="00FF4C5F">
            <w:pPr>
              <w:rPr>
                <w:rFonts w:cs="Times New Roman"/>
              </w:rPr>
            </w:pPr>
            <w:r w:rsidRPr="00DE64C0">
              <w:rPr>
                <w:rFonts w:cs="Times New Roman"/>
              </w:rPr>
              <w:t>0.31</w:t>
            </w:r>
          </w:p>
        </w:tc>
      </w:tr>
      <w:tr w:rsidR="00A91DAE" w:rsidRPr="00DE64C0" w14:paraId="21D39313" w14:textId="77777777" w:rsidTr="009310C1">
        <w:trPr>
          <w:jc w:val="center"/>
        </w:trPr>
        <w:tc>
          <w:tcPr>
            <w:tcW w:w="3123" w:type="dxa"/>
          </w:tcPr>
          <w:p w14:paraId="6F3D0B97" w14:textId="77777777" w:rsidR="00A91DAE" w:rsidRPr="00DE64C0" w:rsidRDefault="00A91DAE" w:rsidP="00FF4C5F">
            <w:pPr>
              <w:rPr>
                <w:rFonts w:cs="Times New Roman"/>
              </w:rPr>
            </w:pPr>
            <w:r w:rsidRPr="00DE64C0">
              <w:rPr>
                <w:rFonts w:cs="Times New Roman"/>
              </w:rPr>
              <w:t xml:space="preserve">   IGT and IFG</w:t>
            </w:r>
          </w:p>
        </w:tc>
        <w:tc>
          <w:tcPr>
            <w:tcW w:w="2296" w:type="dxa"/>
          </w:tcPr>
          <w:p w14:paraId="13F290B3" w14:textId="77777777" w:rsidR="00A91DAE" w:rsidRPr="00DE64C0" w:rsidRDefault="00A91DAE" w:rsidP="00FF4C5F">
            <w:pPr>
              <w:rPr>
                <w:rFonts w:cs="Times New Roman"/>
              </w:rPr>
            </w:pPr>
            <w:r w:rsidRPr="00DE64C0">
              <w:rPr>
                <w:rFonts w:cs="Times New Roman"/>
              </w:rPr>
              <w:t>26 (32.9)</w:t>
            </w:r>
          </w:p>
        </w:tc>
        <w:tc>
          <w:tcPr>
            <w:tcW w:w="2296" w:type="dxa"/>
          </w:tcPr>
          <w:p w14:paraId="5BA5EBA2" w14:textId="77777777" w:rsidR="00A91DAE" w:rsidRPr="00DE64C0" w:rsidRDefault="00A91DAE" w:rsidP="00FF4C5F">
            <w:pPr>
              <w:rPr>
                <w:rFonts w:cs="Times New Roman"/>
              </w:rPr>
            </w:pPr>
            <w:r w:rsidRPr="00DE64C0">
              <w:rPr>
                <w:rFonts w:cs="Times New Roman"/>
              </w:rPr>
              <w:t>26 (28.3)</w:t>
            </w:r>
          </w:p>
        </w:tc>
        <w:tc>
          <w:tcPr>
            <w:tcW w:w="716" w:type="dxa"/>
          </w:tcPr>
          <w:p w14:paraId="074D8012" w14:textId="77777777" w:rsidR="00A91DAE" w:rsidRPr="00DE64C0" w:rsidRDefault="00A91DAE" w:rsidP="00FF4C5F">
            <w:pPr>
              <w:rPr>
                <w:rFonts w:cs="Times New Roman"/>
              </w:rPr>
            </w:pPr>
            <w:r w:rsidRPr="00DE64C0">
              <w:rPr>
                <w:rFonts w:cs="Times New Roman"/>
              </w:rPr>
              <w:t>0.51</w:t>
            </w:r>
          </w:p>
        </w:tc>
        <w:tc>
          <w:tcPr>
            <w:tcW w:w="1296" w:type="dxa"/>
          </w:tcPr>
          <w:p w14:paraId="4336DA53" w14:textId="77777777" w:rsidR="00A91DAE" w:rsidRPr="00DE64C0" w:rsidRDefault="00A91DAE" w:rsidP="00FF4C5F">
            <w:pPr>
              <w:rPr>
                <w:rFonts w:cs="Times New Roman"/>
              </w:rPr>
            </w:pPr>
            <w:r w:rsidRPr="00DE64C0">
              <w:rPr>
                <w:rFonts w:cs="Times New Roman"/>
              </w:rPr>
              <w:t>0.22, 1.16</w:t>
            </w:r>
          </w:p>
        </w:tc>
        <w:tc>
          <w:tcPr>
            <w:tcW w:w="901" w:type="dxa"/>
          </w:tcPr>
          <w:p w14:paraId="2A628D4D" w14:textId="77777777" w:rsidR="00A91DAE" w:rsidRPr="00DE64C0" w:rsidRDefault="00A91DAE" w:rsidP="00FF4C5F">
            <w:pPr>
              <w:rPr>
                <w:rFonts w:cs="Times New Roman"/>
              </w:rPr>
            </w:pPr>
            <w:r w:rsidRPr="00DE64C0">
              <w:rPr>
                <w:rFonts w:cs="Times New Roman"/>
              </w:rPr>
              <w:t>0.11</w:t>
            </w:r>
          </w:p>
        </w:tc>
      </w:tr>
      <w:tr w:rsidR="00A91DAE" w:rsidRPr="00DE64C0" w14:paraId="07BA6A78" w14:textId="77777777" w:rsidTr="009310C1">
        <w:trPr>
          <w:jc w:val="center"/>
        </w:trPr>
        <w:tc>
          <w:tcPr>
            <w:tcW w:w="3123" w:type="dxa"/>
            <w:tcBorders>
              <w:bottom w:val="single" w:sz="4" w:space="0" w:color="auto"/>
            </w:tcBorders>
          </w:tcPr>
          <w:p w14:paraId="4CBDFA0C" w14:textId="77777777" w:rsidR="00A91DAE" w:rsidRPr="00DE64C0" w:rsidRDefault="00A91DAE" w:rsidP="00FF4C5F">
            <w:pPr>
              <w:rPr>
                <w:rFonts w:cs="Times New Roman"/>
              </w:rPr>
            </w:pPr>
            <w:r w:rsidRPr="00DE64C0">
              <w:rPr>
                <w:rFonts w:cs="Times New Roman"/>
              </w:rPr>
              <w:t xml:space="preserve">   HbA1c 6.0-6.4</w:t>
            </w:r>
          </w:p>
        </w:tc>
        <w:tc>
          <w:tcPr>
            <w:tcW w:w="2296" w:type="dxa"/>
            <w:tcBorders>
              <w:bottom w:val="single" w:sz="4" w:space="0" w:color="auto"/>
            </w:tcBorders>
          </w:tcPr>
          <w:p w14:paraId="2F2E7667" w14:textId="77777777" w:rsidR="00A91DAE" w:rsidRPr="00DE64C0" w:rsidRDefault="00A91DAE" w:rsidP="00FF4C5F">
            <w:pPr>
              <w:rPr>
                <w:rFonts w:cs="Times New Roman"/>
              </w:rPr>
            </w:pPr>
            <w:r w:rsidRPr="00DE64C0">
              <w:rPr>
                <w:rFonts w:cs="Times New Roman"/>
              </w:rPr>
              <w:t>36 (15.2)</w:t>
            </w:r>
          </w:p>
        </w:tc>
        <w:tc>
          <w:tcPr>
            <w:tcW w:w="2296" w:type="dxa"/>
            <w:tcBorders>
              <w:bottom w:val="single" w:sz="4" w:space="0" w:color="auto"/>
            </w:tcBorders>
          </w:tcPr>
          <w:p w14:paraId="2481114E" w14:textId="77777777" w:rsidR="00A91DAE" w:rsidRPr="00DE64C0" w:rsidRDefault="00A91DAE" w:rsidP="00FF4C5F">
            <w:pPr>
              <w:rPr>
                <w:rFonts w:cs="Times New Roman"/>
              </w:rPr>
            </w:pPr>
            <w:r w:rsidRPr="00DE64C0">
              <w:rPr>
                <w:rFonts w:cs="Times New Roman"/>
              </w:rPr>
              <w:t>27 (11.9)</w:t>
            </w:r>
          </w:p>
        </w:tc>
        <w:tc>
          <w:tcPr>
            <w:tcW w:w="716" w:type="dxa"/>
            <w:tcBorders>
              <w:bottom w:val="single" w:sz="4" w:space="0" w:color="auto"/>
            </w:tcBorders>
          </w:tcPr>
          <w:p w14:paraId="0681A68B" w14:textId="77777777" w:rsidR="00A91DAE" w:rsidRPr="00DE64C0" w:rsidRDefault="00A91DAE" w:rsidP="00FF4C5F">
            <w:pPr>
              <w:rPr>
                <w:rFonts w:cs="Times New Roman"/>
              </w:rPr>
            </w:pPr>
            <w:r w:rsidRPr="00DE64C0">
              <w:rPr>
                <w:rFonts w:cs="Times New Roman"/>
              </w:rPr>
              <w:t>0.65</w:t>
            </w:r>
          </w:p>
        </w:tc>
        <w:tc>
          <w:tcPr>
            <w:tcW w:w="1296" w:type="dxa"/>
            <w:tcBorders>
              <w:bottom w:val="single" w:sz="4" w:space="0" w:color="auto"/>
            </w:tcBorders>
          </w:tcPr>
          <w:p w14:paraId="36DEE7BB" w14:textId="77777777" w:rsidR="00A91DAE" w:rsidRPr="00DE64C0" w:rsidRDefault="00A91DAE" w:rsidP="00FF4C5F">
            <w:pPr>
              <w:rPr>
                <w:rFonts w:cs="Times New Roman"/>
              </w:rPr>
            </w:pPr>
            <w:r w:rsidRPr="00DE64C0">
              <w:rPr>
                <w:rFonts w:cs="Times New Roman"/>
              </w:rPr>
              <w:t>0.38, 1.12</w:t>
            </w:r>
          </w:p>
        </w:tc>
        <w:tc>
          <w:tcPr>
            <w:tcW w:w="901" w:type="dxa"/>
          </w:tcPr>
          <w:p w14:paraId="206CC47B" w14:textId="77777777" w:rsidR="00A91DAE" w:rsidRPr="00DE64C0" w:rsidRDefault="00A91DAE" w:rsidP="00FF4C5F">
            <w:pPr>
              <w:rPr>
                <w:rFonts w:cs="Times New Roman"/>
              </w:rPr>
            </w:pPr>
            <w:r w:rsidRPr="00DE64C0">
              <w:rPr>
                <w:rFonts w:cs="Times New Roman"/>
              </w:rPr>
              <w:t>0.12</w:t>
            </w:r>
          </w:p>
        </w:tc>
      </w:tr>
    </w:tbl>
    <w:p w14:paraId="15933186" w14:textId="77777777" w:rsidR="00A91DAE" w:rsidRPr="00DE64C0" w:rsidRDefault="00A91DAE" w:rsidP="00FF4C5F">
      <w:pPr>
        <w:rPr>
          <w:rFonts w:cs="Times New Roman"/>
        </w:rPr>
      </w:pPr>
    </w:p>
    <w:p w14:paraId="4ADF906F" w14:textId="77777777" w:rsidR="00A91DAE" w:rsidRPr="00DE64C0" w:rsidRDefault="00A91DAE" w:rsidP="00FF4C5F">
      <w:pPr>
        <w:rPr>
          <w:rFonts w:cs="Times New Roman"/>
        </w:rPr>
      </w:pPr>
      <w:r w:rsidRPr="00DE64C0">
        <w:rPr>
          <w:rFonts w:cs="Times New Roman"/>
        </w:rPr>
        <w:t xml:space="preserve">* This is the same as complete </w:t>
      </w:r>
      <w:proofErr w:type="gramStart"/>
      <w:r w:rsidRPr="00DE64C0">
        <w:rPr>
          <w:rFonts w:cs="Times New Roman"/>
        </w:rPr>
        <w:t>case as there are</w:t>
      </w:r>
      <w:proofErr w:type="gramEnd"/>
      <w:r w:rsidRPr="00DE64C0">
        <w:rPr>
          <w:rFonts w:cs="Times New Roman"/>
        </w:rPr>
        <w:t xml:space="preserve"> no missing data for the primary outcome </w:t>
      </w:r>
    </w:p>
    <w:p w14:paraId="773FD46E" w14:textId="77777777" w:rsidR="00A91DAE" w:rsidRPr="00DE64C0" w:rsidRDefault="00A91DAE" w:rsidP="00FF4C5F">
      <w:pPr>
        <w:rPr>
          <w:rFonts w:eastAsiaTheme="majorEastAsia" w:cstheme="majorBidi"/>
          <w:szCs w:val="20"/>
        </w:rPr>
      </w:pPr>
      <w:r w:rsidRPr="00DE64C0">
        <w:br w:type="page"/>
      </w:r>
    </w:p>
    <w:p w14:paraId="3A9737FB" w14:textId="2D7EDF0E" w:rsidR="00814D1C" w:rsidRPr="00DE64C0" w:rsidRDefault="0027132E" w:rsidP="00FF4C5F">
      <w:pPr>
        <w:rPr>
          <w:b/>
        </w:rPr>
      </w:pPr>
      <w:r w:rsidRPr="00DE64C0">
        <w:rPr>
          <w:b/>
        </w:rPr>
        <w:lastRenderedPageBreak/>
        <w:t xml:space="preserve">Secondary </w:t>
      </w:r>
      <w:r w:rsidR="00814D1C" w:rsidRPr="00DE64C0">
        <w:rPr>
          <w:b/>
        </w:rPr>
        <w:t xml:space="preserve">outcomes </w:t>
      </w:r>
    </w:p>
    <w:p w14:paraId="0E63EF07" w14:textId="7E93DCD5" w:rsidR="00A732FC" w:rsidRPr="00DE64C0" w:rsidRDefault="00A52601" w:rsidP="00FF4C5F">
      <w:r w:rsidRPr="00DE64C0">
        <w:t>In</w:t>
      </w:r>
      <w:r w:rsidR="00814D1C" w:rsidRPr="00DE64C0">
        <w:t xml:space="preserve"> both groups improvements were seen for many </w:t>
      </w:r>
      <w:r w:rsidR="0027132E" w:rsidRPr="00DE64C0">
        <w:t xml:space="preserve">secondary </w:t>
      </w:r>
      <w:r w:rsidR="00814D1C" w:rsidRPr="00DE64C0">
        <w:t>outcomes</w:t>
      </w:r>
      <w:r w:rsidR="00303EE6" w:rsidRPr="00DE64C0">
        <w:t>,</w:t>
      </w:r>
      <w:r w:rsidR="00A9245B" w:rsidRPr="00DE64C0">
        <w:t xml:space="preserve"> see Table 3 for a summary and A.</w:t>
      </w:r>
      <w:r w:rsidR="00303EE6" w:rsidRPr="00DE64C0">
        <w:t>3</w:t>
      </w:r>
      <w:r w:rsidR="00A9245B" w:rsidRPr="00DE64C0">
        <w:t>-A.</w:t>
      </w:r>
      <w:r w:rsidR="0027132E" w:rsidRPr="00DE64C0">
        <w:t>6</w:t>
      </w:r>
      <w:r w:rsidR="00303EE6" w:rsidRPr="00DE64C0">
        <w:t xml:space="preserve"> for the full results</w:t>
      </w:r>
      <w:r w:rsidR="00814D1C" w:rsidRPr="00DE64C0">
        <w:t>. A statistically significant reduction of 0.06% in HbA1c was seen in the intervention group compared to the standard</w:t>
      </w:r>
      <w:r w:rsidR="0049443E" w:rsidRPr="00DE64C0">
        <w:t>-</w:t>
      </w:r>
      <w:r w:rsidR="00814D1C" w:rsidRPr="00DE64C0">
        <w:t xml:space="preserve">care group when </w:t>
      </w:r>
      <w:r w:rsidR="00F24398" w:rsidRPr="00DE64C0">
        <w:t>analysing the mean across</w:t>
      </w:r>
      <w:r w:rsidR="00814D1C" w:rsidRPr="00DE64C0">
        <w:t xml:space="preserve"> all time points.  Significant reductions in LDL-cholesterol were seen at 12 months and overall. For all other outcomes, apart from systolic blood pressure, a greater </w:t>
      </w:r>
      <w:r w:rsidR="00921FC2" w:rsidRPr="00DE64C0">
        <w:t>improvement</w:t>
      </w:r>
      <w:r w:rsidR="00814D1C" w:rsidRPr="00DE64C0">
        <w:t xml:space="preserve"> was seen in the intervention group than the standard</w:t>
      </w:r>
      <w:r w:rsidR="0049443E" w:rsidRPr="00DE64C0">
        <w:t>-</w:t>
      </w:r>
      <w:r w:rsidR="00814D1C" w:rsidRPr="00DE64C0">
        <w:t>care group at 36 months</w:t>
      </w:r>
      <w:r w:rsidR="007472DB" w:rsidRPr="00DE64C0">
        <w:t>,</w:t>
      </w:r>
      <w:r w:rsidR="00814D1C" w:rsidRPr="00DE64C0">
        <w:t xml:space="preserve"> but none of these</w:t>
      </w:r>
      <w:r w:rsidR="007E430A" w:rsidRPr="00DE64C0">
        <w:t xml:space="preserve"> </w:t>
      </w:r>
      <w:r w:rsidR="00814D1C" w:rsidRPr="00DE64C0">
        <w:t xml:space="preserve">reached statistical significance. </w:t>
      </w:r>
      <w:bookmarkStart w:id="6" w:name="_Ref407023624"/>
      <w:r w:rsidR="00A732FC" w:rsidRPr="00DE64C0">
        <w:t>No di</w:t>
      </w:r>
      <w:r w:rsidR="0091458E" w:rsidRPr="00DE64C0">
        <w:t xml:space="preserve">fferences were seen </w:t>
      </w:r>
      <w:r w:rsidR="00A732FC" w:rsidRPr="00DE64C0">
        <w:t xml:space="preserve">for </w:t>
      </w:r>
      <w:r w:rsidR="00055CEA" w:rsidRPr="00DE64C0">
        <w:t>CVD/CHD risk outcomes</w:t>
      </w:r>
      <w:r w:rsidR="00A732FC" w:rsidRPr="00DE64C0">
        <w:t xml:space="preserve"> or the presence of metabolic syndrome. </w:t>
      </w:r>
    </w:p>
    <w:bookmarkEnd w:id="6"/>
    <w:p w14:paraId="2226988F" w14:textId="77777777" w:rsidR="00055CEA" w:rsidRPr="00DE64C0" w:rsidRDefault="00055CEA" w:rsidP="00FF4C5F">
      <w:pPr>
        <w:rPr>
          <w:rFonts w:eastAsiaTheme="majorEastAsia" w:cstheme="majorBidi"/>
          <w:szCs w:val="20"/>
        </w:rPr>
      </w:pPr>
    </w:p>
    <w:p w14:paraId="598FFEBD" w14:textId="6470225A" w:rsidR="00814D1C" w:rsidRPr="00DE64C0" w:rsidRDefault="00814D1C" w:rsidP="00FF4C5F">
      <w:pPr>
        <w:rPr>
          <w:rFonts w:cs="Times New Roman"/>
        </w:rPr>
      </w:pPr>
      <w:r w:rsidRPr="00DE64C0">
        <w:rPr>
          <w:rFonts w:eastAsiaTheme="majorEastAsia" w:cs="Times New Roman"/>
          <w:szCs w:val="20"/>
        </w:rPr>
        <w:t xml:space="preserve">Improvements </w:t>
      </w:r>
      <w:r w:rsidR="00A52601" w:rsidRPr="00DE64C0">
        <w:rPr>
          <w:rFonts w:eastAsiaTheme="majorEastAsia" w:cs="Times New Roman"/>
          <w:szCs w:val="20"/>
        </w:rPr>
        <w:t>during</w:t>
      </w:r>
      <w:r w:rsidR="007E430A" w:rsidRPr="00DE64C0">
        <w:rPr>
          <w:rFonts w:eastAsiaTheme="majorEastAsia" w:cs="Times New Roman"/>
          <w:szCs w:val="20"/>
        </w:rPr>
        <w:t xml:space="preserve"> the study </w:t>
      </w:r>
      <w:r w:rsidRPr="00DE64C0">
        <w:rPr>
          <w:rFonts w:eastAsiaTheme="majorEastAsia" w:cs="Times New Roman"/>
          <w:szCs w:val="20"/>
        </w:rPr>
        <w:t>were seen in illness perceptions, quality of life and anxiety in the intervention group compared to the standard</w:t>
      </w:r>
      <w:r w:rsidR="00FD541F" w:rsidRPr="00DE64C0">
        <w:rPr>
          <w:rFonts w:eastAsiaTheme="majorEastAsia" w:cs="Times New Roman"/>
          <w:szCs w:val="20"/>
        </w:rPr>
        <w:t>-</w:t>
      </w:r>
      <w:r w:rsidRPr="00DE64C0">
        <w:rPr>
          <w:rFonts w:eastAsiaTheme="majorEastAsia" w:cs="Times New Roman"/>
          <w:szCs w:val="20"/>
        </w:rPr>
        <w:t>care group.</w:t>
      </w:r>
      <w:r w:rsidRPr="00DE64C0">
        <w:rPr>
          <w:rFonts w:cs="Times New Roman"/>
        </w:rPr>
        <w:t xml:space="preserve"> </w:t>
      </w:r>
      <w:r w:rsidR="007472DB" w:rsidRPr="00DE64C0">
        <w:rPr>
          <w:rFonts w:cs="Times New Roman"/>
        </w:rPr>
        <w:t>Fat intake was not significantly reduced in the intervention group compared to the standard</w:t>
      </w:r>
      <w:r w:rsidR="00FD541F" w:rsidRPr="00DE64C0">
        <w:rPr>
          <w:rFonts w:cs="Times New Roman"/>
        </w:rPr>
        <w:t>-</w:t>
      </w:r>
      <w:r w:rsidR="007472DB" w:rsidRPr="00DE64C0">
        <w:rPr>
          <w:rFonts w:cs="Times New Roman"/>
        </w:rPr>
        <w:t xml:space="preserve">care group, but </w:t>
      </w:r>
      <w:r w:rsidR="007E430A" w:rsidRPr="00DE64C0">
        <w:rPr>
          <w:rFonts w:cs="Times New Roman"/>
        </w:rPr>
        <w:t>statistically significant increase</w:t>
      </w:r>
      <w:r w:rsidR="00055CEA" w:rsidRPr="00DE64C0">
        <w:rPr>
          <w:rFonts w:cs="Times New Roman"/>
        </w:rPr>
        <w:t>s</w:t>
      </w:r>
      <w:r w:rsidR="007E430A" w:rsidRPr="00DE64C0">
        <w:rPr>
          <w:rFonts w:cs="Times New Roman"/>
        </w:rPr>
        <w:t xml:space="preserve"> </w:t>
      </w:r>
      <w:r w:rsidR="001563A3" w:rsidRPr="00DE64C0">
        <w:rPr>
          <w:rFonts w:cs="Times New Roman"/>
        </w:rPr>
        <w:t>in</w:t>
      </w:r>
      <w:r w:rsidR="007E430A" w:rsidRPr="00DE64C0">
        <w:rPr>
          <w:rFonts w:cs="Times New Roman"/>
        </w:rPr>
        <w:t xml:space="preserve"> unsaturated fat </w:t>
      </w:r>
      <w:r w:rsidR="00055CEA" w:rsidRPr="00DE64C0">
        <w:rPr>
          <w:rFonts w:cs="Times New Roman"/>
        </w:rPr>
        <w:t xml:space="preserve">were </w:t>
      </w:r>
      <w:r w:rsidR="007E430A" w:rsidRPr="00DE64C0">
        <w:rPr>
          <w:rFonts w:cs="Times New Roman"/>
        </w:rPr>
        <w:t xml:space="preserve">reported. </w:t>
      </w:r>
      <w:r w:rsidRPr="00DE64C0">
        <w:rPr>
          <w:rFonts w:cs="Times New Roman"/>
        </w:rPr>
        <w:t>Although no differences between the intervention and standard</w:t>
      </w:r>
      <w:r w:rsidR="00FD541F" w:rsidRPr="00DE64C0">
        <w:rPr>
          <w:rFonts w:cs="Times New Roman"/>
        </w:rPr>
        <w:t>-</w:t>
      </w:r>
      <w:r w:rsidRPr="00DE64C0">
        <w:rPr>
          <w:rFonts w:cs="Times New Roman"/>
        </w:rPr>
        <w:t xml:space="preserve">care group were seen in the self-reported levels of activity, a significant reduction </w:t>
      </w:r>
      <w:r w:rsidR="00A52601" w:rsidRPr="00DE64C0">
        <w:rPr>
          <w:rFonts w:cs="Times New Roman"/>
        </w:rPr>
        <w:t xml:space="preserve">in sitting time </w:t>
      </w:r>
      <w:r w:rsidR="007472DB" w:rsidRPr="00DE64C0">
        <w:rPr>
          <w:rFonts w:cs="Times New Roman"/>
        </w:rPr>
        <w:t>of 30 minutes per day</w:t>
      </w:r>
      <w:r w:rsidR="00A52601" w:rsidRPr="00DE64C0">
        <w:rPr>
          <w:rFonts w:cs="Times New Roman"/>
        </w:rPr>
        <w:t xml:space="preserve"> or more</w:t>
      </w:r>
      <w:r w:rsidR="007472DB" w:rsidRPr="00DE64C0">
        <w:rPr>
          <w:rFonts w:cs="Times New Roman"/>
        </w:rPr>
        <w:t xml:space="preserve"> </w:t>
      </w:r>
      <w:r w:rsidRPr="00DE64C0">
        <w:rPr>
          <w:rFonts w:cs="Times New Roman"/>
        </w:rPr>
        <w:t>was seen in the intervention group at 12 and 24 months and overall, compared to the standard</w:t>
      </w:r>
      <w:r w:rsidR="00FD541F" w:rsidRPr="00DE64C0">
        <w:rPr>
          <w:rFonts w:cs="Times New Roman"/>
        </w:rPr>
        <w:t>-</w:t>
      </w:r>
      <w:r w:rsidRPr="00DE64C0">
        <w:rPr>
          <w:rFonts w:cs="Times New Roman"/>
        </w:rPr>
        <w:t xml:space="preserve">care group. </w:t>
      </w:r>
      <w:r w:rsidR="00055CEA" w:rsidRPr="00DE64C0">
        <w:rPr>
          <w:rFonts w:cs="Times New Roman"/>
        </w:rPr>
        <w:t>There was also</w:t>
      </w:r>
      <w:r w:rsidRPr="00DE64C0">
        <w:rPr>
          <w:rFonts w:cs="Times New Roman"/>
        </w:rPr>
        <w:t xml:space="preserve"> an increase in objectively measured average daily step</w:t>
      </w:r>
      <w:r w:rsidR="00FD541F" w:rsidRPr="00DE64C0">
        <w:rPr>
          <w:rFonts w:cs="Times New Roman"/>
        </w:rPr>
        <w:t>-</w:t>
      </w:r>
      <w:r w:rsidRPr="00DE64C0">
        <w:rPr>
          <w:rFonts w:cs="Times New Roman"/>
        </w:rPr>
        <w:t xml:space="preserve">count in the intervention group of 450-500 steps per day at </w:t>
      </w:r>
      <w:proofErr w:type="spellStart"/>
      <w:r w:rsidRPr="00DE64C0">
        <w:rPr>
          <w:rFonts w:cs="Times New Roman"/>
        </w:rPr>
        <w:t>all</w:t>
      </w:r>
      <w:r w:rsidR="00FD541F" w:rsidRPr="00DE64C0">
        <w:rPr>
          <w:rFonts w:cs="Times New Roman"/>
        </w:rPr>
        <w:t xml:space="preserve"> </w:t>
      </w:r>
      <w:r w:rsidRPr="00DE64C0">
        <w:rPr>
          <w:rFonts w:cs="Times New Roman"/>
        </w:rPr>
        <w:t>time</w:t>
      </w:r>
      <w:proofErr w:type="spellEnd"/>
      <w:r w:rsidRPr="00DE64C0">
        <w:rPr>
          <w:rFonts w:cs="Times New Roman"/>
        </w:rPr>
        <w:t xml:space="preserve"> points</w:t>
      </w:r>
      <w:r w:rsidR="007472DB" w:rsidRPr="00DE64C0">
        <w:rPr>
          <w:rFonts w:cs="Times New Roman"/>
        </w:rPr>
        <w:t>,</w:t>
      </w:r>
      <w:r w:rsidRPr="00DE64C0">
        <w:rPr>
          <w:rFonts w:cs="Times New Roman"/>
        </w:rPr>
        <w:t xml:space="preserve"> with </w:t>
      </w:r>
      <w:r w:rsidR="00772A3D" w:rsidRPr="00DE64C0">
        <w:rPr>
          <w:rFonts w:cs="Times New Roman"/>
        </w:rPr>
        <w:t xml:space="preserve">a significant effect seen at 12, </w:t>
      </w:r>
      <w:r w:rsidRPr="00DE64C0">
        <w:rPr>
          <w:rFonts w:cs="Times New Roman"/>
        </w:rPr>
        <w:t xml:space="preserve">36 months and overall. </w:t>
      </w:r>
    </w:p>
    <w:p w14:paraId="51062AAA" w14:textId="77777777" w:rsidR="004D45A9" w:rsidRPr="00DE64C0" w:rsidRDefault="004D45A9" w:rsidP="00FF4C5F">
      <w:pPr>
        <w:rPr>
          <w:rFonts w:cs="Times New Roman"/>
        </w:rPr>
      </w:pPr>
    </w:p>
    <w:p w14:paraId="496B3A71" w14:textId="77777777" w:rsidR="00410D4B" w:rsidRPr="00DE64C0" w:rsidRDefault="00410D4B" w:rsidP="00FF4C5F">
      <w:pPr>
        <w:sectPr w:rsidR="00410D4B" w:rsidRPr="00DE64C0" w:rsidSect="0006698D">
          <w:footerReference w:type="default" r:id="rId19"/>
          <w:pgSz w:w="11906" w:h="16838"/>
          <w:pgMar w:top="1440" w:right="1440" w:bottom="1440" w:left="1440" w:header="708" w:footer="708" w:gutter="0"/>
          <w:cols w:space="708"/>
          <w:docGrid w:linePitch="360"/>
        </w:sectPr>
      </w:pPr>
    </w:p>
    <w:p w14:paraId="461E31DF" w14:textId="0BA1634D" w:rsidR="00410D4B" w:rsidRPr="00DE64C0" w:rsidRDefault="00410D4B" w:rsidP="00FF4C5F">
      <w:pPr>
        <w:rPr>
          <w:rFonts w:cs="Times New Roman"/>
        </w:rPr>
      </w:pPr>
      <w:r w:rsidRPr="00DE64C0">
        <w:rPr>
          <w:b/>
        </w:rPr>
        <w:lastRenderedPageBreak/>
        <w:t>Table 3</w:t>
      </w:r>
      <w:r w:rsidRPr="00DE64C0">
        <w:t xml:space="preserve"> </w:t>
      </w:r>
      <w:r w:rsidRPr="00DE64C0">
        <w:rPr>
          <w:rFonts w:cs="Times New Roman"/>
        </w:rPr>
        <w:t xml:space="preserve">Secondary outcomes </w:t>
      </w:r>
    </w:p>
    <w:p w14:paraId="0F6C0F3B" w14:textId="15E8D295" w:rsidR="00410D4B" w:rsidRPr="00DE64C0" w:rsidRDefault="00410D4B" w:rsidP="00FF4C5F">
      <w:pPr>
        <w:rPr>
          <w:rFonts w:cs="Times New Roman"/>
          <w:color w:val="000000" w:themeColor="text1"/>
          <w:szCs w:val="20"/>
        </w:rPr>
      </w:pPr>
      <w:r w:rsidRPr="00DE64C0">
        <w:rPr>
          <w:rFonts w:cs="Times New Roman"/>
          <w:color w:val="000000" w:themeColor="text1"/>
          <w:szCs w:val="20"/>
        </w:rPr>
        <w:t xml:space="preserve">Coefficients show the mean effect </w:t>
      </w:r>
      <w:r w:rsidR="00E92898" w:rsidRPr="00DE64C0">
        <w:rPr>
          <w:rFonts w:cs="Times New Roman"/>
          <w:color w:val="000000" w:themeColor="text1"/>
          <w:szCs w:val="20"/>
        </w:rPr>
        <w:t xml:space="preserve">of the intervention compared to standard care </w:t>
      </w:r>
      <w:r w:rsidRPr="00DE64C0">
        <w:rPr>
          <w:rFonts w:cs="Times New Roman"/>
          <w:color w:val="000000" w:themeColor="text1"/>
          <w:szCs w:val="20"/>
        </w:rPr>
        <w:t>adjusted for baseline value and cluster (full table given in Tables S3-6)</w:t>
      </w:r>
    </w:p>
    <w:tbl>
      <w:tblPr>
        <w:tblW w:w="14626" w:type="dxa"/>
        <w:jc w:val="center"/>
        <w:tblLook w:val="04A0" w:firstRow="1" w:lastRow="0" w:firstColumn="1" w:lastColumn="0" w:noHBand="0" w:noVBand="1"/>
      </w:tblPr>
      <w:tblGrid>
        <w:gridCol w:w="2697"/>
        <w:gridCol w:w="2416"/>
        <w:gridCol w:w="2416"/>
        <w:gridCol w:w="2416"/>
        <w:gridCol w:w="2322"/>
        <w:gridCol w:w="2359"/>
      </w:tblGrid>
      <w:tr w:rsidR="00410D4B" w:rsidRPr="00DE64C0" w14:paraId="0B2B45FC" w14:textId="77777777" w:rsidTr="009310C1">
        <w:trPr>
          <w:jc w:val="center"/>
        </w:trPr>
        <w:tc>
          <w:tcPr>
            <w:tcW w:w="2697" w:type="dxa"/>
            <w:tcBorders>
              <w:top w:val="single" w:sz="4" w:space="0" w:color="auto"/>
              <w:bottom w:val="single" w:sz="4" w:space="0" w:color="auto"/>
            </w:tcBorders>
            <w:shd w:val="clear" w:color="auto" w:fill="auto"/>
          </w:tcPr>
          <w:p w14:paraId="3F910E65" w14:textId="77777777" w:rsidR="00410D4B" w:rsidRPr="00DE64C0" w:rsidRDefault="00410D4B" w:rsidP="00FF4C5F">
            <w:pPr>
              <w:rPr>
                <w:rFonts w:eastAsia="Calibri" w:cs="Times New Roman"/>
                <w:sz w:val="20"/>
                <w:szCs w:val="20"/>
              </w:rPr>
            </w:pPr>
          </w:p>
        </w:tc>
        <w:tc>
          <w:tcPr>
            <w:tcW w:w="2416" w:type="dxa"/>
            <w:tcBorders>
              <w:top w:val="single" w:sz="4" w:space="0" w:color="auto"/>
              <w:bottom w:val="single" w:sz="4" w:space="0" w:color="auto"/>
            </w:tcBorders>
          </w:tcPr>
          <w:p w14:paraId="3AE208DE" w14:textId="77777777" w:rsidR="00410D4B" w:rsidRPr="00DE64C0" w:rsidRDefault="00410D4B" w:rsidP="00FF4C5F">
            <w:pPr>
              <w:rPr>
                <w:rFonts w:eastAsia="Calibri" w:cs="Times New Roman"/>
                <w:sz w:val="20"/>
                <w:szCs w:val="20"/>
              </w:rPr>
            </w:pPr>
            <w:r w:rsidRPr="00DE64C0">
              <w:rPr>
                <w:rFonts w:eastAsia="Calibri" w:cs="Times New Roman"/>
                <w:sz w:val="20"/>
                <w:szCs w:val="20"/>
              </w:rPr>
              <w:t>6 months</w:t>
            </w:r>
          </w:p>
        </w:tc>
        <w:tc>
          <w:tcPr>
            <w:tcW w:w="2416" w:type="dxa"/>
            <w:tcBorders>
              <w:top w:val="single" w:sz="4" w:space="0" w:color="auto"/>
              <w:bottom w:val="single" w:sz="4" w:space="0" w:color="auto"/>
            </w:tcBorders>
          </w:tcPr>
          <w:p w14:paraId="0C7AEDC4" w14:textId="77777777" w:rsidR="00410D4B" w:rsidRPr="00DE64C0" w:rsidRDefault="00410D4B" w:rsidP="00FF4C5F">
            <w:pPr>
              <w:rPr>
                <w:rFonts w:eastAsia="Calibri" w:cs="Times New Roman"/>
                <w:sz w:val="20"/>
                <w:szCs w:val="20"/>
              </w:rPr>
            </w:pPr>
            <w:r w:rsidRPr="00DE64C0">
              <w:rPr>
                <w:rFonts w:eastAsia="Calibri" w:cs="Times New Roman"/>
                <w:sz w:val="20"/>
                <w:szCs w:val="20"/>
              </w:rPr>
              <w:t>12 months</w:t>
            </w:r>
          </w:p>
        </w:tc>
        <w:tc>
          <w:tcPr>
            <w:tcW w:w="2416" w:type="dxa"/>
            <w:tcBorders>
              <w:top w:val="single" w:sz="4" w:space="0" w:color="auto"/>
              <w:bottom w:val="single" w:sz="4" w:space="0" w:color="auto"/>
            </w:tcBorders>
          </w:tcPr>
          <w:p w14:paraId="630025C2" w14:textId="77777777" w:rsidR="00410D4B" w:rsidRPr="00DE64C0" w:rsidRDefault="00410D4B" w:rsidP="00FF4C5F">
            <w:pPr>
              <w:rPr>
                <w:rFonts w:eastAsia="Calibri" w:cs="Times New Roman"/>
                <w:sz w:val="20"/>
                <w:szCs w:val="20"/>
              </w:rPr>
            </w:pPr>
            <w:r w:rsidRPr="00DE64C0">
              <w:rPr>
                <w:rFonts w:eastAsia="Calibri" w:cs="Times New Roman"/>
                <w:sz w:val="20"/>
                <w:szCs w:val="20"/>
              </w:rPr>
              <w:t>24 months</w:t>
            </w:r>
          </w:p>
        </w:tc>
        <w:tc>
          <w:tcPr>
            <w:tcW w:w="2322" w:type="dxa"/>
            <w:tcBorders>
              <w:top w:val="single" w:sz="4" w:space="0" w:color="auto"/>
              <w:bottom w:val="single" w:sz="4" w:space="0" w:color="auto"/>
            </w:tcBorders>
            <w:shd w:val="clear" w:color="auto" w:fill="auto"/>
          </w:tcPr>
          <w:p w14:paraId="17B56E1A" w14:textId="77777777" w:rsidR="00410D4B" w:rsidRPr="00DE64C0" w:rsidRDefault="00410D4B" w:rsidP="00FF4C5F">
            <w:pPr>
              <w:rPr>
                <w:rFonts w:eastAsia="Calibri" w:cs="Times New Roman"/>
                <w:sz w:val="20"/>
                <w:szCs w:val="20"/>
              </w:rPr>
            </w:pPr>
            <w:r w:rsidRPr="00DE64C0">
              <w:rPr>
                <w:rFonts w:eastAsia="Calibri" w:cs="Times New Roman"/>
                <w:sz w:val="20"/>
                <w:szCs w:val="20"/>
              </w:rPr>
              <w:t>36 months</w:t>
            </w:r>
          </w:p>
        </w:tc>
        <w:tc>
          <w:tcPr>
            <w:tcW w:w="2359" w:type="dxa"/>
            <w:tcBorders>
              <w:top w:val="single" w:sz="4" w:space="0" w:color="auto"/>
              <w:bottom w:val="single" w:sz="4" w:space="0" w:color="auto"/>
            </w:tcBorders>
          </w:tcPr>
          <w:p w14:paraId="264DA121" w14:textId="77777777" w:rsidR="00410D4B" w:rsidRPr="00DE64C0" w:rsidRDefault="00410D4B" w:rsidP="00FF4C5F">
            <w:pPr>
              <w:rPr>
                <w:rFonts w:eastAsia="Calibri" w:cs="Times New Roman"/>
                <w:sz w:val="20"/>
                <w:szCs w:val="20"/>
              </w:rPr>
            </w:pPr>
            <w:r w:rsidRPr="00DE64C0">
              <w:rPr>
                <w:rFonts w:eastAsia="Calibri" w:cs="Times New Roman"/>
                <w:sz w:val="20"/>
                <w:szCs w:val="20"/>
              </w:rPr>
              <w:t>Overall</w:t>
            </w:r>
          </w:p>
        </w:tc>
      </w:tr>
      <w:tr w:rsidR="00410D4B" w:rsidRPr="00DE64C0" w14:paraId="59A2E7B8" w14:textId="77777777" w:rsidTr="009310C1">
        <w:trPr>
          <w:trHeight w:val="181"/>
          <w:jc w:val="center"/>
        </w:trPr>
        <w:tc>
          <w:tcPr>
            <w:tcW w:w="2697" w:type="dxa"/>
            <w:tcBorders>
              <w:top w:val="single" w:sz="4" w:space="0" w:color="auto"/>
            </w:tcBorders>
            <w:shd w:val="clear" w:color="auto" w:fill="auto"/>
          </w:tcPr>
          <w:p w14:paraId="1628839B" w14:textId="77777777" w:rsidR="00410D4B" w:rsidRPr="00DE64C0" w:rsidRDefault="00410D4B" w:rsidP="00FF4C5F">
            <w:pPr>
              <w:rPr>
                <w:rFonts w:eastAsia="Calibri" w:cs="Times New Roman"/>
                <w:sz w:val="20"/>
                <w:szCs w:val="20"/>
              </w:rPr>
            </w:pPr>
            <w:r w:rsidRPr="00DE64C0">
              <w:rPr>
                <w:rFonts w:eastAsia="Calibri" w:cs="Times New Roman"/>
                <w:sz w:val="20"/>
                <w:szCs w:val="20"/>
              </w:rPr>
              <w:t>Fasting glucose</w:t>
            </w:r>
          </w:p>
        </w:tc>
        <w:tc>
          <w:tcPr>
            <w:tcW w:w="2416" w:type="dxa"/>
            <w:tcBorders>
              <w:top w:val="single" w:sz="4" w:space="0" w:color="auto"/>
            </w:tcBorders>
          </w:tcPr>
          <w:p w14:paraId="2B4D877C" w14:textId="77777777" w:rsidR="00410D4B" w:rsidRPr="00DE64C0" w:rsidRDefault="00410D4B" w:rsidP="00FF4C5F">
            <w:pPr>
              <w:rPr>
                <w:rFonts w:eastAsia="Calibri" w:cs="Times New Roman"/>
                <w:sz w:val="20"/>
                <w:szCs w:val="20"/>
              </w:rPr>
            </w:pPr>
            <w:r w:rsidRPr="00DE64C0">
              <w:rPr>
                <w:rFonts w:eastAsia="Calibri" w:cs="Times New Roman"/>
                <w:sz w:val="20"/>
                <w:szCs w:val="20"/>
              </w:rPr>
              <w:t>NR</w:t>
            </w:r>
          </w:p>
        </w:tc>
        <w:tc>
          <w:tcPr>
            <w:tcW w:w="2416" w:type="dxa"/>
            <w:tcBorders>
              <w:top w:val="single" w:sz="4" w:space="0" w:color="auto"/>
            </w:tcBorders>
          </w:tcPr>
          <w:p w14:paraId="58536009" w14:textId="77777777" w:rsidR="00410D4B" w:rsidRPr="00DE64C0" w:rsidRDefault="00410D4B" w:rsidP="00FF4C5F">
            <w:pPr>
              <w:rPr>
                <w:rFonts w:eastAsia="Calibri" w:cs="Times New Roman"/>
                <w:sz w:val="20"/>
                <w:szCs w:val="20"/>
              </w:rPr>
            </w:pPr>
            <w:r w:rsidRPr="00DE64C0">
              <w:rPr>
                <w:rFonts w:eastAsia="Calibri" w:cs="Times New Roman"/>
                <w:sz w:val="20"/>
                <w:szCs w:val="20"/>
              </w:rPr>
              <w:t>0.001 (-0.10, 0.10)</w:t>
            </w:r>
          </w:p>
        </w:tc>
        <w:tc>
          <w:tcPr>
            <w:tcW w:w="2416" w:type="dxa"/>
            <w:tcBorders>
              <w:top w:val="single" w:sz="4" w:space="0" w:color="auto"/>
            </w:tcBorders>
          </w:tcPr>
          <w:p w14:paraId="119817C2" w14:textId="77777777" w:rsidR="00410D4B" w:rsidRPr="00DE64C0" w:rsidRDefault="00410D4B" w:rsidP="00FF4C5F">
            <w:pPr>
              <w:rPr>
                <w:rFonts w:eastAsia="Calibri" w:cs="Times New Roman"/>
                <w:sz w:val="20"/>
                <w:szCs w:val="20"/>
              </w:rPr>
            </w:pPr>
            <w:r w:rsidRPr="00DE64C0">
              <w:rPr>
                <w:rFonts w:eastAsia="Calibri" w:cs="Times New Roman"/>
                <w:sz w:val="20"/>
                <w:szCs w:val="20"/>
              </w:rPr>
              <w:t>-0.06 (-0.16, 0.04)</w:t>
            </w:r>
          </w:p>
        </w:tc>
        <w:tc>
          <w:tcPr>
            <w:tcW w:w="2322" w:type="dxa"/>
            <w:tcBorders>
              <w:top w:val="single" w:sz="4" w:space="0" w:color="auto"/>
            </w:tcBorders>
            <w:shd w:val="clear" w:color="auto" w:fill="auto"/>
          </w:tcPr>
          <w:p w14:paraId="12D422D4" w14:textId="77777777" w:rsidR="00410D4B" w:rsidRPr="00DE64C0" w:rsidRDefault="00410D4B" w:rsidP="00FF4C5F">
            <w:pPr>
              <w:rPr>
                <w:rFonts w:eastAsia="Calibri" w:cs="Times New Roman"/>
                <w:sz w:val="20"/>
                <w:szCs w:val="20"/>
              </w:rPr>
            </w:pPr>
            <w:r w:rsidRPr="00DE64C0">
              <w:rPr>
                <w:rFonts w:eastAsia="Calibri" w:cs="Times New Roman"/>
                <w:sz w:val="20"/>
                <w:szCs w:val="20"/>
              </w:rPr>
              <w:t>-0.05 (-0.18, 0.07)</w:t>
            </w:r>
          </w:p>
        </w:tc>
        <w:tc>
          <w:tcPr>
            <w:tcW w:w="2359" w:type="dxa"/>
            <w:tcBorders>
              <w:top w:val="single" w:sz="4" w:space="0" w:color="auto"/>
            </w:tcBorders>
          </w:tcPr>
          <w:p w14:paraId="6F48DF14" w14:textId="77777777" w:rsidR="00410D4B" w:rsidRPr="00DE64C0" w:rsidRDefault="00410D4B" w:rsidP="00FF4C5F">
            <w:pPr>
              <w:rPr>
                <w:rFonts w:eastAsia="Calibri" w:cs="Times New Roman"/>
                <w:sz w:val="20"/>
                <w:szCs w:val="20"/>
              </w:rPr>
            </w:pPr>
            <w:r w:rsidRPr="00DE64C0">
              <w:rPr>
                <w:rFonts w:eastAsia="Calibri" w:cs="Times New Roman"/>
                <w:sz w:val="20"/>
                <w:szCs w:val="20"/>
              </w:rPr>
              <w:t>0.0004 (-0.10, 0.10)</w:t>
            </w:r>
          </w:p>
        </w:tc>
      </w:tr>
      <w:tr w:rsidR="00410D4B" w:rsidRPr="00DE64C0" w14:paraId="3ACBDDAB" w14:textId="77777777" w:rsidTr="009310C1">
        <w:trPr>
          <w:jc w:val="center"/>
        </w:trPr>
        <w:tc>
          <w:tcPr>
            <w:tcW w:w="2697" w:type="dxa"/>
            <w:shd w:val="clear" w:color="auto" w:fill="auto"/>
          </w:tcPr>
          <w:p w14:paraId="59A0556F" w14:textId="77777777" w:rsidR="00410D4B" w:rsidRPr="00DE64C0" w:rsidRDefault="00410D4B" w:rsidP="00FF4C5F">
            <w:pPr>
              <w:rPr>
                <w:rFonts w:eastAsia="Calibri" w:cs="Times New Roman"/>
                <w:sz w:val="20"/>
                <w:szCs w:val="20"/>
              </w:rPr>
            </w:pPr>
            <w:r w:rsidRPr="00DE64C0">
              <w:rPr>
                <w:rFonts w:eastAsia="Calibri" w:cs="Times New Roman"/>
                <w:sz w:val="20"/>
                <w:szCs w:val="20"/>
              </w:rPr>
              <w:t>2-hour glucose</w:t>
            </w:r>
          </w:p>
        </w:tc>
        <w:tc>
          <w:tcPr>
            <w:tcW w:w="2416" w:type="dxa"/>
          </w:tcPr>
          <w:p w14:paraId="76FA6A1F" w14:textId="77777777" w:rsidR="00410D4B" w:rsidRPr="00DE64C0" w:rsidRDefault="00410D4B" w:rsidP="00FF4C5F">
            <w:pPr>
              <w:rPr>
                <w:rFonts w:eastAsia="Calibri" w:cs="Times New Roman"/>
                <w:sz w:val="20"/>
                <w:szCs w:val="20"/>
              </w:rPr>
            </w:pPr>
            <w:r w:rsidRPr="00DE64C0">
              <w:rPr>
                <w:rFonts w:eastAsia="Calibri" w:cs="Times New Roman"/>
                <w:sz w:val="20"/>
                <w:szCs w:val="20"/>
              </w:rPr>
              <w:t>NR</w:t>
            </w:r>
          </w:p>
        </w:tc>
        <w:tc>
          <w:tcPr>
            <w:tcW w:w="2416" w:type="dxa"/>
          </w:tcPr>
          <w:p w14:paraId="7FC62F8D" w14:textId="77777777" w:rsidR="00410D4B" w:rsidRPr="00DE64C0" w:rsidRDefault="00410D4B" w:rsidP="00FF4C5F">
            <w:pPr>
              <w:rPr>
                <w:rFonts w:eastAsia="Calibri" w:cs="Times New Roman"/>
                <w:sz w:val="20"/>
                <w:szCs w:val="20"/>
              </w:rPr>
            </w:pPr>
            <w:r w:rsidRPr="00DE64C0">
              <w:rPr>
                <w:rFonts w:eastAsia="Calibri" w:cs="Times New Roman"/>
                <w:sz w:val="20"/>
                <w:szCs w:val="20"/>
              </w:rPr>
              <w:t>0.08 (-0.23, 0.39)</w:t>
            </w:r>
          </w:p>
        </w:tc>
        <w:tc>
          <w:tcPr>
            <w:tcW w:w="2416" w:type="dxa"/>
          </w:tcPr>
          <w:p w14:paraId="711B4402" w14:textId="77777777" w:rsidR="00410D4B" w:rsidRPr="00DE64C0" w:rsidRDefault="00410D4B" w:rsidP="00FF4C5F">
            <w:pPr>
              <w:rPr>
                <w:rFonts w:eastAsia="Calibri" w:cs="Times New Roman"/>
                <w:sz w:val="20"/>
                <w:szCs w:val="20"/>
              </w:rPr>
            </w:pPr>
            <w:r w:rsidRPr="00DE64C0">
              <w:rPr>
                <w:rFonts w:eastAsia="Calibri" w:cs="Times New Roman"/>
                <w:sz w:val="20"/>
                <w:szCs w:val="20"/>
              </w:rPr>
              <w:t>-0.07 (-0.37, 0.22)</w:t>
            </w:r>
          </w:p>
        </w:tc>
        <w:tc>
          <w:tcPr>
            <w:tcW w:w="2322" w:type="dxa"/>
            <w:shd w:val="clear" w:color="auto" w:fill="auto"/>
          </w:tcPr>
          <w:p w14:paraId="3E0CF072" w14:textId="77777777" w:rsidR="00410D4B" w:rsidRPr="00DE64C0" w:rsidRDefault="00410D4B" w:rsidP="00FF4C5F">
            <w:pPr>
              <w:rPr>
                <w:rFonts w:eastAsia="Calibri" w:cs="Times New Roman"/>
                <w:sz w:val="20"/>
                <w:szCs w:val="20"/>
              </w:rPr>
            </w:pPr>
            <w:r w:rsidRPr="00DE64C0">
              <w:rPr>
                <w:rFonts w:eastAsia="Calibri" w:cs="Times New Roman"/>
                <w:sz w:val="20"/>
                <w:szCs w:val="20"/>
              </w:rPr>
              <w:t>-0.14 (-0.46, 0.18)</w:t>
            </w:r>
          </w:p>
        </w:tc>
        <w:tc>
          <w:tcPr>
            <w:tcW w:w="2359" w:type="dxa"/>
          </w:tcPr>
          <w:p w14:paraId="117118AA" w14:textId="77777777" w:rsidR="00410D4B" w:rsidRPr="00DE64C0" w:rsidRDefault="00410D4B" w:rsidP="00FF4C5F">
            <w:pPr>
              <w:rPr>
                <w:rFonts w:eastAsia="Calibri" w:cs="Times New Roman"/>
                <w:sz w:val="20"/>
                <w:szCs w:val="20"/>
              </w:rPr>
            </w:pPr>
            <w:r w:rsidRPr="00DE64C0">
              <w:rPr>
                <w:rFonts w:eastAsia="Calibri" w:cs="Times New Roman"/>
                <w:sz w:val="20"/>
                <w:szCs w:val="20"/>
              </w:rPr>
              <w:t>-0.03 (-0.28, 0.22)</w:t>
            </w:r>
          </w:p>
        </w:tc>
      </w:tr>
      <w:tr w:rsidR="00410D4B" w:rsidRPr="00DE64C0" w14:paraId="353B25F8" w14:textId="77777777" w:rsidTr="009310C1">
        <w:trPr>
          <w:jc w:val="center"/>
        </w:trPr>
        <w:tc>
          <w:tcPr>
            <w:tcW w:w="2697" w:type="dxa"/>
            <w:shd w:val="clear" w:color="auto" w:fill="auto"/>
          </w:tcPr>
          <w:p w14:paraId="3A03AD88" w14:textId="77777777" w:rsidR="00410D4B" w:rsidRPr="00DE64C0" w:rsidRDefault="00410D4B" w:rsidP="00FF4C5F">
            <w:pPr>
              <w:rPr>
                <w:rFonts w:eastAsia="Calibri" w:cs="Times New Roman"/>
                <w:sz w:val="20"/>
                <w:szCs w:val="20"/>
              </w:rPr>
            </w:pPr>
            <w:r w:rsidRPr="00DE64C0">
              <w:rPr>
                <w:rFonts w:eastAsia="Calibri" w:cs="Times New Roman"/>
                <w:sz w:val="20"/>
                <w:szCs w:val="20"/>
              </w:rPr>
              <w:t>HbA1c (%)</w:t>
            </w:r>
          </w:p>
        </w:tc>
        <w:tc>
          <w:tcPr>
            <w:tcW w:w="2416" w:type="dxa"/>
          </w:tcPr>
          <w:p w14:paraId="3A250E07" w14:textId="77777777" w:rsidR="00410D4B" w:rsidRPr="00DE64C0" w:rsidRDefault="00410D4B" w:rsidP="00FF4C5F">
            <w:pPr>
              <w:rPr>
                <w:rFonts w:eastAsia="Calibri" w:cs="Times New Roman"/>
                <w:sz w:val="20"/>
                <w:szCs w:val="20"/>
              </w:rPr>
            </w:pPr>
            <w:r w:rsidRPr="00DE64C0">
              <w:rPr>
                <w:rFonts w:eastAsia="Calibri" w:cs="Times New Roman"/>
                <w:sz w:val="20"/>
                <w:szCs w:val="20"/>
              </w:rPr>
              <w:t>-0.07 (-0.12, -0.01)*</w:t>
            </w:r>
          </w:p>
        </w:tc>
        <w:tc>
          <w:tcPr>
            <w:tcW w:w="2416" w:type="dxa"/>
          </w:tcPr>
          <w:p w14:paraId="3A97F14B" w14:textId="77777777" w:rsidR="00410D4B" w:rsidRPr="00DE64C0" w:rsidRDefault="00410D4B" w:rsidP="00FF4C5F">
            <w:pPr>
              <w:rPr>
                <w:rFonts w:eastAsia="Calibri" w:cs="Times New Roman"/>
                <w:sz w:val="20"/>
                <w:szCs w:val="20"/>
              </w:rPr>
            </w:pPr>
            <w:r w:rsidRPr="00DE64C0">
              <w:rPr>
                <w:rFonts w:eastAsia="Calibri" w:cs="Times New Roman"/>
                <w:sz w:val="20"/>
                <w:szCs w:val="20"/>
              </w:rPr>
              <w:t>-0.04 (-0.10, 0.02)</w:t>
            </w:r>
          </w:p>
        </w:tc>
        <w:tc>
          <w:tcPr>
            <w:tcW w:w="2416" w:type="dxa"/>
          </w:tcPr>
          <w:p w14:paraId="7210A069" w14:textId="77777777" w:rsidR="00410D4B" w:rsidRPr="00DE64C0" w:rsidRDefault="00410D4B" w:rsidP="00FF4C5F">
            <w:pPr>
              <w:rPr>
                <w:rFonts w:eastAsia="Calibri" w:cs="Times New Roman"/>
                <w:sz w:val="20"/>
                <w:szCs w:val="20"/>
              </w:rPr>
            </w:pPr>
            <w:r w:rsidRPr="00DE64C0">
              <w:rPr>
                <w:rFonts w:eastAsia="Calibri" w:cs="Times New Roman"/>
                <w:sz w:val="20"/>
                <w:szCs w:val="20"/>
              </w:rPr>
              <w:t>-0.10 (-0.20, -0.004)*</w:t>
            </w:r>
          </w:p>
        </w:tc>
        <w:tc>
          <w:tcPr>
            <w:tcW w:w="2322" w:type="dxa"/>
            <w:shd w:val="clear" w:color="auto" w:fill="auto"/>
          </w:tcPr>
          <w:p w14:paraId="02E6D801" w14:textId="77777777" w:rsidR="00410D4B" w:rsidRPr="00DE64C0" w:rsidRDefault="00410D4B" w:rsidP="00FF4C5F">
            <w:pPr>
              <w:rPr>
                <w:rFonts w:eastAsia="Calibri" w:cs="Times New Roman"/>
                <w:sz w:val="20"/>
                <w:szCs w:val="20"/>
              </w:rPr>
            </w:pPr>
            <w:r w:rsidRPr="00DE64C0">
              <w:rPr>
                <w:rFonts w:eastAsia="Calibri" w:cs="Times New Roman"/>
                <w:sz w:val="20"/>
                <w:szCs w:val="20"/>
              </w:rPr>
              <w:t>-0.07 (-0.18, 0.04)</w:t>
            </w:r>
          </w:p>
        </w:tc>
        <w:tc>
          <w:tcPr>
            <w:tcW w:w="2359" w:type="dxa"/>
          </w:tcPr>
          <w:p w14:paraId="6CF95B94" w14:textId="77777777" w:rsidR="00410D4B" w:rsidRPr="00DE64C0" w:rsidRDefault="00410D4B" w:rsidP="00FF4C5F">
            <w:pPr>
              <w:rPr>
                <w:rFonts w:eastAsia="Calibri" w:cs="Times New Roman"/>
                <w:sz w:val="20"/>
                <w:szCs w:val="20"/>
              </w:rPr>
            </w:pPr>
            <w:r w:rsidRPr="00DE64C0">
              <w:rPr>
                <w:rFonts w:eastAsia="Calibri" w:cs="Times New Roman"/>
                <w:sz w:val="20"/>
                <w:szCs w:val="20"/>
              </w:rPr>
              <w:t>-0.06 (-0.11, -0.01)*</w:t>
            </w:r>
          </w:p>
        </w:tc>
      </w:tr>
      <w:tr w:rsidR="00410D4B" w:rsidRPr="00DE64C0" w14:paraId="51EA55D3" w14:textId="77777777" w:rsidTr="009310C1">
        <w:trPr>
          <w:jc w:val="center"/>
        </w:trPr>
        <w:tc>
          <w:tcPr>
            <w:tcW w:w="2697" w:type="dxa"/>
            <w:shd w:val="clear" w:color="auto" w:fill="auto"/>
          </w:tcPr>
          <w:p w14:paraId="392C6666" w14:textId="77777777" w:rsidR="00410D4B" w:rsidRPr="00DE64C0" w:rsidRDefault="00410D4B" w:rsidP="00FF4C5F">
            <w:pPr>
              <w:rPr>
                <w:rFonts w:eastAsia="Calibri" w:cs="Times New Roman"/>
                <w:sz w:val="20"/>
                <w:szCs w:val="20"/>
              </w:rPr>
            </w:pPr>
            <w:r w:rsidRPr="00DE64C0">
              <w:rPr>
                <w:rFonts w:eastAsia="Calibri" w:cs="Times New Roman"/>
                <w:color w:val="000000"/>
                <w:sz w:val="20"/>
                <w:szCs w:val="20"/>
                <w:lang w:eastAsia="en-GB"/>
              </w:rPr>
              <w:t>Total cholesterol (</w:t>
            </w:r>
            <w:proofErr w:type="spellStart"/>
            <w:r w:rsidRPr="00DE64C0">
              <w:rPr>
                <w:rFonts w:eastAsia="Calibri" w:cs="Times New Roman"/>
                <w:color w:val="000000"/>
                <w:sz w:val="20"/>
                <w:szCs w:val="20"/>
                <w:lang w:eastAsia="en-GB"/>
              </w:rPr>
              <w:t>mmol</w:t>
            </w:r>
            <w:proofErr w:type="spellEnd"/>
            <w:r w:rsidRPr="00DE64C0">
              <w:rPr>
                <w:rFonts w:eastAsia="Calibri" w:cs="Times New Roman"/>
                <w:color w:val="000000"/>
                <w:sz w:val="20"/>
                <w:szCs w:val="20"/>
                <w:lang w:eastAsia="en-GB"/>
              </w:rPr>
              <w:t>/l)</w:t>
            </w:r>
          </w:p>
        </w:tc>
        <w:tc>
          <w:tcPr>
            <w:tcW w:w="2416" w:type="dxa"/>
          </w:tcPr>
          <w:p w14:paraId="77611F95" w14:textId="77777777" w:rsidR="00410D4B" w:rsidRPr="00DE64C0" w:rsidRDefault="00410D4B" w:rsidP="00FF4C5F">
            <w:pPr>
              <w:rPr>
                <w:rFonts w:eastAsia="Calibri" w:cs="Times New Roman"/>
                <w:sz w:val="20"/>
                <w:szCs w:val="20"/>
              </w:rPr>
            </w:pPr>
            <w:r w:rsidRPr="00DE64C0">
              <w:rPr>
                <w:rFonts w:eastAsia="Calibri" w:cs="Times New Roman"/>
                <w:sz w:val="20"/>
                <w:szCs w:val="20"/>
              </w:rPr>
              <w:t>-0.06 (-0.18, 0.05)</w:t>
            </w:r>
          </w:p>
        </w:tc>
        <w:tc>
          <w:tcPr>
            <w:tcW w:w="2416" w:type="dxa"/>
          </w:tcPr>
          <w:p w14:paraId="640590BC" w14:textId="77777777" w:rsidR="00410D4B" w:rsidRPr="00DE64C0" w:rsidRDefault="00410D4B" w:rsidP="00FF4C5F">
            <w:pPr>
              <w:rPr>
                <w:rFonts w:eastAsia="Calibri" w:cs="Times New Roman"/>
                <w:sz w:val="20"/>
                <w:szCs w:val="20"/>
              </w:rPr>
            </w:pPr>
            <w:r w:rsidRPr="00DE64C0">
              <w:rPr>
                <w:rFonts w:eastAsia="Calibri" w:cs="Times New Roman"/>
                <w:sz w:val="20"/>
                <w:szCs w:val="20"/>
              </w:rPr>
              <w:t>-0.07 (-0.16, 0.02)</w:t>
            </w:r>
          </w:p>
        </w:tc>
        <w:tc>
          <w:tcPr>
            <w:tcW w:w="2416" w:type="dxa"/>
          </w:tcPr>
          <w:p w14:paraId="448E7502" w14:textId="77777777" w:rsidR="00410D4B" w:rsidRPr="00DE64C0" w:rsidRDefault="00410D4B" w:rsidP="00FF4C5F">
            <w:pPr>
              <w:rPr>
                <w:rFonts w:eastAsia="Calibri" w:cs="Times New Roman"/>
                <w:sz w:val="20"/>
                <w:szCs w:val="20"/>
              </w:rPr>
            </w:pPr>
            <w:r w:rsidRPr="00DE64C0">
              <w:rPr>
                <w:rFonts w:eastAsia="Calibri" w:cs="Times New Roman"/>
                <w:sz w:val="20"/>
                <w:szCs w:val="20"/>
              </w:rPr>
              <w:t>-0.02 (-0.12, 0.08)</w:t>
            </w:r>
          </w:p>
        </w:tc>
        <w:tc>
          <w:tcPr>
            <w:tcW w:w="2322" w:type="dxa"/>
            <w:shd w:val="clear" w:color="auto" w:fill="auto"/>
          </w:tcPr>
          <w:p w14:paraId="282B991B" w14:textId="77777777" w:rsidR="00410D4B" w:rsidRPr="00DE64C0" w:rsidRDefault="00410D4B" w:rsidP="00FF4C5F">
            <w:pPr>
              <w:rPr>
                <w:rFonts w:eastAsia="Calibri" w:cs="Times New Roman"/>
                <w:sz w:val="20"/>
                <w:szCs w:val="20"/>
              </w:rPr>
            </w:pPr>
            <w:r w:rsidRPr="00DE64C0">
              <w:rPr>
                <w:rFonts w:eastAsia="Calibri" w:cs="Times New Roman"/>
                <w:sz w:val="20"/>
                <w:szCs w:val="20"/>
              </w:rPr>
              <w:t>-0.11 (-0.23, 0.02)</w:t>
            </w:r>
          </w:p>
        </w:tc>
        <w:tc>
          <w:tcPr>
            <w:tcW w:w="2359" w:type="dxa"/>
          </w:tcPr>
          <w:p w14:paraId="2B9D704F" w14:textId="77777777" w:rsidR="00410D4B" w:rsidRPr="00DE64C0" w:rsidRDefault="00410D4B" w:rsidP="00FF4C5F">
            <w:pPr>
              <w:rPr>
                <w:rFonts w:eastAsia="Calibri" w:cs="Times New Roman"/>
                <w:sz w:val="20"/>
                <w:szCs w:val="20"/>
              </w:rPr>
            </w:pPr>
            <w:r w:rsidRPr="00DE64C0">
              <w:rPr>
                <w:rFonts w:eastAsia="Calibri" w:cs="Times New Roman"/>
                <w:sz w:val="20"/>
                <w:szCs w:val="20"/>
              </w:rPr>
              <w:t>-0.06 (-0.14, 0.01)</w:t>
            </w:r>
          </w:p>
        </w:tc>
      </w:tr>
      <w:tr w:rsidR="00410D4B" w:rsidRPr="00DE64C0" w14:paraId="573316B9" w14:textId="77777777" w:rsidTr="009310C1">
        <w:trPr>
          <w:jc w:val="center"/>
        </w:trPr>
        <w:tc>
          <w:tcPr>
            <w:tcW w:w="2697" w:type="dxa"/>
            <w:shd w:val="clear" w:color="auto" w:fill="auto"/>
            <w:vAlign w:val="bottom"/>
          </w:tcPr>
          <w:p w14:paraId="25EB524D" w14:textId="77777777" w:rsidR="00410D4B" w:rsidRPr="00DE64C0" w:rsidRDefault="00410D4B" w:rsidP="00FF4C5F">
            <w:pPr>
              <w:rPr>
                <w:rFonts w:eastAsia="Calibri" w:cs="Times New Roman"/>
                <w:color w:val="000000"/>
                <w:sz w:val="20"/>
                <w:szCs w:val="20"/>
                <w:lang w:eastAsia="en-GB"/>
              </w:rPr>
            </w:pPr>
            <w:r w:rsidRPr="00DE64C0">
              <w:rPr>
                <w:rFonts w:eastAsia="Calibri" w:cs="Times New Roman"/>
                <w:color w:val="000000"/>
                <w:sz w:val="20"/>
                <w:szCs w:val="20"/>
                <w:lang w:eastAsia="en-GB"/>
              </w:rPr>
              <w:t>HDL cholesterol (</w:t>
            </w:r>
            <w:proofErr w:type="spellStart"/>
            <w:r w:rsidRPr="00DE64C0">
              <w:rPr>
                <w:rFonts w:eastAsia="Calibri" w:cs="Times New Roman"/>
                <w:color w:val="000000"/>
                <w:sz w:val="20"/>
                <w:szCs w:val="20"/>
                <w:lang w:eastAsia="en-GB"/>
              </w:rPr>
              <w:t>mmol</w:t>
            </w:r>
            <w:proofErr w:type="spellEnd"/>
            <w:r w:rsidRPr="00DE64C0">
              <w:rPr>
                <w:rFonts w:eastAsia="Calibri" w:cs="Times New Roman"/>
                <w:color w:val="000000"/>
                <w:sz w:val="20"/>
                <w:szCs w:val="20"/>
                <w:lang w:eastAsia="en-GB"/>
              </w:rPr>
              <w:t>/l)</w:t>
            </w:r>
          </w:p>
        </w:tc>
        <w:tc>
          <w:tcPr>
            <w:tcW w:w="2416" w:type="dxa"/>
          </w:tcPr>
          <w:p w14:paraId="4FC114DC" w14:textId="77777777" w:rsidR="00410D4B" w:rsidRPr="00DE64C0" w:rsidRDefault="00410D4B" w:rsidP="00FF4C5F">
            <w:pPr>
              <w:rPr>
                <w:rFonts w:eastAsia="Calibri" w:cs="Times New Roman"/>
                <w:sz w:val="20"/>
                <w:szCs w:val="20"/>
              </w:rPr>
            </w:pPr>
            <w:r w:rsidRPr="00DE64C0">
              <w:rPr>
                <w:rFonts w:eastAsia="Calibri" w:cs="Times New Roman"/>
                <w:sz w:val="20"/>
                <w:szCs w:val="20"/>
              </w:rPr>
              <w:t>0.003 (-0.05, 0.06)</w:t>
            </w:r>
          </w:p>
        </w:tc>
        <w:tc>
          <w:tcPr>
            <w:tcW w:w="2416" w:type="dxa"/>
          </w:tcPr>
          <w:p w14:paraId="3D4A214D" w14:textId="77777777" w:rsidR="00410D4B" w:rsidRPr="00DE64C0" w:rsidRDefault="00410D4B" w:rsidP="00FF4C5F">
            <w:pPr>
              <w:rPr>
                <w:rFonts w:eastAsia="Calibri" w:cs="Times New Roman"/>
                <w:sz w:val="20"/>
                <w:szCs w:val="20"/>
              </w:rPr>
            </w:pPr>
            <w:r w:rsidRPr="00DE64C0">
              <w:rPr>
                <w:rFonts w:eastAsia="Calibri" w:cs="Times New Roman"/>
                <w:sz w:val="20"/>
                <w:szCs w:val="20"/>
              </w:rPr>
              <w:t>-0.01 (-0.07, 0.05)</w:t>
            </w:r>
          </w:p>
        </w:tc>
        <w:tc>
          <w:tcPr>
            <w:tcW w:w="2416" w:type="dxa"/>
          </w:tcPr>
          <w:p w14:paraId="5FEC5798" w14:textId="77777777" w:rsidR="00410D4B" w:rsidRPr="00DE64C0" w:rsidRDefault="00410D4B" w:rsidP="00FF4C5F">
            <w:pPr>
              <w:rPr>
                <w:rFonts w:eastAsia="Calibri" w:cs="Times New Roman"/>
                <w:sz w:val="20"/>
                <w:szCs w:val="20"/>
              </w:rPr>
            </w:pPr>
            <w:r w:rsidRPr="00DE64C0">
              <w:rPr>
                <w:rFonts w:eastAsia="Calibri" w:cs="Times New Roman"/>
                <w:sz w:val="20"/>
                <w:szCs w:val="20"/>
              </w:rPr>
              <w:t>0.004 (-0.06, 0.07)</w:t>
            </w:r>
          </w:p>
        </w:tc>
        <w:tc>
          <w:tcPr>
            <w:tcW w:w="2322" w:type="dxa"/>
            <w:shd w:val="clear" w:color="auto" w:fill="auto"/>
          </w:tcPr>
          <w:p w14:paraId="08E94D25" w14:textId="77777777" w:rsidR="00410D4B" w:rsidRPr="00DE64C0" w:rsidRDefault="00410D4B" w:rsidP="00FF4C5F">
            <w:pPr>
              <w:rPr>
                <w:rFonts w:eastAsia="Calibri" w:cs="Times New Roman"/>
                <w:sz w:val="20"/>
                <w:szCs w:val="20"/>
              </w:rPr>
            </w:pPr>
            <w:r w:rsidRPr="00DE64C0">
              <w:rPr>
                <w:rFonts w:eastAsia="Calibri" w:cs="Times New Roman"/>
                <w:sz w:val="20"/>
                <w:szCs w:val="20"/>
              </w:rPr>
              <w:t>-0.02 (-0.08, 0.05)</w:t>
            </w:r>
          </w:p>
        </w:tc>
        <w:tc>
          <w:tcPr>
            <w:tcW w:w="2359" w:type="dxa"/>
          </w:tcPr>
          <w:p w14:paraId="79413FA2" w14:textId="77777777" w:rsidR="00410D4B" w:rsidRPr="00DE64C0" w:rsidRDefault="00410D4B" w:rsidP="00FF4C5F">
            <w:pPr>
              <w:rPr>
                <w:rFonts w:eastAsia="Calibri" w:cs="Times New Roman"/>
                <w:sz w:val="20"/>
                <w:szCs w:val="20"/>
              </w:rPr>
            </w:pPr>
            <w:r w:rsidRPr="00DE64C0">
              <w:rPr>
                <w:rFonts w:eastAsia="Calibri" w:cs="Times New Roman"/>
                <w:sz w:val="20"/>
                <w:szCs w:val="20"/>
              </w:rPr>
              <w:t>0.01 (-0.04, 0.05)</w:t>
            </w:r>
          </w:p>
        </w:tc>
      </w:tr>
      <w:tr w:rsidR="00410D4B" w:rsidRPr="00DE64C0" w14:paraId="65656C8C" w14:textId="77777777" w:rsidTr="009310C1">
        <w:trPr>
          <w:jc w:val="center"/>
        </w:trPr>
        <w:tc>
          <w:tcPr>
            <w:tcW w:w="2697" w:type="dxa"/>
            <w:shd w:val="clear" w:color="auto" w:fill="auto"/>
            <w:vAlign w:val="bottom"/>
          </w:tcPr>
          <w:p w14:paraId="5DFB8E33" w14:textId="77777777" w:rsidR="00410D4B" w:rsidRPr="00DE64C0" w:rsidRDefault="00410D4B" w:rsidP="00FF4C5F">
            <w:pPr>
              <w:rPr>
                <w:rFonts w:eastAsia="Calibri" w:cs="Times New Roman"/>
                <w:color w:val="000000"/>
                <w:sz w:val="20"/>
                <w:szCs w:val="20"/>
                <w:lang w:eastAsia="en-GB"/>
              </w:rPr>
            </w:pPr>
            <w:r w:rsidRPr="00DE64C0">
              <w:rPr>
                <w:rFonts w:eastAsia="Calibri" w:cs="Times New Roman"/>
                <w:color w:val="000000"/>
                <w:sz w:val="20"/>
                <w:szCs w:val="20"/>
                <w:lang w:eastAsia="en-GB"/>
              </w:rPr>
              <w:t>LDL cholesterol (</w:t>
            </w:r>
            <w:proofErr w:type="spellStart"/>
            <w:r w:rsidRPr="00DE64C0">
              <w:rPr>
                <w:rFonts w:eastAsia="Calibri" w:cs="Times New Roman"/>
                <w:color w:val="000000"/>
                <w:sz w:val="20"/>
                <w:szCs w:val="20"/>
                <w:lang w:eastAsia="en-GB"/>
              </w:rPr>
              <w:t>mmol</w:t>
            </w:r>
            <w:proofErr w:type="spellEnd"/>
            <w:r w:rsidRPr="00DE64C0">
              <w:rPr>
                <w:rFonts w:eastAsia="Calibri" w:cs="Times New Roman"/>
                <w:color w:val="000000"/>
                <w:sz w:val="20"/>
                <w:szCs w:val="20"/>
                <w:lang w:eastAsia="en-GB"/>
              </w:rPr>
              <w:t>/l)</w:t>
            </w:r>
          </w:p>
        </w:tc>
        <w:tc>
          <w:tcPr>
            <w:tcW w:w="2416" w:type="dxa"/>
          </w:tcPr>
          <w:p w14:paraId="168B0FF3" w14:textId="77777777" w:rsidR="00410D4B" w:rsidRPr="00DE64C0" w:rsidRDefault="00410D4B" w:rsidP="00FF4C5F">
            <w:pPr>
              <w:rPr>
                <w:rFonts w:eastAsia="Calibri" w:cs="Times New Roman"/>
                <w:sz w:val="20"/>
                <w:szCs w:val="20"/>
              </w:rPr>
            </w:pPr>
            <w:r w:rsidRPr="00DE64C0">
              <w:rPr>
                <w:rFonts w:eastAsia="Calibri" w:cs="Times New Roman"/>
                <w:sz w:val="20"/>
                <w:szCs w:val="20"/>
              </w:rPr>
              <w:t>-0.06 (-0.15, 0.04)</w:t>
            </w:r>
          </w:p>
        </w:tc>
        <w:tc>
          <w:tcPr>
            <w:tcW w:w="2416" w:type="dxa"/>
          </w:tcPr>
          <w:p w14:paraId="6FEF9373" w14:textId="77777777" w:rsidR="00410D4B" w:rsidRPr="00DE64C0" w:rsidRDefault="00410D4B" w:rsidP="00FF4C5F">
            <w:pPr>
              <w:rPr>
                <w:rFonts w:eastAsia="Calibri" w:cs="Times New Roman"/>
                <w:sz w:val="20"/>
                <w:szCs w:val="20"/>
              </w:rPr>
            </w:pPr>
            <w:r w:rsidRPr="00DE64C0">
              <w:rPr>
                <w:rFonts w:eastAsia="Calibri" w:cs="Times New Roman"/>
                <w:sz w:val="20"/>
                <w:szCs w:val="20"/>
              </w:rPr>
              <w:t>-0.10 (-.018, -0.02)*</w:t>
            </w:r>
          </w:p>
        </w:tc>
        <w:tc>
          <w:tcPr>
            <w:tcW w:w="2416" w:type="dxa"/>
          </w:tcPr>
          <w:p w14:paraId="54F88921" w14:textId="77777777" w:rsidR="00410D4B" w:rsidRPr="00DE64C0" w:rsidRDefault="00410D4B" w:rsidP="00FF4C5F">
            <w:pPr>
              <w:rPr>
                <w:rFonts w:eastAsia="Calibri" w:cs="Times New Roman"/>
                <w:sz w:val="20"/>
                <w:szCs w:val="20"/>
              </w:rPr>
            </w:pPr>
            <w:r w:rsidRPr="00DE64C0">
              <w:rPr>
                <w:rFonts w:eastAsia="Calibri" w:cs="Times New Roman"/>
                <w:sz w:val="20"/>
                <w:szCs w:val="20"/>
              </w:rPr>
              <w:t>-0.02 (-0.09, 0.05)</w:t>
            </w:r>
          </w:p>
        </w:tc>
        <w:tc>
          <w:tcPr>
            <w:tcW w:w="2322" w:type="dxa"/>
            <w:shd w:val="clear" w:color="auto" w:fill="auto"/>
          </w:tcPr>
          <w:p w14:paraId="5DB19579" w14:textId="77777777" w:rsidR="00410D4B" w:rsidRPr="00DE64C0" w:rsidRDefault="00410D4B" w:rsidP="00FF4C5F">
            <w:pPr>
              <w:rPr>
                <w:rFonts w:eastAsia="Calibri" w:cs="Times New Roman"/>
                <w:sz w:val="20"/>
                <w:szCs w:val="20"/>
              </w:rPr>
            </w:pPr>
            <w:r w:rsidRPr="00DE64C0">
              <w:rPr>
                <w:rFonts w:eastAsia="Calibri" w:cs="Times New Roman"/>
                <w:sz w:val="20"/>
                <w:szCs w:val="20"/>
              </w:rPr>
              <w:t>-0.09 (-0.19, 0.01)</w:t>
            </w:r>
          </w:p>
        </w:tc>
        <w:tc>
          <w:tcPr>
            <w:tcW w:w="2359" w:type="dxa"/>
          </w:tcPr>
          <w:p w14:paraId="00C01EAC" w14:textId="77777777" w:rsidR="00410D4B" w:rsidRPr="00DE64C0" w:rsidRDefault="00410D4B" w:rsidP="00FF4C5F">
            <w:pPr>
              <w:rPr>
                <w:rFonts w:eastAsia="Calibri" w:cs="Times New Roman"/>
                <w:sz w:val="20"/>
                <w:szCs w:val="20"/>
              </w:rPr>
            </w:pPr>
            <w:r w:rsidRPr="00DE64C0">
              <w:rPr>
                <w:rFonts w:eastAsia="Calibri" w:cs="Times New Roman"/>
                <w:sz w:val="20"/>
                <w:szCs w:val="20"/>
              </w:rPr>
              <w:t>-0.08 (-0.15, -0.01)*</w:t>
            </w:r>
          </w:p>
        </w:tc>
      </w:tr>
      <w:tr w:rsidR="00410D4B" w:rsidRPr="00DE64C0" w14:paraId="5C484E39" w14:textId="77777777" w:rsidTr="009310C1">
        <w:trPr>
          <w:jc w:val="center"/>
        </w:trPr>
        <w:tc>
          <w:tcPr>
            <w:tcW w:w="2697" w:type="dxa"/>
            <w:shd w:val="clear" w:color="auto" w:fill="auto"/>
            <w:vAlign w:val="bottom"/>
          </w:tcPr>
          <w:p w14:paraId="7F021C4F" w14:textId="77777777" w:rsidR="00410D4B" w:rsidRPr="00DE64C0" w:rsidRDefault="00410D4B" w:rsidP="00FF4C5F">
            <w:pPr>
              <w:rPr>
                <w:rFonts w:eastAsia="Calibri" w:cs="Times New Roman"/>
                <w:color w:val="000000"/>
                <w:sz w:val="20"/>
                <w:szCs w:val="20"/>
                <w:lang w:eastAsia="en-GB"/>
              </w:rPr>
            </w:pPr>
            <w:r w:rsidRPr="00DE64C0">
              <w:rPr>
                <w:rFonts w:eastAsia="Calibri" w:cs="Times New Roman"/>
                <w:color w:val="000000"/>
                <w:sz w:val="20"/>
                <w:szCs w:val="20"/>
                <w:lang w:eastAsia="en-GB"/>
              </w:rPr>
              <w:t>Triglyceride (</w:t>
            </w:r>
            <w:proofErr w:type="spellStart"/>
            <w:r w:rsidRPr="00DE64C0">
              <w:rPr>
                <w:rFonts w:eastAsia="Calibri" w:cs="Times New Roman"/>
                <w:color w:val="000000"/>
                <w:sz w:val="20"/>
                <w:szCs w:val="20"/>
                <w:lang w:eastAsia="en-GB"/>
              </w:rPr>
              <w:t>mmol</w:t>
            </w:r>
            <w:proofErr w:type="spellEnd"/>
            <w:r w:rsidRPr="00DE64C0">
              <w:rPr>
                <w:rFonts w:eastAsia="Calibri" w:cs="Times New Roman"/>
                <w:color w:val="000000"/>
                <w:sz w:val="20"/>
                <w:szCs w:val="20"/>
                <w:lang w:eastAsia="en-GB"/>
              </w:rPr>
              <w:t>/l)</w:t>
            </w:r>
          </w:p>
        </w:tc>
        <w:tc>
          <w:tcPr>
            <w:tcW w:w="2416" w:type="dxa"/>
          </w:tcPr>
          <w:p w14:paraId="0F050C1F" w14:textId="77777777" w:rsidR="00410D4B" w:rsidRPr="00DE64C0" w:rsidRDefault="00410D4B" w:rsidP="00FF4C5F">
            <w:pPr>
              <w:rPr>
                <w:rFonts w:eastAsia="Calibri" w:cs="Times New Roman"/>
                <w:sz w:val="20"/>
                <w:szCs w:val="20"/>
              </w:rPr>
            </w:pPr>
            <w:r w:rsidRPr="00DE64C0">
              <w:rPr>
                <w:rFonts w:eastAsia="Calibri" w:cs="Times New Roman"/>
                <w:sz w:val="20"/>
                <w:szCs w:val="20"/>
              </w:rPr>
              <w:t>-0.01 (-0.16, 0.14)</w:t>
            </w:r>
          </w:p>
        </w:tc>
        <w:tc>
          <w:tcPr>
            <w:tcW w:w="2416" w:type="dxa"/>
          </w:tcPr>
          <w:p w14:paraId="4FAEB9AF" w14:textId="77777777" w:rsidR="00410D4B" w:rsidRPr="00DE64C0" w:rsidRDefault="00410D4B" w:rsidP="00FF4C5F">
            <w:pPr>
              <w:rPr>
                <w:rFonts w:eastAsia="Calibri" w:cs="Times New Roman"/>
                <w:sz w:val="20"/>
                <w:szCs w:val="20"/>
              </w:rPr>
            </w:pPr>
            <w:r w:rsidRPr="00DE64C0">
              <w:rPr>
                <w:rFonts w:eastAsia="Calibri" w:cs="Times New Roman"/>
                <w:sz w:val="20"/>
                <w:szCs w:val="20"/>
              </w:rPr>
              <w:t>0.05 (-0.05, 0.15)</w:t>
            </w:r>
          </w:p>
        </w:tc>
        <w:tc>
          <w:tcPr>
            <w:tcW w:w="2416" w:type="dxa"/>
          </w:tcPr>
          <w:p w14:paraId="7D163FCB" w14:textId="77777777" w:rsidR="00410D4B" w:rsidRPr="00DE64C0" w:rsidRDefault="00410D4B" w:rsidP="00FF4C5F">
            <w:pPr>
              <w:rPr>
                <w:rFonts w:eastAsia="Calibri" w:cs="Times New Roman"/>
                <w:sz w:val="20"/>
                <w:szCs w:val="20"/>
              </w:rPr>
            </w:pPr>
            <w:r w:rsidRPr="00DE64C0">
              <w:rPr>
                <w:rFonts w:eastAsia="Calibri" w:cs="Times New Roman"/>
                <w:sz w:val="20"/>
                <w:szCs w:val="20"/>
              </w:rPr>
              <w:t>-0.05 (-0.15, 0.05)</w:t>
            </w:r>
          </w:p>
        </w:tc>
        <w:tc>
          <w:tcPr>
            <w:tcW w:w="2322" w:type="dxa"/>
            <w:shd w:val="clear" w:color="auto" w:fill="auto"/>
          </w:tcPr>
          <w:p w14:paraId="599A4B0D" w14:textId="77777777" w:rsidR="00410D4B" w:rsidRPr="00DE64C0" w:rsidRDefault="00410D4B" w:rsidP="00FF4C5F">
            <w:pPr>
              <w:rPr>
                <w:rFonts w:eastAsia="Calibri" w:cs="Times New Roman"/>
                <w:sz w:val="20"/>
                <w:szCs w:val="20"/>
              </w:rPr>
            </w:pPr>
            <w:r w:rsidRPr="00DE64C0">
              <w:rPr>
                <w:rFonts w:eastAsia="Calibri" w:cs="Times New Roman"/>
                <w:sz w:val="20"/>
                <w:szCs w:val="20"/>
              </w:rPr>
              <w:t>-0.06 (-0.17, 0.06)</w:t>
            </w:r>
          </w:p>
        </w:tc>
        <w:tc>
          <w:tcPr>
            <w:tcW w:w="2359" w:type="dxa"/>
          </w:tcPr>
          <w:p w14:paraId="0F3E18C1" w14:textId="77777777" w:rsidR="00410D4B" w:rsidRPr="00DE64C0" w:rsidRDefault="00410D4B" w:rsidP="00FF4C5F">
            <w:pPr>
              <w:rPr>
                <w:rFonts w:eastAsia="Calibri" w:cs="Times New Roman"/>
                <w:sz w:val="20"/>
                <w:szCs w:val="20"/>
              </w:rPr>
            </w:pPr>
            <w:r w:rsidRPr="00DE64C0">
              <w:rPr>
                <w:rFonts w:eastAsia="Calibri" w:cs="Times New Roman"/>
                <w:sz w:val="20"/>
                <w:szCs w:val="20"/>
              </w:rPr>
              <w:t>-0.001 (-0.08, 0.08)</w:t>
            </w:r>
          </w:p>
        </w:tc>
      </w:tr>
      <w:tr w:rsidR="00410D4B" w:rsidRPr="00DE64C0" w14:paraId="12BF8668" w14:textId="77777777" w:rsidTr="009310C1">
        <w:trPr>
          <w:jc w:val="center"/>
        </w:trPr>
        <w:tc>
          <w:tcPr>
            <w:tcW w:w="2697" w:type="dxa"/>
            <w:shd w:val="clear" w:color="auto" w:fill="auto"/>
            <w:vAlign w:val="bottom"/>
          </w:tcPr>
          <w:p w14:paraId="5CEDBDB1" w14:textId="77777777" w:rsidR="00410D4B" w:rsidRPr="00DE64C0" w:rsidRDefault="00410D4B" w:rsidP="00FF4C5F">
            <w:pPr>
              <w:rPr>
                <w:rFonts w:eastAsia="Calibri" w:cs="Times New Roman"/>
                <w:color w:val="000000"/>
                <w:sz w:val="20"/>
                <w:szCs w:val="20"/>
                <w:lang w:eastAsia="en-GB"/>
              </w:rPr>
            </w:pPr>
            <w:r w:rsidRPr="00DE64C0">
              <w:rPr>
                <w:rFonts w:eastAsia="Calibri" w:cs="Times New Roman"/>
                <w:sz w:val="20"/>
                <w:szCs w:val="20"/>
              </w:rPr>
              <w:t>Body weight (kg)</w:t>
            </w:r>
          </w:p>
        </w:tc>
        <w:tc>
          <w:tcPr>
            <w:tcW w:w="2416" w:type="dxa"/>
          </w:tcPr>
          <w:p w14:paraId="2793191A" w14:textId="77777777" w:rsidR="00410D4B" w:rsidRPr="00DE64C0" w:rsidRDefault="00410D4B" w:rsidP="00FF4C5F">
            <w:pPr>
              <w:rPr>
                <w:rFonts w:eastAsia="Calibri" w:cs="Times New Roman"/>
                <w:sz w:val="20"/>
                <w:szCs w:val="20"/>
              </w:rPr>
            </w:pPr>
            <w:r w:rsidRPr="00DE64C0">
              <w:rPr>
                <w:rFonts w:eastAsia="Calibri" w:cs="Times New Roman"/>
                <w:sz w:val="20"/>
                <w:szCs w:val="20"/>
              </w:rPr>
              <w:t>-0.10 (-0.72, 0.51)</w:t>
            </w:r>
          </w:p>
        </w:tc>
        <w:tc>
          <w:tcPr>
            <w:tcW w:w="2416" w:type="dxa"/>
          </w:tcPr>
          <w:p w14:paraId="5136C034" w14:textId="77777777" w:rsidR="00410D4B" w:rsidRPr="00DE64C0" w:rsidRDefault="00410D4B" w:rsidP="00FF4C5F">
            <w:pPr>
              <w:rPr>
                <w:rFonts w:eastAsia="Calibri" w:cs="Times New Roman"/>
                <w:sz w:val="20"/>
                <w:szCs w:val="20"/>
              </w:rPr>
            </w:pPr>
            <w:r w:rsidRPr="00DE64C0">
              <w:rPr>
                <w:rFonts w:eastAsia="Calibri" w:cs="Times New Roman"/>
                <w:sz w:val="20"/>
                <w:szCs w:val="20"/>
              </w:rPr>
              <w:t>-0.27 (-1.17, 0.63)</w:t>
            </w:r>
          </w:p>
        </w:tc>
        <w:tc>
          <w:tcPr>
            <w:tcW w:w="2416" w:type="dxa"/>
          </w:tcPr>
          <w:p w14:paraId="3C7868DA" w14:textId="77777777" w:rsidR="00410D4B" w:rsidRPr="00DE64C0" w:rsidRDefault="00410D4B" w:rsidP="00FF4C5F">
            <w:pPr>
              <w:rPr>
                <w:rFonts w:eastAsia="Calibri" w:cs="Times New Roman"/>
                <w:sz w:val="20"/>
                <w:szCs w:val="20"/>
              </w:rPr>
            </w:pPr>
            <w:r w:rsidRPr="00DE64C0">
              <w:rPr>
                <w:rFonts w:eastAsia="Calibri" w:cs="Times New Roman"/>
                <w:sz w:val="20"/>
                <w:szCs w:val="20"/>
              </w:rPr>
              <w:t>-0.49 (-1.48, 0.50)</w:t>
            </w:r>
          </w:p>
        </w:tc>
        <w:tc>
          <w:tcPr>
            <w:tcW w:w="2322" w:type="dxa"/>
            <w:shd w:val="clear" w:color="auto" w:fill="auto"/>
          </w:tcPr>
          <w:p w14:paraId="725B447D" w14:textId="77777777" w:rsidR="00410D4B" w:rsidRPr="00DE64C0" w:rsidRDefault="00410D4B" w:rsidP="00FF4C5F">
            <w:pPr>
              <w:rPr>
                <w:rFonts w:eastAsia="Calibri" w:cs="Times New Roman"/>
                <w:sz w:val="20"/>
                <w:szCs w:val="20"/>
              </w:rPr>
            </w:pPr>
            <w:r w:rsidRPr="00DE64C0">
              <w:rPr>
                <w:rFonts w:eastAsia="Calibri" w:cs="Times New Roman"/>
                <w:sz w:val="20"/>
                <w:szCs w:val="20"/>
              </w:rPr>
              <w:t>-0.26 (-1.17, 0.65)</w:t>
            </w:r>
          </w:p>
        </w:tc>
        <w:tc>
          <w:tcPr>
            <w:tcW w:w="2359" w:type="dxa"/>
          </w:tcPr>
          <w:p w14:paraId="325F72B0" w14:textId="77777777" w:rsidR="00410D4B" w:rsidRPr="00DE64C0" w:rsidRDefault="00410D4B" w:rsidP="00FF4C5F">
            <w:pPr>
              <w:rPr>
                <w:rFonts w:eastAsia="Calibri" w:cs="Times New Roman"/>
                <w:sz w:val="20"/>
                <w:szCs w:val="20"/>
              </w:rPr>
            </w:pPr>
            <w:r w:rsidRPr="00DE64C0">
              <w:rPr>
                <w:rFonts w:eastAsia="Calibri" w:cs="Times New Roman"/>
                <w:sz w:val="20"/>
                <w:szCs w:val="20"/>
              </w:rPr>
              <w:t>-0.10 (-0.85, 0.66)</w:t>
            </w:r>
          </w:p>
        </w:tc>
      </w:tr>
      <w:tr w:rsidR="00410D4B" w:rsidRPr="00DE64C0" w14:paraId="59B23BF2" w14:textId="77777777" w:rsidTr="009310C1">
        <w:trPr>
          <w:jc w:val="center"/>
        </w:trPr>
        <w:tc>
          <w:tcPr>
            <w:tcW w:w="2697" w:type="dxa"/>
            <w:shd w:val="clear" w:color="auto" w:fill="auto"/>
            <w:vAlign w:val="bottom"/>
          </w:tcPr>
          <w:p w14:paraId="58940DA9" w14:textId="77777777" w:rsidR="00410D4B" w:rsidRPr="00DE64C0" w:rsidRDefault="00410D4B" w:rsidP="00FF4C5F">
            <w:pPr>
              <w:rPr>
                <w:rFonts w:eastAsia="Calibri" w:cs="Times New Roman"/>
                <w:color w:val="000000"/>
                <w:sz w:val="20"/>
                <w:szCs w:val="20"/>
                <w:lang w:eastAsia="en-GB"/>
              </w:rPr>
            </w:pPr>
            <w:r w:rsidRPr="00DE64C0">
              <w:rPr>
                <w:rFonts w:eastAsia="Calibri" w:cs="Times New Roman"/>
                <w:sz w:val="20"/>
                <w:szCs w:val="20"/>
              </w:rPr>
              <w:t>BMI (kg/m</w:t>
            </w:r>
            <w:r w:rsidRPr="00DE64C0">
              <w:rPr>
                <w:rFonts w:eastAsia="Calibri" w:cs="Times New Roman"/>
                <w:sz w:val="20"/>
                <w:szCs w:val="20"/>
                <w:vertAlign w:val="superscript"/>
              </w:rPr>
              <w:t>2</w:t>
            </w:r>
            <w:r w:rsidRPr="00DE64C0">
              <w:rPr>
                <w:rFonts w:eastAsia="Calibri" w:cs="Times New Roman"/>
                <w:sz w:val="20"/>
                <w:szCs w:val="20"/>
              </w:rPr>
              <w:t>)</w:t>
            </w:r>
          </w:p>
        </w:tc>
        <w:tc>
          <w:tcPr>
            <w:tcW w:w="2416" w:type="dxa"/>
          </w:tcPr>
          <w:p w14:paraId="42DCE9FB" w14:textId="77777777" w:rsidR="00410D4B" w:rsidRPr="00DE64C0" w:rsidRDefault="00410D4B" w:rsidP="00FF4C5F">
            <w:pPr>
              <w:rPr>
                <w:rFonts w:eastAsia="Calibri" w:cs="Times New Roman"/>
                <w:sz w:val="20"/>
                <w:szCs w:val="20"/>
              </w:rPr>
            </w:pPr>
            <w:r w:rsidRPr="00DE64C0">
              <w:rPr>
                <w:rFonts w:eastAsia="Calibri" w:cs="Times New Roman"/>
                <w:sz w:val="20"/>
                <w:szCs w:val="20"/>
              </w:rPr>
              <w:t>-0.03 (-0.24, 0.19)</w:t>
            </w:r>
          </w:p>
        </w:tc>
        <w:tc>
          <w:tcPr>
            <w:tcW w:w="2416" w:type="dxa"/>
          </w:tcPr>
          <w:p w14:paraId="30091701" w14:textId="77777777" w:rsidR="00410D4B" w:rsidRPr="00DE64C0" w:rsidRDefault="00410D4B" w:rsidP="00FF4C5F">
            <w:pPr>
              <w:rPr>
                <w:rFonts w:eastAsia="Calibri" w:cs="Times New Roman"/>
                <w:sz w:val="20"/>
                <w:szCs w:val="20"/>
              </w:rPr>
            </w:pPr>
            <w:r w:rsidRPr="00DE64C0">
              <w:rPr>
                <w:rFonts w:eastAsia="Calibri" w:cs="Times New Roman"/>
                <w:sz w:val="20"/>
                <w:szCs w:val="20"/>
              </w:rPr>
              <w:t>-0.11 (-0.42, 0.21)</w:t>
            </w:r>
          </w:p>
        </w:tc>
        <w:tc>
          <w:tcPr>
            <w:tcW w:w="2416" w:type="dxa"/>
          </w:tcPr>
          <w:p w14:paraId="67C44C84" w14:textId="77777777" w:rsidR="00410D4B" w:rsidRPr="00DE64C0" w:rsidRDefault="00410D4B" w:rsidP="00FF4C5F">
            <w:pPr>
              <w:rPr>
                <w:rFonts w:eastAsia="Calibri" w:cs="Times New Roman"/>
                <w:sz w:val="20"/>
                <w:szCs w:val="20"/>
              </w:rPr>
            </w:pPr>
            <w:r w:rsidRPr="00DE64C0">
              <w:rPr>
                <w:rFonts w:eastAsia="Calibri" w:cs="Times New Roman"/>
                <w:sz w:val="20"/>
                <w:szCs w:val="20"/>
              </w:rPr>
              <w:t>-0.14 (-0.50, 0.21)</w:t>
            </w:r>
          </w:p>
        </w:tc>
        <w:tc>
          <w:tcPr>
            <w:tcW w:w="2322" w:type="dxa"/>
            <w:shd w:val="clear" w:color="auto" w:fill="auto"/>
          </w:tcPr>
          <w:p w14:paraId="70B844E8" w14:textId="77777777" w:rsidR="00410D4B" w:rsidRPr="00DE64C0" w:rsidRDefault="00410D4B" w:rsidP="00FF4C5F">
            <w:pPr>
              <w:rPr>
                <w:rFonts w:eastAsia="Calibri" w:cs="Times New Roman"/>
                <w:sz w:val="20"/>
                <w:szCs w:val="20"/>
              </w:rPr>
            </w:pPr>
            <w:r w:rsidRPr="00DE64C0">
              <w:rPr>
                <w:rFonts w:eastAsia="Calibri" w:cs="Times New Roman"/>
                <w:sz w:val="20"/>
                <w:szCs w:val="20"/>
              </w:rPr>
              <w:t>-0.05 (-0.38, 0.27)</w:t>
            </w:r>
          </w:p>
        </w:tc>
        <w:tc>
          <w:tcPr>
            <w:tcW w:w="2359" w:type="dxa"/>
          </w:tcPr>
          <w:p w14:paraId="68387A21" w14:textId="77777777" w:rsidR="00410D4B" w:rsidRPr="00DE64C0" w:rsidRDefault="00410D4B" w:rsidP="00FF4C5F">
            <w:pPr>
              <w:rPr>
                <w:rFonts w:eastAsia="Calibri" w:cs="Times New Roman"/>
                <w:sz w:val="20"/>
                <w:szCs w:val="20"/>
              </w:rPr>
            </w:pPr>
            <w:r w:rsidRPr="00DE64C0">
              <w:rPr>
                <w:rFonts w:eastAsia="Calibri" w:cs="Times New Roman"/>
                <w:sz w:val="20"/>
                <w:szCs w:val="20"/>
              </w:rPr>
              <w:t>-0.02 (-0.28, 0.25)</w:t>
            </w:r>
          </w:p>
        </w:tc>
      </w:tr>
      <w:tr w:rsidR="00410D4B" w:rsidRPr="00DE64C0" w14:paraId="57A7E0B8" w14:textId="77777777" w:rsidTr="009310C1">
        <w:trPr>
          <w:jc w:val="center"/>
        </w:trPr>
        <w:tc>
          <w:tcPr>
            <w:tcW w:w="2697" w:type="dxa"/>
            <w:shd w:val="clear" w:color="auto" w:fill="auto"/>
            <w:vAlign w:val="center"/>
          </w:tcPr>
          <w:p w14:paraId="25B2ABB3" w14:textId="77777777" w:rsidR="00410D4B" w:rsidRPr="00DE64C0" w:rsidRDefault="00410D4B" w:rsidP="00FF4C5F">
            <w:pPr>
              <w:rPr>
                <w:rFonts w:eastAsia="Calibri" w:cs="Times New Roman"/>
                <w:sz w:val="20"/>
                <w:szCs w:val="20"/>
              </w:rPr>
            </w:pPr>
            <w:r w:rsidRPr="00DE64C0">
              <w:rPr>
                <w:rFonts w:eastAsia="Calibri" w:cs="Times New Roman"/>
                <w:color w:val="000000"/>
                <w:sz w:val="20"/>
                <w:szCs w:val="20"/>
                <w:lang w:eastAsia="en-GB"/>
              </w:rPr>
              <w:t>Waist circumference (cm)</w:t>
            </w:r>
          </w:p>
        </w:tc>
        <w:tc>
          <w:tcPr>
            <w:tcW w:w="2416" w:type="dxa"/>
          </w:tcPr>
          <w:p w14:paraId="5271C45F" w14:textId="77777777" w:rsidR="00410D4B" w:rsidRPr="00DE64C0" w:rsidRDefault="00410D4B" w:rsidP="00FF4C5F">
            <w:pPr>
              <w:rPr>
                <w:rFonts w:eastAsia="Calibri" w:cs="Times New Roman"/>
                <w:sz w:val="20"/>
                <w:szCs w:val="20"/>
              </w:rPr>
            </w:pPr>
            <w:r w:rsidRPr="00DE64C0">
              <w:rPr>
                <w:rFonts w:eastAsia="Calibri" w:cs="Times New Roman"/>
                <w:sz w:val="20"/>
                <w:szCs w:val="20"/>
              </w:rPr>
              <w:t>-0.91 (-2.03, 0.20)</w:t>
            </w:r>
          </w:p>
        </w:tc>
        <w:tc>
          <w:tcPr>
            <w:tcW w:w="2416" w:type="dxa"/>
          </w:tcPr>
          <w:p w14:paraId="71876240" w14:textId="77777777" w:rsidR="00410D4B" w:rsidRPr="00DE64C0" w:rsidRDefault="00410D4B" w:rsidP="00FF4C5F">
            <w:pPr>
              <w:rPr>
                <w:rFonts w:eastAsia="Calibri" w:cs="Times New Roman"/>
                <w:sz w:val="20"/>
                <w:szCs w:val="20"/>
              </w:rPr>
            </w:pPr>
            <w:r w:rsidRPr="00DE64C0">
              <w:rPr>
                <w:rFonts w:eastAsia="Calibri" w:cs="Times New Roman"/>
                <w:sz w:val="20"/>
                <w:szCs w:val="20"/>
              </w:rPr>
              <w:t>-0.11 (-1.37, 1.15)</w:t>
            </w:r>
          </w:p>
        </w:tc>
        <w:tc>
          <w:tcPr>
            <w:tcW w:w="2416" w:type="dxa"/>
          </w:tcPr>
          <w:p w14:paraId="71D1271C" w14:textId="77777777" w:rsidR="00410D4B" w:rsidRPr="00DE64C0" w:rsidRDefault="00410D4B" w:rsidP="00FF4C5F">
            <w:pPr>
              <w:rPr>
                <w:rFonts w:eastAsia="Calibri" w:cs="Times New Roman"/>
                <w:sz w:val="20"/>
                <w:szCs w:val="20"/>
              </w:rPr>
            </w:pPr>
            <w:r w:rsidRPr="00DE64C0">
              <w:rPr>
                <w:rFonts w:eastAsia="Calibri" w:cs="Times New Roman"/>
                <w:sz w:val="20"/>
                <w:szCs w:val="20"/>
              </w:rPr>
              <w:t>-0.82 (-2.03, 0.40)</w:t>
            </w:r>
          </w:p>
        </w:tc>
        <w:tc>
          <w:tcPr>
            <w:tcW w:w="2322" w:type="dxa"/>
            <w:shd w:val="clear" w:color="auto" w:fill="auto"/>
          </w:tcPr>
          <w:p w14:paraId="7FD652BB" w14:textId="77777777" w:rsidR="00410D4B" w:rsidRPr="00DE64C0" w:rsidRDefault="00410D4B" w:rsidP="00FF4C5F">
            <w:pPr>
              <w:rPr>
                <w:rFonts w:eastAsia="Calibri" w:cs="Times New Roman"/>
                <w:sz w:val="20"/>
                <w:szCs w:val="20"/>
              </w:rPr>
            </w:pPr>
            <w:r w:rsidRPr="00DE64C0">
              <w:rPr>
                <w:rFonts w:eastAsia="Calibri" w:cs="Times New Roman"/>
                <w:sz w:val="20"/>
                <w:szCs w:val="20"/>
              </w:rPr>
              <w:t>-0.79 (-1.73, 0.14)</w:t>
            </w:r>
          </w:p>
        </w:tc>
        <w:tc>
          <w:tcPr>
            <w:tcW w:w="2359" w:type="dxa"/>
          </w:tcPr>
          <w:p w14:paraId="5C30CFFC" w14:textId="77777777" w:rsidR="00410D4B" w:rsidRPr="00DE64C0" w:rsidRDefault="00410D4B" w:rsidP="00FF4C5F">
            <w:pPr>
              <w:rPr>
                <w:rFonts w:eastAsia="Calibri" w:cs="Times New Roman"/>
                <w:sz w:val="20"/>
                <w:szCs w:val="20"/>
              </w:rPr>
            </w:pPr>
            <w:r w:rsidRPr="00DE64C0">
              <w:rPr>
                <w:rFonts w:eastAsia="Calibri" w:cs="Times New Roman"/>
                <w:sz w:val="20"/>
                <w:szCs w:val="20"/>
              </w:rPr>
              <w:t>-0.45 (-1.32, 0.42)</w:t>
            </w:r>
          </w:p>
        </w:tc>
      </w:tr>
      <w:tr w:rsidR="00410D4B" w:rsidRPr="00DE64C0" w14:paraId="4BDC13C3" w14:textId="77777777" w:rsidTr="009310C1">
        <w:trPr>
          <w:jc w:val="center"/>
        </w:trPr>
        <w:tc>
          <w:tcPr>
            <w:tcW w:w="2697" w:type="dxa"/>
            <w:shd w:val="clear" w:color="auto" w:fill="auto"/>
            <w:vAlign w:val="bottom"/>
          </w:tcPr>
          <w:p w14:paraId="5E64DB71" w14:textId="77777777" w:rsidR="00410D4B" w:rsidRPr="00DE64C0" w:rsidRDefault="00410D4B" w:rsidP="00FF4C5F">
            <w:pPr>
              <w:rPr>
                <w:rFonts w:eastAsia="Calibri" w:cs="Times New Roman"/>
                <w:color w:val="000000"/>
                <w:sz w:val="20"/>
                <w:szCs w:val="20"/>
                <w:lang w:eastAsia="en-GB"/>
              </w:rPr>
            </w:pPr>
            <w:r w:rsidRPr="00DE64C0">
              <w:rPr>
                <w:rFonts w:eastAsia="Calibri" w:cs="Times New Roman"/>
                <w:color w:val="000000"/>
                <w:sz w:val="20"/>
                <w:szCs w:val="20"/>
                <w:lang w:eastAsia="en-GB"/>
              </w:rPr>
              <w:t>Systolic BP (mmHg)</w:t>
            </w:r>
          </w:p>
        </w:tc>
        <w:tc>
          <w:tcPr>
            <w:tcW w:w="2416" w:type="dxa"/>
          </w:tcPr>
          <w:p w14:paraId="5E436DC4" w14:textId="77777777" w:rsidR="00410D4B" w:rsidRPr="00DE64C0" w:rsidRDefault="00410D4B" w:rsidP="00FF4C5F">
            <w:pPr>
              <w:rPr>
                <w:rFonts w:eastAsia="Calibri" w:cs="Times New Roman"/>
                <w:sz w:val="20"/>
                <w:szCs w:val="20"/>
              </w:rPr>
            </w:pPr>
            <w:r w:rsidRPr="00DE64C0">
              <w:rPr>
                <w:rFonts w:eastAsia="Calibri" w:cs="Times New Roman"/>
                <w:sz w:val="20"/>
                <w:szCs w:val="20"/>
              </w:rPr>
              <w:t>1.17 (-1.45, 3.79)</w:t>
            </w:r>
          </w:p>
        </w:tc>
        <w:tc>
          <w:tcPr>
            <w:tcW w:w="2416" w:type="dxa"/>
          </w:tcPr>
          <w:p w14:paraId="5BD6F1BC" w14:textId="77777777" w:rsidR="00410D4B" w:rsidRPr="00DE64C0" w:rsidRDefault="00410D4B" w:rsidP="00FF4C5F">
            <w:pPr>
              <w:rPr>
                <w:rFonts w:eastAsia="Calibri" w:cs="Times New Roman"/>
                <w:sz w:val="20"/>
                <w:szCs w:val="20"/>
              </w:rPr>
            </w:pPr>
            <w:r w:rsidRPr="00DE64C0">
              <w:rPr>
                <w:rFonts w:eastAsia="Calibri" w:cs="Times New Roman"/>
                <w:sz w:val="20"/>
                <w:szCs w:val="20"/>
              </w:rPr>
              <w:t>1.22 (-0.85, 3.30)</w:t>
            </w:r>
          </w:p>
        </w:tc>
        <w:tc>
          <w:tcPr>
            <w:tcW w:w="2416" w:type="dxa"/>
          </w:tcPr>
          <w:p w14:paraId="6004AAF6" w14:textId="77777777" w:rsidR="00410D4B" w:rsidRPr="00DE64C0" w:rsidRDefault="00410D4B" w:rsidP="00FF4C5F">
            <w:pPr>
              <w:rPr>
                <w:rFonts w:eastAsia="Calibri" w:cs="Times New Roman"/>
                <w:sz w:val="20"/>
                <w:szCs w:val="20"/>
              </w:rPr>
            </w:pPr>
            <w:r w:rsidRPr="00DE64C0">
              <w:rPr>
                <w:rFonts w:eastAsia="Calibri" w:cs="Times New Roman"/>
                <w:sz w:val="20"/>
                <w:szCs w:val="20"/>
              </w:rPr>
              <w:t>-1.26 (-3.79, 1.28)</w:t>
            </w:r>
          </w:p>
        </w:tc>
        <w:tc>
          <w:tcPr>
            <w:tcW w:w="2322" w:type="dxa"/>
            <w:shd w:val="clear" w:color="auto" w:fill="auto"/>
          </w:tcPr>
          <w:p w14:paraId="2E1F8E43" w14:textId="77777777" w:rsidR="00410D4B" w:rsidRPr="00DE64C0" w:rsidRDefault="00410D4B" w:rsidP="00FF4C5F">
            <w:pPr>
              <w:rPr>
                <w:rFonts w:eastAsia="Calibri" w:cs="Times New Roman"/>
                <w:sz w:val="20"/>
                <w:szCs w:val="20"/>
              </w:rPr>
            </w:pPr>
            <w:r w:rsidRPr="00DE64C0">
              <w:rPr>
                <w:rFonts w:eastAsia="Calibri" w:cs="Times New Roman"/>
                <w:sz w:val="20"/>
                <w:szCs w:val="20"/>
              </w:rPr>
              <w:t>0.55 (-2.09, 3.19)</w:t>
            </w:r>
          </w:p>
        </w:tc>
        <w:tc>
          <w:tcPr>
            <w:tcW w:w="2359" w:type="dxa"/>
          </w:tcPr>
          <w:p w14:paraId="0BA17397" w14:textId="77777777" w:rsidR="00410D4B" w:rsidRPr="00DE64C0" w:rsidRDefault="00410D4B" w:rsidP="00FF4C5F">
            <w:pPr>
              <w:rPr>
                <w:rFonts w:eastAsia="Calibri" w:cs="Times New Roman"/>
                <w:sz w:val="20"/>
                <w:szCs w:val="20"/>
              </w:rPr>
            </w:pPr>
            <w:r w:rsidRPr="00DE64C0">
              <w:rPr>
                <w:rFonts w:eastAsia="Calibri" w:cs="Times New Roman"/>
                <w:sz w:val="20"/>
                <w:szCs w:val="20"/>
              </w:rPr>
              <w:t>0.81 (-0.97, 2.60)</w:t>
            </w:r>
          </w:p>
        </w:tc>
      </w:tr>
      <w:tr w:rsidR="00410D4B" w:rsidRPr="00DE64C0" w14:paraId="1B51273E" w14:textId="77777777" w:rsidTr="009310C1">
        <w:trPr>
          <w:jc w:val="center"/>
        </w:trPr>
        <w:tc>
          <w:tcPr>
            <w:tcW w:w="2697" w:type="dxa"/>
            <w:shd w:val="clear" w:color="auto" w:fill="auto"/>
            <w:vAlign w:val="bottom"/>
          </w:tcPr>
          <w:p w14:paraId="54EF0A9D" w14:textId="77777777" w:rsidR="00410D4B" w:rsidRPr="00DE64C0" w:rsidRDefault="00410D4B" w:rsidP="00FF4C5F">
            <w:pPr>
              <w:rPr>
                <w:rFonts w:eastAsia="Calibri" w:cs="Times New Roman"/>
                <w:color w:val="000000"/>
                <w:sz w:val="20"/>
                <w:szCs w:val="20"/>
                <w:lang w:eastAsia="en-GB"/>
              </w:rPr>
            </w:pPr>
            <w:r w:rsidRPr="00DE64C0">
              <w:rPr>
                <w:rFonts w:eastAsia="Calibri" w:cs="Times New Roman"/>
                <w:color w:val="000000"/>
                <w:sz w:val="20"/>
                <w:szCs w:val="20"/>
                <w:lang w:eastAsia="en-GB"/>
              </w:rPr>
              <w:t>Diastolic BP (mmHg)</w:t>
            </w:r>
          </w:p>
        </w:tc>
        <w:tc>
          <w:tcPr>
            <w:tcW w:w="2416" w:type="dxa"/>
          </w:tcPr>
          <w:p w14:paraId="7176FCA7" w14:textId="77777777" w:rsidR="00410D4B" w:rsidRPr="00DE64C0" w:rsidRDefault="00410D4B" w:rsidP="00FF4C5F">
            <w:pPr>
              <w:rPr>
                <w:rFonts w:eastAsia="Calibri" w:cs="Times New Roman"/>
                <w:sz w:val="20"/>
                <w:szCs w:val="20"/>
              </w:rPr>
            </w:pPr>
            <w:r w:rsidRPr="00DE64C0">
              <w:rPr>
                <w:rFonts w:eastAsia="Calibri" w:cs="Times New Roman"/>
                <w:sz w:val="20"/>
                <w:szCs w:val="20"/>
              </w:rPr>
              <w:t>-0.22 (-1.90, 1.46)</w:t>
            </w:r>
          </w:p>
        </w:tc>
        <w:tc>
          <w:tcPr>
            <w:tcW w:w="2416" w:type="dxa"/>
          </w:tcPr>
          <w:p w14:paraId="7CC787C7" w14:textId="77777777" w:rsidR="00410D4B" w:rsidRPr="00DE64C0" w:rsidRDefault="00410D4B" w:rsidP="00FF4C5F">
            <w:pPr>
              <w:rPr>
                <w:rFonts w:eastAsia="Calibri" w:cs="Times New Roman"/>
                <w:sz w:val="20"/>
                <w:szCs w:val="20"/>
              </w:rPr>
            </w:pPr>
            <w:r w:rsidRPr="00DE64C0">
              <w:rPr>
                <w:rFonts w:eastAsia="Calibri" w:cs="Times New Roman"/>
                <w:sz w:val="20"/>
                <w:szCs w:val="20"/>
              </w:rPr>
              <w:t>0.80 (-0.66, 2.26)</w:t>
            </w:r>
          </w:p>
        </w:tc>
        <w:tc>
          <w:tcPr>
            <w:tcW w:w="2416" w:type="dxa"/>
          </w:tcPr>
          <w:p w14:paraId="0DB0D9E7" w14:textId="77777777" w:rsidR="00410D4B" w:rsidRPr="00DE64C0" w:rsidRDefault="00410D4B" w:rsidP="00FF4C5F">
            <w:pPr>
              <w:rPr>
                <w:rFonts w:eastAsia="Calibri" w:cs="Times New Roman"/>
                <w:sz w:val="20"/>
                <w:szCs w:val="20"/>
              </w:rPr>
            </w:pPr>
            <w:r w:rsidRPr="00DE64C0">
              <w:rPr>
                <w:rFonts w:eastAsia="Calibri" w:cs="Times New Roman"/>
                <w:sz w:val="20"/>
                <w:szCs w:val="20"/>
              </w:rPr>
              <w:t>-0.37 (-1.92, 1.19)</w:t>
            </w:r>
          </w:p>
        </w:tc>
        <w:tc>
          <w:tcPr>
            <w:tcW w:w="2322" w:type="dxa"/>
            <w:shd w:val="clear" w:color="auto" w:fill="auto"/>
          </w:tcPr>
          <w:p w14:paraId="54A42917" w14:textId="77777777" w:rsidR="00410D4B" w:rsidRPr="00DE64C0" w:rsidRDefault="00410D4B" w:rsidP="00FF4C5F">
            <w:pPr>
              <w:rPr>
                <w:rFonts w:eastAsia="Calibri" w:cs="Times New Roman"/>
                <w:sz w:val="20"/>
                <w:szCs w:val="20"/>
              </w:rPr>
            </w:pPr>
            <w:r w:rsidRPr="00DE64C0">
              <w:rPr>
                <w:rFonts w:eastAsia="Calibri" w:cs="Times New Roman"/>
                <w:sz w:val="20"/>
                <w:szCs w:val="20"/>
              </w:rPr>
              <w:t>-0.49 (-2.15, 1.17)</w:t>
            </w:r>
          </w:p>
        </w:tc>
        <w:tc>
          <w:tcPr>
            <w:tcW w:w="2359" w:type="dxa"/>
          </w:tcPr>
          <w:p w14:paraId="38C93DB5" w14:textId="77777777" w:rsidR="00410D4B" w:rsidRPr="00DE64C0" w:rsidRDefault="00410D4B" w:rsidP="00FF4C5F">
            <w:pPr>
              <w:rPr>
                <w:rFonts w:eastAsia="Calibri" w:cs="Times New Roman"/>
                <w:sz w:val="20"/>
                <w:szCs w:val="20"/>
              </w:rPr>
            </w:pPr>
            <w:r w:rsidRPr="00DE64C0">
              <w:rPr>
                <w:rFonts w:eastAsia="Calibri" w:cs="Times New Roman"/>
                <w:sz w:val="20"/>
                <w:szCs w:val="20"/>
              </w:rPr>
              <w:t>0.24 (-0.82, 1.30)</w:t>
            </w:r>
          </w:p>
        </w:tc>
      </w:tr>
      <w:tr w:rsidR="00410D4B" w:rsidRPr="00DE64C0" w14:paraId="7310CD1B" w14:textId="77777777" w:rsidTr="009310C1">
        <w:trPr>
          <w:jc w:val="center"/>
        </w:trPr>
        <w:tc>
          <w:tcPr>
            <w:tcW w:w="2697" w:type="dxa"/>
            <w:shd w:val="clear" w:color="auto" w:fill="auto"/>
            <w:vAlign w:val="bottom"/>
          </w:tcPr>
          <w:p w14:paraId="135B2AE0" w14:textId="77777777" w:rsidR="00410D4B" w:rsidRPr="00DE64C0" w:rsidRDefault="00410D4B" w:rsidP="00FF4C5F">
            <w:pPr>
              <w:rPr>
                <w:rFonts w:eastAsia="Calibri" w:cs="Times New Roman"/>
                <w:color w:val="000000"/>
                <w:sz w:val="20"/>
                <w:szCs w:val="20"/>
                <w:lang w:eastAsia="en-GB"/>
              </w:rPr>
            </w:pPr>
            <w:r w:rsidRPr="00DE64C0">
              <w:rPr>
                <w:rFonts w:eastAsia="Calibri" w:cs="Times New Roman"/>
                <w:color w:val="000000"/>
                <w:sz w:val="20"/>
                <w:szCs w:val="20"/>
                <w:lang w:eastAsia="en-GB"/>
              </w:rPr>
              <w:t>Heart rate (bpm)</w:t>
            </w:r>
          </w:p>
        </w:tc>
        <w:tc>
          <w:tcPr>
            <w:tcW w:w="2416" w:type="dxa"/>
          </w:tcPr>
          <w:p w14:paraId="2B889371" w14:textId="77777777" w:rsidR="00410D4B" w:rsidRPr="00DE64C0" w:rsidRDefault="00410D4B" w:rsidP="00FF4C5F">
            <w:pPr>
              <w:rPr>
                <w:rFonts w:eastAsia="Calibri" w:cs="Times New Roman"/>
                <w:sz w:val="20"/>
                <w:szCs w:val="20"/>
              </w:rPr>
            </w:pPr>
            <w:r w:rsidRPr="00DE64C0">
              <w:rPr>
                <w:rFonts w:eastAsia="Calibri" w:cs="Times New Roman"/>
                <w:sz w:val="20"/>
                <w:szCs w:val="20"/>
              </w:rPr>
              <w:t>-1.31 (-2.90, 0.28)</w:t>
            </w:r>
          </w:p>
        </w:tc>
        <w:tc>
          <w:tcPr>
            <w:tcW w:w="2416" w:type="dxa"/>
          </w:tcPr>
          <w:p w14:paraId="318D1524" w14:textId="77777777" w:rsidR="00410D4B" w:rsidRPr="00DE64C0" w:rsidRDefault="00410D4B" w:rsidP="00FF4C5F">
            <w:pPr>
              <w:rPr>
                <w:rFonts w:eastAsia="Calibri" w:cs="Times New Roman"/>
                <w:sz w:val="20"/>
                <w:szCs w:val="20"/>
              </w:rPr>
            </w:pPr>
            <w:r w:rsidRPr="00DE64C0">
              <w:rPr>
                <w:rFonts w:eastAsia="Calibri" w:cs="Times New Roman"/>
                <w:sz w:val="20"/>
                <w:szCs w:val="20"/>
              </w:rPr>
              <w:t>-0.61 (-1.84, 0.61)</w:t>
            </w:r>
          </w:p>
        </w:tc>
        <w:tc>
          <w:tcPr>
            <w:tcW w:w="2416" w:type="dxa"/>
          </w:tcPr>
          <w:p w14:paraId="0C70DDAC" w14:textId="77777777" w:rsidR="00410D4B" w:rsidRPr="00DE64C0" w:rsidRDefault="00410D4B" w:rsidP="00FF4C5F">
            <w:pPr>
              <w:rPr>
                <w:rFonts w:eastAsia="Calibri" w:cs="Times New Roman"/>
                <w:sz w:val="20"/>
                <w:szCs w:val="20"/>
              </w:rPr>
            </w:pPr>
            <w:r w:rsidRPr="00DE64C0">
              <w:rPr>
                <w:rFonts w:eastAsia="Calibri" w:cs="Times New Roman"/>
                <w:sz w:val="20"/>
                <w:szCs w:val="20"/>
              </w:rPr>
              <w:t>-0.68 (-2.00, 0.65)</w:t>
            </w:r>
          </w:p>
        </w:tc>
        <w:tc>
          <w:tcPr>
            <w:tcW w:w="2322" w:type="dxa"/>
            <w:shd w:val="clear" w:color="auto" w:fill="auto"/>
          </w:tcPr>
          <w:p w14:paraId="60F4CFEC" w14:textId="77777777" w:rsidR="00410D4B" w:rsidRPr="00DE64C0" w:rsidRDefault="00410D4B" w:rsidP="00FF4C5F">
            <w:pPr>
              <w:rPr>
                <w:rFonts w:eastAsia="Calibri" w:cs="Times New Roman"/>
                <w:sz w:val="20"/>
                <w:szCs w:val="20"/>
              </w:rPr>
            </w:pPr>
            <w:r w:rsidRPr="00DE64C0">
              <w:rPr>
                <w:rFonts w:eastAsia="Calibri" w:cs="Times New Roman"/>
                <w:sz w:val="20"/>
                <w:szCs w:val="20"/>
              </w:rPr>
              <w:t>-0.52 (-1.83, 0.78)</w:t>
            </w:r>
          </w:p>
        </w:tc>
        <w:tc>
          <w:tcPr>
            <w:tcW w:w="2359" w:type="dxa"/>
          </w:tcPr>
          <w:p w14:paraId="2AD972AB" w14:textId="77777777" w:rsidR="00410D4B" w:rsidRPr="00DE64C0" w:rsidRDefault="00410D4B" w:rsidP="00FF4C5F">
            <w:pPr>
              <w:rPr>
                <w:rFonts w:eastAsia="Calibri" w:cs="Times New Roman"/>
                <w:sz w:val="20"/>
                <w:szCs w:val="20"/>
              </w:rPr>
            </w:pPr>
            <w:r w:rsidRPr="00DE64C0">
              <w:rPr>
                <w:rFonts w:eastAsia="Calibri" w:cs="Times New Roman"/>
                <w:sz w:val="20"/>
                <w:szCs w:val="20"/>
              </w:rPr>
              <w:t>-0.66 (-1.58, 0.27)</w:t>
            </w:r>
          </w:p>
        </w:tc>
      </w:tr>
      <w:tr w:rsidR="00410D4B" w:rsidRPr="00DE64C0" w14:paraId="3C650805" w14:textId="77777777" w:rsidTr="009310C1">
        <w:trPr>
          <w:trHeight w:val="95"/>
          <w:jc w:val="center"/>
        </w:trPr>
        <w:tc>
          <w:tcPr>
            <w:tcW w:w="2697" w:type="dxa"/>
            <w:shd w:val="clear" w:color="auto" w:fill="auto"/>
          </w:tcPr>
          <w:p w14:paraId="66996D7B" w14:textId="77777777" w:rsidR="00410D4B" w:rsidRPr="00DE64C0" w:rsidRDefault="00410D4B" w:rsidP="00FF4C5F">
            <w:pPr>
              <w:rPr>
                <w:rFonts w:eastAsia="Calibri" w:cs="Times New Roman"/>
                <w:color w:val="000000"/>
                <w:sz w:val="20"/>
                <w:szCs w:val="20"/>
                <w:lang w:eastAsia="en-GB"/>
              </w:rPr>
            </w:pPr>
            <w:r w:rsidRPr="00DE64C0">
              <w:rPr>
                <w:rFonts w:eastAsia="Calibri" w:cs="Times New Roman"/>
                <w:sz w:val="20"/>
                <w:szCs w:val="20"/>
              </w:rPr>
              <w:t>CHD 10-year risk</w:t>
            </w:r>
          </w:p>
        </w:tc>
        <w:tc>
          <w:tcPr>
            <w:tcW w:w="2416" w:type="dxa"/>
          </w:tcPr>
          <w:p w14:paraId="2709FE72" w14:textId="77777777" w:rsidR="00410D4B" w:rsidRPr="00DE64C0" w:rsidRDefault="00410D4B" w:rsidP="00FF4C5F">
            <w:pPr>
              <w:rPr>
                <w:rFonts w:eastAsia="Calibri" w:cs="Times New Roman"/>
                <w:sz w:val="20"/>
                <w:szCs w:val="20"/>
              </w:rPr>
            </w:pPr>
            <w:r w:rsidRPr="00DE64C0">
              <w:rPr>
                <w:rFonts w:eastAsia="Calibri" w:cs="Times New Roman"/>
                <w:sz w:val="20"/>
                <w:szCs w:val="20"/>
              </w:rPr>
              <w:t>-0.18 (-0.84, 0.48)</w:t>
            </w:r>
          </w:p>
        </w:tc>
        <w:tc>
          <w:tcPr>
            <w:tcW w:w="2416" w:type="dxa"/>
          </w:tcPr>
          <w:p w14:paraId="4573316F" w14:textId="77777777" w:rsidR="00410D4B" w:rsidRPr="00DE64C0" w:rsidRDefault="00410D4B" w:rsidP="00FF4C5F">
            <w:pPr>
              <w:rPr>
                <w:rFonts w:eastAsia="Calibri" w:cs="Times New Roman"/>
                <w:sz w:val="20"/>
                <w:szCs w:val="20"/>
              </w:rPr>
            </w:pPr>
            <w:r w:rsidRPr="00DE64C0">
              <w:rPr>
                <w:rFonts w:eastAsia="Calibri" w:cs="Times New Roman"/>
                <w:sz w:val="20"/>
                <w:szCs w:val="20"/>
              </w:rPr>
              <w:t>-0.14 (-0.73, 0.45)</w:t>
            </w:r>
          </w:p>
        </w:tc>
        <w:tc>
          <w:tcPr>
            <w:tcW w:w="2416" w:type="dxa"/>
          </w:tcPr>
          <w:p w14:paraId="6F3C36E1" w14:textId="77777777" w:rsidR="00410D4B" w:rsidRPr="00DE64C0" w:rsidRDefault="00410D4B" w:rsidP="00FF4C5F">
            <w:pPr>
              <w:rPr>
                <w:rFonts w:eastAsia="Calibri" w:cs="Times New Roman"/>
                <w:sz w:val="20"/>
                <w:szCs w:val="20"/>
              </w:rPr>
            </w:pPr>
            <w:r w:rsidRPr="00DE64C0">
              <w:rPr>
                <w:rFonts w:eastAsia="Calibri" w:cs="Times New Roman"/>
                <w:sz w:val="20"/>
                <w:szCs w:val="20"/>
              </w:rPr>
              <w:t>-0.68 (-1.40, 0.04)</w:t>
            </w:r>
          </w:p>
        </w:tc>
        <w:tc>
          <w:tcPr>
            <w:tcW w:w="2322" w:type="dxa"/>
            <w:shd w:val="clear" w:color="auto" w:fill="auto"/>
          </w:tcPr>
          <w:p w14:paraId="7412417B" w14:textId="77777777" w:rsidR="00410D4B" w:rsidRPr="00DE64C0" w:rsidRDefault="00410D4B" w:rsidP="00FF4C5F">
            <w:pPr>
              <w:rPr>
                <w:rFonts w:eastAsia="Calibri" w:cs="Times New Roman"/>
                <w:sz w:val="20"/>
                <w:szCs w:val="20"/>
              </w:rPr>
            </w:pPr>
            <w:r w:rsidRPr="00DE64C0">
              <w:rPr>
                <w:rFonts w:eastAsia="Calibri" w:cs="Times New Roman"/>
                <w:sz w:val="20"/>
                <w:szCs w:val="20"/>
              </w:rPr>
              <w:t>-0.23 (-1.07, 0.60)</w:t>
            </w:r>
          </w:p>
        </w:tc>
        <w:tc>
          <w:tcPr>
            <w:tcW w:w="2359" w:type="dxa"/>
          </w:tcPr>
          <w:p w14:paraId="7B671386" w14:textId="77777777" w:rsidR="00410D4B" w:rsidRPr="00DE64C0" w:rsidRDefault="00410D4B" w:rsidP="00FF4C5F">
            <w:pPr>
              <w:rPr>
                <w:rFonts w:eastAsia="Calibri" w:cs="Times New Roman"/>
                <w:sz w:val="20"/>
                <w:szCs w:val="20"/>
              </w:rPr>
            </w:pPr>
            <w:r w:rsidRPr="00DE64C0">
              <w:rPr>
                <w:rFonts w:eastAsia="Calibri" w:cs="Times New Roman"/>
                <w:sz w:val="20"/>
                <w:szCs w:val="20"/>
              </w:rPr>
              <w:t>-0.35 (-0.81, 0.11)</w:t>
            </w:r>
          </w:p>
        </w:tc>
      </w:tr>
      <w:tr w:rsidR="00410D4B" w:rsidRPr="00DE64C0" w14:paraId="194012D9" w14:textId="77777777" w:rsidTr="009310C1">
        <w:trPr>
          <w:jc w:val="center"/>
        </w:trPr>
        <w:tc>
          <w:tcPr>
            <w:tcW w:w="2697" w:type="dxa"/>
            <w:shd w:val="clear" w:color="auto" w:fill="auto"/>
          </w:tcPr>
          <w:p w14:paraId="0AF189E7" w14:textId="77777777" w:rsidR="00410D4B" w:rsidRPr="00DE64C0" w:rsidRDefault="00410D4B" w:rsidP="00FF4C5F">
            <w:pPr>
              <w:rPr>
                <w:rFonts w:eastAsia="Calibri" w:cs="Times New Roman"/>
                <w:color w:val="000000"/>
                <w:sz w:val="20"/>
                <w:szCs w:val="20"/>
                <w:lang w:eastAsia="en-GB"/>
              </w:rPr>
            </w:pPr>
            <w:r w:rsidRPr="00DE64C0">
              <w:rPr>
                <w:rFonts w:eastAsia="Calibri" w:cs="Times New Roman"/>
                <w:sz w:val="20"/>
                <w:szCs w:val="20"/>
              </w:rPr>
              <w:t>CVD 10-year risk</w:t>
            </w:r>
          </w:p>
        </w:tc>
        <w:tc>
          <w:tcPr>
            <w:tcW w:w="2416" w:type="dxa"/>
          </w:tcPr>
          <w:p w14:paraId="6F440D7A" w14:textId="77777777" w:rsidR="00410D4B" w:rsidRPr="00DE64C0" w:rsidRDefault="00410D4B" w:rsidP="00FF4C5F">
            <w:pPr>
              <w:rPr>
                <w:rFonts w:eastAsia="Calibri" w:cs="Times New Roman"/>
                <w:sz w:val="20"/>
                <w:szCs w:val="20"/>
              </w:rPr>
            </w:pPr>
            <w:r w:rsidRPr="00DE64C0">
              <w:rPr>
                <w:rFonts w:eastAsia="Calibri" w:cs="Times New Roman"/>
                <w:sz w:val="20"/>
                <w:szCs w:val="20"/>
              </w:rPr>
              <w:t>0.28 (-0.77, 1.32)</w:t>
            </w:r>
          </w:p>
        </w:tc>
        <w:tc>
          <w:tcPr>
            <w:tcW w:w="2416" w:type="dxa"/>
          </w:tcPr>
          <w:p w14:paraId="20C5E1C1" w14:textId="77777777" w:rsidR="00410D4B" w:rsidRPr="00DE64C0" w:rsidRDefault="00410D4B" w:rsidP="00FF4C5F">
            <w:pPr>
              <w:rPr>
                <w:rFonts w:eastAsia="Calibri" w:cs="Times New Roman"/>
                <w:sz w:val="20"/>
                <w:szCs w:val="20"/>
              </w:rPr>
            </w:pPr>
            <w:r w:rsidRPr="00DE64C0">
              <w:rPr>
                <w:rFonts w:eastAsia="Calibri" w:cs="Times New Roman"/>
                <w:sz w:val="20"/>
                <w:szCs w:val="20"/>
              </w:rPr>
              <w:t>0.01 (-0.74, 0.76)</w:t>
            </w:r>
          </w:p>
        </w:tc>
        <w:tc>
          <w:tcPr>
            <w:tcW w:w="2416" w:type="dxa"/>
          </w:tcPr>
          <w:p w14:paraId="62727A42" w14:textId="77777777" w:rsidR="00410D4B" w:rsidRPr="00DE64C0" w:rsidRDefault="00410D4B" w:rsidP="00FF4C5F">
            <w:pPr>
              <w:rPr>
                <w:rFonts w:eastAsia="Calibri" w:cs="Times New Roman"/>
                <w:sz w:val="20"/>
                <w:szCs w:val="20"/>
              </w:rPr>
            </w:pPr>
            <w:r w:rsidRPr="00DE64C0">
              <w:rPr>
                <w:rFonts w:eastAsia="Calibri" w:cs="Times New Roman"/>
                <w:sz w:val="20"/>
                <w:szCs w:val="20"/>
              </w:rPr>
              <w:t>-0.74 (-1.64, 0.15)</w:t>
            </w:r>
          </w:p>
        </w:tc>
        <w:tc>
          <w:tcPr>
            <w:tcW w:w="2322" w:type="dxa"/>
            <w:shd w:val="clear" w:color="auto" w:fill="auto"/>
          </w:tcPr>
          <w:p w14:paraId="5CC92B50" w14:textId="77777777" w:rsidR="00410D4B" w:rsidRPr="00DE64C0" w:rsidRDefault="00410D4B" w:rsidP="00FF4C5F">
            <w:pPr>
              <w:rPr>
                <w:rFonts w:eastAsia="Calibri" w:cs="Times New Roman"/>
                <w:sz w:val="20"/>
                <w:szCs w:val="20"/>
              </w:rPr>
            </w:pPr>
            <w:r w:rsidRPr="00DE64C0">
              <w:rPr>
                <w:rFonts w:eastAsia="Calibri" w:cs="Times New Roman"/>
                <w:sz w:val="20"/>
                <w:szCs w:val="20"/>
              </w:rPr>
              <w:t>0.04 (-1.07, 1.14)</w:t>
            </w:r>
          </w:p>
        </w:tc>
        <w:tc>
          <w:tcPr>
            <w:tcW w:w="2359" w:type="dxa"/>
          </w:tcPr>
          <w:p w14:paraId="2C8F8723" w14:textId="77777777" w:rsidR="00410D4B" w:rsidRPr="00DE64C0" w:rsidRDefault="00410D4B" w:rsidP="00FF4C5F">
            <w:pPr>
              <w:rPr>
                <w:rFonts w:eastAsia="Calibri" w:cs="Times New Roman"/>
                <w:sz w:val="20"/>
                <w:szCs w:val="20"/>
              </w:rPr>
            </w:pPr>
            <w:r w:rsidRPr="00DE64C0">
              <w:rPr>
                <w:rFonts w:eastAsia="Calibri" w:cs="Times New Roman"/>
                <w:sz w:val="20"/>
                <w:szCs w:val="20"/>
              </w:rPr>
              <w:t>-0.14 (-0.64, 0.35)</w:t>
            </w:r>
          </w:p>
        </w:tc>
      </w:tr>
      <w:tr w:rsidR="00410D4B" w:rsidRPr="00DE64C0" w14:paraId="59844833" w14:textId="77777777" w:rsidTr="009310C1">
        <w:trPr>
          <w:jc w:val="center"/>
        </w:trPr>
        <w:tc>
          <w:tcPr>
            <w:tcW w:w="2697" w:type="dxa"/>
            <w:shd w:val="clear" w:color="auto" w:fill="auto"/>
          </w:tcPr>
          <w:p w14:paraId="4A1FCD19" w14:textId="77777777" w:rsidR="00410D4B" w:rsidRPr="00DE64C0" w:rsidRDefault="00410D4B" w:rsidP="00FF4C5F">
            <w:pPr>
              <w:rPr>
                <w:rFonts w:eastAsia="Calibri" w:cs="Times New Roman"/>
                <w:sz w:val="20"/>
                <w:szCs w:val="20"/>
              </w:rPr>
            </w:pPr>
            <w:r w:rsidRPr="00DE64C0">
              <w:rPr>
                <w:rFonts w:eastAsia="Calibri" w:cs="Times New Roman"/>
                <w:sz w:val="20"/>
                <w:szCs w:val="20"/>
              </w:rPr>
              <w:t>Metabolic syndrome†</w:t>
            </w:r>
          </w:p>
        </w:tc>
        <w:tc>
          <w:tcPr>
            <w:tcW w:w="2416" w:type="dxa"/>
          </w:tcPr>
          <w:p w14:paraId="410C0FC0" w14:textId="77777777" w:rsidR="00410D4B" w:rsidRPr="00DE64C0" w:rsidRDefault="00410D4B" w:rsidP="00FF4C5F">
            <w:pPr>
              <w:rPr>
                <w:rFonts w:eastAsia="Calibri" w:cs="Times New Roman"/>
                <w:sz w:val="20"/>
                <w:szCs w:val="20"/>
              </w:rPr>
            </w:pPr>
            <w:r w:rsidRPr="00DE64C0">
              <w:rPr>
                <w:rFonts w:eastAsia="Calibri" w:cs="Times New Roman"/>
                <w:sz w:val="20"/>
                <w:szCs w:val="20"/>
              </w:rPr>
              <w:t>NR</w:t>
            </w:r>
          </w:p>
        </w:tc>
        <w:tc>
          <w:tcPr>
            <w:tcW w:w="2416" w:type="dxa"/>
          </w:tcPr>
          <w:p w14:paraId="06C50029" w14:textId="77777777" w:rsidR="00410D4B" w:rsidRPr="00DE64C0" w:rsidRDefault="00410D4B" w:rsidP="00FF4C5F">
            <w:pPr>
              <w:rPr>
                <w:rFonts w:eastAsia="Calibri" w:cs="Times New Roman"/>
                <w:sz w:val="20"/>
                <w:szCs w:val="20"/>
              </w:rPr>
            </w:pPr>
            <w:r w:rsidRPr="00DE64C0">
              <w:rPr>
                <w:rFonts w:eastAsia="Calibri" w:cs="Times New Roman"/>
                <w:sz w:val="20"/>
                <w:szCs w:val="20"/>
              </w:rPr>
              <w:t>1.05 (0.78, 1.43)</w:t>
            </w:r>
          </w:p>
        </w:tc>
        <w:tc>
          <w:tcPr>
            <w:tcW w:w="2416" w:type="dxa"/>
          </w:tcPr>
          <w:p w14:paraId="4EA3DC57" w14:textId="77777777" w:rsidR="00410D4B" w:rsidRPr="00DE64C0" w:rsidRDefault="00410D4B" w:rsidP="00FF4C5F">
            <w:pPr>
              <w:rPr>
                <w:rFonts w:eastAsia="Calibri" w:cs="Times New Roman"/>
                <w:sz w:val="20"/>
                <w:szCs w:val="20"/>
              </w:rPr>
            </w:pPr>
            <w:r w:rsidRPr="00DE64C0">
              <w:rPr>
                <w:rFonts w:eastAsia="Calibri" w:cs="Times New Roman"/>
                <w:sz w:val="20"/>
                <w:szCs w:val="20"/>
              </w:rPr>
              <w:t>0.81 (0.60, 1.09)</w:t>
            </w:r>
          </w:p>
        </w:tc>
        <w:tc>
          <w:tcPr>
            <w:tcW w:w="2322" w:type="dxa"/>
            <w:shd w:val="clear" w:color="auto" w:fill="auto"/>
          </w:tcPr>
          <w:p w14:paraId="7F48DF53" w14:textId="77777777" w:rsidR="00410D4B" w:rsidRPr="00DE64C0" w:rsidRDefault="00410D4B" w:rsidP="00FF4C5F">
            <w:pPr>
              <w:rPr>
                <w:rFonts w:eastAsia="Calibri" w:cs="Times New Roman"/>
                <w:sz w:val="20"/>
                <w:szCs w:val="20"/>
              </w:rPr>
            </w:pPr>
            <w:r w:rsidRPr="00DE64C0">
              <w:rPr>
                <w:rFonts w:eastAsia="Calibri" w:cs="Times New Roman"/>
                <w:sz w:val="20"/>
                <w:szCs w:val="20"/>
              </w:rPr>
              <w:t>1.10 (0.83, 1.46)</w:t>
            </w:r>
          </w:p>
        </w:tc>
        <w:tc>
          <w:tcPr>
            <w:tcW w:w="2359" w:type="dxa"/>
          </w:tcPr>
          <w:p w14:paraId="29AC7EAC" w14:textId="77777777" w:rsidR="00410D4B" w:rsidRPr="00DE64C0" w:rsidRDefault="00410D4B" w:rsidP="00FF4C5F">
            <w:pPr>
              <w:rPr>
                <w:rFonts w:eastAsia="Calibri" w:cs="Times New Roman"/>
                <w:sz w:val="20"/>
                <w:szCs w:val="20"/>
              </w:rPr>
            </w:pPr>
            <w:r w:rsidRPr="00DE64C0">
              <w:rPr>
                <w:rFonts w:eastAsia="Calibri" w:cs="Times New Roman"/>
                <w:sz w:val="20"/>
                <w:szCs w:val="20"/>
              </w:rPr>
              <w:t>1.10 (0.83, 1.46)</w:t>
            </w:r>
          </w:p>
        </w:tc>
      </w:tr>
      <w:tr w:rsidR="00410D4B" w:rsidRPr="00DE64C0" w14:paraId="2342A421" w14:textId="77777777" w:rsidTr="009310C1">
        <w:trPr>
          <w:jc w:val="center"/>
        </w:trPr>
        <w:tc>
          <w:tcPr>
            <w:tcW w:w="2697" w:type="dxa"/>
            <w:shd w:val="clear" w:color="auto" w:fill="auto"/>
          </w:tcPr>
          <w:p w14:paraId="42D2C3D0" w14:textId="77777777" w:rsidR="00410D4B" w:rsidRPr="00DE64C0" w:rsidRDefault="00410D4B" w:rsidP="00FF4C5F">
            <w:pPr>
              <w:rPr>
                <w:rFonts w:eastAsia="Calibri" w:cs="Times New Roman"/>
                <w:sz w:val="20"/>
                <w:szCs w:val="20"/>
              </w:rPr>
            </w:pPr>
            <w:r w:rsidRPr="00DE64C0">
              <w:rPr>
                <w:rFonts w:eastAsia="Calibri" w:cs="Times New Roman"/>
                <w:sz w:val="20"/>
                <w:szCs w:val="20"/>
              </w:rPr>
              <w:t>Illness perception score (BIPQ)</w:t>
            </w:r>
            <w:r w:rsidRPr="00DE64C0">
              <w:rPr>
                <w:rFonts w:cs="Times New Roman"/>
                <w:sz w:val="20"/>
                <w:szCs w:val="20"/>
              </w:rPr>
              <w:t>≠</w:t>
            </w:r>
          </w:p>
        </w:tc>
        <w:tc>
          <w:tcPr>
            <w:tcW w:w="2416" w:type="dxa"/>
          </w:tcPr>
          <w:p w14:paraId="2AAEE2FF" w14:textId="77777777" w:rsidR="00410D4B" w:rsidRPr="00DE64C0" w:rsidRDefault="00410D4B" w:rsidP="00FF4C5F">
            <w:pPr>
              <w:rPr>
                <w:rFonts w:eastAsia="Calibri" w:cs="Times New Roman"/>
                <w:sz w:val="20"/>
                <w:szCs w:val="20"/>
              </w:rPr>
            </w:pPr>
            <w:r w:rsidRPr="00DE64C0">
              <w:rPr>
                <w:rFonts w:eastAsia="Calibri" w:cs="Times New Roman"/>
                <w:sz w:val="20"/>
                <w:szCs w:val="20"/>
              </w:rPr>
              <w:t>-1.46 (-3.13, 0.21)</w:t>
            </w:r>
          </w:p>
        </w:tc>
        <w:tc>
          <w:tcPr>
            <w:tcW w:w="2416" w:type="dxa"/>
          </w:tcPr>
          <w:p w14:paraId="124721B6" w14:textId="77777777" w:rsidR="00410D4B" w:rsidRPr="00DE64C0" w:rsidRDefault="00410D4B" w:rsidP="00FF4C5F">
            <w:pPr>
              <w:rPr>
                <w:rFonts w:eastAsia="Calibri" w:cs="Times New Roman"/>
                <w:sz w:val="20"/>
                <w:szCs w:val="20"/>
              </w:rPr>
            </w:pPr>
            <w:r w:rsidRPr="00DE64C0">
              <w:rPr>
                <w:rFonts w:eastAsia="Calibri" w:cs="Times New Roman"/>
                <w:sz w:val="20"/>
                <w:szCs w:val="20"/>
              </w:rPr>
              <w:t>-2.06 (-4.03, -0.09)*</w:t>
            </w:r>
          </w:p>
        </w:tc>
        <w:tc>
          <w:tcPr>
            <w:tcW w:w="2416" w:type="dxa"/>
          </w:tcPr>
          <w:p w14:paraId="4DE50B1F" w14:textId="77777777" w:rsidR="00410D4B" w:rsidRPr="00DE64C0" w:rsidRDefault="00410D4B" w:rsidP="00FF4C5F">
            <w:pPr>
              <w:rPr>
                <w:rFonts w:eastAsia="Calibri" w:cs="Times New Roman"/>
                <w:sz w:val="20"/>
                <w:szCs w:val="20"/>
              </w:rPr>
            </w:pPr>
            <w:r w:rsidRPr="00DE64C0">
              <w:rPr>
                <w:rFonts w:eastAsia="Calibri" w:cs="Times New Roman"/>
                <w:sz w:val="20"/>
                <w:szCs w:val="20"/>
              </w:rPr>
              <w:t>-2.47 (-4.16, -0.78)**</w:t>
            </w:r>
          </w:p>
        </w:tc>
        <w:tc>
          <w:tcPr>
            <w:tcW w:w="2322" w:type="dxa"/>
            <w:shd w:val="clear" w:color="auto" w:fill="auto"/>
          </w:tcPr>
          <w:p w14:paraId="66E89374" w14:textId="77777777" w:rsidR="00410D4B" w:rsidRPr="00DE64C0" w:rsidRDefault="00410D4B" w:rsidP="00FF4C5F">
            <w:pPr>
              <w:rPr>
                <w:rFonts w:eastAsia="Calibri" w:cs="Times New Roman"/>
                <w:sz w:val="20"/>
                <w:szCs w:val="20"/>
              </w:rPr>
            </w:pPr>
            <w:r w:rsidRPr="00DE64C0">
              <w:rPr>
                <w:rFonts w:eastAsia="Calibri" w:cs="Times New Roman"/>
                <w:sz w:val="20"/>
                <w:szCs w:val="20"/>
              </w:rPr>
              <w:t>-1.16 (-2.69, 0.37)</w:t>
            </w:r>
          </w:p>
        </w:tc>
        <w:tc>
          <w:tcPr>
            <w:tcW w:w="2359" w:type="dxa"/>
          </w:tcPr>
          <w:p w14:paraId="036DB843" w14:textId="77777777" w:rsidR="00410D4B" w:rsidRPr="00DE64C0" w:rsidRDefault="00410D4B" w:rsidP="00FF4C5F">
            <w:pPr>
              <w:rPr>
                <w:rFonts w:eastAsia="Calibri" w:cs="Times New Roman"/>
                <w:sz w:val="20"/>
                <w:szCs w:val="20"/>
              </w:rPr>
            </w:pPr>
            <w:r w:rsidRPr="00DE64C0">
              <w:rPr>
                <w:rFonts w:eastAsia="Calibri" w:cs="Times New Roman"/>
                <w:sz w:val="20"/>
                <w:szCs w:val="20"/>
              </w:rPr>
              <w:t>-1.61 (-2.92, -0.30)*</w:t>
            </w:r>
          </w:p>
        </w:tc>
      </w:tr>
      <w:tr w:rsidR="00410D4B" w:rsidRPr="00DE64C0" w14:paraId="2CD3FADD" w14:textId="77777777" w:rsidTr="009310C1">
        <w:trPr>
          <w:jc w:val="center"/>
        </w:trPr>
        <w:tc>
          <w:tcPr>
            <w:tcW w:w="2697" w:type="dxa"/>
            <w:shd w:val="clear" w:color="auto" w:fill="auto"/>
          </w:tcPr>
          <w:p w14:paraId="4E9F4BE5" w14:textId="684903E8" w:rsidR="00410D4B" w:rsidRPr="00DE64C0" w:rsidRDefault="00410D4B" w:rsidP="00FF4C5F">
            <w:pPr>
              <w:rPr>
                <w:rFonts w:eastAsia="Calibri" w:cs="Times New Roman"/>
                <w:sz w:val="20"/>
                <w:szCs w:val="20"/>
              </w:rPr>
            </w:pPr>
            <w:r w:rsidRPr="00DE64C0">
              <w:rPr>
                <w:rFonts w:eastAsia="Calibri" w:cs="Times New Roman"/>
                <w:sz w:val="20"/>
                <w:szCs w:val="20"/>
              </w:rPr>
              <w:t>Quality of life score (15D)†</w:t>
            </w:r>
            <w:r w:rsidR="00E92898" w:rsidRPr="00DE64C0">
              <w:rPr>
                <w:rFonts w:eastAsia="Calibri" w:cs="Times New Roman"/>
                <w:sz w:val="20"/>
                <w:szCs w:val="20"/>
              </w:rPr>
              <w:t xml:space="preserve"> †</w:t>
            </w:r>
          </w:p>
        </w:tc>
        <w:tc>
          <w:tcPr>
            <w:tcW w:w="2416" w:type="dxa"/>
          </w:tcPr>
          <w:p w14:paraId="502F7C16" w14:textId="77777777" w:rsidR="00410D4B" w:rsidRPr="00DE64C0" w:rsidRDefault="00410D4B" w:rsidP="00FF4C5F">
            <w:pPr>
              <w:rPr>
                <w:rFonts w:eastAsia="Calibri" w:cs="Times New Roman"/>
                <w:sz w:val="20"/>
                <w:szCs w:val="20"/>
              </w:rPr>
            </w:pPr>
            <w:r w:rsidRPr="00DE64C0">
              <w:rPr>
                <w:rFonts w:eastAsia="Calibri" w:cs="Times New Roman"/>
                <w:sz w:val="20"/>
                <w:szCs w:val="20"/>
              </w:rPr>
              <w:t>0.01 (-0.001, 0.01)</w:t>
            </w:r>
          </w:p>
        </w:tc>
        <w:tc>
          <w:tcPr>
            <w:tcW w:w="2416" w:type="dxa"/>
          </w:tcPr>
          <w:p w14:paraId="48B84769" w14:textId="77777777" w:rsidR="00410D4B" w:rsidRPr="00DE64C0" w:rsidRDefault="00410D4B" w:rsidP="00FF4C5F">
            <w:pPr>
              <w:rPr>
                <w:rFonts w:eastAsia="Calibri" w:cs="Times New Roman"/>
                <w:sz w:val="20"/>
                <w:szCs w:val="20"/>
              </w:rPr>
            </w:pPr>
            <w:r w:rsidRPr="00DE64C0">
              <w:rPr>
                <w:rFonts w:eastAsia="Calibri" w:cs="Times New Roman"/>
                <w:sz w:val="20"/>
                <w:szCs w:val="20"/>
              </w:rPr>
              <w:t>0.01 (-0.002, 0.02)</w:t>
            </w:r>
          </w:p>
        </w:tc>
        <w:tc>
          <w:tcPr>
            <w:tcW w:w="2416" w:type="dxa"/>
          </w:tcPr>
          <w:p w14:paraId="609864CE" w14:textId="77777777" w:rsidR="00410D4B" w:rsidRPr="00DE64C0" w:rsidRDefault="00410D4B" w:rsidP="00FF4C5F">
            <w:pPr>
              <w:rPr>
                <w:rFonts w:eastAsia="Calibri" w:cs="Times New Roman"/>
                <w:sz w:val="20"/>
                <w:szCs w:val="20"/>
              </w:rPr>
            </w:pPr>
            <w:r w:rsidRPr="00DE64C0">
              <w:rPr>
                <w:rFonts w:eastAsia="Calibri" w:cs="Times New Roman"/>
                <w:sz w:val="20"/>
                <w:szCs w:val="20"/>
              </w:rPr>
              <w:t>0.01 (-0.002, 0.02)</w:t>
            </w:r>
          </w:p>
        </w:tc>
        <w:tc>
          <w:tcPr>
            <w:tcW w:w="2322" w:type="dxa"/>
            <w:shd w:val="clear" w:color="auto" w:fill="auto"/>
          </w:tcPr>
          <w:p w14:paraId="51600E9F" w14:textId="77777777" w:rsidR="00410D4B" w:rsidRPr="00DE64C0" w:rsidRDefault="00410D4B" w:rsidP="00FF4C5F">
            <w:pPr>
              <w:rPr>
                <w:rFonts w:eastAsia="Calibri" w:cs="Times New Roman"/>
                <w:sz w:val="20"/>
                <w:szCs w:val="20"/>
              </w:rPr>
            </w:pPr>
            <w:r w:rsidRPr="00DE64C0">
              <w:rPr>
                <w:rFonts w:eastAsia="Calibri" w:cs="Times New Roman"/>
                <w:sz w:val="20"/>
                <w:szCs w:val="20"/>
              </w:rPr>
              <w:t>0.02 (0.01, 0.03)**</w:t>
            </w:r>
          </w:p>
        </w:tc>
        <w:tc>
          <w:tcPr>
            <w:tcW w:w="2359" w:type="dxa"/>
          </w:tcPr>
          <w:p w14:paraId="6D1DD728" w14:textId="77777777" w:rsidR="00410D4B" w:rsidRPr="00DE64C0" w:rsidRDefault="00410D4B" w:rsidP="00FF4C5F">
            <w:pPr>
              <w:rPr>
                <w:rFonts w:eastAsia="Calibri" w:cs="Times New Roman"/>
                <w:sz w:val="20"/>
                <w:szCs w:val="20"/>
              </w:rPr>
            </w:pPr>
            <w:r w:rsidRPr="00DE64C0">
              <w:rPr>
                <w:rFonts w:eastAsia="Calibri" w:cs="Times New Roman"/>
                <w:sz w:val="20"/>
                <w:szCs w:val="20"/>
              </w:rPr>
              <w:t>0.01 (0.001, 0.02)*</w:t>
            </w:r>
          </w:p>
        </w:tc>
      </w:tr>
      <w:tr w:rsidR="00410D4B" w:rsidRPr="00DE64C0" w14:paraId="2321C1AA" w14:textId="77777777" w:rsidTr="009310C1">
        <w:trPr>
          <w:jc w:val="center"/>
        </w:trPr>
        <w:tc>
          <w:tcPr>
            <w:tcW w:w="2697" w:type="dxa"/>
            <w:shd w:val="clear" w:color="auto" w:fill="auto"/>
          </w:tcPr>
          <w:p w14:paraId="5B4BC853" w14:textId="77777777" w:rsidR="00410D4B" w:rsidRPr="00DE64C0" w:rsidRDefault="00410D4B" w:rsidP="00FF4C5F">
            <w:pPr>
              <w:rPr>
                <w:rFonts w:eastAsia="Calibri" w:cs="Times New Roman"/>
                <w:sz w:val="20"/>
                <w:szCs w:val="20"/>
              </w:rPr>
            </w:pPr>
            <w:r w:rsidRPr="00DE64C0">
              <w:rPr>
                <w:rFonts w:eastAsia="Calibri" w:cs="Times New Roman"/>
                <w:sz w:val="20"/>
                <w:szCs w:val="20"/>
              </w:rPr>
              <w:t>Anxiety score (HADS)</w:t>
            </w:r>
            <w:r w:rsidRPr="00DE64C0">
              <w:rPr>
                <w:rFonts w:cs="Times New Roman"/>
                <w:sz w:val="20"/>
                <w:szCs w:val="20"/>
              </w:rPr>
              <w:t>‡</w:t>
            </w:r>
          </w:p>
        </w:tc>
        <w:tc>
          <w:tcPr>
            <w:tcW w:w="2416" w:type="dxa"/>
          </w:tcPr>
          <w:p w14:paraId="05510268" w14:textId="77777777" w:rsidR="00410D4B" w:rsidRPr="00DE64C0" w:rsidRDefault="00410D4B" w:rsidP="00FF4C5F">
            <w:pPr>
              <w:rPr>
                <w:rFonts w:eastAsia="Calibri" w:cs="Times New Roman"/>
                <w:sz w:val="20"/>
                <w:szCs w:val="20"/>
              </w:rPr>
            </w:pPr>
            <w:r w:rsidRPr="00DE64C0">
              <w:rPr>
                <w:rFonts w:eastAsia="Calibri" w:cs="Times New Roman"/>
                <w:sz w:val="20"/>
                <w:szCs w:val="20"/>
              </w:rPr>
              <w:t>-0.21 (-0.57, 0.15)</w:t>
            </w:r>
          </w:p>
        </w:tc>
        <w:tc>
          <w:tcPr>
            <w:tcW w:w="2416" w:type="dxa"/>
          </w:tcPr>
          <w:p w14:paraId="0FD5F2A0" w14:textId="77777777" w:rsidR="00410D4B" w:rsidRPr="00DE64C0" w:rsidRDefault="00410D4B" w:rsidP="00FF4C5F">
            <w:pPr>
              <w:rPr>
                <w:rFonts w:eastAsia="Calibri" w:cs="Times New Roman"/>
                <w:sz w:val="20"/>
                <w:szCs w:val="20"/>
              </w:rPr>
            </w:pPr>
            <w:r w:rsidRPr="00DE64C0">
              <w:rPr>
                <w:rFonts w:eastAsia="Calibri" w:cs="Times New Roman"/>
                <w:sz w:val="20"/>
                <w:szCs w:val="20"/>
              </w:rPr>
              <w:t>-0.40 (-0.77, -0.03)*</w:t>
            </w:r>
          </w:p>
        </w:tc>
        <w:tc>
          <w:tcPr>
            <w:tcW w:w="2416" w:type="dxa"/>
          </w:tcPr>
          <w:p w14:paraId="1DC9A95C" w14:textId="77777777" w:rsidR="00410D4B" w:rsidRPr="00DE64C0" w:rsidRDefault="00410D4B" w:rsidP="00FF4C5F">
            <w:pPr>
              <w:rPr>
                <w:rFonts w:eastAsia="Calibri" w:cs="Times New Roman"/>
                <w:sz w:val="20"/>
                <w:szCs w:val="20"/>
              </w:rPr>
            </w:pPr>
            <w:r w:rsidRPr="00DE64C0">
              <w:rPr>
                <w:rFonts w:eastAsia="Calibri" w:cs="Times New Roman"/>
                <w:sz w:val="20"/>
                <w:szCs w:val="20"/>
              </w:rPr>
              <w:t>-0.09 (-0.40, 0.21)</w:t>
            </w:r>
          </w:p>
        </w:tc>
        <w:tc>
          <w:tcPr>
            <w:tcW w:w="2322" w:type="dxa"/>
            <w:shd w:val="clear" w:color="auto" w:fill="auto"/>
          </w:tcPr>
          <w:p w14:paraId="5C7301F7" w14:textId="77777777" w:rsidR="00410D4B" w:rsidRPr="00DE64C0" w:rsidRDefault="00410D4B" w:rsidP="00FF4C5F">
            <w:pPr>
              <w:rPr>
                <w:rFonts w:eastAsia="Calibri" w:cs="Times New Roman"/>
                <w:sz w:val="20"/>
                <w:szCs w:val="20"/>
              </w:rPr>
            </w:pPr>
            <w:r w:rsidRPr="00DE64C0">
              <w:rPr>
                <w:rFonts w:eastAsia="Calibri" w:cs="Times New Roman"/>
                <w:sz w:val="20"/>
                <w:szCs w:val="20"/>
              </w:rPr>
              <w:t>-0.11 (-0.44, 0.23)</w:t>
            </w:r>
          </w:p>
        </w:tc>
        <w:tc>
          <w:tcPr>
            <w:tcW w:w="2359" w:type="dxa"/>
          </w:tcPr>
          <w:p w14:paraId="431F4EE0" w14:textId="77777777" w:rsidR="00410D4B" w:rsidRPr="00DE64C0" w:rsidRDefault="00410D4B" w:rsidP="00FF4C5F">
            <w:pPr>
              <w:rPr>
                <w:rFonts w:eastAsia="Calibri" w:cs="Times New Roman"/>
                <w:sz w:val="20"/>
                <w:szCs w:val="20"/>
              </w:rPr>
            </w:pPr>
            <w:r w:rsidRPr="00DE64C0">
              <w:rPr>
                <w:rFonts w:eastAsia="Calibri" w:cs="Times New Roman"/>
                <w:sz w:val="20"/>
                <w:szCs w:val="20"/>
              </w:rPr>
              <w:t>-0.28 (-0.54, -0.02)*</w:t>
            </w:r>
          </w:p>
        </w:tc>
      </w:tr>
      <w:tr w:rsidR="00410D4B" w:rsidRPr="00DE64C0" w14:paraId="53330D75" w14:textId="77777777" w:rsidTr="009310C1">
        <w:trPr>
          <w:jc w:val="center"/>
        </w:trPr>
        <w:tc>
          <w:tcPr>
            <w:tcW w:w="2697" w:type="dxa"/>
            <w:shd w:val="clear" w:color="auto" w:fill="auto"/>
          </w:tcPr>
          <w:p w14:paraId="610F6BE0" w14:textId="77777777" w:rsidR="00410D4B" w:rsidRPr="00DE64C0" w:rsidRDefault="00410D4B" w:rsidP="00FF4C5F">
            <w:pPr>
              <w:rPr>
                <w:rFonts w:eastAsia="Calibri" w:cs="Times New Roman"/>
                <w:sz w:val="20"/>
                <w:szCs w:val="20"/>
              </w:rPr>
            </w:pPr>
            <w:r w:rsidRPr="00DE64C0">
              <w:rPr>
                <w:rFonts w:eastAsia="Calibri" w:cs="Times New Roman"/>
                <w:sz w:val="20"/>
                <w:szCs w:val="20"/>
              </w:rPr>
              <w:t>Depression score (HADS)</w:t>
            </w:r>
            <w:r w:rsidRPr="00DE64C0">
              <w:rPr>
                <w:rFonts w:cs="Times New Roman"/>
                <w:sz w:val="20"/>
                <w:szCs w:val="20"/>
              </w:rPr>
              <w:t>‡</w:t>
            </w:r>
          </w:p>
        </w:tc>
        <w:tc>
          <w:tcPr>
            <w:tcW w:w="2416" w:type="dxa"/>
          </w:tcPr>
          <w:p w14:paraId="27AA5767" w14:textId="77777777" w:rsidR="00410D4B" w:rsidRPr="00DE64C0" w:rsidRDefault="00410D4B" w:rsidP="00FF4C5F">
            <w:pPr>
              <w:rPr>
                <w:rFonts w:eastAsia="Calibri" w:cs="Times New Roman"/>
                <w:sz w:val="20"/>
                <w:szCs w:val="20"/>
              </w:rPr>
            </w:pPr>
            <w:r w:rsidRPr="00DE64C0">
              <w:rPr>
                <w:rFonts w:eastAsia="Calibri" w:cs="Times New Roman"/>
                <w:sz w:val="20"/>
                <w:szCs w:val="20"/>
              </w:rPr>
              <w:t>-0.08 (-0.42, 0.26)</w:t>
            </w:r>
          </w:p>
        </w:tc>
        <w:tc>
          <w:tcPr>
            <w:tcW w:w="2416" w:type="dxa"/>
          </w:tcPr>
          <w:p w14:paraId="4CE7DAE4" w14:textId="77777777" w:rsidR="00410D4B" w:rsidRPr="00DE64C0" w:rsidRDefault="00410D4B" w:rsidP="00FF4C5F">
            <w:pPr>
              <w:rPr>
                <w:rFonts w:eastAsia="Calibri" w:cs="Times New Roman"/>
                <w:sz w:val="20"/>
                <w:szCs w:val="20"/>
              </w:rPr>
            </w:pPr>
            <w:r w:rsidRPr="00DE64C0">
              <w:rPr>
                <w:rFonts w:eastAsia="Calibri" w:cs="Times New Roman"/>
                <w:sz w:val="20"/>
                <w:szCs w:val="20"/>
              </w:rPr>
              <w:t>-0.34 (-0.81, 0.14)</w:t>
            </w:r>
          </w:p>
        </w:tc>
        <w:tc>
          <w:tcPr>
            <w:tcW w:w="2416" w:type="dxa"/>
          </w:tcPr>
          <w:p w14:paraId="75C539D0" w14:textId="77777777" w:rsidR="00410D4B" w:rsidRPr="00DE64C0" w:rsidRDefault="00410D4B" w:rsidP="00FF4C5F">
            <w:pPr>
              <w:rPr>
                <w:rFonts w:eastAsia="Calibri" w:cs="Times New Roman"/>
                <w:sz w:val="20"/>
                <w:szCs w:val="20"/>
              </w:rPr>
            </w:pPr>
            <w:r w:rsidRPr="00DE64C0">
              <w:rPr>
                <w:rFonts w:eastAsia="Calibri" w:cs="Times New Roman"/>
                <w:sz w:val="20"/>
                <w:szCs w:val="20"/>
              </w:rPr>
              <w:t>-0.09 (-0.45, 0.27)</w:t>
            </w:r>
          </w:p>
        </w:tc>
        <w:tc>
          <w:tcPr>
            <w:tcW w:w="2322" w:type="dxa"/>
            <w:shd w:val="clear" w:color="auto" w:fill="auto"/>
          </w:tcPr>
          <w:p w14:paraId="2A47CA5D" w14:textId="77777777" w:rsidR="00410D4B" w:rsidRPr="00DE64C0" w:rsidRDefault="00410D4B" w:rsidP="00FF4C5F">
            <w:pPr>
              <w:rPr>
                <w:rFonts w:eastAsia="Calibri" w:cs="Times New Roman"/>
                <w:sz w:val="20"/>
                <w:szCs w:val="20"/>
              </w:rPr>
            </w:pPr>
            <w:r w:rsidRPr="00DE64C0">
              <w:rPr>
                <w:rFonts w:eastAsia="Calibri" w:cs="Times New Roman"/>
                <w:sz w:val="20"/>
                <w:szCs w:val="20"/>
              </w:rPr>
              <w:t>-0.05 (-0.44, 0.35)</w:t>
            </w:r>
          </w:p>
        </w:tc>
        <w:tc>
          <w:tcPr>
            <w:tcW w:w="2359" w:type="dxa"/>
          </w:tcPr>
          <w:p w14:paraId="1F2B178C" w14:textId="77777777" w:rsidR="00410D4B" w:rsidRPr="00DE64C0" w:rsidRDefault="00410D4B" w:rsidP="00FF4C5F">
            <w:pPr>
              <w:rPr>
                <w:rFonts w:eastAsia="Calibri" w:cs="Times New Roman"/>
                <w:sz w:val="20"/>
                <w:szCs w:val="20"/>
              </w:rPr>
            </w:pPr>
            <w:r w:rsidRPr="00DE64C0">
              <w:rPr>
                <w:rFonts w:eastAsia="Calibri" w:cs="Times New Roman"/>
                <w:sz w:val="20"/>
                <w:szCs w:val="20"/>
              </w:rPr>
              <w:t>-0.21 (-0.57, 0.16)</w:t>
            </w:r>
          </w:p>
        </w:tc>
      </w:tr>
      <w:tr w:rsidR="00410D4B" w:rsidRPr="00DE64C0" w14:paraId="7E5FA23A" w14:textId="77777777" w:rsidTr="009310C1">
        <w:trPr>
          <w:jc w:val="center"/>
        </w:trPr>
        <w:tc>
          <w:tcPr>
            <w:tcW w:w="2697" w:type="dxa"/>
            <w:shd w:val="clear" w:color="auto" w:fill="auto"/>
            <w:vAlign w:val="bottom"/>
          </w:tcPr>
          <w:p w14:paraId="689812CD" w14:textId="77777777" w:rsidR="00410D4B" w:rsidRPr="00DE64C0" w:rsidRDefault="00410D4B" w:rsidP="00FF4C5F">
            <w:pPr>
              <w:rPr>
                <w:rFonts w:eastAsia="Calibri" w:cs="Times New Roman"/>
                <w:sz w:val="20"/>
                <w:szCs w:val="20"/>
              </w:rPr>
            </w:pPr>
            <w:r w:rsidRPr="00DE64C0">
              <w:rPr>
                <w:rFonts w:eastAsia="Calibri" w:cs="Times New Roman"/>
                <w:color w:val="000000"/>
                <w:sz w:val="20"/>
                <w:szCs w:val="20"/>
                <w:lang w:eastAsia="en-GB"/>
              </w:rPr>
              <w:lastRenderedPageBreak/>
              <w:t>Diet (DINE):</w:t>
            </w:r>
          </w:p>
        </w:tc>
        <w:tc>
          <w:tcPr>
            <w:tcW w:w="2416" w:type="dxa"/>
          </w:tcPr>
          <w:p w14:paraId="2D161F63" w14:textId="77777777" w:rsidR="00410D4B" w:rsidRPr="00DE64C0" w:rsidRDefault="00410D4B" w:rsidP="00FF4C5F">
            <w:pPr>
              <w:rPr>
                <w:rFonts w:eastAsia="Calibri" w:cs="Times New Roman"/>
                <w:sz w:val="20"/>
                <w:szCs w:val="20"/>
              </w:rPr>
            </w:pPr>
          </w:p>
        </w:tc>
        <w:tc>
          <w:tcPr>
            <w:tcW w:w="2416" w:type="dxa"/>
          </w:tcPr>
          <w:p w14:paraId="44BED56F" w14:textId="77777777" w:rsidR="00410D4B" w:rsidRPr="00DE64C0" w:rsidRDefault="00410D4B" w:rsidP="00FF4C5F">
            <w:pPr>
              <w:rPr>
                <w:rFonts w:eastAsia="Calibri" w:cs="Times New Roman"/>
                <w:sz w:val="20"/>
                <w:szCs w:val="20"/>
              </w:rPr>
            </w:pPr>
          </w:p>
        </w:tc>
        <w:tc>
          <w:tcPr>
            <w:tcW w:w="2416" w:type="dxa"/>
          </w:tcPr>
          <w:p w14:paraId="680ECD34" w14:textId="77777777" w:rsidR="00410D4B" w:rsidRPr="00DE64C0" w:rsidRDefault="00410D4B" w:rsidP="00FF4C5F">
            <w:pPr>
              <w:rPr>
                <w:rFonts w:eastAsia="Calibri" w:cs="Times New Roman"/>
                <w:sz w:val="20"/>
                <w:szCs w:val="20"/>
              </w:rPr>
            </w:pPr>
          </w:p>
        </w:tc>
        <w:tc>
          <w:tcPr>
            <w:tcW w:w="2322" w:type="dxa"/>
            <w:shd w:val="clear" w:color="auto" w:fill="auto"/>
          </w:tcPr>
          <w:p w14:paraId="1AE3217B" w14:textId="77777777" w:rsidR="00410D4B" w:rsidRPr="00DE64C0" w:rsidRDefault="00410D4B" w:rsidP="00FF4C5F">
            <w:pPr>
              <w:rPr>
                <w:rFonts w:eastAsia="Calibri" w:cs="Times New Roman"/>
                <w:sz w:val="20"/>
                <w:szCs w:val="20"/>
              </w:rPr>
            </w:pPr>
          </w:p>
        </w:tc>
        <w:tc>
          <w:tcPr>
            <w:tcW w:w="2359" w:type="dxa"/>
          </w:tcPr>
          <w:p w14:paraId="16881A24" w14:textId="77777777" w:rsidR="00410D4B" w:rsidRPr="00DE64C0" w:rsidRDefault="00410D4B" w:rsidP="00FF4C5F">
            <w:pPr>
              <w:rPr>
                <w:rFonts w:eastAsia="Calibri" w:cs="Times New Roman"/>
                <w:sz w:val="20"/>
                <w:szCs w:val="20"/>
              </w:rPr>
            </w:pPr>
          </w:p>
        </w:tc>
      </w:tr>
      <w:tr w:rsidR="00410D4B" w:rsidRPr="00DE64C0" w14:paraId="5FE1D0C1" w14:textId="77777777" w:rsidTr="009310C1">
        <w:trPr>
          <w:jc w:val="center"/>
        </w:trPr>
        <w:tc>
          <w:tcPr>
            <w:tcW w:w="2697" w:type="dxa"/>
            <w:shd w:val="clear" w:color="auto" w:fill="auto"/>
            <w:vAlign w:val="bottom"/>
          </w:tcPr>
          <w:p w14:paraId="35DF9264" w14:textId="77777777" w:rsidR="00410D4B" w:rsidRPr="00DE64C0" w:rsidRDefault="00410D4B" w:rsidP="00FF4C5F">
            <w:pPr>
              <w:rPr>
                <w:rFonts w:eastAsia="Calibri" w:cs="Times New Roman"/>
                <w:sz w:val="20"/>
                <w:szCs w:val="20"/>
              </w:rPr>
            </w:pPr>
            <w:r w:rsidRPr="00DE64C0">
              <w:rPr>
                <w:rFonts w:eastAsia="Calibri" w:cs="Times New Roman"/>
                <w:sz w:val="20"/>
                <w:szCs w:val="20"/>
              </w:rPr>
              <w:t>Fibre intake</w:t>
            </w:r>
          </w:p>
        </w:tc>
        <w:tc>
          <w:tcPr>
            <w:tcW w:w="2416" w:type="dxa"/>
          </w:tcPr>
          <w:p w14:paraId="5CFFE1D0" w14:textId="77777777" w:rsidR="00410D4B" w:rsidRPr="00DE64C0" w:rsidRDefault="00410D4B" w:rsidP="00FF4C5F">
            <w:pPr>
              <w:rPr>
                <w:rFonts w:eastAsia="Calibri" w:cs="Times New Roman"/>
                <w:sz w:val="20"/>
                <w:szCs w:val="20"/>
              </w:rPr>
            </w:pPr>
            <w:r w:rsidRPr="00DE64C0">
              <w:rPr>
                <w:rFonts w:eastAsia="Calibri" w:cs="Times New Roman"/>
                <w:sz w:val="20"/>
                <w:szCs w:val="20"/>
              </w:rPr>
              <w:t>-1.69 (-4.68, 1.29)</w:t>
            </w:r>
          </w:p>
        </w:tc>
        <w:tc>
          <w:tcPr>
            <w:tcW w:w="2416" w:type="dxa"/>
          </w:tcPr>
          <w:p w14:paraId="5F86E072" w14:textId="77777777" w:rsidR="00410D4B" w:rsidRPr="00DE64C0" w:rsidRDefault="00410D4B" w:rsidP="00FF4C5F">
            <w:pPr>
              <w:rPr>
                <w:rFonts w:eastAsia="Calibri" w:cs="Times New Roman"/>
                <w:sz w:val="20"/>
                <w:szCs w:val="20"/>
              </w:rPr>
            </w:pPr>
            <w:r w:rsidRPr="00DE64C0">
              <w:rPr>
                <w:rFonts w:eastAsia="Calibri" w:cs="Times New Roman"/>
                <w:sz w:val="20"/>
                <w:szCs w:val="20"/>
              </w:rPr>
              <w:t>0.97 (-1.27, 3.21)</w:t>
            </w:r>
          </w:p>
        </w:tc>
        <w:tc>
          <w:tcPr>
            <w:tcW w:w="2416" w:type="dxa"/>
          </w:tcPr>
          <w:p w14:paraId="545D673B" w14:textId="77777777" w:rsidR="00410D4B" w:rsidRPr="00DE64C0" w:rsidRDefault="00410D4B" w:rsidP="00FF4C5F">
            <w:pPr>
              <w:rPr>
                <w:rFonts w:eastAsia="Calibri" w:cs="Times New Roman"/>
                <w:sz w:val="20"/>
                <w:szCs w:val="20"/>
              </w:rPr>
            </w:pPr>
            <w:r w:rsidRPr="00DE64C0">
              <w:rPr>
                <w:rFonts w:eastAsia="Calibri" w:cs="Times New Roman"/>
                <w:sz w:val="20"/>
                <w:szCs w:val="20"/>
              </w:rPr>
              <w:t>-1.64 (-4.68, 1.39)</w:t>
            </w:r>
          </w:p>
        </w:tc>
        <w:tc>
          <w:tcPr>
            <w:tcW w:w="2322" w:type="dxa"/>
            <w:shd w:val="clear" w:color="auto" w:fill="auto"/>
          </w:tcPr>
          <w:p w14:paraId="1E4E18E7" w14:textId="77777777" w:rsidR="00410D4B" w:rsidRPr="00DE64C0" w:rsidRDefault="00410D4B" w:rsidP="00FF4C5F">
            <w:pPr>
              <w:rPr>
                <w:rFonts w:eastAsia="Calibri" w:cs="Times New Roman"/>
                <w:sz w:val="20"/>
                <w:szCs w:val="20"/>
              </w:rPr>
            </w:pPr>
            <w:r w:rsidRPr="00DE64C0">
              <w:rPr>
                <w:rFonts w:eastAsia="Calibri" w:cs="Times New Roman"/>
                <w:sz w:val="20"/>
                <w:szCs w:val="20"/>
              </w:rPr>
              <w:t>1.53 (-0.94, 4.00)</w:t>
            </w:r>
          </w:p>
        </w:tc>
        <w:tc>
          <w:tcPr>
            <w:tcW w:w="2359" w:type="dxa"/>
          </w:tcPr>
          <w:p w14:paraId="351E20EC" w14:textId="77777777" w:rsidR="00410D4B" w:rsidRPr="00DE64C0" w:rsidRDefault="00410D4B" w:rsidP="00FF4C5F">
            <w:pPr>
              <w:rPr>
                <w:rFonts w:eastAsia="Calibri" w:cs="Times New Roman"/>
                <w:sz w:val="20"/>
                <w:szCs w:val="20"/>
              </w:rPr>
            </w:pPr>
            <w:r w:rsidRPr="00DE64C0">
              <w:rPr>
                <w:rFonts w:eastAsia="Calibri" w:cs="Times New Roman"/>
                <w:sz w:val="20"/>
                <w:szCs w:val="20"/>
              </w:rPr>
              <w:t>-1.01 (-3.11, 1.08)</w:t>
            </w:r>
          </w:p>
        </w:tc>
      </w:tr>
      <w:tr w:rsidR="00410D4B" w:rsidRPr="00DE64C0" w14:paraId="0EEDA156" w14:textId="77777777" w:rsidTr="009310C1">
        <w:trPr>
          <w:jc w:val="center"/>
        </w:trPr>
        <w:tc>
          <w:tcPr>
            <w:tcW w:w="2697" w:type="dxa"/>
            <w:shd w:val="clear" w:color="auto" w:fill="auto"/>
            <w:vAlign w:val="bottom"/>
          </w:tcPr>
          <w:p w14:paraId="75125FD7" w14:textId="77777777" w:rsidR="00410D4B" w:rsidRPr="00DE64C0" w:rsidRDefault="00410D4B" w:rsidP="00FF4C5F">
            <w:pPr>
              <w:rPr>
                <w:rFonts w:eastAsia="Calibri" w:cs="Times New Roman"/>
                <w:sz w:val="20"/>
                <w:szCs w:val="20"/>
              </w:rPr>
            </w:pPr>
            <w:r w:rsidRPr="00DE64C0">
              <w:rPr>
                <w:rFonts w:eastAsia="Calibri" w:cs="Times New Roman"/>
                <w:sz w:val="20"/>
                <w:szCs w:val="20"/>
              </w:rPr>
              <w:t>Fat intake</w:t>
            </w:r>
          </w:p>
        </w:tc>
        <w:tc>
          <w:tcPr>
            <w:tcW w:w="2416" w:type="dxa"/>
          </w:tcPr>
          <w:p w14:paraId="5CF3B23D" w14:textId="77777777" w:rsidR="00410D4B" w:rsidRPr="00DE64C0" w:rsidRDefault="00410D4B" w:rsidP="00FF4C5F">
            <w:pPr>
              <w:rPr>
                <w:rFonts w:eastAsia="Calibri" w:cs="Times New Roman"/>
                <w:sz w:val="20"/>
                <w:szCs w:val="20"/>
              </w:rPr>
            </w:pPr>
            <w:r w:rsidRPr="00DE64C0">
              <w:rPr>
                <w:rFonts w:eastAsia="Calibri" w:cs="Times New Roman"/>
                <w:sz w:val="20"/>
                <w:szCs w:val="20"/>
              </w:rPr>
              <w:t>-1.41 (-4.60, 1.77)</w:t>
            </w:r>
          </w:p>
        </w:tc>
        <w:tc>
          <w:tcPr>
            <w:tcW w:w="2416" w:type="dxa"/>
          </w:tcPr>
          <w:p w14:paraId="0C09C706" w14:textId="77777777" w:rsidR="00410D4B" w:rsidRPr="00DE64C0" w:rsidRDefault="00410D4B" w:rsidP="00FF4C5F">
            <w:pPr>
              <w:rPr>
                <w:rFonts w:eastAsia="Calibri" w:cs="Times New Roman"/>
                <w:sz w:val="20"/>
                <w:szCs w:val="20"/>
              </w:rPr>
            </w:pPr>
            <w:r w:rsidRPr="00DE64C0">
              <w:rPr>
                <w:rFonts w:eastAsia="Calibri" w:cs="Times New Roman"/>
                <w:sz w:val="20"/>
                <w:szCs w:val="20"/>
              </w:rPr>
              <w:t>0.45 (-2.62, 3.51)</w:t>
            </w:r>
          </w:p>
        </w:tc>
        <w:tc>
          <w:tcPr>
            <w:tcW w:w="2416" w:type="dxa"/>
          </w:tcPr>
          <w:p w14:paraId="6E24E421" w14:textId="77777777" w:rsidR="00410D4B" w:rsidRPr="00DE64C0" w:rsidRDefault="00410D4B" w:rsidP="00FF4C5F">
            <w:pPr>
              <w:rPr>
                <w:rFonts w:eastAsia="Calibri" w:cs="Times New Roman"/>
                <w:sz w:val="20"/>
                <w:szCs w:val="20"/>
              </w:rPr>
            </w:pPr>
            <w:r w:rsidRPr="00DE64C0">
              <w:rPr>
                <w:rFonts w:eastAsia="Calibri" w:cs="Times New Roman"/>
                <w:sz w:val="20"/>
                <w:szCs w:val="20"/>
              </w:rPr>
              <w:t>-0.55 (-4.04, 2.95)</w:t>
            </w:r>
          </w:p>
        </w:tc>
        <w:tc>
          <w:tcPr>
            <w:tcW w:w="2322" w:type="dxa"/>
            <w:shd w:val="clear" w:color="auto" w:fill="auto"/>
          </w:tcPr>
          <w:p w14:paraId="1850B39C" w14:textId="77777777" w:rsidR="00410D4B" w:rsidRPr="00DE64C0" w:rsidRDefault="00410D4B" w:rsidP="00FF4C5F">
            <w:pPr>
              <w:rPr>
                <w:rFonts w:eastAsia="Calibri" w:cs="Times New Roman"/>
                <w:sz w:val="20"/>
                <w:szCs w:val="20"/>
              </w:rPr>
            </w:pPr>
            <w:r w:rsidRPr="00DE64C0">
              <w:rPr>
                <w:rFonts w:eastAsia="Calibri" w:cs="Times New Roman"/>
                <w:sz w:val="20"/>
                <w:szCs w:val="20"/>
              </w:rPr>
              <w:t>-3.60 (-7.52, 0.31)</w:t>
            </w:r>
          </w:p>
        </w:tc>
        <w:tc>
          <w:tcPr>
            <w:tcW w:w="2359" w:type="dxa"/>
          </w:tcPr>
          <w:p w14:paraId="6B07379E" w14:textId="77777777" w:rsidR="00410D4B" w:rsidRPr="00DE64C0" w:rsidRDefault="00410D4B" w:rsidP="00FF4C5F">
            <w:pPr>
              <w:rPr>
                <w:rFonts w:eastAsia="Calibri" w:cs="Times New Roman"/>
                <w:sz w:val="20"/>
                <w:szCs w:val="20"/>
              </w:rPr>
            </w:pPr>
            <w:r w:rsidRPr="00DE64C0">
              <w:rPr>
                <w:rFonts w:eastAsia="Calibri" w:cs="Times New Roman"/>
                <w:sz w:val="20"/>
                <w:szCs w:val="20"/>
              </w:rPr>
              <w:t>-0.72 (-2.92, 1.48)</w:t>
            </w:r>
          </w:p>
        </w:tc>
      </w:tr>
      <w:tr w:rsidR="00410D4B" w:rsidRPr="00DE64C0" w14:paraId="7086027F" w14:textId="77777777" w:rsidTr="009310C1">
        <w:trPr>
          <w:jc w:val="center"/>
        </w:trPr>
        <w:tc>
          <w:tcPr>
            <w:tcW w:w="2697" w:type="dxa"/>
            <w:shd w:val="clear" w:color="auto" w:fill="auto"/>
            <w:vAlign w:val="bottom"/>
          </w:tcPr>
          <w:p w14:paraId="4D531A29" w14:textId="77777777" w:rsidR="00410D4B" w:rsidRPr="00DE64C0" w:rsidRDefault="00410D4B" w:rsidP="00FF4C5F">
            <w:pPr>
              <w:rPr>
                <w:rFonts w:eastAsia="Calibri" w:cs="Times New Roman"/>
                <w:sz w:val="20"/>
                <w:szCs w:val="20"/>
              </w:rPr>
            </w:pPr>
            <w:r w:rsidRPr="00DE64C0">
              <w:rPr>
                <w:rFonts w:eastAsia="Calibri" w:cs="Times New Roman"/>
                <w:sz w:val="20"/>
                <w:szCs w:val="20"/>
              </w:rPr>
              <w:t>Unsaturated fat intake</w:t>
            </w:r>
          </w:p>
        </w:tc>
        <w:tc>
          <w:tcPr>
            <w:tcW w:w="2416" w:type="dxa"/>
          </w:tcPr>
          <w:p w14:paraId="081F8066" w14:textId="77777777" w:rsidR="00410D4B" w:rsidRPr="00DE64C0" w:rsidRDefault="00410D4B" w:rsidP="00FF4C5F">
            <w:pPr>
              <w:rPr>
                <w:rFonts w:eastAsia="Calibri" w:cs="Times New Roman"/>
                <w:sz w:val="20"/>
                <w:szCs w:val="20"/>
              </w:rPr>
            </w:pPr>
            <w:r w:rsidRPr="00DE64C0">
              <w:rPr>
                <w:rFonts w:eastAsia="Calibri" w:cs="Times New Roman"/>
                <w:sz w:val="20"/>
                <w:szCs w:val="20"/>
              </w:rPr>
              <w:t>0.18 (-0.12, 0.48)</w:t>
            </w:r>
          </w:p>
        </w:tc>
        <w:tc>
          <w:tcPr>
            <w:tcW w:w="2416" w:type="dxa"/>
          </w:tcPr>
          <w:p w14:paraId="3B8D72F1" w14:textId="77777777" w:rsidR="00410D4B" w:rsidRPr="00DE64C0" w:rsidRDefault="00410D4B" w:rsidP="00FF4C5F">
            <w:pPr>
              <w:rPr>
                <w:rFonts w:eastAsia="Calibri" w:cs="Times New Roman"/>
                <w:sz w:val="20"/>
                <w:szCs w:val="20"/>
              </w:rPr>
            </w:pPr>
            <w:r w:rsidRPr="00DE64C0">
              <w:rPr>
                <w:rFonts w:eastAsia="Calibri" w:cs="Times New Roman"/>
                <w:sz w:val="20"/>
                <w:szCs w:val="20"/>
              </w:rPr>
              <w:t>0.32 (0.05, 0.58)*</w:t>
            </w:r>
          </w:p>
        </w:tc>
        <w:tc>
          <w:tcPr>
            <w:tcW w:w="2416" w:type="dxa"/>
          </w:tcPr>
          <w:p w14:paraId="3C7F4FA2" w14:textId="77777777" w:rsidR="00410D4B" w:rsidRPr="00DE64C0" w:rsidRDefault="00410D4B" w:rsidP="00FF4C5F">
            <w:pPr>
              <w:rPr>
                <w:rFonts w:eastAsia="Calibri" w:cs="Times New Roman"/>
                <w:sz w:val="20"/>
                <w:szCs w:val="20"/>
              </w:rPr>
            </w:pPr>
            <w:r w:rsidRPr="00DE64C0">
              <w:rPr>
                <w:rFonts w:eastAsia="Calibri" w:cs="Times New Roman"/>
                <w:sz w:val="20"/>
                <w:szCs w:val="20"/>
              </w:rPr>
              <w:t>0.50 (0.24, 0.76)***</w:t>
            </w:r>
          </w:p>
        </w:tc>
        <w:tc>
          <w:tcPr>
            <w:tcW w:w="2322" w:type="dxa"/>
            <w:shd w:val="clear" w:color="auto" w:fill="auto"/>
          </w:tcPr>
          <w:p w14:paraId="7B1EC9A6" w14:textId="77777777" w:rsidR="00410D4B" w:rsidRPr="00DE64C0" w:rsidRDefault="00410D4B" w:rsidP="00FF4C5F">
            <w:pPr>
              <w:rPr>
                <w:rFonts w:eastAsia="Calibri" w:cs="Times New Roman"/>
                <w:sz w:val="20"/>
                <w:szCs w:val="20"/>
              </w:rPr>
            </w:pPr>
            <w:r w:rsidRPr="00DE64C0">
              <w:rPr>
                <w:rFonts w:eastAsia="Calibri" w:cs="Times New Roman"/>
                <w:sz w:val="20"/>
                <w:szCs w:val="20"/>
              </w:rPr>
              <w:t>0.38 (0.12, 0.63)**</w:t>
            </w:r>
          </w:p>
        </w:tc>
        <w:tc>
          <w:tcPr>
            <w:tcW w:w="2359" w:type="dxa"/>
          </w:tcPr>
          <w:p w14:paraId="672AD04D" w14:textId="77777777" w:rsidR="00410D4B" w:rsidRPr="00DE64C0" w:rsidRDefault="00410D4B" w:rsidP="00FF4C5F">
            <w:pPr>
              <w:rPr>
                <w:rFonts w:eastAsia="Calibri" w:cs="Times New Roman"/>
                <w:sz w:val="20"/>
                <w:szCs w:val="20"/>
              </w:rPr>
            </w:pPr>
            <w:r w:rsidRPr="00DE64C0">
              <w:rPr>
                <w:rFonts w:eastAsia="Calibri" w:cs="Times New Roman"/>
                <w:sz w:val="20"/>
                <w:szCs w:val="20"/>
              </w:rPr>
              <w:t>0.33 (0.15, 0.51)***</w:t>
            </w:r>
          </w:p>
        </w:tc>
      </w:tr>
      <w:tr w:rsidR="00410D4B" w:rsidRPr="00DE64C0" w14:paraId="1B2AC266" w14:textId="77777777" w:rsidTr="009310C1">
        <w:trPr>
          <w:jc w:val="center"/>
        </w:trPr>
        <w:tc>
          <w:tcPr>
            <w:tcW w:w="2697" w:type="dxa"/>
            <w:shd w:val="clear" w:color="auto" w:fill="auto"/>
            <w:vAlign w:val="bottom"/>
          </w:tcPr>
          <w:p w14:paraId="601AAAE3" w14:textId="77777777" w:rsidR="00410D4B" w:rsidRPr="00DE64C0" w:rsidRDefault="00410D4B" w:rsidP="00FF4C5F">
            <w:pPr>
              <w:rPr>
                <w:rFonts w:eastAsia="Calibri" w:cs="Times New Roman"/>
                <w:sz w:val="20"/>
                <w:szCs w:val="20"/>
              </w:rPr>
            </w:pPr>
            <w:r w:rsidRPr="00DE64C0">
              <w:rPr>
                <w:rFonts w:eastAsia="Calibri" w:cs="Times New Roman"/>
                <w:sz w:val="20"/>
                <w:szCs w:val="20"/>
              </w:rPr>
              <w:t>Subjective physical activity (IPAQ):</w:t>
            </w:r>
          </w:p>
        </w:tc>
        <w:tc>
          <w:tcPr>
            <w:tcW w:w="2416" w:type="dxa"/>
          </w:tcPr>
          <w:p w14:paraId="7A1A9DC1" w14:textId="77777777" w:rsidR="00410D4B" w:rsidRPr="00DE64C0" w:rsidRDefault="00410D4B" w:rsidP="00FF4C5F">
            <w:pPr>
              <w:rPr>
                <w:rFonts w:eastAsia="Calibri" w:cs="Times New Roman"/>
                <w:sz w:val="20"/>
                <w:szCs w:val="20"/>
              </w:rPr>
            </w:pPr>
          </w:p>
        </w:tc>
        <w:tc>
          <w:tcPr>
            <w:tcW w:w="2416" w:type="dxa"/>
          </w:tcPr>
          <w:p w14:paraId="6A22E667" w14:textId="77777777" w:rsidR="00410D4B" w:rsidRPr="00DE64C0" w:rsidRDefault="00410D4B" w:rsidP="00FF4C5F">
            <w:pPr>
              <w:rPr>
                <w:rFonts w:eastAsia="Calibri" w:cs="Times New Roman"/>
                <w:sz w:val="20"/>
                <w:szCs w:val="20"/>
              </w:rPr>
            </w:pPr>
          </w:p>
        </w:tc>
        <w:tc>
          <w:tcPr>
            <w:tcW w:w="2416" w:type="dxa"/>
          </w:tcPr>
          <w:p w14:paraId="57EDEFD5" w14:textId="77777777" w:rsidR="00410D4B" w:rsidRPr="00DE64C0" w:rsidRDefault="00410D4B" w:rsidP="00FF4C5F">
            <w:pPr>
              <w:rPr>
                <w:rFonts w:eastAsia="Calibri" w:cs="Times New Roman"/>
                <w:sz w:val="20"/>
                <w:szCs w:val="20"/>
              </w:rPr>
            </w:pPr>
          </w:p>
        </w:tc>
        <w:tc>
          <w:tcPr>
            <w:tcW w:w="2322" w:type="dxa"/>
            <w:shd w:val="clear" w:color="auto" w:fill="auto"/>
          </w:tcPr>
          <w:p w14:paraId="5E16A63A" w14:textId="77777777" w:rsidR="00410D4B" w:rsidRPr="00DE64C0" w:rsidRDefault="00410D4B" w:rsidP="00FF4C5F">
            <w:pPr>
              <w:rPr>
                <w:rFonts w:eastAsia="Calibri" w:cs="Times New Roman"/>
                <w:sz w:val="20"/>
                <w:szCs w:val="20"/>
              </w:rPr>
            </w:pPr>
          </w:p>
        </w:tc>
        <w:tc>
          <w:tcPr>
            <w:tcW w:w="2359" w:type="dxa"/>
          </w:tcPr>
          <w:p w14:paraId="25F3F5D5" w14:textId="77777777" w:rsidR="00410D4B" w:rsidRPr="00DE64C0" w:rsidRDefault="00410D4B" w:rsidP="00FF4C5F">
            <w:pPr>
              <w:rPr>
                <w:rFonts w:eastAsia="Calibri" w:cs="Times New Roman"/>
                <w:sz w:val="20"/>
                <w:szCs w:val="20"/>
              </w:rPr>
            </w:pPr>
          </w:p>
        </w:tc>
      </w:tr>
      <w:tr w:rsidR="00410D4B" w:rsidRPr="00DE64C0" w14:paraId="677E44EB" w14:textId="77777777" w:rsidTr="009310C1">
        <w:trPr>
          <w:jc w:val="center"/>
        </w:trPr>
        <w:tc>
          <w:tcPr>
            <w:tcW w:w="2697" w:type="dxa"/>
            <w:shd w:val="clear" w:color="auto" w:fill="auto"/>
            <w:vAlign w:val="bottom"/>
          </w:tcPr>
          <w:p w14:paraId="52708A9C" w14:textId="77777777" w:rsidR="00410D4B" w:rsidRPr="00DE64C0" w:rsidRDefault="00410D4B" w:rsidP="00FF4C5F">
            <w:pPr>
              <w:rPr>
                <w:rFonts w:eastAsia="Calibri" w:cs="Times New Roman"/>
                <w:sz w:val="20"/>
                <w:szCs w:val="20"/>
              </w:rPr>
            </w:pPr>
            <w:r w:rsidRPr="00DE64C0">
              <w:rPr>
                <w:rFonts w:eastAsia="Calibri" w:cs="Times New Roman"/>
                <w:sz w:val="20"/>
                <w:szCs w:val="20"/>
              </w:rPr>
              <w:t>Total METS</w:t>
            </w:r>
          </w:p>
        </w:tc>
        <w:tc>
          <w:tcPr>
            <w:tcW w:w="2416" w:type="dxa"/>
          </w:tcPr>
          <w:p w14:paraId="42826E6B" w14:textId="77777777" w:rsidR="00410D4B" w:rsidRPr="00DE64C0" w:rsidRDefault="00410D4B" w:rsidP="00FF4C5F">
            <w:pPr>
              <w:rPr>
                <w:rFonts w:eastAsia="Calibri" w:cs="Times New Roman"/>
                <w:sz w:val="20"/>
                <w:szCs w:val="20"/>
              </w:rPr>
            </w:pPr>
            <w:r w:rsidRPr="00DE64C0">
              <w:rPr>
                <w:rFonts w:eastAsia="Calibri" w:cs="Times New Roman"/>
                <w:sz w:val="20"/>
                <w:szCs w:val="20"/>
              </w:rPr>
              <w:t>352.71 (-570.24, 1275.65)</w:t>
            </w:r>
          </w:p>
        </w:tc>
        <w:tc>
          <w:tcPr>
            <w:tcW w:w="2416" w:type="dxa"/>
          </w:tcPr>
          <w:p w14:paraId="20D2E05B" w14:textId="77777777" w:rsidR="00410D4B" w:rsidRPr="00DE64C0" w:rsidRDefault="00410D4B" w:rsidP="00FF4C5F">
            <w:pPr>
              <w:rPr>
                <w:rFonts w:eastAsia="Calibri" w:cs="Times New Roman"/>
                <w:sz w:val="20"/>
                <w:szCs w:val="20"/>
              </w:rPr>
            </w:pPr>
            <w:r w:rsidRPr="00DE64C0">
              <w:rPr>
                <w:rFonts w:eastAsia="Calibri" w:cs="Times New Roman"/>
                <w:sz w:val="20"/>
                <w:szCs w:val="20"/>
              </w:rPr>
              <w:t>447.31 (-220.84, 1115.46)</w:t>
            </w:r>
          </w:p>
        </w:tc>
        <w:tc>
          <w:tcPr>
            <w:tcW w:w="2416" w:type="dxa"/>
          </w:tcPr>
          <w:p w14:paraId="54F5C299" w14:textId="77777777" w:rsidR="00410D4B" w:rsidRPr="00DE64C0" w:rsidRDefault="00410D4B" w:rsidP="00FF4C5F">
            <w:pPr>
              <w:rPr>
                <w:rFonts w:eastAsia="Calibri" w:cs="Times New Roman"/>
                <w:sz w:val="20"/>
                <w:szCs w:val="20"/>
              </w:rPr>
            </w:pPr>
            <w:r w:rsidRPr="00DE64C0">
              <w:rPr>
                <w:rFonts w:eastAsia="Calibri" w:cs="Times New Roman"/>
                <w:sz w:val="20"/>
                <w:szCs w:val="20"/>
              </w:rPr>
              <w:t>415.06 (-234.47, 1064.59)</w:t>
            </w:r>
          </w:p>
        </w:tc>
        <w:tc>
          <w:tcPr>
            <w:tcW w:w="2322" w:type="dxa"/>
            <w:shd w:val="clear" w:color="auto" w:fill="auto"/>
          </w:tcPr>
          <w:p w14:paraId="7337429E" w14:textId="77777777" w:rsidR="00410D4B" w:rsidRPr="00DE64C0" w:rsidRDefault="00410D4B" w:rsidP="00FF4C5F">
            <w:pPr>
              <w:rPr>
                <w:rFonts w:eastAsia="Calibri" w:cs="Times New Roman"/>
                <w:sz w:val="20"/>
                <w:szCs w:val="20"/>
              </w:rPr>
            </w:pPr>
            <w:r w:rsidRPr="00DE64C0">
              <w:rPr>
                <w:rFonts w:eastAsia="Calibri" w:cs="Times New Roman"/>
                <w:sz w:val="20"/>
                <w:szCs w:val="20"/>
              </w:rPr>
              <w:t>-19.82 (-568.05, 528.41)</w:t>
            </w:r>
          </w:p>
        </w:tc>
        <w:tc>
          <w:tcPr>
            <w:tcW w:w="2359" w:type="dxa"/>
          </w:tcPr>
          <w:p w14:paraId="2A039BD7" w14:textId="77777777" w:rsidR="00410D4B" w:rsidRPr="00DE64C0" w:rsidRDefault="00410D4B" w:rsidP="00FF4C5F">
            <w:pPr>
              <w:rPr>
                <w:rFonts w:eastAsia="Calibri" w:cs="Times New Roman"/>
                <w:sz w:val="20"/>
                <w:szCs w:val="20"/>
              </w:rPr>
            </w:pPr>
            <w:r w:rsidRPr="00DE64C0">
              <w:rPr>
                <w:rFonts w:eastAsia="Calibri" w:cs="Times New Roman"/>
                <w:sz w:val="20"/>
                <w:szCs w:val="20"/>
              </w:rPr>
              <w:t>428.37 (-175.19, 1031.93)</w:t>
            </w:r>
          </w:p>
        </w:tc>
      </w:tr>
      <w:tr w:rsidR="00410D4B" w:rsidRPr="00DE64C0" w14:paraId="6FF30562" w14:textId="77777777" w:rsidTr="009310C1">
        <w:trPr>
          <w:jc w:val="center"/>
        </w:trPr>
        <w:tc>
          <w:tcPr>
            <w:tcW w:w="2697" w:type="dxa"/>
            <w:shd w:val="clear" w:color="auto" w:fill="auto"/>
            <w:vAlign w:val="bottom"/>
          </w:tcPr>
          <w:p w14:paraId="7226E5F3" w14:textId="77777777" w:rsidR="00410D4B" w:rsidRPr="00DE64C0" w:rsidRDefault="00410D4B" w:rsidP="00FF4C5F">
            <w:pPr>
              <w:rPr>
                <w:rFonts w:eastAsia="Calibri" w:cs="Times New Roman"/>
                <w:sz w:val="20"/>
                <w:szCs w:val="20"/>
              </w:rPr>
            </w:pPr>
            <w:r w:rsidRPr="00DE64C0">
              <w:rPr>
                <w:rFonts w:eastAsia="Calibri" w:cs="Times New Roman"/>
                <w:sz w:val="20"/>
                <w:szCs w:val="20"/>
              </w:rPr>
              <w:t>Sitting time (</w:t>
            </w:r>
            <w:proofErr w:type="spellStart"/>
            <w:r w:rsidRPr="00DE64C0">
              <w:rPr>
                <w:rFonts w:eastAsia="Calibri" w:cs="Times New Roman"/>
                <w:sz w:val="20"/>
                <w:szCs w:val="20"/>
              </w:rPr>
              <w:t>mins</w:t>
            </w:r>
            <w:proofErr w:type="spellEnd"/>
            <w:r w:rsidRPr="00DE64C0">
              <w:rPr>
                <w:rFonts w:eastAsia="Calibri" w:cs="Times New Roman"/>
                <w:sz w:val="20"/>
                <w:szCs w:val="20"/>
              </w:rPr>
              <w:t>)</w:t>
            </w:r>
          </w:p>
        </w:tc>
        <w:tc>
          <w:tcPr>
            <w:tcW w:w="2416" w:type="dxa"/>
          </w:tcPr>
          <w:p w14:paraId="5950A1C6" w14:textId="77777777" w:rsidR="00410D4B" w:rsidRPr="00DE64C0" w:rsidRDefault="00410D4B" w:rsidP="00FF4C5F">
            <w:pPr>
              <w:rPr>
                <w:rFonts w:eastAsia="Calibri" w:cs="Times New Roman"/>
                <w:sz w:val="20"/>
                <w:szCs w:val="20"/>
              </w:rPr>
            </w:pPr>
            <w:r w:rsidRPr="00DE64C0">
              <w:rPr>
                <w:rFonts w:eastAsia="Calibri" w:cs="Times New Roman"/>
                <w:sz w:val="20"/>
                <w:szCs w:val="20"/>
              </w:rPr>
              <w:t>-27.26 (-63.34, 8.83)</w:t>
            </w:r>
          </w:p>
        </w:tc>
        <w:tc>
          <w:tcPr>
            <w:tcW w:w="2416" w:type="dxa"/>
          </w:tcPr>
          <w:p w14:paraId="055B0492" w14:textId="77777777" w:rsidR="00410D4B" w:rsidRPr="00DE64C0" w:rsidRDefault="00410D4B" w:rsidP="00FF4C5F">
            <w:pPr>
              <w:rPr>
                <w:rFonts w:eastAsia="Calibri" w:cs="Times New Roman"/>
                <w:sz w:val="20"/>
                <w:szCs w:val="20"/>
              </w:rPr>
            </w:pPr>
            <w:r w:rsidRPr="00DE64C0">
              <w:rPr>
                <w:rFonts w:eastAsia="Calibri" w:cs="Times New Roman"/>
                <w:sz w:val="20"/>
                <w:szCs w:val="20"/>
              </w:rPr>
              <w:t>-25.94 (-49.95, -1.92)*</w:t>
            </w:r>
          </w:p>
        </w:tc>
        <w:tc>
          <w:tcPr>
            <w:tcW w:w="2416" w:type="dxa"/>
          </w:tcPr>
          <w:p w14:paraId="0FCB0E23" w14:textId="77777777" w:rsidR="00410D4B" w:rsidRPr="00DE64C0" w:rsidRDefault="00410D4B" w:rsidP="00FF4C5F">
            <w:pPr>
              <w:rPr>
                <w:rFonts w:eastAsia="Calibri" w:cs="Times New Roman"/>
                <w:sz w:val="20"/>
                <w:szCs w:val="20"/>
              </w:rPr>
            </w:pPr>
            <w:r w:rsidRPr="00DE64C0">
              <w:rPr>
                <w:rFonts w:eastAsia="Calibri" w:cs="Times New Roman"/>
                <w:sz w:val="20"/>
                <w:szCs w:val="20"/>
              </w:rPr>
              <w:t>-38.96 (-66.15, -11.78)**</w:t>
            </w:r>
          </w:p>
        </w:tc>
        <w:tc>
          <w:tcPr>
            <w:tcW w:w="2322" w:type="dxa"/>
            <w:shd w:val="clear" w:color="auto" w:fill="auto"/>
          </w:tcPr>
          <w:p w14:paraId="7BEA17EC" w14:textId="77777777" w:rsidR="00410D4B" w:rsidRPr="00DE64C0" w:rsidRDefault="00410D4B" w:rsidP="00FF4C5F">
            <w:pPr>
              <w:rPr>
                <w:rFonts w:eastAsia="Calibri" w:cs="Times New Roman"/>
                <w:sz w:val="20"/>
                <w:szCs w:val="20"/>
              </w:rPr>
            </w:pPr>
            <w:r w:rsidRPr="00DE64C0">
              <w:rPr>
                <w:rFonts w:eastAsia="Calibri" w:cs="Times New Roman"/>
                <w:sz w:val="20"/>
                <w:szCs w:val="20"/>
              </w:rPr>
              <w:t>-20.15 (-43.91, 3.60)</w:t>
            </w:r>
          </w:p>
        </w:tc>
        <w:tc>
          <w:tcPr>
            <w:tcW w:w="2359" w:type="dxa"/>
          </w:tcPr>
          <w:p w14:paraId="5EA4B650" w14:textId="77777777" w:rsidR="00410D4B" w:rsidRPr="00DE64C0" w:rsidRDefault="00410D4B" w:rsidP="00FF4C5F">
            <w:pPr>
              <w:rPr>
                <w:rFonts w:eastAsia="Calibri" w:cs="Times New Roman"/>
                <w:sz w:val="20"/>
                <w:szCs w:val="20"/>
              </w:rPr>
            </w:pPr>
            <w:r w:rsidRPr="00DE64C0">
              <w:rPr>
                <w:rFonts w:eastAsia="Calibri" w:cs="Times New Roman"/>
                <w:sz w:val="20"/>
                <w:szCs w:val="20"/>
              </w:rPr>
              <w:t>-26.29 (-45.26, -7.32)**</w:t>
            </w:r>
          </w:p>
        </w:tc>
      </w:tr>
      <w:tr w:rsidR="00410D4B" w:rsidRPr="00DE64C0" w14:paraId="766A286F" w14:textId="77777777" w:rsidTr="009310C1">
        <w:trPr>
          <w:jc w:val="center"/>
        </w:trPr>
        <w:tc>
          <w:tcPr>
            <w:tcW w:w="2697" w:type="dxa"/>
            <w:shd w:val="clear" w:color="auto" w:fill="auto"/>
            <w:vAlign w:val="bottom"/>
          </w:tcPr>
          <w:p w14:paraId="59227723" w14:textId="77777777" w:rsidR="00410D4B" w:rsidRPr="00DE64C0" w:rsidRDefault="00410D4B" w:rsidP="00FF4C5F">
            <w:pPr>
              <w:rPr>
                <w:rFonts w:eastAsia="Calibri" w:cs="Times New Roman"/>
                <w:sz w:val="20"/>
                <w:szCs w:val="20"/>
              </w:rPr>
            </w:pPr>
            <w:r w:rsidRPr="00DE64C0">
              <w:rPr>
                <w:rFonts w:eastAsia="Calibri" w:cs="Times New Roman"/>
                <w:sz w:val="20"/>
                <w:szCs w:val="20"/>
              </w:rPr>
              <w:t>Objective physical activity:</w:t>
            </w:r>
          </w:p>
        </w:tc>
        <w:tc>
          <w:tcPr>
            <w:tcW w:w="2416" w:type="dxa"/>
          </w:tcPr>
          <w:p w14:paraId="1A416132" w14:textId="77777777" w:rsidR="00410D4B" w:rsidRPr="00DE64C0" w:rsidRDefault="00410D4B" w:rsidP="00FF4C5F">
            <w:pPr>
              <w:rPr>
                <w:rFonts w:eastAsia="Calibri" w:cs="Times New Roman"/>
                <w:sz w:val="20"/>
                <w:szCs w:val="20"/>
              </w:rPr>
            </w:pPr>
          </w:p>
        </w:tc>
        <w:tc>
          <w:tcPr>
            <w:tcW w:w="2416" w:type="dxa"/>
          </w:tcPr>
          <w:p w14:paraId="593A68B8" w14:textId="77777777" w:rsidR="00410D4B" w:rsidRPr="00DE64C0" w:rsidRDefault="00410D4B" w:rsidP="00FF4C5F">
            <w:pPr>
              <w:rPr>
                <w:rFonts w:eastAsia="Calibri" w:cs="Times New Roman"/>
                <w:sz w:val="20"/>
                <w:szCs w:val="20"/>
              </w:rPr>
            </w:pPr>
          </w:p>
        </w:tc>
        <w:tc>
          <w:tcPr>
            <w:tcW w:w="2416" w:type="dxa"/>
          </w:tcPr>
          <w:p w14:paraId="30D04578" w14:textId="77777777" w:rsidR="00410D4B" w:rsidRPr="00DE64C0" w:rsidRDefault="00410D4B" w:rsidP="00FF4C5F">
            <w:pPr>
              <w:rPr>
                <w:rFonts w:eastAsia="Calibri" w:cs="Times New Roman"/>
                <w:sz w:val="20"/>
                <w:szCs w:val="20"/>
              </w:rPr>
            </w:pPr>
          </w:p>
        </w:tc>
        <w:tc>
          <w:tcPr>
            <w:tcW w:w="2322" w:type="dxa"/>
            <w:shd w:val="clear" w:color="auto" w:fill="auto"/>
          </w:tcPr>
          <w:p w14:paraId="4105D247" w14:textId="77777777" w:rsidR="00410D4B" w:rsidRPr="00DE64C0" w:rsidRDefault="00410D4B" w:rsidP="00FF4C5F">
            <w:pPr>
              <w:rPr>
                <w:rFonts w:eastAsia="Calibri" w:cs="Times New Roman"/>
                <w:sz w:val="20"/>
                <w:szCs w:val="20"/>
              </w:rPr>
            </w:pPr>
          </w:p>
        </w:tc>
        <w:tc>
          <w:tcPr>
            <w:tcW w:w="2359" w:type="dxa"/>
          </w:tcPr>
          <w:p w14:paraId="1760C4CA" w14:textId="77777777" w:rsidR="00410D4B" w:rsidRPr="00DE64C0" w:rsidRDefault="00410D4B" w:rsidP="00FF4C5F">
            <w:pPr>
              <w:rPr>
                <w:rFonts w:eastAsia="Calibri" w:cs="Times New Roman"/>
                <w:sz w:val="20"/>
                <w:szCs w:val="20"/>
              </w:rPr>
            </w:pPr>
          </w:p>
        </w:tc>
      </w:tr>
      <w:tr w:rsidR="00410D4B" w:rsidRPr="00DE64C0" w14:paraId="7A4727E5" w14:textId="77777777" w:rsidTr="009310C1">
        <w:trPr>
          <w:jc w:val="center"/>
        </w:trPr>
        <w:tc>
          <w:tcPr>
            <w:tcW w:w="2697" w:type="dxa"/>
            <w:shd w:val="clear" w:color="auto" w:fill="auto"/>
            <w:vAlign w:val="bottom"/>
          </w:tcPr>
          <w:p w14:paraId="619E2D39" w14:textId="2CF1CB50" w:rsidR="00410D4B" w:rsidRPr="00DE64C0" w:rsidRDefault="00410D4B" w:rsidP="00FF4C5F">
            <w:pPr>
              <w:rPr>
                <w:rFonts w:eastAsia="Calibri" w:cs="Times New Roman"/>
                <w:sz w:val="20"/>
                <w:szCs w:val="20"/>
              </w:rPr>
            </w:pPr>
            <w:r w:rsidRPr="00DE64C0">
              <w:rPr>
                <w:rFonts w:eastAsia="Calibri" w:cs="Times New Roman"/>
                <w:sz w:val="20"/>
                <w:szCs w:val="20"/>
              </w:rPr>
              <w:t>Average steps</w:t>
            </w:r>
            <w:r w:rsidR="00E92898" w:rsidRPr="00DE64C0">
              <w:rPr>
                <w:rFonts w:eastAsia="Calibri" w:cs="Times New Roman"/>
                <w:sz w:val="20"/>
                <w:szCs w:val="20"/>
              </w:rPr>
              <w:t xml:space="preserve"> per day</w:t>
            </w:r>
          </w:p>
        </w:tc>
        <w:tc>
          <w:tcPr>
            <w:tcW w:w="2416" w:type="dxa"/>
          </w:tcPr>
          <w:p w14:paraId="0C39CA23" w14:textId="1FE34F95" w:rsidR="00410D4B" w:rsidRPr="00DE64C0" w:rsidRDefault="00BA071C" w:rsidP="00FF4C5F">
            <w:pPr>
              <w:rPr>
                <w:rFonts w:eastAsia="Calibri" w:cs="Times New Roman"/>
                <w:sz w:val="20"/>
                <w:szCs w:val="20"/>
              </w:rPr>
            </w:pPr>
            <w:r w:rsidRPr="00DE64C0">
              <w:rPr>
                <w:rFonts w:eastAsia="Calibri" w:cs="Times New Roman"/>
                <w:sz w:val="20"/>
                <w:szCs w:val="20"/>
              </w:rPr>
              <w:t>591-38 (63.61, 1119.16)*</w:t>
            </w:r>
          </w:p>
        </w:tc>
        <w:tc>
          <w:tcPr>
            <w:tcW w:w="2416" w:type="dxa"/>
          </w:tcPr>
          <w:p w14:paraId="200C5FCF" w14:textId="7AC6E386" w:rsidR="00410D4B" w:rsidRPr="00DE64C0" w:rsidRDefault="00BA071C" w:rsidP="00FF4C5F">
            <w:pPr>
              <w:rPr>
                <w:rFonts w:eastAsia="Calibri" w:cs="Times New Roman"/>
                <w:sz w:val="20"/>
                <w:szCs w:val="20"/>
              </w:rPr>
            </w:pPr>
            <w:r w:rsidRPr="00DE64C0">
              <w:rPr>
                <w:rFonts w:eastAsia="Calibri" w:cs="Times New Roman"/>
                <w:sz w:val="20"/>
                <w:szCs w:val="20"/>
              </w:rPr>
              <w:t>551.76 (117.27, 986.25)*</w:t>
            </w:r>
          </w:p>
        </w:tc>
        <w:tc>
          <w:tcPr>
            <w:tcW w:w="2416" w:type="dxa"/>
          </w:tcPr>
          <w:p w14:paraId="15C4396E" w14:textId="3B137627" w:rsidR="00410D4B" w:rsidRPr="00DE64C0" w:rsidRDefault="00BA071C" w:rsidP="00FF4C5F">
            <w:pPr>
              <w:rPr>
                <w:rFonts w:eastAsia="Calibri" w:cs="Times New Roman"/>
                <w:sz w:val="20"/>
                <w:szCs w:val="20"/>
              </w:rPr>
            </w:pPr>
            <w:r w:rsidRPr="00DE64C0">
              <w:rPr>
                <w:rFonts w:eastAsia="Calibri" w:cs="Times New Roman"/>
                <w:sz w:val="20"/>
                <w:szCs w:val="20"/>
              </w:rPr>
              <w:t>466.30 (-65.50, 998.10)</w:t>
            </w:r>
          </w:p>
        </w:tc>
        <w:tc>
          <w:tcPr>
            <w:tcW w:w="2322" w:type="dxa"/>
            <w:shd w:val="clear" w:color="auto" w:fill="auto"/>
          </w:tcPr>
          <w:p w14:paraId="23DBF167" w14:textId="74A8945A" w:rsidR="00410D4B" w:rsidRPr="00DE64C0" w:rsidRDefault="00BA071C" w:rsidP="00FF4C5F">
            <w:pPr>
              <w:rPr>
                <w:rFonts w:eastAsia="Calibri" w:cs="Times New Roman"/>
                <w:sz w:val="20"/>
                <w:szCs w:val="20"/>
              </w:rPr>
            </w:pPr>
            <w:r w:rsidRPr="00DE64C0">
              <w:rPr>
                <w:rFonts w:eastAsia="Calibri" w:cs="Times New Roman"/>
                <w:sz w:val="20"/>
                <w:szCs w:val="20"/>
              </w:rPr>
              <w:t>535.76 (12.71, 1058.81)*</w:t>
            </w:r>
          </w:p>
        </w:tc>
        <w:tc>
          <w:tcPr>
            <w:tcW w:w="2359" w:type="dxa"/>
          </w:tcPr>
          <w:p w14:paraId="47C8B7FC" w14:textId="025026E7" w:rsidR="00410D4B" w:rsidRPr="00DE64C0" w:rsidRDefault="00BA071C" w:rsidP="00FF4C5F">
            <w:pPr>
              <w:rPr>
                <w:rFonts w:eastAsia="Calibri" w:cs="Times New Roman"/>
                <w:sz w:val="20"/>
                <w:szCs w:val="20"/>
              </w:rPr>
            </w:pPr>
            <w:r w:rsidRPr="00DE64C0">
              <w:rPr>
                <w:rFonts w:eastAsia="Calibri" w:cs="Times New Roman"/>
                <w:sz w:val="20"/>
                <w:szCs w:val="20"/>
              </w:rPr>
              <w:t>498.15 (162.10, 834.20)**</w:t>
            </w:r>
          </w:p>
        </w:tc>
      </w:tr>
      <w:tr w:rsidR="00410D4B" w:rsidRPr="00DE64C0" w14:paraId="58DED084" w14:textId="77777777" w:rsidTr="009310C1">
        <w:trPr>
          <w:jc w:val="center"/>
        </w:trPr>
        <w:tc>
          <w:tcPr>
            <w:tcW w:w="2697" w:type="dxa"/>
            <w:shd w:val="clear" w:color="auto" w:fill="auto"/>
            <w:vAlign w:val="bottom"/>
          </w:tcPr>
          <w:p w14:paraId="16D264DE" w14:textId="77777777" w:rsidR="00410D4B" w:rsidRPr="00DE64C0" w:rsidRDefault="00410D4B" w:rsidP="00FF4C5F">
            <w:pPr>
              <w:rPr>
                <w:rFonts w:eastAsia="Calibri" w:cs="Times New Roman"/>
                <w:sz w:val="20"/>
                <w:szCs w:val="20"/>
              </w:rPr>
            </w:pPr>
            <w:r w:rsidRPr="00DE64C0">
              <w:rPr>
                <w:rFonts w:eastAsia="Calibri" w:cs="Times New Roman"/>
                <w:sz w:val="20"/>
                <w:szCs w:val="20"/>
              </w:rPr>
              <w:t>Sleep:</w:t>
            </w:r>
          </w:p>
        </w:tc>
        <w:tc>
          <w:tcPr>
            <w:tcW w:w="2416" w:type="dxa"/>
          </w:tcPr>
          <w:p w14:paraId="2074690C" w14:textId="77777777" w:rsidR="00410D4B" w:rsidRPr="00DE64C0" w:rsidRDefault="00410D4B" w:rsidP="00FF4C5F">
            <w:pPr>
              <w:rPr>
                <w:rFonts w:eastAsia="Calibri" w:cs="Times New Roman"/>
                <w:sz w:val="20"/>
                <w:szCs w:val="20"/>
              </w:rPr>
            </w:pPr>
          </w:p>
        </w:tc>
        <w:tc>
          <w:tcPr>
            <w:tcW w:w="2416" w:type="dxa"/>
          </w:tcPr>
          <w:p w14:paraId="2CEEC761" w14:textId="77777777" w:rsidR="00410D4B" w:rsidRPr="00DE64C0" w:rsidRDefault="00410D4B" w:rsidP="00FF4C5F">
            <w:pPr>
              <w:rPr>
                <w:rFonts w:eastAsia="Calibri" w:cs="Times New Roman"/>
                <w:sz w:val="20"/>
                <w:szCs w:val="20"/>
              </w:rPr>
            </w:pPr>
          </w:p>
        </w:tc>
        <w:tc>
          <w:tcPr>
            <w:tcW w:w="2416" w:type="dxa"/>
          </w:tcPr>
          <w:p w14:paraId="5F639BCB" w14:textId="77777777" w:rsidR="00410D4B" w:rsidRPr="00DE64C0" w:rsidRDefault="00410D4B" w:rsidP="00FF4C5F">
            <w:pPr>
              <w:rPr>
                <w:rFonts w:eastAsia="Calibri" w:cs="Times New Roman"/>
                <w:sz w:val="20"/>
                <w:szCs w:val="20"/>
              </w:rPr>
            </w:pPr>
          </w:p>
        </w:tc>
        <w:tc>
          <w:tcPr>
            <w:tcW w:w="2322" w:type="dxa"/>
            <w:shd w:val="clear" w:color="auto" w:fill="auto"/>
          </w:tcPr>
          <w:p w14:paraId="0B5CA67F" w14:textId="77777777" w:rsidR="00410D4B" w:rsidRPr="00DE64C0" w:rsidRDefault="00410D4B" w:rsidP="00FF4C5F">
            <w:pPr>
              <w:rPr>
                <w:rFonts w:eastAsia="Calibri" w:cs="Times New Roman"/>
                <w:sz w:val="20"/>
                <w:szCs w:val="20"/>
              </w:rPr>
            </w:pPr>
          </w:p>
        </w:tc>
        <w:tc>
          <w:tcPr>
            <w:tcW w:w="2359" w:type="dxa"/>
          </w:tcPr>
          <w:p w14:paraId="7C6C1140" w14:textId="77777777" w:rsidR="00410D4B" w:rsidRPr="00DE64C0" w:rsidRDefault="00410D4B" w:rsidP="00FF4C5F">
            <w:pPr>
              <w:rPr>
                <w:rFonts w:eastAsia="Calibri" w:cs="Times New Roman"/>
                <w:sz w:val="20"/>
                <w:szCs w:val="20"/>
              </w:rPr>
            </w:pPr>
          </w:p>
        </w:tc>
      </w:tr>
      <w:tr w:rsidR="00410D4B" w:rsidRPr="00DE64C0" w14:paraId="65B1D78A" w14:textId="77777777" w:rsidTr="009310C1">
        <w:trPr>
          <w:jc w:val="center"/>
        </w:trPr>
        <w:tc>
          <w:tcPr>
            <w:tcW w:w="2697" w:type="dxa"/>
            <w:shd w:val="clear" w:color="auto" w:fill="auto"/>
            <w:vAlign w:val="bottom"/>
          </w:tcPr>
          <w:p w14:paraId="76F232FD" w14:textId="77777777" w:rsidR="00410D4B" w:rsidRPr="00DE64C0" w:rsidRDefault="00410D4B" w:rsidP="00FF4C5F">
            <w:pPr>
              <w:rPr>
                <w:rFonts w:eastAsia="Calibri" w:cs="Times New Roman"/>
                <w:sz w:val="20"/>
                <w:szCs w:val="20"/>
              </w:rPr>
            </w:pPr>
            <w:r w:rsidRPr="00DE64C0">
              <w:rPr>
                <w:rFonts w:eastAsia="Calibri" w:cs="Times New Roman"/>
                <w:sz w:val="20"/>
                <w:szCs w:val="20"/>
              </w:rPr>
              <w:t>Hours slept last night</w:t>
            </w:r>
          </w:p>
        </w:tc>
        <w:tc>
          <w:tcPr>
            <w:tcW w:w="2416" w:type="dxa"/>
          </w:tcPr>
          <w:p w14:paraId="449B0859" w14:textId="77777777" w:rsidR="00410D4B" w:rsidRPr="00DE64C0" w:rsidRDefault="00410D4B" w:rsidP="00FF4C5F">
            <w:pPr>
              <w:rPr>
                <w:rFonts w:eastAsia="Calibri" w:cs="Times New Roman"/>
                <w:sz w:val="20"/>
                <w:szCs w:val="20"/>
              </w:rPr>
            </w:pPr>
            <w:r w:rsidRPr="00DE64C0">
              <w:rPr>
                <w:rFonts w:eastAsia="Calibri" w:cs="Times New Roman"/>
                <w:sz w:val="20"/>
                <w:szCs w:val="20"/>
              </w:rPr>
              <w:t>NR</w:t>
            </w:r>
          </w:p>
        </w:tc>
        <w:tc>
          <w:tcPr>
            <w:tcW w:w="2416" w:type="dxa"/>
          </w:tcPr>
          <w:p w14:paraId="0A9C2284" w14:textId="77777777" w:rsidR="00410D4B" w:rsidRPr="00DE64C0" w:rsidRDefault="00410D4B" w:rsidP="00FF4C5F">
            <w:pPr>
              <w:rPr>
                <w:rFonts w:eastAsia="Calibri" w:cs="Times New Roman"/>
                <w:sz w:val="20"/>
                <w:szCs w:val="20"/>
              </w:rPr>
            </w:pPr>
            <w:r w:rsidRPr="00DE64C0">
              <w:rPr>
                <w:rFonts w:eastAsia="Calibri" w:cs="Times New Roman"/>
                <w:sz w:val="20"/>
                <w:szCs w:val="20"/>
              </w:rPr>
              <w:t>0.04 (-0.15, 0.22)</w:t>
            </w:r>
          </w:p>
        </w:tc>
        <w:tc>
          <w:tcPr>
            <w:tcW w:w="2416" w:type="dxa"/>
          </w:tcPr>
          <w:p w14:paraId="22E4CFD0" w14:textId="77777777" w:rsidR="00410D4B" w:rsidRPr="00DE64C0" w:rsidRDefault="00410D4B" w:rsidP="00FF4C5F">
            <w:pPr>
              <w:rPr>
                <w:rFonts w:eastAsia="Calibri" w:cs="Times New Roman"/>
                <w:sz w:val="20"/>
                <w:szCs w:val="20"/>
              </w:rPr>
            </w:pPr>
            <w:r w:rsidRPr="00DE64C0">
              <w:rPr>
                <w:rFonts w:eastAsia="Calibri" w:cs="Times New Roman"/>
                <w:sz w:val="20"/>
                <w:szCs w:val="20"/>
              </w:rPr>
              <w:t>-0.05 (-0.18, 0.09)</w:t>
            </w:r>
          </w:p>
        </w:tc>
        <w:tc>
          <w:tcPr>
            <w:tcW w:w="2322" w:type="dxa"/>
            <w:shd w:val="clear" w:color="auto" w:fill="auto"/>
          </w:tcPr>
          <w:p w14:paraId="3F051855" w14:textId="77777777" w:rsidR="00410D4B" w:rsidRPr="00DE64C0" w:rsidRDefault="00410D4B" w:rsidP="00FF4C5F">
            <w:pPr>
              <w:rPr>
                <w:rFonts w:eastAsia="Calibri" w:cs="Times New Roman"/>
                <w:sz w:val="20"/>
                <w:szCs w:val="20"/>
              </w:rPr>
            </w:pPr>
            <w:r w:rsidRPr="00DE64C0">
              <w:rPr>
                <w:rFonts w:eastAsia="Calibri" w:cs="Times New Roman"/>
                <w:sz w:val="20"/>
                <w:szCs w:val="20"/>
              </w:rPr>
              <w:t>-0.10 (-0.26, 0.06)</w:t>
            </w:r>
          </w:p>
        </w:tc>
        <w:tc>
          <w:tcPr>
            <w:tcW w:w="2359" w:type="dxa"/>
          </w:tcPr>
          <w:p w14:paraId="41835071" w14:textId="77777777" w:rsidR="00410D4B" w:rsidRPr="00DE64C0" w:rsidRDefault="00410D4B" w:rsidP="00FF4C5F">
            <w:pPr>
              <w:rPr>
                <w:rFonts w:eastAsia="Calibri" w:cs="Times New Roman"/>
                <w:sz w:val="20"/>
                <w:szCs w:val="20"/>
              </w:rPr>
            </w:pPr>
            <w:r w:rsidRPr="00DE64C0">
              <w:rPr>
                <w:rFonts w:eastAsia="Calibri" w:cs="Times New Roman"/>
                <w:sz w:val="20"/>
                <w:szCs w:val="20"/>
              </w:rPr>
              <w:t>-0.05 (-0.18, 0.08)</w:t>
            </w:r>
          </w:p>
        </w:tc>
      </w:tr>
      <w:tr w:rsidR="00410D4B" w:rsidRPr="00DE64C0" w14:paraId="1F57B607" w14:textId="77777777" w:rsidTr="009310C1">
        <w:trPr>
          <w:jc w:val="center"/>
        </w:trPr>
        <w:tc>
          <w:tcPr>
            <w:tcW w:w="2697" w:type="dxa"/>
            <w:tcBorders>
              <w:bottom w:val="single" w:sz="4" w:space="0" w:color="auto"/>
            </w:tcBorders>
            <w:shd w:val="clear" w:color="auto" w:fill="auto"/>
            <w:vAlign w:val="bottom"/>
          </w:tcPr>
          <w:p w14:paraId="72A6B6D3" w14:textId="77777777" w:rsidR="00410D4B" w:rsidRPr="00DE64C0" w:rsidRDefault="00410D4B" w:rsidP="00FF4C5F">
            <w:pPr>
              <w:rPr>
                <w:rFonts w:eastAsia="Calibri" w:cs="Times New Roman"/>
                <w:sz w:val="20"/>
                <w:szCs w:val="20"/>
              </w:rPr>
            </w:pPr>
            <w:r w:rsidRPr="00DE64C0">
              <w:rPr>
                <w:rFonts w:eastAsia="Calibri" w:cs="Times New Roman"/>
                <w:sz w:val="20"/>
                <w:szCs w:val="20"/>
              </w:rPr>
              <w:t>Average hours asleep in 24 hours</w:t>
            </w:r>
          </w:p>
        </w:tc>
        <w:tc>
          <w:tcPr>
            <w:tcW w:w="2416" w:type="dxa"/>
            <w:tcBorders>
              <w:bottom w:val="single" w:sz="4" w:space="0" w:color="auto"/>
            </w:tcBorders>
          </w:tcPr>
          <w:p w14:paraId="00C0B9DD" w14:textId="77777777" w:rsidR="00410D4B" w:rsidRPr="00DE64C0" w:rsidRDefault="00410D4B" w:rsidP="00FF4C5F">
            <w:pPr>
              <w:rPr>
                <w:rFonts w:eastAsia="Calibri" w:cs="Times New Roman"/>
                <w:sz w:val="20"/>
                <w:szCs w:val="20"/>
              </w:rPr>
            </w:pPr>
            <w:r w:rsidRPr="00DE64C0">
              <w:rPr>
                <w:rFonts w:eastAsia="Calibri" w:cs="Times New Roman"/>
                <w:sz w:val="20"/>
                <w:szCs w:val="20"/>
              </w:rPr>
              <w:t>NR</w:t>
            </w:r>
          </w:p>
        </w:tc>
        <w:tc>
          <w:tcPr>
            <w:tcW w:w="2416" w:type="dxa"/>
            <w:tcBorders>
              <w:bottom w:val="single" w:sz="4" w:space="0" w:color="auto"/>
            </w:tcBorders>
          </w:tcPr>
          <w:p w14:paraId="7CA6F47A" w14:textId="77777777" w:rsidR="00410D4B" w:rsidRPr="00DE64C0" w:rsidRDefault="00410D4B" w:rsidP="00FF4C5F">
            <w:pPr>
              <w:rPr>
                <w:rFonts w:eastAsia="Calibri" w:cs="Times New Roman"/>
                <w:sz w:val="20"/>
                <w:szCs w:val="20"/>
              </w:rPr>
            </w:pPr>
            <w:r w:rsidRPr="00DE64C0">
              <w:rPr>
                <w:rFonts w:eastAsia="Calibri" w:cs="Times New Roman"/>
                <w:sz w:val="20"/>
                <w:szCs w:val="20"/>
              </w:rPr>
              <w:t>0.10 (-0.16, 0.35)</w:t>
            </w:r>
          </w:p>
        </w:tc>
        <w:tc>
          <w:tcPr>
            <w:tcW w:w="2416" w:type="dxa"/>
            <w:tcBorders>
              <w:bottom w:val="single" w:sz="4" w:space="0" w:color="auto"/>
            </w:tcBorders>
          </w:tcPr>
          <w:p w14:paraId="2BFDD812" w14:textId="77777777" w:rsidR="00410D4B" w:rsidRPr="00DE64C0" w:rsidRDefault="00410D4B" w:rsidP="00FF4C5F">
            <w:pPr>
              <w:rPr>
                <w:rFonts w:eastAsia="Calibri" w:cs="Times New Roman"/>
                <w:sz w:val="20"/>
                <w:szCs w:val="20"/>
              </w:rPr>
            </w:pPr>
            <w:r w:rsidRPr="00DE64C0">
              <w:rPr>
                <w:rFonts w:eastAsia="Calibri" w:cs="Times New Roman"/>
                <w:sz w:val="20"/>
                <w:szCs w:val="20"/>
              </w:rPr>
              <w:t>-0.03 (-0.23, 0.17)</w:t>
            </w:r>
          </w:p>
        </w:tc>
        <w:tc>
          <w:tcPr>
            <w:tcW w:w="2322" w:type="dxa"/>
            <w:tcBorders>
              <w:bottom w:val="single" w:sz="4" w:space="0" w:color="auto"/>
            </w:tcBorders>
            <w:shd w:val="clear" w:color="auto" w:fill="auto"/>
          </w:tcPr>
          <w:p w14:paraId="4456F132" w14:textId="77777777" w:rsidR="00410D4B" w:rsidRPr="00DE64C0" w:rsidRDefault="00410D4B" w:rsidP="00FF4C5F">
            <w:pPr>
              <w:rPr>
                <w:rFonts w:eastAsia="Calibri" w:cs="Times New Roman"/>
                <w:sz w:val="20"/>
                <w:szCs w:val="20"/>
              </w:rPr>
            </w:pPr>
            <w:r w:rsidRPr="00DE64C0">
              <w:rPr>
                <w:rFonts w:eastAsia="Calibri" w:cs="Times New Roman"/>
                <w:sz w:val="20"/>
                <w:szCs w:val="20"/>
              </w:rPr>
              <w:t>0.11 (-0.06, 0.27)</w:t>
            </w:r>
          </w:p>
        </w:tc>
        <w:tc>
          <w:tcPr>
            <w:tcW w:w="2359" w:type="dxa"/>
            <w:tcBorders>
              <w:bottom w:val="single" w:sz="4" w:space="0" w:color="auto"/>
            </w:tcBorders>
          </w:tcPr>
          <w:p w14:paraId="566FF004" w14:textId="77777777" w:rsidR="00410D4B" w:rsidRPr="00DE64C0" w:rsidRDefault="00410D4B" w:rsidP="00FF4C5F">
            <w:pPr>
              <w:rPr>
                <w:rFonts w:eastAsia="Calibri" w:cs="Times New Roman"/>
                <w:sz w:val="20"/>
                <w:szCs w:val="20"/>
              </w:rPr>
            </w:pPr>
            <w:r w:rsidRPr="00DE64C0">
              <w:rPr>
                <w:rFonts w:eastAsia="Calibri" w:cs="Times New Roman"/>
                <w:sz w:val="20"/>
                <w:szCs w:val="20"/>
              </w:rPr>
              <w:t>0.01 (-0.16, 0.18)</w:t>
            </w:r>
          </w:p>
        </w:tc>
      </w:tr>
    </w:tbl>
    <w:p w14:paraId="02EEE597" w14:textId="77777777" w:rsidR="00410D4B" w:rsidRPr="00DE64C0" w:rsidRDefault="00410D4B" w:rsidP="00FF4C5F">
      <w:pPr>
        <w:rPr>
          <w:rFonts w:cs="Times New Roman"/>
        </w:rPr>
      </w:pPr>
    </w:p>
    <w:p w14:paraId="21EA8A6E" w14:textId="54C37935" w:rsidR="00410D4B" w:rsidRPr="00DE64C0" w:rsidRDefault="00E92898" w:rsidP="00FF4C5F">
      <w:pPr>
        <w:rPr>
          <w:rFonts w:eastAsia="Calibri" w:cs="Times New Roman"/>
          <w:sz w:val="18"/>
          <w:szCs w:val="18"/>
        </w:rPr>
      </w:pPr>
      <w:r w:rsidRPr="00DE64C0">
        <w:t xml:space="preserve">HDL: High-density lipoprotein; LDL: Low-density lipoprotein; BMI: Body mass index; IGT: Impaired glucose tolerance; IFG: Impaired fasting glucose; CHD: Coronary heart disease; CVD: Cardiovascular disease; BIPQ: Brief Illness Perception Questionnaire; 15D: </w:t>
      </w:r>
      <w:r w:rsidR="00C728F6" w:rsidRPr="00DE64C0">
        <w:t xml:space="preserve">15-dimensional; HADS: Hospital Anxiety and Depression Scale; DINE: Dietary Instrument for Nutrition Education; IPAQ: international physical activity questionnaire; METS: Metabolic equivalents. </w:t>
      </w:r>
    </w:p>
    <w:p w14:paraId="53117B00" w14:textId="77777777" w:rsidR="00E92898" w:rsidRPr="00DE64C0" w:rsidRDefault="00E92898" w:rsidP="00FF4C5F">
      <w:pPr>
        <w:rPr>
          <w:rFonts w:cs="Times New Roman"/>
        </w:rPr>
      </w:pPr>
    </w:p>
    <w:p w14:paraId="3DCD56C2" w14:textId="77777777" w:rsidR="00410D4B" w:rsidRPr="00DE64C0" w:rsidRDefault="00410D4B" w:rsidP="00FF4C5F">
      <w:pPr>
        <w:rPr>
          <w:rFonts w:cs="Times New Roman"/>
        </w:rPr>
      </w:pPr>
      <w:r w:rsidRPr="00DE64C0">
        <w:rPr>
          <w:rFonts w:cs="Times New Roman"/>
        </w:rPr>
        <w:t>*p&lt;0.05, **p&lt;0.01, ***p&lt;0.001</w:t>
      </w:r>
    </w:p>
    <w:p w14:paraId="0986352F" w14:textId="77777777" w:rsidR="00410D4B" w:rsidRPr="00DE64C0" w:rsidRDefault="00410D4B" w:rsidP="00FF4C5F">
      <w:pPr>
        <w:rPr>
          <w:rFonts w:cs="Times New Roman"/>
        </w:rPr>
      </w:pPr>
      <w:r w:rsidRPr="00DE64C0">
        <w:rPr>
          <w:rFonts w:ascii="Arial" w:hAnsi="Arial" w:cs="Arial"/>
        </w:rPr>
        <w:t>†</w:t>
      </w:r>
      <w:r w:rsidRPr="00DE64C0">
        <w:rPr>
          <w:rFonts w:cs="Times New Roman"/>
        </w:rPr>
        <w:t xml:space="preserve">Data shown OR (95% CI) </w:t>
      </w:r>
    </w:p>
    <w:p w14:paraId="7CB30458" w14:textId="77777777" w:rsidR="00410D4B" w:rsidRPr="00DE64C0" w:rsidRDefault="00410D4B" w:rsidP="00FF4C5F">
      <w:pPr>
        <w:rPr>
          <w:rFonts w:cs="Times New Roman"/>
        </w:rPr>
      </w:pPr>
      <w:r w:rsidRPr="00DE64C0">
        <w:rPr>
          <w:rFonts w:cs="Times New Roman"/>
        </w:rPr>
        <w:t xml:space="preserve">≠ </w:t>
      </w:r>
      <w:proofErr w:type="gramStart"/>
      <w:r w:rsidRPr="00DE64C0">
        <w:rPr>
          <w:rFonts w:cs="Times New Roman"/>
        </w:rPr>
        <w:t>higher</w:t>
      </w:r>
      <w:proofErr w:type="gramEnd"/>
      <w:r w:rsidRPr="00DE64C0">
        <w:rPr>
          <w:rFonts w:cs="Times New Roman"/>
        </w:rPr>
        <w:t xml:space="preserve"> score reflects a more threatening view of illness </w:t>
      </w:r>
    </w:p>
    <w:p w14:paraId="7ABA8D9D" w14:textId="2739B10B" w:rsidR="00410D4B" w:rsidRPr="00DE64C0" w:rsidRDefault="00410D4B" w:rsidP="00FF4C5F">
      <w:pPr>
        <w:rPr>
          <w:rFonts w:eastAsia="Calibri" w:cs="Times New Roman"/>
        </w:rPr>
      </w:pPr>
      <w:r w:rsidRPr="00DE64C0">
        <w:rPr>
          <w:rFonts w:eastAsia="Calibri" w:cs="Times New Roman"/>
        </w:rPr>
        <w:t>†</w:t>
      </w:r>
      <w:r w:rsidR="00324ADE" w:rsidRPr="00DE64C0">
        <w:rPr>
          <w:rFonts w:eastAsia="Calibri" w:cs="Times New Roman"/>
        </w:rPr>
        <w:t>†</w:t>
      </w:r>
      <w:r w:rsidRPr="00DE64C0">
        <w:rPr>
          <w:rFonts w:eastAsia="Calibri" w:cs="Times New Roman"/>
        </w:rPr>
        <w:t xml:space="preserve"> higher score reflects </w:t>
      </w:r>
      <w:r w:rsidRPr="00DE64C0">
        <w:rPr>
          <w:rFonts w:cs="Times New Roman"/>
        </w:rPr>
        <w:t>better quality of life</w:t>
      </w:r>
    </w:p>
    <w:p w14:paraId="61D7C495" w14:textId="77777777" w:rsidR="00410D4B" w:rsidRPr="00DE64C0" w:rsidRDefault="00410D4B" w:rsidP="00FF4C5F">
      <w:pPr>
        <w:rPr>
          <w:rFonts w:cs="Times New Roman"/>
        </w:rPr>
      </w:pPr>
      <w:r w:rsidRPr="00DE64C0">
        <w:rPr>
          <w:rFonts w:cs="Times New Roman"/>
        </w:rPr>
        <w:lastRenderedPageBreak/>
        <w:t xml:space="preserve">‡ </w:t>
      </w:r>
      <w:proofErr w:type="gramStart"/>
      <w:r w:rsidRPr="00DE64C0">
        <w:rPr>
          <w:rFonts w:cs="Times New Roman"/>
        </w:rPr>
        <w:t>higher</w:t>
      </w:r>
      <w:proofErr w:type="gramEnd"/>
      <w:r w:rsidRPr="00DE64C0">
        <w:rPr>
          <w:rFonts w:cs="Times New Roman"/>
        </w:rPr>
        <w:t xml:space="preserve"> score reflects worse levels of anxiety/depression</w:t>
      </w:r>
    </w:p>
    <w:p w14:paraId="7787B96B" w14:textId="77777777" w:rsidR="00410D4B" w:rsidRPr="00DE64C0" w:rsidRDefault="00410D4B" w:rsidP="00FF4C5F">
      <w:pPr>
        <w:sectPr w:rsidR="00410D4B" w:rsidRPr="00DE64C0" w:rsidSect="00410D4B">
          <w:pgSz w:w="16838" w:h="11906" w:orient="landscape"/>
          <w:pgMar w:top="1440" w:right="1440" w:bottom="1440" w:left="1440" w:header="708" w:footer="708" w:gutter="0"/>
          <w:cols w:space="708"/>
          <w:docGrid w:linePitch="360"/>
        </w:sectPr>
      </w:pPr>
    </w:p>
    <w:p w14:paraId="1400127B" w14:textId="57F1161A" w:rsidR="00FD541F" w:rsidRPr="00DE64C0" w:rsidRDefault="004D1D37" w:rsidP="00FF4C5F">
      <w:pPr>
        <w:rPr>
          <w:b/>
        </w:rPr>
      </w:pPr>
      <w:r w:rsidRPr="00DE64C0">
        <w:rPr>
          <w:b/>
        </w:rPr>
        <w:lastRenderedPageBreak/>
        <w:t xml:space="preserve">Subsidiary </w:t>
      </w:r>
      <w:r w:rsidR="00814D1C" w:rsidRPr="00DE64C0">
        <w:rPr>
          <w:b/>
        </w:rPr>
        <w:t>analyses</w:t>
      </w:r>
    </w:p>
    <w:p w14:paraId="3CAC5692" w14:textId="02D592E2" w:rsidR="00C57997" w:rsidRPr="00DE64C0" w:rsidRDefault="00055CEA" w:rsidP="00FF4C5F">
      <w:pPr>
        <w:rPr>
          <w:rFonts w:cs="Times New Roman"/>
        </w:rPr>
      </w:pPr>
      <w:r w:rsidRPr="00DE64C0">
        <w:rPr>
          <w:rFonts w:cs="Times New Roman"/>
        </w:rPr>
        <w:t>I</w:t>
      </w:r>
      <w:r w:rsidR="009858F7" w:rsidRPr="00DE64C0">
        <w:rPr>
          <w:rFonts w:cs="Times New Roman"/>
        </w:rPr>
        <w:t>n</w:t>
      </w:r>
      <w:r w:rsidR="009A3D9D" w:rsidRPr="00DE64C0">
        <w:rPr>
          <w:rFonts w:cs="Times New Roman"/>
        </w:rPr>
        <w:t xml:space="preserve"> the per-protocol analysis, significant reductions at 36 months were seen for fasting (-0.12 </w:t>
      </w:r>
      <w:proofErr w:type="spellStart"/>
      <w:r w:rsidR="009A3D9D" w:rsidRPr="00DE64C0">
        <w:rPr>
          <w:rFonts w:cs="Times New Roman"/>
        </w:rPr>
        <w:t>mmol</w:t>
      </w:r>
      <w:proofErr w:type="spellEnd"/>
      <w:r w:rsidR="009A3D9D" w:rsidRPr="00DE64C0">
        <w:rPr>
          <w:rFonts w:cs="Times New Roman"/>
        </w:rPr>
        <w:t xml:space="preserve">/l), 2-hour (-0.35 </w:t>
      </w:r>
      <w:proofErr w:type="spellStart"/>
      <w:r w:rsidR="009A3D9D" w:rsidRPr="00DE64C0">
        <w:rPr>
          <w:rFonts w:cs="Times New Roman"/>
        </w:rPr>
        <w:t>mmol</w:t>
      </w:r>
      <w:proofErr w:type="spellEnd"/>
      <w:r w:rsidR="009A3D9D" w:rsidRPr="00DE64C0">
        <w:rPr>
          <w:rFonts w:cs="Times New Roman"/>
        </w:rPr>
        <w:t>/l) and HbA1c (-0.11%) in the intervention compared to standard</w:t>
      </w:r>
      <w:r w:rsidR="0027132E" w:rsidRPr="00DE64C0">
        <w:rPr>
          <w:rFonts w:cs="Times New Roman"/>
        </w:rPr>
        <w:t>-</w:t>
      </w:r>
      <w:r w:rsidR="009A3D9D" w:rsidRPr="00DE64C0">
        <w:rPr>
          <w:rFonts w:cs="Times New Roman"/>
        </w:rPr>
        <w:t>care</w:t>
      </w:r>
      <w:r w:rsidRPr="00DE64C0">
        <w:rPr>
          <w:rFonts w:cs="Times New Roman"/>
        </w:rPr>
        <w:t xml:space="preserve"> (Table 4)</w:t>
      </w:r>
      <w:r w:rsidR="00BA6791" w:rsidRPr="00DE64C0">
        <w:rPr>
          <w:rFonts w:cs="Times New Roman"/>
        </w:rPr>
        <w:t>. The increase in step-</w:t>
      </w:r>
      <w:r w:rsidR="009A3D9D" w:rsidRPr="00DE64C0">
        <w:rPr>
          <w:rFonts w:cs="Times New Roman"/>
        </w:rPr>
        <w:t xml:space="preserve">count in the intervention group compared to </w:t>
      </w:r>
      <w:r w:rsidR="0027132E" w:rsidRPr="00DE64C0">
        <w:rPr>
          <w:rFonts w:cs="Times New Roman"/>
        </w:rPr>
        <w:t>standard-</w:t>
      </w:r>
      <w:r w:rsidR="009A3D9D" w:rsidRPr="00DE64C0">
        <w:rPr>
          <w:rFonts w:cs="Times New Roman"/>
        </w:rPr>
        <w:t xml:space="preserve">care </w:t>
      </w:r>
      <w:r w:rsidRPr="00DE64C0">
        <w:rPr>
          <w:rFonts w:cs="Times New Roman"/>
        </w:rPr>
        <w:t>was</w:t>
      </w:r>
      <w:r w:rsidR="009A3D9D" w:rsidRPr="00DE64C0">
        <w:rPr>
          <w:rFonts w:cs="Times New Roman"/>
        </w:rPr>
        <w:t xml:space="preserve"> increased in the </w:t>
      </w:r>
      <w:r w:rsidR="0027132E" w:rsidRPr="00DE64C0">
        <w:rPr>
          <w:rFonts w:cs="Times New Roman"/>
        </w:rPr>
        <w:t>per-</w:t>
      </w:r>
      <w:r w:rsidR="009A3D9D" w:rsidRPr="00DE64C0">
        <w:rPr>
          <w:rFonts w:cs="Times New Roman"/>
        </w:rPr>
        <w:t>protocol analysis</w:t>
      </w:r>
      <w:r w:rsidR="00814D1C" w:rsidRPr="00DE64C0">
        <w:rPr>
          <w:rFonts w:cs="Times New Roman"/>
        </w:rPr>
        <w:t xml:space="preserve">. For </w:t>
      </w:r>
      <w:r w:rsidR="009A3D9D" w:rsidRPr="00DE64C0">
        <w:rPr>
          <w:rFonts w:cs="Times New Roman"/>
        </w:rPr>
        <w:t>the intention</w:t>
      </w:r>
      <w:r w:rsidR="009858F7" w:rsidRPr="00DE64C0">
        <w:rPr>
          <w:rFonts w:cs="Times New Roman"/>
        </w:rPr>
        <w:t>-</w:t>
      </w:r>
      <w:r w:rsidR="009A3D9D" w:rsidRPr="00DE64C0">
        <w:rPr>
          <w:rFonts w:cs="Times New Roman"/>
        </w:rPr>
        <w:t>to</w:t>
      </w:r>
      <w:r w:rsidR="009858F7" w:rsidRPr="00DE64C0">
        <w:rPr>
          <w:rFonts w:cs="Times New Roman"/>
        </w:rPr>
        <w:t>-</w:t>
      </w:r>
      <w:r w:rsidR="009A3D9D" w:rsidRPr="00DE64C0">
        <w:rPr>
          <w:rFonts w:cs="Times New Roman"/>
        </w:rPr>
        <w:t>treat analysis</w:t>
      </w:r>
      <w:r w:rsidR="009858F7" w:rsidRPr="00DE64C0">
        <w:rPr>
          <w:rFonts w:cs="Times New Roman"/>
        </w:rPr>
        <w:t xml:space="preserve">, </w:t>
      </w:r>
      <w:r w:rsidR="009A3D9D" w:rsidRPr="00DE64C0">
        <w:rPr>
          <w:rFonts w:cs="Times New Roman"/>
        </w:rPr>
        <w:t xml:space="preserve">the interpretation of the results for the secondary outcomes assessed </w:t>
      </w:r>
      <w:r w:rsidR="009858F7" w:rsidRPr="00DE64C0">
        <w:rPr>
          <w:rFonts w:cs="Times New Roman"/>
        </w:rPr>
        <w:t>did not change</w:t>
      </w:r>
      <w:r w:rsidR="00E5371D" w:rsidRPr="00DE64C0">
        <w:rPr>
          <w:rFonts w:cs="Times New Roman"/>
        </w:rPr>
        <w:t xml:space="preserve">. </w:t>
      </w:r>
    </w:p>
    <w:p w14:paraId="1348B0E5" w14:textId="77777777" w:rsidR="00410D4B" w:rsidRPr="00DE64C0" w:rsidRDefault="00410D4B" w:rsidP="00FF4C5F">
      <w:bookmarkStart w:id="7" w:name="_Toc406070585"/>
    </w:p>
    <w:p w14:paraId="683CE52E" w14:textId="77777777" w:rsidR="00410D4B" w:rsidRPr="00DE64C0" w:rsidRDefault="00410D4B" w:rsidP="00FF4C5F">
      <w:pPr>
        <w:sectPr w:rsidR="00410D4B" w:rsidRPr="00DE64C0" w:rsidSect="00410D4B">
          <w:pgSz w:w="11906" w:h="16838"/>
          <w:pgMar w:top="1440" w:right="1440" w:bottom="1440" w:left="1440" w:header="708" w:footer="708" w:gutter="0"/>
          <w:cols w:space="708"/>
          <w:docGrid w:linePitch="360"/>
        </w:sectPr>
      </w:pPr>
    </w:p>
    <w:p w14:paraId="17029132" w14:textId="56E9C767" w:rsidR="00410D4B" w:rsidRPr="00DE64C0" w:rsidRDefault="00410D4B" w:rsidP="00FF4C5F">
      <w:pPr>
        <w:rPr>
          <w:rFonts w:cs="Times New Roman"/>
        </w:rPr>
      </w:pPr>
      <w:r w:rsidRPr="00DE64C0">
        <w:rPr>
          <w:b/>
        </w:rPr>
        <w:lastRenderedPageBreak/>
        <w:t>Table 4</w:t>
      </w:r>
      <w:r w:rsidRPr="00DE64C0">
        <w:t xml:space="preserve"> Key secondary outcomes – </w:t>
      </w:r>
      <w:r w:rsidR="004D1D37" w:rsidRPr="00DE64C0">
        <w:t>Subsidiary</w:t>
      </w:r>
      <w:r w:rsidR="004D1D37" w:rsidRPr="00DE64C0" w:rsidDel="004D1D37">
        <w:t xml:space="preserve"> </w:t>
      </w:r>
      <w:r w:rsidRPr="00DE64C0">
        <w:t>analysis</w:t>
      </w:r>
    </w:p>
    <w:p w14:paraId="5888F531" w14:textId="77777777" w:rsidR="00410D4B" w:rsidRPr="00DE64C0" w:rsidRDefault="00410D4B" w:rsidP="00FF4C5F">
      <w:pPr>
        <w:rPr>
          <w:rFonts w:cs="Times New Roman"/>
        </w:rPr>
      </w:pPr>
      <w:r w:rsidRPr="00DE64C0">
        <w:rPr>
          <w:rFonts w:cs="Times New Roman"/>
          <w:color w:val="000000" w:themeColor="text1"/>
        </w:rPr>
        <w:t xml:space="preserve">Coefficients show intervention effect adjusted </w:t>
      </w:r>
      <w:r w:rsidRPr="00DE64C0">
        <w:rPr>
          <w:rFonts w:cs="Times New Roman"/>
        </w:rPr>
        <w:t xml:space="preserve">for baseline value and cluster. Complete case – data analysed according to randomised group; those with missing data excluded on a case-by-case basis. Per protocol – those randomised to the intervention who did not attend the initial education are excluded. </w:t>
      </w:r>
      <w:proofErr w:type="gramStart"/>
      <w:r w:rsidRPr="00DE64C0">
        <w:rPr>
          <w:rFonts w:cs="Times New Roman"/>
        </w:rPr>
        <w:t>Intention to treat – data analysed according to randomised group, all randomised participants included.</w:t>
      </w:r>
      <w:proofErr w:type="gramEnd"/>
      <w:r w:rsidRPr="00DE64C0">
        <w:rPr>
          <w:rFonts w:cs="Times New Roman"/>
        </w:rPr>
        <w:t xml:space="preserve"> Missing data imputed using multiple </w:t>
      </w:r>
      <w:proofErr w:type="gramStart"/>
      <w:r w:rsidRPr="00DE64C0">
        <w:rPr>
          <w:rFonts w:cs="Times New Roman"/>
        </w:rPr>
        <w:t>imputation</w:t>
      </w:r>
      <w:proofErr w:type="gramEnd"/>
      <w:r w:rsidRPr="00DE64C0">
        <w:rPr>
          <w:rFonts w:cs="Times New Roman"/>
        </w:rPr>
        <w:t xml:space="preserve">. </w:t>
      </w:r>
    </w:p>
    <w:tbl>
      <w:tblPr>
        <w:tblW w:w="15644" w:type="dxa"/>
        <w:jc w:val="center"/>
        <w:tblLook w:val="04A0" w:firstRow="1" w:lastRow="0" w:firstColumn="1" w:lastColumn="0" w:noHBand="0" w:noVBand="1"/>
      </w:tblPr>
      <w:tblGrid>
        <w:gridCol w:w="1901"/>
        <w:gridCol w:w="2148"/>
        <w:gridCol w:w="2243"/>
        <w:gridCol w:w="2433"/>
        <w:gridCol w:w="2433"/>
        <w:gridCol w:w="2433"/>
        <w:gridCol w:w="2053"/>
      </w:tblGrid>
      <w:tr w:rsidR="00410D4B" w:rsidRPr="00DE64C0" w14:paraId="6F472DAB" w14:textId="77777777" w:rsidTr="00E01867">
        <w:trPr>
          <w:jc w:val="center"/>
        </w:trPr>
        <w:tc>
          <w:tcPr>
            <w:tcW w:w="1901" w:type="dxa"/>
            <w:tcBorders>
              <w:top w:val="single" w:sz="4" w:space="0" w:color="auto"/>
            </w:tcBorders>
            <w:shd w:val="clear" w:color="auto" w:fill="auto"/>
          </w:tcPr>
          <w:p w14:paraId="19334453" w14:textId="77777777" w:rsidR="00410D4B" w:rsidRPr="00DE64C0" w:rsidRDefault="00410D4B" w:rsidP="00FF4C5F">
            <w:pPr>
              <w:rPr>
                <w:rFonts w:cs="Times New Roman"/>
                <w:sz w:val="19"/>
                <w:szCs w:val="19"/>
              </w:rPr>
            </w:pPr>
          </w:p>
        </w:tc>
        <w:tc>
          <w:tcPr>
            <w:tcW w:w="4391" w:type="dxa"/>
            <w:gridSpan w:val="2"/>
            <w:tcBorders>
              <w:top w:val="single" w:sz="4" w:space="0" w:color="auto"/>
            </w:tcBorders>
          </w:tcPr>
          <w:p w14:paraId="5ED0F0BA" w14:textId="77777777" w:rsidR="00410D4B" w:rsidRPr="00DE64C0" w:rsidRDefault="00410D4B" w:rsidP="00FF4C5F">
            <w:pPr>
              <w:rPr>
                <w:rFonts w:eastAsia="Calibri" w:cs="Times New Roman"/>
                <w:sz w:val="19"/>
                <w:szCs w:val="19"/>
              </w:rPr>
            </w:pPr>
            <w:r w:rsidRPr="00DE64C0">
              <w:rPr>
                <w:rFonts w:eastAsia="Calibri" w:cs="Times New Roman"/>
                <w:sz w:val="19"/>
                <w:szCs w:val="19"/>
              </w:rPr>
              <w:t>Complete case</w:t>
            </w:r>
          </w:p>
        </w:tc>
        <w:tc>
          <w:tcPr>
            <w:tcW w:w="4866" w:type="dxa"/>
            <w:gridSpan w:val="2"/>
            <w:tcBorders>
              <w:top w:val="single" w:sz="4" w:space="0" w:color="auto"/>
            </w:tcBorders>
            <w:shd w:val="clear" w:color="auto" w:fill="auto"/>
          </w:tcPr>
          <w:p w14:paraId="10B001D7" w14:textId="77777777" w:rsidR="00410D4B" w:rsidRPr="00DE64C0" w:rsidRDefault="00410D4B" w:rsidP="00FF4C5F">
            <w:pPr>
              <w:rPr>
                <w:rFonts w:eastAsia="Calibri" w:cs="Times New Roman"/>
                <w:sz w:val="19"/>
                <w:szCs w:val="19"/>
              </w:rPr>
            </w:pPr>
            <w:r w:rsidRPr="00DE64C0">
              <w:rPr>
                <w:rFonts w:eastAsia="Calibri" w:cs="Times New Roman"/>
                <w:sz w:val="19"/>
                <w:szCs w:val="19"/>
              </w:rPr>
              <w:t xml:space="preserve">Per protocol </w:t>
            </w:r>
          </w:p>
        </w:tc>
        <w:tc>
          <w:tcPr>
            <w:tcW w:w="4486" w:type="dxa"/>
            <w:gridSpan w:val="2"/>
            <w:tcBorders>
              <w:top w:val="single" w:sz="4" w:space="0" w:color="auto"/>
            </w:tcBorders>
          </w:tcPr>
          <w:p w14:paraId="4B4348A8" w14:textId="77777777" w:rsidR="00410D4B" w:rsidRPr="00DE64C0" w:rsidRDefault="00410D4B" w:rsidP="00FF4C5F">
            <w:pPr>
              <w:rPr>
                <w:rFonts w:eastAsia="Calibri" w:cs="Times New Roman"/>
                <w:sz w:val="19"/>
                <w:szCs w:val="19"/>
              </w:rPr>
            </w:pPr>
            <w:r w:rsidRPr="00DE64C0">
              <w:rPr>
                <w:rFonts w:eastAsia="Calibri" w:cs="Times New Roman"/>
                <w:sz w:val="19"/>
                <w:szCs w:val="19"/>
              </w:rPr>
              <w:t>Intention to treat</w:t>
            </w:r>
          </w:p>
        </w:tc>
      </w:tr>
      <w:tr w:rsidR="00410D4B" w:rsidRPr="00DE64C0" w14:paraId="74E374E9" w14:textId="77777777" w:rsidTr="00E01867">
        <w:trPr>
          <w:jc w:val="center"/>
        </w:trPr>
        <w:tc>
          <w:tcPr>
            <w:tcW w:w="1901" w:type="dxa"/>
            <w:tcBorders>
              <w:bottom w:val="single" w:sz="4" w:space="0" w:color="auto"/>
            </w:tcBorders>
            <w:shd w:val="clear" w:color="auto" w:fill="auto"/>
          </w:tcPr>
          <w:p w14:paraId="18AFF4C1" w14:textId="77777777" w:rsidR="00410D4B" w:rsidRPr="00DE64C0" w:rsidRDefault="00410D4B" w:rsidP="00FF4C5F">
            <w:pPr>
              <w:rPr>
                <w:rFonts w:eastAsia="Calibri" w:cs="Times New Roman"/>
                <w:sz w:val="19"/>
                <w:szCs w:val="19"/>
              </w:rPr>
            </w:pPr>
            <w:r w:rsidRPr="00DE64C0">
              <w:rPr>
                <w:rFonts w:cs="Times New Roman"/>
                <w:sz w:val="19"/>
                <w:szCs w:val="19"/>
              </w:rPr>
              <w:t xml:space="preserve"> </w:t>
            </w:r>
          </w:p>
        </w:tc>
        <w:tc>
          <w:tcPr>
            <w:tcW w:w="2148" w:type="dxa"/>
            <w:tcBorders>
              <w:bottom w:val="single" w:sz="4" w:space="0" w:color="auto"/>
            </w:tcBorders>
          </w:tcPr>
          <w:p w14:paraId="314D5EB7" w14:textId="77777777" w:rsidR="00410D4B" w:rsidRPr="00DE64C0" w:rsidRDefault="00410D4B" w:rsidP="00FF4C5F">
            <w:pPr>
              <w:rPr>
                <w:rFonts w:eastAsia="Calibri" w:cs="Times New Roman"/>
                <w:sz w:val="19"/>
                <w:szCs w:val="19"/>
              </w:rPr>
            </w:pPr>
            <w:r w:rsidRPr="00DE64C0">
              <w:rPr>
                <w:rFonts w:eastAsia="Calibri"/>
                <w:sz w:val="19"/>
                <w:szCs w:val="19"/>
              </w:rPr>
              <w:t>12 months</w:t>
            </w:r>
          </w:p>
        </w:tc>
        <w:tc>
          <w:tcPr>
            <w:tcW w:w="2243" w:type="dxa"/>
            <w:tcBorders>
              <w:bottom w:val="single" w:sz="4" w:space="0" w:color="auto"/>
            </w:tcBorders>
          </w:tcPr>
          <w:p w14:paraId="00375AB7" w14:textId="77777777" w:rsidR="00410D4B" w:rsidRPr="00DE64C0" w:rsidRDefault="00410D4B" w:rsidP="00FF4C5F">
            <w:pPr>
              <w:rPr>
                <w:rFonts w:eastAsia="Calibri" w:cs="Times New Roman"/>
                <w:sz w:val="19"/>
                <w:szCs w:val="19"/>
              </w:rPr>
            </w:pPr>
            <w:r w:rsidRPr="00DE64C0">
              <w:rPr>
                <w:rFonts w:eastAsia="Calibri" w:cs="Times New Roman"/>
                <w:sz w:val="19"/>
                <w:szCs w:val="19"/>
              </w:rPr>
              <w:t>36 months</w:t>
            </w:r>
          </w:p>
        </w:tc>
        <w:tc>
          <w:tcPr>
            <w:tcW w:w="2433" w:type="dxa"/>
            <w:tcBorders>
              <w:bottom w:val="single" w:sz="4" w:space="0" w:color="auto"/>
            </w:tcBorders>
            <w:shd w:val="clear" w:color="auto" w:fill="auto"/>
          </w:tcPr>
          <w:p w14:paraId="669FD5DA" w14:textId="77777777" w:rsidR="00410D4B" w:rsidRPr="00DE64C0" w:rsidRDefault="00410D4B" w:rsidP="00FF4C5F">
            <w:pPr>
              <w:rPr>
                <w:rFonts w:eastAsia="Calibri" w:cs="Times New Roman"/>
                <w:sz w:val="19"/>
                <w:szCs w:val="19"/>
              </w:rPr>
            </w:pPr>
            <w:r w:rsidRPr="00DE64C0">
              <w:rPr>
                <w:rFonts w:eastAsia="Calibri"/>
                <w:sz w:val="19"/>
                <w:szCs w:val="19"/>
              </w:rPr>
              <w:t>12 months</w:t>
            </w:r>
          </w:p>
        </w:tc>
        <w:tc>
          <w:tcPr>
            <w:tcW w:w="2433" w:type="dxa"/>
            <w:tcBorders>
              <w:bottom w:val="single" w:sz="4" w:space="0" w:color="auto"/>
            </w:tcBorders>
          </w:tcPr>
          <w:p w14:paraId="1CDBEEF4" w14:textId="77777777" w:rsidR="00410D4B" w:rsidRPr="00DE64C0" w:rsidRDefault="00410D4B" w:rsidP="00FF4C5F">
            <w:pPr>
              <w:rPr>
                <w:rFonts w:eastAsia="Calibri" w:cs="Times New Roman"/>
                <w:sz w:val="19"/>
                <w:szCs w:val="19"/>
              </w:rPr>
            </w:pPr>
            <w:r w:rsidRPr="00DE64C0">
              <w:rPr>
                <w:rFonts w:eastAsia="Calibri" w:cs="Times New Roman"/>
                <w:sz w:val="19"/>
                <w:szCs w:val="19"/>
              </w:rPr>
              <w:t>36 months</w:t>
            </w:r>
          </w:p>
        </w:tc>
        <w:tc>
          <w:tcPr>
            <w:tcW w:w="2433" w:type="dxa"/>
            <w:tcBorders>
              <w:bottom w:val="single" w:sz="4" w:space="0" w:color="auto"/>
            </w:tcBorders>
          </w:tcPr>
          <w:p w14:paraId="3C6AD7F0" w14:textId="77777777" w:rsidR="00410D4B" w:rsidRPr="00DE64C0" w:rsidRDefault="00410D4B" w:rsidP="00FF4C5F">
            <w:pPr>
              <w:rPr>
                <w:rFonts w:eastAsia="Calibri" w:cs="Times New Roman"/>
                <w:sz w:val="19"/>
                <w:szCs w:val="19"/>
              </w:rPr>
            </w:pPr>
            <w:r w:rsidRPr="00DE64C0">
              <w:rPr>
                <w:rFonts w:eastAsia="Calibri"/>
                <w:sz w:val="19"/>
                <w:szCs w:val="19"/>
              </w:rPr>
              <w:t>12 months</w:t>
            </w:r>
          </w:p>
        </w:tc>
        <w:tc>
          <w:tcPr>
            <w:tcW w:w="2053" w:type="dxa"/>
            <w:tcBorders>
              <w:bottom w:val="single" w:sz="4" w:space="0" w:color="auto"/>
            </w:tcBorders>
          </w:tcPr>
          <w:p w14:paraId="69EAEF19" w14:textId="77777777" w:rsidR="00410D4B" w:rsidRPr="00DE64C0" w:rsidRDefault="00410D4B" w:rsidP="00FF4C5F">
            <w:pPr>
              <w:rPr>
                <w:rFonts w:eastAsia="Calibri" w:cs="Times New Roman"/>
                <w:sz w:val="19"/>
                <w:szCs w:val="19"/>
              </w:rPr>
            </w:pPr>
            <w:r w:rsidRPr="00DE64C0">
              <w:rPr>
                <w:rFonts w:eastAsia="Calibri" w:cs="Times New Roman"/>
                <w:sz w:val="19"/>
                <w:szCs w:val="19"/>
              </w:rPr>
              <w:t>36 months</w:t>
            </w:r>
          </w:p>
        </w:tc>
      </w:tr>
      <w:tr w:rsidR="00410D4B" w:rsidRPr="00DE64C0" w14:paraId="58B87B96" w14:textId="77777777" w:rsidTr="00E01867">
        <w:trPr>
          <w:jc w:val="center"/>
        </w:trPr>
        <w:tc>
          <w:tcPr>
            <w:tcW w:w="1901" w:type="dxa"/>
            <w:tcBorders>
              <w:top w:val="single" w:sz="4" w:space="0" w:color="auto"/>
            </w:tcBorders>
            <w:shd w:val="clear" w:color="auto" w:fill="auto"/>
          </w:tcPr>
          <w:p w14:paraId="5508FEE3" w14:textId="77777777" w:rsidR="00410D4B" w:rsidRPr="00DE64C0" w:rsidRDefault="00410D4B" w:rsidP="00FF4C5F">
            <w:pPr>
              <w:rPr>
                <w:rFonts w:eastAsia="Calibri" w:cs="Times New Roman"/>
                <w:sz w:val="19"/>
                <w:szCs w:val="19"/>
              </w:rPr>
            </w:pPr>
            <w:r w:rsidRPr="00DE64C0">
              <w:rPr>
                <w:rFonts w:eastAsia="Calibri" w:cs="Times New Roman"/>
                <w:sz w:val="19"/>
                <w:szCs w:val="19"/>
              </w:rPr>
              <w:t>Fasting glucose</w:t>
            </w:r>
          </w:p>
        </w:tc>
        <w:tc>
          <w:tcPr>
            <w:tcW w:w="2148" w:type="dxa"/>
            <w:tcBorders>
              <w:top w:val="single" w:sz="4" w:space="0" w:color="auto"/>
            </w:tcBorders>
          </w:tcPr>
          <w:p w14:paraId="5527280D" w14:textId="77777777" w:rsidR="00410D4B" w:rsidRPr="00DE64C0" w:rsidRDefault="00410D4B" w:rsidP="00FF4C5F">
            <w:pPr>
              <w:rPr>
                <w:rFonts w:eastAsia="Calibri" w:cs="Times New Roman"/>
                <w:sz w:val="19"/>
                <w:szCs w:val="19"/>
              </w:rPr>
            </w:pPr>
            <w:r w:rsidRPr="00DE64C0">
              <w:rPr>
                <w:rFonts w:eastAsia="Calibri" w:cs="Times New Roman"/>
                <w:sz w:val="19"/>
                <w:szCs w:val="19"/>
              </w:rPr>
              <w:t>0.001 (-0.10, 0.10)</w:t>
            </w:r>
          </w:p>
        </w:tc>
        <w:tc>
          <w:tcPr>
            <w:tcW w:w="2243" w:type="dxa"/>
            <w:tcBorders>
              <w:top w:val="single" w:sz="4" w:space="0" w:color="auto"/>
            </w:tcBorders>
          </w:tcPr>
          <w:p w14:paraId="5A384F8A" w14:textId="77777777" w:rsidR="00410D4B" w:rsidRPr="00DE64C0" w:rsidRDefault="00410D4B" w:rsidP="00FF4C5F">
            <w:pPr>
              <w:rPr>
                <w:rFonts w:eastAsia="Calibri" w:cs="Times New Roman"/>
                <w:sz w:val="19"/>
                <w:szCs w:val="19"/>
              </w:rPr>
            </w:pPr>
            <w:r w:rsidRPr="00DE64C0">
              <w:rPr>
                <w:rFonts w:eastAsia="Calibri" w:cs="Times New Roman"/>
                <w:sz w:val="19"/>
                <w:szCs w:val="19"/>
              </w:rPr>
              <w:t>-0.05 (-0.18, 0.07)</w:t>
            </w:r>
          </w:p>
        </w:tc>
        <w:tc>
          <w:tcPr>
            <w:tcW w:w="2433" w:type="dxa"/>
            <w:tcBorders>
              <w:top w:val="single" w:sz="4" w:space="0" w:color="auto"/>
            </w:tcBorders>
            <w:shd w:val="clear" w:color="auto" w:fill="auto"/>
          </w:tcPr>
          <w:p w14:paraId="3D5052A6" w14:textId="77777777" w:rsidR="00410D4B" w:rsidRPr="00DE64C0" w:rsidRDefault="00410D4B" w:rsidP="00FF4C5F">
            <w:pPr>
              <w:rPr>
                <w:rFonts w:eastAsia="Calibri" w:cs="Times New Roman"/>
                <w:sz w:val="19"/>
                <w:szCs w:val="19"/>
              </w:rPr>
            </w:pPr>
            <w:r w:rsidRPr="00DE64C0">
              <w:rPr>
                <w:rFonts w:eastAsia="Calibri" w:cs="Times New Roman"/>
                <w:sz w:val="19"/>
                <w:szCs w:val="19"/>
              </w:rPr>
              <w:t>0.03 (-0.14, 0.08)</w:t>
            </w:r>
          </w:p>
        </w:tc>
        <w:tc>
          <w:tcPr>
            <w:tcW w:w="2433" w:type="dxa"/>
            <w:tcBorders>
              <w:top w:val="single" w:sz="4" w:space="0" w:color="auto"/>
            </w:tcBorders>
          </w:tcPr>
          <w:p w14:paraId="4D7F8B43" w14:textId="77777777" w:rsidR="00410D4B" w:rsidRPr="00DE64C0" w:rsidRDefault="00410D4B" w:rsidP="00FF4C5F">
            <w:pPr>
              <w:rPr>
                <w:rFonts w:eastAsia="Calibri" w:cs="Times New Roman"/>
                <w:sz w:val="19"/>
                <w:szCs w:val="19"/>
              </w:rPr>
            </w:pPr>
            <w:r w:rsidRPr="00DE64C0">
              <w:rPr>
                <w:rFonts w:eastAsia="Calibri" w:cs="Times New Roman"/>
                <w:sz w:val="19"/>
                <w:szCs w:val="19"/>
              </w:rPr>
              <w:t>-0.12 (-0.23, -0.01)*</w:t>
            </w:r>
          </w:p>
        </w:tc>
        <w:tc>
          <w:tcPr>
            <w:tcW w:w="2433" w:type="dxa"/>
            <w:tcBorders>
              <w:top w:val="single" w:sz="4" w:space="0" w:color="auto"/>
            </w:tcBorders>
          </w:tcPr>
          <w:p w14:paraId="310E64D4" w14:textId="77777777" w:rsidR="00410D4B" w:rsidRPr="00DE64C0" w:rsidRDefault="00410D4B" w:rsidP="00FF4C5F">
            <w:pPr>
              <w:rPr>
                <w:rFonts w:eastAsia="Calibri" w:cs="Times New Roman"/>
                <w:sz w:val="19"/>
                <w:szCs w:val="19"/>
              </w:rPr>
            </w:pPr>
            <w:r w:rsidRPr="00DE64C0">
              <w:rPr>
                <w:rFonts w:eastAsia="Calibri" w:cs="Times New Roman"/>
                <w:sz w:val="19"/>
                <w:szCs w:val="19"/>
              </w:rPr>
              <w:t>0.02 (-0.09, 0.13)</w:t>
            </w:r>
          </w:p>
        </w:tc>
        <w:tc>
          <w:tcPr>
            <w:tcW w:w="2053" w:type="dxa"/>
            <w:tcBorders>
              <w:top w:val="single" w:sz="4" w:space="0" w:color="auto"/>
            </w:tcBorders>
          </w:tcPr>
          <w:p w14:paraId="103EEA8A" w14:textId="77777777" w:rsidR="00410D4B" w:rsidRPr="00DE64C0" w:rsidRDefault="00410D4B" w:rsidP="00FF4C5F">
            <w:pPr>
              <w:rPr>
                <w:rFonts w:eastAsia="Calibri" w:cs="Times New Roman"/>
                <w:sz w:val="19"/>
                <w:szCs w:val="19"/>
              </w:rPr>
            </w:pPr>
            <w:r w:rsidRPr="00DE64C0">
              <w:rPr>
                <w:rFonts w:eastAsia="Calibri" w:cs="Times New Roman"/>
                <w:sz w:val="19"/>
                <w:szCs w:val="19"/>
              </w:rPr>
              <w:t>-0.02 (-0.13, 0.08)</w:t>
            </w:r>
          </w:p>
        </w:tc>
      </w:tr>
      <w:tr w:rsidR="00410D4B" w:rsidRPr="00DE64C0" w14:paraId="476848D7" w14:textId="77777777" w:rsidTr="00E01867">
        <w:trPr>
          <w:jc w:val="center"/>
        </w:trPr>
        <w:tc>
          <w:tcPr>
            <w:tcW w:w="1901" w:type="dxa"/>
            <w:shd w:val="clear" w:color="auto" w:fill="auto"/>
          </w:tcPr>
          <w:p w14:paraId="3869FFF6" w14:textId="77777777" w:rsidR="00410D4B" w:rsidRPr="00DE64C0" w:rsidRDefault="00410D4B" w:rsidP="00FF4C5F">
            <w:pPr>
              <w:rPr>
                <w:rFonts w:eastAsia="Calibri" w:cs="Times New Roman"/>
                <w:sz w:val="19"/>
                <w:szCs w:val="19"/>
              </w:rPr>
            </w:pPr>
            <w:r w:rsidRPr="00DE64C0">
              <w:rPr>
                <w:rFonts w:eastAsia="Calibri" w:cs="Times New Roman"/>
                <w:sz w:val="19"/>
                <w:szCs w:val="19"/>
              </w:rPr>
              <w:t>2-hour glucose</w:t>
            </w:r>
          </w:p>
        </w:tc>
        <w:tc>
          <w:tcPr>
            <w:tcW w:w="2148" w:type="dxa"/>
          </w:tcPr>
          <w:p w14:paraId="558D4B5F" w14:textId="77777777" w:rsidR="00410D4B" w:rsidRPr="00DE64C0" w:rsidRDefault="00410D4B" w:rsidP="00FF4C5F">
            <w:pPr>
              <w:rPr>
                <w:rFonts w:eastAsia="Calibri" w:cs="Times New Roman"/>
                <w:sz w:val="19"/>
                <w:szCs w:val="19"/>
              </w:rPr>
            </w:pPr>
            <w:r w:rsidRPr="00DE64C0">
              <w:rPr>
                <w:rFonts w:eastAsia="Calibri" w:cs="Times New Roman"/>
                <w:sz w:val="19"/>
                <w:szCs w:val="19"/>
              </w:rPr>
              <w:t>0.08 (-0.23, 0.39)</w:t>
            </w:r>
          </w:p>
        </w:tc>
        <w:tc>
          <w:tcPr>
            <w:tcW w:w="2243" w:type="dxa"/>
          </w:tcPr>
          <w:p w14:paraId="28914E89" w14:textId="77777777" w:rsidR="00410D4B" w:rsidRPr="00DE64C0" w:rsidRDefault="00410D4B" w:rsidP="00FF4C5F">
            <w:pPr>
              <w:rPr>
                <w:rFonts w:eastAsia="Calibri" w:cs="Times New Roman"/>
                <w:sz w:val="19"/>
                <w:szCs w:val="19"/>
              </w:rPr>
            </w:pPr>
            <w:r w:rsidRPr="00DE64C0">
              <w:rPr>
                <w:rFonts w:eastAsia="Calibri" w:cs="Times New Roman"/>
                <w:sz w:val="19"/>
                <w:szCs w:val="19"/>
              </w:rPr>
              <w:t>-0.14 (-0.46, 0.18)</w:t>
            </w:r>
          </w:p>
        </w:tc>
        <w:tc>
          <w:tcPr>
            <w:tcW w:w="2433" w:type="dxa"/>
            <w:shd w:val="clear" w:color="auto" w:fill="auto"/>
          </w:tcPr>
          <w:p w14:paraId="697E9B22" w14:textId="77777777" w:rsidR="00410D4B" w:rsidRPr="00DE64C0" w:rsidRDefault="00410D4B" w:rsidP="00FF4C5F">
            <w:pPr>
              <w:rPr>
                <w:rFonts w:eastAsia="Calibri" w:cs="Times New Roman"/>
                <w:sz w:val="19"/>
                <w:szCs w:val="19"/>
              </w:rPr>
            </w:pPr>
            <w:r w:rsidRPr="00DE64C0">
              <w:rPr>
                <w:rFonts w:eastAsia="Calibri" w:cs="Times New Roman"/>
                <w:sz w:val="19"/>
                <w:szCs w:val="19"/>
              </w:rPr>
              <w:t>0.03 (-0.30, 0.36)</w:t>
            </w:r>
          </w:p>
        </w:tc>
        <w:tc>
          <w:tcPr>
            <w:tcW w:w="2433" w:type="dxa"/>
          </w:tcPr>
          <w:p w14:paraId="39125E7D" w14:textId="77777777" w:rsidR="00410D4B" w:rsidRPr="00DE64C0" w:rsidRDefault="00410D4B" w:rsidP="00FF4C5F">
            <w:pPr>
              <w:rPr>
                <w:rFonts w:eastAsia="Calibri" w:cs="Times New Roman"/>
                <w:sz w:val="19"/>
                <w:szCs w:val="19"/>
              </w:rPr>
            </w:pPr>
            <w:r w:rsidRPr="00DE64C0">
              <w:rPr>
                <w:rFonts w:eastAsia="Calibri" w:cs="Times New Roman"/>
                <w:sz w:val="19"/>
                <w:szCs w:val="19"/>
              </w:rPr>
              <w:t>-0.35 (-0.61, -0.09)**</w:t>
            </w:r>
          </w:p>
        </w:tc>
        <w:tc>
          <w:tcPr>
            <w:tcW w:w="2433" w:type="dxa"/>
          </w:tcPr>
          <w:p w14:paraId="10BFB3E9" w14:textId="77777777" w:rsidR="00410D4B" w:rsidRPr="00DE64C0" w:rsidRDefault="00410D4B" w:rsidP="00FF4C5F">
            <w:pPr>
              <w:rPr>
                <w:rFonts w:eastAsia="Calibri" w:cs="Times New Roman"/>
                <w:sz w:val="19"/>
                <w:szCs w:val="19"/>
              </w:rPr>
            </w:pPr>
            <w:r w:rsidRPr="00DE64C0">
              <w:rPr>
                <w:rFonts w:eastAsia="Calibri" w:cs="Times New Roman"/>
                <w:sz w:val="19"/>
                <w:szCs w:val="19"/>
              </w:rPr>
              <w:t>0.10 (-0.22, 0.42)</w:t>
            </w:r>
          </w:p>
        </w:tc>
        <w:tc>
          <w:tcPr>
            <w:tcW w:w="2053" w:type="dxa"/>
          </w:tcPr>
          <w:p w14:paraId="2565A499" w14:textId="77777777" w:rsidR="00410D4B" w:rsidRPr="00DE64C0" w:rsidRDefault="00410D4B" w:rsidP="00FF4C5F">
            <w:pPr>
              <w:rPr>
                <w:rFonts w:eastAsia="Calibri" w:cs="Times New Roman"/>
                <w:sz w:val="19"/>
                <w:szCs w:val="19"/>
              </w:rPr>
            </w:pPr>
            <w:r w:rsidRPr="00DE64C0">
              <w:rPr>
                <w:rFonts w:eastAsia="Calibri" w:cs="Times New Roman"/>
                <w:sz w:val="19"/>
                <w:szCs w:val="19"/>
              </w:rPr>
              <w:t>-0.10 (-0.45, 0.25)</w:t>
            </w:r>
          </w:p>
        </w:tc>
      </w:tr>
      <w:tr w:rsidR="00410D4B" w:rsidRPr="00DE64C0" w14:paraId="29A915B0" w14:textId="77777777" w:rsidTr="00E01867">
        <w:trPr>
          <w:jc w:val="center"/>
        </w:trPr>
        <w:tc>
          <w:tcPr>
            <w:tcW w:w="1901" w:type="dxa"/>
            <w:shd w:val="clear" w:color="auto" w:fill="auto"/>
          </w:tcPr>
          <w:p w14:paraId="06BF2FFC" w14:textId="77777777" w:rsidR="00410D4B" w:rsidRPr="00DE64C0" w:rsidRDefault="00410D4B" w:rsidP="00FF4C5F">
            <w:pPr>
              <w:rPr>
                <w:rFonts w:eastAsia="Calibri" w:cs="Times New Roman"/>
                <w:sz w:val="19"/>
                <w:szCs w:val="19"/>
              </w:rPr>
            </w:pPr>
            <w:r w:rsidRPr="00DE64C0">
              <w:rPr>
                <w:rFonts w:eastAsia="Calibri" w:cs="Times New Roman"/>
                <w:sz w:val="19"/>
                <w:szCs w:val="19"/>
              </w:rPr>
              <w:t>HbA1c (%)</w:t>
            </w:r>
          </w:p>
        </w:tc>
        <w:tc>
          <w:tcPr>
            <w:tcW w:w="2148" w:type="dxa"/>
          </w:tcPr>
          <w:p w14:paraId="6FA07BC9" w14:textId="77777777" w:rsidR="00410D4B" w:rsidRPr="00DE64C0" w:rsidRDefault="00410D4B" w:rsidP="00FF4C5F">
            <w:pPr>
              <w:rPr>
                <w:rFonts w:eastAsia="Calibri" w:cs="Times New Roman"/>
                <w:sz w:val="19"/>
                <w:szCs w:val="19"/>
              </w:rPr>
            </w:pPr>
            <w:r w:rsidRPr="00DE64C0">
              <w:rPr>
                <w:rFonts w:eastAsia="Calibri" w:cs="Times New Roman"/>
                <w:sz w:val="19"/>
                <w:szCs w:val="19"/>
              </w:rPr>
              <w:t>-0.04 (-0.10, 0.02)</w:t>
            </w:r>
          </w:p>
        </w:tc>
        <w:tc>
          <w:tcPr>
            <w:tcW w:w="2243" w:type="dxa"/>
          </w:tcPr>
          <w:p w14:paraId="7AB9B26C" w14:textId="77777777" w:rsidR="00410D4B" w:rsidRPr="00DE64C0" w:rsidRDefault="00410D4B" w:rsidP="00FF4C5F">
            <w:pPr>
              <w:rPr>
                <w:rFonts w:eastAsia="Calibri" w:cs="Times New Roman"/>
                <w:sz w:val="19"/>
                <w:szCs w:val="19"/>
              </w:rPr>
            </w:pPr>
            <w:r w:rsidRPr="00DE64C0">
              <w:rPr>
                <w:rFonts w:eastAsia="Calibri" w:cs="Times New Roman"/>
                <w:sz w:val="19"/>
                <w:szCs w:val="19"/>
              </w:rPr>
              <w:t>-0.07 (-0.18, 0.04)</w:t>
            </w:r>
          </w:p>
        </w:tc>
        <w:tc>
          <w:tcPr>
            <w:tcW w:w="2433" w:type="dxa"/>
            <w:shd w:val="clear" w:color="auto" w:fill="auto"/>
          </w:tcPr>
          <w:p w14:paraId="40FEC25C" w14:textId="77777777" w:rsidR="00410D4B" w:rsidRPr="00DE64C0" w:rsidRDefault="00410D4B" w:rsidP="00FF4C5F">
            <w:pPr>
              <w:rPr>
                <w:rFonts w:eastAsia="Calibri" w:cs="Times New Roman"/>
                <w:sz w:val="19"/>
                <w:szCs w:val="19"/>
              </w:rPr>
            </w:pPr>
            <w:r w:rsidRPr="00DE64C0">
              <w:rPr>
                <w:rFonts w:eastAsia="Calibri" w:cs="Times New Roman"/>
                <w:sz w:val="19"/>
                <w:szCs w:val="19"/>
              </w:rPr>
              <w:t>-0.04 (-0.10, 0.02)</w:t>
            </w:r>
          </w:p>
        </w:tc>
        <w:tc>
          <w:tcPr>
            <w:tcW w:w="2433" w:type="dxa"/>
          </w:tcPr>
          <w:p w14:paraId="08731745" w14:textId="77777777" w:rsidR="00410D4B" w:rsidRPr="00DE64C0" w:rsidRDefault="00410D4B" w:rsidP="00FF4C5F">
            <w:pPr>
              <w:rPr>
                <w:rFonts w:eastAsia="Calibri" w:cs="Times New Roman"/>
                <w:sz w:val="19"/>
                <w:szCs w:val="19"/>
              </w:rPr>
            </w:pPr>
            <w:r w:rsidRPr="00DE64C0">
              <w:rPr>
                <w:rFonts w:eastAsia="Calibri" w:cs="Times New Roman"/>
                <w:sz w:val="19"/>
                <w:szCs w:val="19"/>
              </w:rPr>
              <w:t>-0.11 (-0.21, -0.01)*</w:t>
            </w:r>
          </w:p>
        </w:tc>
        <w:tc>
          <w:tcPr>
            <w:tcW w:w="2433" w:type="dxa"/>
          </w:tcPr>
          <w:p w14:paraId="42506F5C" w14:textId="77777777" w:rsidR="00410D4B" w:rsidRPr="00DE64C0" w:rsidRDefault="00410D4B" w:rsidP="00FF4C5F">
            <w:pPr>
              <w:rPr>
                <w:rFonts w:eastAsia="Calibri" w:cs="Times New Roman"/>
                <w:sz w:val="19"/>
                <w:szCs w:val="19"/>
              </w:rPr>
            </w:pPr>
            <w:r w:rsidRPr="00DE64C0">
              <w:rPr>
                <w:rFonts w:eastAsia="Calibri"/>
                <w:sz w:val="19"/>
                <w:szCs w:val="19"/>
              </w:rPr>
              <w:t>-0.02 (-0.08, 0.04)</w:t>
            </w:r>
          </w:p>
        </w:tc>
        <w:tc>
          <w:tcPr>
            <w:tcW w:w="2053" w:type="dxa"/>
          </w:tcPr>
          <w:p w14:paraId="22CCE63A" w14:textId="77777777" w:rsidR="00410D4B" w:rsidRPr="00DE64C0" w:rsidRDefault="00410D4B" w:rsidP="00FF4C5F">
            <w:pPr>
              <w:rPr>
                <w:rFonts w:eastAsia="Calibri" w:cs="Times New Roman"/>
                <w:sz w:val="19"/>
                <w:szCs w:val="19"/>
              </w:rPr>
            </w:pPr>
            <w:r w:rsidRPr="00DE64C0">
              <w:rPr>
                <w:rFonts w:eastAsia="Calibri"/>
                <w:sz w:val="19"/>
                <w:szCs w:val="19"/>
              </w:rPr>
              <w:t>-0.07 (-0.17, 0.04)</w:t>
            </w:r>
          </w:p>
        </w:tc>
      </w:tr>
      <w:tr w:rsidR="00410D4B" w:rsidRPr="00DE64C0" w14:paraId="63EE7CDA" w14:textId="77777777" w:rsidTr="00E01867">
        <w:trPr>
          <w:jc w:val="center"/>
        </w:trPr>
        <w:tc>
          <w:tcPr>
            <w:tcW w:w="1901" w:type="dxa"/>
            <w:shd w:val="clear" w:color="auto" w:fill="auto"/>
          </w:tcPr>
          <w:p w14:paraId="56B1D9E0" w14:textId="77777777" w:rsidR="00410D4B" w:rsidRPr="00DE64C0" w:rsidRDefault="00410D4B" w:rsidP="00FF4C5F">
            <w:pPr>
              <w:rPr>
                <w:rFonts w:eastAsia="Calibri" w:cs="Times New Roman"/>
                <w:sz w:val="19"/>
                <w:szCs w:val="19"/>
              </w:rPr>
            </w:pPr>
            <w:r w:rsidRPr="00DE64C0">
              <w:rPr>
                <w:rFonts w:eastAsia="Calibri" w:cs="Times New Roman"/>
                <w:sz w:val="19"/>
                <w:szCs w:val="19"/>
              </w:rPr>
              <w:t>CHD 10-year risk</w:t>
            </w:r>
          </w:p>
        </w:tc>
        <w:tc>
          <w:tcPr>
            <w:tcW w:w="2148" w:type="dxa"/>
          </w:tcPr>
          <w:p w14:paraId="00005785" w14:textId="77777777" w:rsidR="00410D4B" w:rsidRPr="00DE64C0" w:rsidRDefault="00410D4B" w:rsidP="00FF4C5F">
            <w:pPr>
              <w:rPr>
                <w:rFonts w:eastAsia="Calibri" w:cs="Times New Roman"/>
                <w:sz w:val="19"/>
                <w:szCs w:val="19"/>
              </w:rPr>
            </w:pPr>
            <w:r w:rsidRPr="00DE64C0">
              <w:rPr>
                <w:rFonts w:eastAsia="Calibri" w:cs="Times New Roman"/>
                <w:sz w:val="19"/>
                <w:szCs w:val="19"/>
              </w:rPr>
              <w:t>-0.14 (-0.73, 0.45)</w:t>
            </w:r>
          </w:p>
        </w:tc>
        <w:tc>
          <w:tcPr>
            <w:tcW w:w="2243" w:type="dxa"/>
          </w:tcPr>
          <w:p w14:paraId="282A476F" w14:textId="77777777" w:rsidR="00410D4B" w:rsidRPr="00DE64C0" w:rsidRDefault="00410D4B" w:rsidP="00FF4C5F">
            <w:pPr>
              <w:rPr>
                <w:rFonts w:eastAsia="Calibri" w:cs="Times New Roman"/>
                <w:sz w:val="19"/>
                <w:szCs w:val="19"/>
              </w:rPr>
            </w:pPr>
            <w:r w:rsidRPr="00DE64C0">
              <w:rPr>
                <w:rFonts w:eastAsia="Calibri" w:cs="Times New Roman"/>
                <w:sz w:val="19"/>
                <w:szCs w:val="19"/>
              </w:rPr>
              <w:t>-0.23 (-1.07, 0.60)</w:t>
            </w:r>
          </w:p>
        </w:tc>
        <w:tc>
          <w:tcPr>
            <w:tcW w:w="2433" w:type="dxa"/>
            <w:shd w:val="clear" w:color="auto" w:fill="auto"/>
          </w:tcPr>
          <w:p w14:paraId="7903370D" w14:textId="77777777" w:rsidR="00410D4B" w:rsidRPr="00DE64C0" w:rsidRDefault="00410D4B" w:rsidP="00FF4C5F">
            <w:pPr>
              <w:rPr>
                <w:rFonts w:eastAsia="Calibri" w:cs="Times New Roman"/>
                <w:sz w:val="19"/>
                <w:szCs w:val="19"/>
              </w:rPr>
            </w:pPr>
            <w:r w:rsidRPr="00DE64C0">
              <w:rPr>
                <w:rFonts w:eastAsia="Calibri" w:cs="Times New Roman"/>
                <w:sz w:val="19"/>
                <w:szCs w:val="19"/>
              </w:rPr>
              <w:t>-0.11 (-0.75, 0.53)</w:t>
            </w:r>
          </w:p>
        </w:tc>
        <w:tc>
          <w:tcPr>
            <w:tcW w:w="2433" w:type="dxa"/>
          </w:tcPr>
          <w:p w14:paraId="0B63F186" w14:textId="77777777" w:rsidR="00410D4B" w:rsidRPr="00DE64C0" w:rsidRDefault="00410D4B" w:rsidP="00FF4C5F">
            <w:pPr>
              <w:rPr>
                <w:rFonts w:eastAsia="Calibri" w:cs="Times New Roman"/>
                <w:sz w:val="19"/>
                <w:szCs w:val="19"/>
              </w:rPr>
            </w:pPr>
            <w:r w:rsidRPr="00DE64C0">
              <w:rPr>
                <w:rFonts w:eastAsia="Calibri" w:cs="Times New Roman"/>
                <w:sz w:val="19"/>
                <w:szCs w:val="19"/>
              </w:rPr>
              <w:t>-0.15 (-1.05, 0.75)</w:t>
            </w:r>
          </w:p>
        </w:tc>
        <w:tc>
          <w:tcPr>
            <w:tcW w:w="2433" w:type="dxa"/>
          </w:tcPr>
          <w:p w14:paraId="143568A4" w14:textId="77777777" w:rsidR="00410D4B" w:rsidRPr="00DE64C0" w:rsidRDefault="00410D4B" w:rsidP="00FF4C5F">
            <w:pPr>
              <w:rPr>
                <w:rFonts w:eastAsia="Calibri" w:cs="Times New Roman"/>
                <w:sz w:val="19"/>
                <w:szCs w:val="19"/>
              </w:rPr>
            </w:pPr>
            <w:r w:rsidRPr="00DE64C0">
              <w:rPr>
                <w:rFonts w:eastAsia="Calibri" w:cs="Times New Roman"/>
                <w:sz w:val="19"/>
                <w:szCs w:val="19"/>
              </w:rPr>
              <w:t>-0.16 (-0.81, 0.49)</w:t>
            </w:r>
          </w:p>
        </w:tc>
        <w:tc>
          <w:tcPr>
            <w:tcW w:w="2053" w:type="dxa"/>
          </w:tcPr>
          <w:p w14:paraId="5FFC0F94" w14:textId="77777777" w:rsidR="00410D4B" w:rsidRPr="00DE64C0" w:rsidRDefault="00410D4B" w:rsidP="00FF4C5F">
            <w:pPr>
              <w:rPr>
                <w:rFonts w:eastAsia="Calibri" w:cs="Times New Roman"/>
                <w:sz w:val="19"/>
                <w:szCs w:val="19"/>
              </w:rPr>
            </w:pPr>
            <w:r w:rsidRPr="00DE64C0">
              <w:rPr>
                <w:rFonts w:eastAsia="Calibri" w:cs="Times New Roman"/>
                <w:sz w:val="19"/>
                <w:szCs w:val="19"/>
              </w:rPr>
              <w:t>-0.48 (-1.34, 0.37)</w:t>
            </w:r>
          </w:p>
        </w:tc>
      </w:tr>
      <w:tr w:rsidR="00410D4B" w:rsidRPr="00DE64C0" w14:paraId="3E3E95D7" w14:textId="77777777" w:rsidTr="00E01867">
        <w:trPr>
          <w:jc w:val="center"/>
        </w:trPr>
        <w:tc>
          <w:tcPr>
            <w:tcW w:w="1901" w:type="dxa"/>
            <w:shd w:val="clear" w:color="auto" w:fill="auto"/>
          </w:tcPr>
          <w:p w14:paraId="4F389A1A" w14:textId="77777777" w:rsidR="00410D4B" w:rsidRPr="00DE64C0" w:rsidRDefault="00410D4B" w:rsidP="00FF4C5F">
            <w:pPr>
              <w:rPr>
                <w:rFonts w:eastAsia="Calibri" w:cs="Times New Roman"/>
                <w:sz w:val="19"/>
                <w:szCs w:val="19"/>
              </w:rPr>
            </w:pPr>
            <w:r w:rsidRPr="00DE64C0">
              <w:rPr>
                <w:rFonts w:eastAsia="Calibri" w:cs="Times New Roman"/>
                <w:sz w:val="19"/>
                <w:szCs w:val="19"/>
              </w:rPr>
              <w:t>CVD 10-year risk</w:t>
            </w:r>
          </w:p>
        </w:tc>
        <w:tc>
          <w:tcPr>
            <w:tcW w:w="2148" w:type="dxa"/>
          </w:tcPr>
          <w:p w14:paraId="497CA84B" w14:textId="77777777" w:rsidR="00410D4B" w:rsidRPr="00DE64C0" w:rsidRDefault="00410D4B" w:rsidP="00FF4C5F">
            <w:pPr>
              <w:rPr>
                <w:rFonts w:eastAsia="Calibri" w:cs="Times New Roman"/>
                <w:sz w:val="19"/>
                <w:szCs w:val="19"/>
              </w:rPr>
            </w:pPr>
            <w:r w:rsidRPr="00DE64C0">
              <w:rPr>
                <w:rFonts w:eastAsia="Calibri" w:cs="Times New Roman"/>
                <w:sz w:val="19"/>
                <w:szCs w:val="19"/>
              </w:rPr>
              <w:t>0.01 (-0.74, 0.76)</w:t>
            </w:r>
          </w:p>
        </w:tc>
        <w:tc>
          <w:tcPr>
            <w:tcW w:w="2243" w:type="dxa"/>
          </w:tcPr>
          <w:p w14:paraId="4E511EB6" w14:textId="77777777" w:rsidR="00410D4B" w:rsidRPr="00DE64C0" w:rsidRDefault="00410D4B" w:rsidP="00FF4C5F">
            <w:pPr>
              <w:rPr>
                <w:rFonts w:eastAsia="Calibri" w:cs="Times New Roman"/>
                <w:sz w:val="19"/>
                <w:szCs w:val="19"/>
              </w:rPr>
            </w:pPr>
            <w:r w:rsidRPr="00DE64C0">
              <w:rPr>
                <w:rFonts w:eastAsia="Calibri" w:cs="Times New Roman"/>
                <w:sz w:val="19"/>
                <w:szCs w:val="19"/>
              </w:rPr>
              <w:t>0.04 (-1.07, 1.14)</w:t>
            </w:r>
          </w:p>
        </w:tc>
        <w:tc>
          <w:tcPr>
            <w:tcW w:w="2433" w:type="dxa"/>
            <w:shd w:val="clear" w:color="auto" w:fill="auto"/>
          </w:tcPr>
          <w:p w14:paraId="19140150" w14:textId="77777777" w:rsidR="00410D4B" w:rsidRPr="00DE64C0" w:rsidRDefault="00410D4B" w:rsidP="00FF4C5F">
            <w:pPr>
              <w:rPr>
                <w:rFonts w:eastAsia="Calibri" w:cs="Times New Roman"/>
                <w:sz w:val="19"/>
                <w:szCs w:val="19"/>
              </w:rPr>
            </w:pPr>
            <w:r w:rsidRPr="00DE64C0">
              <w:rPr>
                <w:rFonts w:eastAsia="Calibri" w:cs="Times New Roman"/>
                <w:sz w:val="19"/>
                <w:szCs w:val="19"/>
              </w:rPr>
              <w:t>-0.02 (-0.77, 0.73)</w:t>
            </w:r>
          </w:p>
        </w:tc>
        <w:tc>
          <w:tcPr>
            <w:tcW w:w="2433" w:type="dxa"/>
          </w:tcPr>
          <w:p w14:paraId="2F8321B2" w14:textId="77777777" w:rsidR="00410D4B" w:rsidRPr="00DE64C0" w:rsidRDefault="00410D4B" w:rsidP="00FF4C5F">
            <w:pPr>
              <w:rPr>
                <w:rFonts w:eastAsia="Calibri" w:cs="Times New Roman"/>
                <w:sz w:val="19"/>
                <w:szCs w:val="19"/>
              </w:rPr>
            </w:pPr>
            <w:r w:rsidRPr="00DE64C0">
              <w:rPr>
                <w:rFonts w:eastAsia="Calibri" w:cs="Times New Roman"/>
                <w:sz w:val="19"/>
                <w:szCs w:val="19"/>
              </w:rPr>
              <w:t>0.12 (-1.03, 1.28)</w:t>
            </w:r>
          </w:p>
        </w:tc>
        <w:tc>
          <w:tcPr>
            <w:tcW w:w="2433" w:type="dxa"/>
          </w:tcPr>
          <w:p w14:paraId="54B07604" w14:textId="77777777" w:rsidR="00410D4B" w:rsidRPr="00DE64C0" w:rsidRDefault="00410D4B" w:rsidP="00FF4C5F">
            <w:pPr>
              <w:rPr>
                <w:rFonts w:eastAsia="Calibri" w:cs="Times New Roman"/>
                <w:sz w:val="19"/>
                <w:szCs w:val="19"/>
              </w:rPr>
            </w:pPr>
            <w:r w:rsidRPr="00DE64C0">
              <w:rPr>
                <w:rFonts w:eastAsia="Calibri" w:cs="Times New Roman"/>
                <w:sz w:val="19"/>
                <w:szCs w:val="19"/>
              </w:rPr>
              <w:t>-0.12 (-0.96, 0.72)</w:t>
            </w:r>
          </w:p>
        </w:tc>
        <w:tc>
          <w:tcPr>
            <w:tcW w:w="2053" w:type="dxa"/>
          </w:tcPr>
          <w:p w14:paraId="10AC54D1" w14:textId="77777777" w:rsidR="00410D4B" w:rsidRPr="00DE64C0" w:rsidRDefault="00410D4B" w:rsidP="00FF4C5F">
            <w:pPr>
              <w:rPr>
                <w:rFonts w:eastAsia="Calibri" w:cs="Times New Roman"/>
                <w:sz w:val="19"/>
                <w:szCs w:val="19"/>
              </w:rPr>
            </w:pPr>
            <w:r w:rsidRPr="00DE64C0">
              <w:rPr>
                <w:rFonts w:eastAsia="Calibri" w:cs="Times New Roman"/>
                <w:sz w:val="19"/>
                <w:szCs w:val="19"/>
              </w:rPr>
              <w:t>-0.55 (-1.50, 0.39)</w:t>
            </w:r>
          </w:p>
        </w:tc>
      </w:tr>
      <w:tr w:rsidR="00410D4B" w:rsidRPr="00DE64C0" w14:paraId="4285A8AF" w14:textId="77777777" w:rsidTr="00E01867">
        <w:trPr>
          <w:jc w:val="center"/>
        </w:trPr>
        <w:tc>
          <w:tcPr>
            <w:tcW w:w="1901" w:type="dxa"/>
            <w:shd w:val="clear" w:color="auto" w:fill="auto"/>
          </w:tcPr>
          <w:p w14:paraId="020730A0" w14:textId="77777777" w:rsidR="00410D4B" w:rsidRPr="00DE64C0" w:rsidRDefault="00410D4B" w:rsidP="00FF4C5F">
            <w:pPr>
              <w:rPr>
                <w:rFonts w:eastAsia="Calibri" w:cs="Times New Roman"/>
                <w:sz w:val="19"/>
                <w:szCs w:val="19"/>
              </w:rPr>
            </w:pPr>
            <w:r w:rsidRPr="00DE64C0">
              <w:rPr>
                <w:rFonts w:eastAsia="Calibri" w:cs="Times New Roman"/>
                <w:sz w:val="19"/>
                <w:szCs w:val="19"/>
              </w:rPr>
              <w:t>Metabolic syndrome</w:t>
            </w:r>
          </w:p>
        </w:tc>
        <w:tc>
          <w:tcPr>
            <w:tcW w:w="2148" w:type="dxa"/>
          </w:tcPr>
          <w:p w14:paraId="68E12398" w14:textId="77777777" w:rsidR="00410D4B" w:rsidRPr="00DE64C0" w:rsidRDefault="00410D4B" w:rsidP="00FF4C5F">
            <w:pPr>
              <w:rPr>
                <w:rFonts w:eastAsia="Calibri" w:cs="Times New Roman"/>
                <w:sz w:val="19"/>
                <w:szCs w:val="19"/>
              </w:rPr>
            </w:pPr>
            <w:r w:rsidRPr="00DE64C0">
              <w:rPr>
                <w:rFonts w:eastAsia="Calibri" w:cs="Times New Roman"/>
                <w:sz w:val="19"/>
                <w:szCs w:val="19"/>
              </w:rPr>
              <w:t>1.05 (0.78, 1.43)</w:t>
            </w:r>
          </w:p>
        </w:tc>
        <w:tc>
          <w:tcPr>
            <w:tcW w:w="2243" w:type="dxa"/>
          </w:tcPr>
          <w:p w14:paraId="201F6447" w14:textId="77777777" w:rsidR="00410D4B" w:rsidRPr="00DE64C0" w:rsidRDefault="00410D4B" w:rsidP="00FF4C5F">
            <w:pPr>
              <w:rPr>
                <w:rFonts w:eastAsia="Calibri" w:cs="Times New Roman"/>
                <w:sz w:val="19"/>
                <w:szCs w:val="19"/>
              </w:rPr>
            </w:pPr>
            <w:r w:rsidRPr="00DE64C0">
              <w:rPr>
                <w:rFonts w:eastAsia="Calibri" w:cs="Times New Roman"/>
                <w:sz w:val="19"/>
                <w:szCs w:val="19"/>
              </w:rPr>
              <w:t>1.10 (0.83, 1.46)</w:t>
            </w:r>
          </w:p>
        </w:tc>
        <w:tc>
          <w:tcPr>
            <w:tcW w:w="2433" w:type="dxa"/>
            <w:shd w:val="clear" w:color="auto" w:fill="auto"/>
          </w:tcPr>
          <w:p w14:paraId="6F56AB0B" w14:textId="77777777" w:rsidR="00410D4B" w:rsidRPr="00DE64C0" w:rsidRDefault="00410D4B" w:rsidP="00FF4C5F">
            <w:pPr>
              <w:rPr>
                <w:rFonts w:eastAsia="Calibri" w:cs="Times New Roman"/>
                <w:sz w:val="19"/>
                <w:szCs w:val="19"/>
              </w:rPr>
            </w:pPr>
            <w:r w:rsidRPr="00DE64C0">
              <w:rPr>
                <w:rFonts w:eastAsia="Calibri" w:cs="Times New Roman"/>
                <w:sz w:val="19"/>
                <w:szCs w:val="19"/>
              </w:rPr>
              <w:t>0.74 (0.52, 1.05)</w:t>
            </w:r>
          </w:p>
        </w:tc>
        <w:tc>
          <w:tcPr>
            <w:tcW w:w="2433" w:type="dxa"/>
          </w:tcPr>
          <w:p w14:paraId="6AECA820" w14:textId="77777777" w:rsidR="00410D4B" w:rsidRPr="00DE64C0" w:rsidRDefault="00410D4B" w:rsidP="00FF4C5F">
            <w:pPr>
              <w:rPr>
                <w:rFonts w:eastAsia="Calibri" w:cs="Times New Roman"/>
                <w:sz w:val="19"/>
                <w:szCs w:val="19"/>
              </w:rPr>
            </w:pPr>
            <w:r w:rsidRPr="00DE64C0">
              <w:rPr>
                <w:rFonts w:eastAsia="Calibri" w:cs="Times New Roman"/>
                <w:sz w:val="19"/>
                <w:szCs w:val="19"/>
              </w:rPr>
              <w:t>0.77 (0.56, 1.04)</w:t>
            </w:r>
          </w:p>
        </w:tc>
        <w:tc>
          <w:tcPr>
            <w:tcW w:w="2433" w:type="dxa"/>
          </w:tcPr>
          <w:p w14:paraId="13FAB975" w14:textId="77777777" w:rsidR="00410D4B" w:rsidRPr="00DE64C0" w:rsidRDefault="00410D4B" w:rsidP="00FF4C5F">
            <w:pPr>
              <w:rPr>
                <w:rFonts w:eastAsia="Calibri" w:cs="Times New Roman"/>
                <w:sz w:val="19"/>
                <w:szCs w:val="19"/>
              </w:rPr>
            </w:pPr>
            <w:r w:rsidRPr="00DE64C0">
              <w:rPr>
                <w:rFonts w:eastAsia="Calibri" w:cs="Times New Roman"/>
                <w:sz w:val="19"/>
                <w:szCs w:val="19"/>
              </w:rPr>
              <w:t>1.05 (0.78, 1.43)</w:t>
            </w:r>
          </w:p>
        </w:tc>
        <w:tc>
          <w:tcPr>
            <w:tcW w:w="2053" w:type="dxa"/>
          </w:tcPr>
          <w:p w14:paraId="14A96B4A" w14:textId="77777777" w:rsidR="00410D4B" w:rsidRPr="00DE64C0" w:rsidRDefault="00410D4B" w:rsidP="00FF4C5F">
            <w:pPr>
              <w:rPr>
                <w:rFonts w:eastAsia="Calibri" w:cs="Times New Roman"/>
                <w:sz w:val="19"/>
                <w:szCs w:val="19"/>
              </w:rPr>
            </w:pPr>
            <w:r w:rsidRPr="00DE64C0">
              <w:rPr>
                <w:rFonts w:eastAsia="Calibri" w:cs="Times New Roman"/>
                <w:sz w:val="19"/>
                <w:szCs w:val="19"/>
              </w:rPr>
              <w:t>1.10 (0.83, 1.46)</w:t>
            </w:r>
          </w:p>
        </w:tc>
      </w:tr>
      <w:tr w:rsidR="00410D4B" w:rsidRPr="00DE64C0" w14:paraId="22FE3CFF" w14:textId="77777777" w:rsidTr="00E01867">
        <w:trPr>
          <w:jc w:val="center"/>
        </w:trPr>
        <w:tc>
          <w:tcPr>
            <w:tcW w:w="1901" w:type="dxa"/>
            <w:tcBorders>
              <w:bottom w:val="single" w:sz="4" w:space="0" w:color="auto"/>
            </w:tcBorders>
            <w:shd w:val="clear" w:color="auto" w:fill="auto"/>
            <w:vAlign w:val="bottom"/>
          </w:tcPr>
          <w:p w14:paraId="1CA52143" w14:textId="77777777" w:rsidR="00410D4B" w:rsidRPr="00DE64C0" w:rsidRDefault="00410D4B" w:rsidP="00FF4C5F">
            <w:pPr>
              <w:rPr>
                <w:rFonts w:eastAsia="Calibri" w:cs="Times New Roman"/>
                <w:color w:val="000000"/>
                <w:sz w:val="19"/>
                <w:szCs w:val="19"/>
                <w:lang w:eastAsia="en-GB"/>
              </w:rPr>
            </w:pPr>
            <w:r w:rsidRPr="00DE64C0">
              <w:rPr>
                <w:rFonts w:eastAsia="Calibri" w:cs="Times New Roman"/>
                <w:sz w:val="19"/>
                <w:szCs w:val="19"/>
              </w:rPr>
              <w:t>Average steps per day</w:t>
            </w:r>
          </w:p>
        </w:tc>
        <w:tc>
          <w:tcPr>
            <w:tcW w:w="2148" w:type="dxa"/>
            <w:tcBorders>
              <w:bottom w:val="single" w:sz="4" w:space="0" w:color="auto"/>
            </w:tcBorders>
          </w:tcPr>
          <w:p w14:paraId="05F9B919" w14:textId="619390BC" w:rsidR="00410D4B" w:rsidRPr="00DE64C0" w:rsidRDefault="00967EEC" w:rsidP="00FF4C5F">
            <w:pPr>
              <w:rPr>
                <w:rFonts w:eastAsia="Calibri" w:cs="Times New Roman"/>
                <w:sz w:val="19"/>
                <w:szCs w:val="19"/>
              </w:rPr>
            </w:pPr>
            <w:r w:rsidRPr="00DE64C0">
              <w:rPr>
                <w:rFonts w:eastAsia="Calibri" w:cs="Times New Roman"/>
                <w:sz w:val="19"/>
                <w:szCs w:val="19"/>
              </w:rPr>
              <w:t>551.76 (117.27, 986.25)*</w:t>
            </w:r>
          </w:p>
        </w:tc>
        <w:tc>
          <w:tcPr>
            <w:tcW w:w="2243" w:type="dxa"/>
            <w:tcBorders>
              <w:bottom w:val="single" w:sz="4" w:space="0" w:color="auto"/>
            </w:tcBorders>
          </w:tcPr>
          <w:p w14:paraId="583E9892" w14:textId="75245FB9" w:rsidR="00410D4B" w:rsidRPr="00DE64C0" w:rsidRDefault="00967EEC" w:rsidP="00FF4C5F">
            <w:pPr>
              <w:rPr>
                <w:rFonts w:eastAsia="Calibri" w:cs="Times New Roman"/>
                <w:sz w:val="19"/>
                <w:szCs w:val="19"/>
              </w:rPr>
            </w:pPr>
            <w:r w:rsidRPr="00DE64C0">
              <w:rPr>
                <w:rFonts w:eastAsia="Calibri" w:cs="Times New Roman"/>
                <w:sz w:val="19"/>
                <w:szCs w:val="19"/>
              </w:rPr>
              <w:t>535.76 (12.71, 1058.81)*</w:t>
            </w:r>
          </w:p>
        </w:tc>
        <w:tc>
          <w:tcPr>
            <w:tcW w:w="2433" w:type="dxa"/>
            <w:tcBorders>
              <w:bottom w:val="single" w:sz="4" w:space="0" w:color="auto"/>
            </w:tcBorders>
            <w:shd w:val="clear" w:color="auto" w:fill="auto"/>
          </w:tcPr>
          <w:p w14:paraId="7470047C" w14:textId="0F793DD6" w:rsidR="00410D4B" w:rsidRPr="00DE64C0" w:rsidRDefault="004A6716" w:rsidP="00FF4C5F">
            <w:pPr>
              <w:rPr>
                <w:rFonts w:eastAsia="Calibri" w:cs="Times New Roman"/>
                <w:sz w:val="19"/>
                <w:szCs w:val="19"/>
              </w:rPr>
            </w:pPr>
            <w:r w:rsidRPr="00DE64C0">
              <w:rPr>
                <w:rFonts w:eastAsia="Calibri" w:cs="Times New Roman"/>
                <w:sz w:val="19"/>
                <w:szCs w:val="19"/>
              </w:rPr>
              <w:t>777.48 (336.66, 1218.31)**</w:t>
            </w:r>
          </w:p>
        </w:tc>
        <w:tc>
          <w:tcPr>
            <w:tcW w:w="2433" w:type="dxa"/>
            <w:tcBorders>
              <w:bottom w:val="single" w:sz="4" w:space="0" w:color="auto"/>
            </w:tcBorders>
          </w:tcPr>
          <w:p w14:paraId="0868F506" w14:textId="3945F75C" w:rsidR="00410D4B" w:rsidRPr="00DE64C0" w:rsidRDefault="004A6716" w:rsidP="00FF4C5F">
            <w:pPr>
              <w:rPr>
                <w:rFonts w:eastAsia="Calibri" w:cs="Times New Roman"/>
                <w:sz w:val="19"/>
                <w:szCs w:val="19"/>
              </w:rPr>
            </w:pPr>
            <w:r w:rsidRPr="00DE64C0">
              <w:rPr>
                <w:rFonts w:eastAsia="Calibri" w:cs="Times New Roman"/>
                <w:sz w:val="19"/>
                <w:szCs w:val="19"/>
              </w:rPr>
              <w:t>634.27 (1419.41, 2665.56)*</w:t>
            </w:r>
          </w:p>
        </w:tc>
        <w:tc>
          <w:tcPr>
            <w:tcW w:w="2433" w:type="dxa"/>
            <w:tcBorders>
              <w:bottom w:val="single" w:sz="4" w:space="0" w:color="auto"/>
            </w:tcBorders>
          </w:tcPr>
          <w:p w14:paraId="3D8C90EA" w14:textId="4C2F5C3D" w:rsidR="00410D4B" w:rsidRPr="00DE64C0" w:rsidRDefault="00967EEC" w:rsidP="00FF4C5F">
            <w:pPr>
              <w:rPr>
                <w:rFonts w:eastAsia="Calibri" w:cs="Times New Roman"/>
                <w:sz w:val="19"/>
                <w:szCs w:val="19"/>
              </w:rPr>
            </w:pPr>
            <w:r w:rsidRPr="00DE64C0">
              <w:rPr>
                <w:rFonts w:eastAsia="Calibri" w:cs="Times New Roman"/>
                <w:sz w:val="19"/>
                <w:szCs w:val="19"/>
              </w:rPr>
              <w:t>576.47 (110.37, 1042.56)*</w:t>
            </w:r>
          </w:p>
        </w:tc>
        <w:tc>
          <w:tcPr>
            <w:tcW w:w="2053" w:type="dxa"/>
            <w:tcBorders>
              <w:bottom w:val="single" w:sz="4" w:space="0" w:color="auto"/>
            </w:tcBorders>
          </w:tcPr>
          <w:p w14:paraId="54A04184" w14:textId="4FF26581" w:rsidR="00410D4B" w:rsidRPr="00DE64C0" w:rsidRDefault="00967EEC" w:rsidP="00FF4C5F">
            <w:pPr>
              <w:rPr>
                <w:rFonts w:eastAsia="Calibri" w:cs="Times New Roman"/>
                <w:sz w:val="19"/>
                <w:szCs w:val="19"/>
              </w:rPr>
            </w:pPr>
            <w:r w:rsidRPr="00DE64C0">
              <w:rPr>
                <w:rFonts w:eastAsia="Calibri" w:cs="Times New Roman"/>
                <w:sz w:val="19"/>
                <w:szCs w:val="19"/>
              </w:rPr>
              <w:t>469.52 (29.47, 909.57)*</w:t>
            </w:r>
          </w:p>
        </w:tc>
      </w:tr>
    </w:tbl>
    <w:p w14:paraId="0E76C686" w14:textId="77777777" w:rsidR="00410D4B" w:rsidRPr="00DE64C0" w:rsidRDefault="00410D4B" w:rsidP="00FF4C5F">
      <w:pPr>
        <w:rPr>
          <w:rFonts w:cs="Times New Roman"/>
        </w:rPr>
      </w:pPr>
    </w:p>
    <w:p w14:paraId="24862067" w14:textId="723955D0" w:rsidR="002A5831" w:rsidRPr="00DE64C0" w:rsidRDefault="002A5831" w:rsidP="00FF4C5F">
      <w:pPr>
        <w:rPr>
          <w:rFonts w:cs="Times New Roman"/>
        </w:rPr>
      </w:pPr>
      <w:r w:rsidRPr="00DE64C0">
        <w:t>CHD: Coronary heart disease; CVD: Cardiovascular disease.</w:t>
      </w:r>
    </w:p>
    <w:p w14:paraId="7DAACBE2" w14:textId="77777777" w:rsidR="00410D4B" w:rsidRPr="00DE64C0" w:rsidRDefault="00410D4B" w:rsidP="00FF4C5F">
      <w:r w:rsidRPr="00DE64C0">
        <w:rPr>
          <w:rFonts w:cs="Times New Roman"/>
        </w:rPr>
        <w:t>*p&lt;0.05, **p&lt;0.01, ***p&lt;0.001</w:t>
      </w:r>
    </w:p>
    <w:p w14:paraId="15C8FEF3" w14:textId="77777777" w:rsidR="00410D4B" w:rsidRPr="00DE64C0" w:rsidRDefault="00410D4B" w:rsidP="00FF4C5F">
      <w:pPr>
        <w:sectPr w:rsidR="00410D4B" w:rsidRPr="00DE64C0" w:rsidSect="00410D4B">
          <w:pgSz w:w="16838" w:h="11906" w:orient="landscape"/>
          <w:pgMar w:top="1440" w:right="1440" w:bottom="1440" w:left="1440" w:header="708" w:footer="708" w:gutter="0"/>
          <w:cols w:space="708"/>
          <w:docGrid w:linePitch="360"/>
        </w:sectPr>
      </w:pPr>
    </w:p>
    <w:p w14:paraId="08FA3D2E" w14:textId="0D33C2E8" w:rsidR="00814D1C" w:rsidRPr="00DE64C0" w:rsidRDefault="004D45A9" w:rsidP="00FF4C5F">
      <w:pPr>
        <w:rPr>
          <w:b/>
        </w:rPr>
      </w:pPr>
      <w:r w:rsidRPr="00DE64C0">
        <w:rPr>
          <w:b/>
        </w:rPr>
        <w:lastRenderedPageBreak/>
        <w:t>DISCUSSION</w:t>
      </w:r>
      <w:bookmarkEnd w:id="7"/>
    </w:p>
    <w:p w14:paraId="2659963A" w14:textId="49AC51B0" w:rsidR="00255981" w:rsidRPr="00DE64C0" w:rsidRDefault="00267630" w:rsidP="00FF4C5F">
      <w:pPr>
        <w:rPr>
          <w:rFonts w:cs="Times New Roman"/>
        </w:rPr>
      </w:pPr>
      <w:r w:rsidRPr="00DE64C0">
        <w:rPr>
          <w:rFonts w:cs="Times New Roman"/>
        </w:rPr>
        <w:t>To our knowledge</w:t>
      </w:r>
      <w:r w:rsidR="00BB3E36" w:rsidRPr="00DE64C0">
        <w:rPr>
          <w:rFonts w:cs="Times New Roman"/>
        </w:rPr>
        <w:t>,</w:t>
      </w:r>
      <w:r w:rsidRPr="00DE64C0">
        <w:rPr>
          <w:rFonts w:cs="Times New Roman"/>
        </w:rPr>
        <w:t xml:space="preserve"> this is the first study </w:t>
      </w:r>
      <w:r w:rsidR="004B7C65" w:rsidRPr="00DE64C0">
        <w:rPr>
          <w:rFonts w:cs="Times New Roman"/>
        </w:rPr>
        <w:t>investigating</w:t>
      </w:r>
      <w:r w:rsidRPr="00DE64C0">
        <w:rPr>
          <w:rFonts w:cs="Times New Roman"/>
        </w:rPr>
        <w:t xml:space="preserve"> the effectiveness of a </w:t>
      </w:r>
      <w:r w:rsidR="00A52601" w:rsidRPr="00DE64C0">
        <w:rPr>
          <w:rFonts w:cs="Times New Roman"/>
        </w:rPr>
        <w:t>T2DM</w:t>
      </w:r>
      <w:r w:rsidRPr="00DE64C0">
        <w:rPr>
          <w:rFonts w:cs="Times New Roman"/>
        </w:rPr>
        <w:t xml:space="preserve"> prevention programme within primary care in the UK.  </w:t>
      </w:r>
      <w:r w:rsidR="00814D1C" w:rsidRPr="00DE64C0">
        <w:rPr>
          <w:rFonts w:cs="Times New Roman"/>
        </w:rPr>
        <w:t>We have shown that a pragmatic</w:t>
      </w:r>
      <w:r w:rsidR="00BB3E36" w:rsidRPr="00DE64C0">
        <w:rPr>
          <w:rFonts w:cs="Times New Roman"/>
        </w:rPr>
        <w:t>,</w:t>
      </w:r>
      <w:r w:rsidR="00584581" w:rsidRPr="00DE64C0">
        <w:rPr>
          <w:rFonts w:cs="Times New Roman"/>
        </w:rPr>
        <w:t xml:space="preserve"> low-resource</w:t>
      </w:r>
      <w:r w:rsidR="00BB3E36" w:rsidRPr="00DE64C0">
        <w:rPr>
          <w:rFonts w:cs="Times New Roman"/>
        </w:rPr>
        <w:t>,</w:t>
      </w:r>
      <w:r w:rsidR="00814D1C" w:rsidRPr="00DE64C0">
        <w:rPr>
          <w:rFonts w:cs="Times New Roman"/>
        </w:rPr>
        <w:t xml:space="preserve"> </w:t>
      </w:r>
      <w:r w:rsidR="00A52601" w:rsidRPr="00DE64C0">
        <w:rPr>
          <w:rFonts w:cs="Times New Roman"/>
        </w:rPr>
        <w:t>three</w:t>
      </w:r>
      <w:r w:rsidR="00BB3E36" w:rsidRPr="00DE64C0">
        <w:rPr>
          <w:rFonts w:cs="Times New Roman"/>
        </w:rPr>
        <w:t>-</w:t>
      </w:r>
      <w:r w:rsidR="00A52601" w:rsidRPr="00DE64C0">
        <w:rPr>
          <w:rFonts w:cs="Times New Roman"/>
        </w:rPr>
        <w:t>year T2DM</w:t>
      </w:r>
      <w:r w:rsidR="00814D1C" w:rsidRPr="00DE64C0">
        <w:rPr>
          <w:rFonts w:cs="Times New Roman"/>
        </w:rPr>
        <w:t xml:space="preserve"> prevention programme,</w:t>
      </w:r>
      <w:r w:rsidR="00584581" w:rsidRPr="00DE64C0">
        <w:rPr>
          <w:rFonts w:cs="Times New Roman"/>
        </w:rPr>
        <w:t xml:space="preserve"> based on </w:t>
      </w:r>
      <w:r w:rsidR="009668AA" w:rsidRPr="00DE64C0">
        <w:rPr>
          <w:rFonts w:cs="Times New Roman"/>
        </w:rPr>
        <w:t>a six</w:t>
      </w:r>
      <w:r w:rsidR="00BB3E36" w:rsidRPr="00DE64C0">
        <w:rPr>
          <w:rFonts w:cs="Times New Roman"/>
        </w:rPr>
        <w:t>-</w:t>
      </w:r>
      <w:r w:rsidR="009668AA" w:rsidRPr="00DE64C0">
        <w:rPr>
          <w:rFonts w:cs="Times New Roman"/>
        </w:rPr>
        <w:t>hour</w:t>
      </w:r>
      <w:r w:rsidR="00BB3E36" w:rsidRPr="00DE64C0">
        <w:rPr>
          <w:rFonts w:cs="Times New Roman"/>
        </w:rPr>
        <w:t>,</w:t>
      </w:r>
      <w:r w:rsidR="00584581" w:rsidRPr="00DE64C0">
        <w:rPr>
          <w:rFonts w:cs="Times New Roman"/>
        </w:rPr>
        <w:t xml:space="preserve"> group-based</w:t>
      </w:r>
      <w:r w:rsidR="00BB3E36" w:rsidRPr="00DE64C0">
        <w:rPr>
          <w:rFonts w:cs="Times New Roman"/>
        </w:rPr>
        <w:t>,</w:t>
      </w:r>
      <w:r w:rsidR="00584581" w:rsidRPr="00DE64C0">
        <w:rPr>
          <w:rFonts w:cs="Times New Roman"/>
        </w:rPr>
        <w:t xml:space="preserve"> structured</w:t>
      </w:r>
      <w:r w:rsidR="00BB3E36" w:rsidRPr="00DE64C0">
        <w:rPr>
          <w:rFonts w:cs="Times New Roman"/>
        </w:rPr>
        <w:t>-</w:t>
      </w:r>
      <w:r w:rsidR="00584581" w:rsidRPr="00DE64C0">
        <w:rPr>
          <w:rFonts w:cs="Times New Roman"/>
        </w:rPr>
        <w:t xml:space="preserve">education </w:t>
      </w:r>
      <w:r w:rsidRPr="00DE64C0">
        <w:rPr>
          <w:rFonts w:cs="Times New Roman"/>
        </w:rPr>
        <w:t xml:space="preserve">session </w:t>
      </w:r>
      <w:r w:rsidR="009668AA" w:rsidRPr="00DE64C0">
        <w:rPr>
          <w:rFonts w:cs="Times New Roman"/>
        </w:rPr>
        <w:t xml:space="preserve">followed by two annual group-based sessions and </w:t>
      </w:r>
      <w:r w:rsidR="008A114F" w:rsidRPr="00DE64C0">
        <w:rPr>
          <w:rFonts w:cs="Times New Roman"/>
        </w:rPr>
        <w:t>nine</w:t>
      </w:r>
      <w:r w:rsidR="00584581" w:rsidRPr="00DE64C0">
        <w:rPr>
          <w:rFonts w:cs="Times New Roman"/>
        </w:rPr>
        <w:t xml:space="preserve"> telephone contacts</w:t>
      </w:r>
      <w:r w:rsidR="009E07F5" w:rsidRPr="00DE64C0">
        <w:rPr>
          <w:rFonts w:cs="Times New Roman"/>
        </w:rPr>
        <w:t>,</w:t>
      </w:r>
      <w:r w:rsidR="00584581" w:rsidRPr="00DE64C0">
        <w:rPr>
          <w:rFonts w:cs="Times New Roman"/>
        </w:rPr>
        <w:t xml:space="preserve"> </w:t>
      </w:r>
      <w:r w:rsidR="00814D1C" w:rsidRPr="00DE64C0">
        <w:rPr>
          <w:rFonts w:cs="Times New Roman"/>
        </w:rPr>
        <w:t xml:space="preserve">can lead </w:t>
      </w:r>
      <w:r w:rsidR="00584581" w:rsidRPr="00DE64C0">
        <w:rPr>
          <w:rFonts w:cs="Times New Roman"/>
        </w:rPr>
        <w:t xml:space="preserve">to </w:t>
      </w:r>
      <w:r w:rsidR="00814D1C" w:rsidRPr="00DE64C0">
        <w:rPr>
          <w:rFonts w:cs="Times New Roman"/>
        </w:rPr>
        <w:t>improvements in</w:t>
      </w:r>
      <w:r w:rsidR="00D26765" w:rsidRPr="00DE64C0">
        <w:rPr>
          <w:rFonts w:cs="Times New Roman"/>
        </w:rPr>
        <w:t xml:space="preserve"> markers of metabolic</w:t>
      </w:r>
      <w:r w:rsidR="00584581" w:rsidRPr="00DE64C0">
        <w:rPr>
          <w:rFonts w:cs="Times New Roman"/>
        </w:rPr>
        <w:t xml:space="preserve"> health</w:t>
      </w:r>
      <w:r w:rsidR="00814D1C" w:rsidRPr="00DE64C0">
        <w:rPr>
          <w:rFonts w:cs="Times New Roman"/>
        </w:rPr>
        <w:t xml:space="preserve">, psychosocial wellbeing, </w:t>
      </w:r>
      <w:r w:rsidR="00584581" w:rsidRPr="00DE64C0">
        <w:rPr>
          <w:rFonts w:cs="Times New Roman"/>
        </w:rPr>
        <w:t>and health behaviour</w:t>
      </w:r>
      <w:r w:rsidR="00814D1C" w:rsidRPr="00DE64C0">
        <w:rPr>
          <w:rFonts w:cs="Times New Roman"/>
        </w:rPr>
        <w:t xml:space="preserve">. The primary outcome of the study was reduction in progression to T2DM; although non-significant, a </w:t>
      </w:r>
      <w:r w:rsidR="002D4260" w:rsidRPr="00DE64C0">
        <w:rPr>
          <w:rFonts w:cs="Times New Roman"/>
        </w:rPr>
        <w:t xml:space="preserve">modest </w:t>
      </w:r>
      <w:r w:rsidR="00814D1C" w:rsidRPr="00DE64C0">
        <w:rPr>
          <w:rFonts w:cs="Times New Roman"/>
        </w:rPr>
        <w:t xml:space="preserve">25% reduction </w:t>
      </w:r>
      <w:r w:rsidRPr="00DE64C0">
        <w:rPr>
          <w:rFonts w:cs="Times New Roman"/>
        </w:rPr>
        <w:t xml:space="preserve">in progression was observed </w:t>
      </w:r>
      <w:r w:rsidR="00814D1C" w:rsidRPr="00DE64C0">
        <w:rPr>
          <w:rFonts w:cs="Times New Roman"/>
        </w:rPr>
        <w:t xml:space="preserve">in those </w:t>
      </w:r>
      <w:r w:rsidR="004B7C65" w:rsidRPr="00DE64C0">
        <w:rPr>
          <w:rFonts w:cs="Times New Roman"/>
        </w:rPr>
        <w:t>receiving</w:t>
      </w:r>
      <w:r w:rsidR="00814D1C" w:rsidRPr="00DE64C0">
        <w:rPr>
          <w:rFonts w:cs="Times New Roman"/>
        </w:rPr>
        <w:t xml:space="preserve"> the education</w:t>
      </w:r>
      <w:r w:rsidRPr="00DE64C0">
        <w:rPr>
          <w:rFonts w:cs="Times New Roman"/>
        </w:rPr>
        <w:t xml:space="preserve"> intervention</w:t>
      </w:r>
      <w:r w:rsidR="00814D1C" w:rsidRPr="00DE64C0">
        <w:rPr>
          <w:rFonts w:cs="Times New Roman"/>
        </w:rPr>
        <w:t xml:space="preserve">, which increased to 35% </w:t>
      </w:r>
      <w:r w:rsidR="000E34CF" w:rsidRPr="00DE64C0">
        <w:rPr>
          <w:rFonts w:cs="Times New Roman"/>
        </w:rPr>
        <w:t>when excluding those who did not attend the first education session</w:t>
      </w:r>
      <w:r w:rsidR="00737A23" w:rsidRPr="00DE64C0">
        <w:rPr>
          <w:rFonts w:cs="Times New Roman"/>
        </w:rPr>
        <w:t>.</w:t>
      </w:r>
      <w:r w:rsidR="000E34CF" w:rsidRPr="00DE64C0">
        <w:rPr>
          <w:rFonts w:cs="Times New Roman"/>
        </w:rPr>
        <w:t xml:space="preserve"> </w:t>
      </w:r>
    </w:p>
    <w:p w14:paraId="55E4F042" w14:textId="77777777" w:rsidR="00255981" w:rsidRPr="00DE64C0" w:rsidRDefault="00255981" w:rsidP="00FF4C5F">
      <w:pPr>
        <w:rPr>
          <w:rFonts w:cs="Times New Roman"/>
        </w:rPr>
      </w:pPr>
    </w:p>
    <w:p w14:paraId="4AE205DE" w14:textId="73DBD3E4" w:rsidR="00D26765" w:rsidRPr="00DE64C0" w:rsidRDefault="00D26765" w:rsidP="00FF4C5F">
      <w:pPr>
        <w:rPr>
          <w:rFonts w:cs="Times New Roman"/>
        </w:rPr>
      </w:pPr>
      <w:r w:rsidRPr="00DE64C0">
        <w:rPr>
          <w:rFonts w:cs="Times New Roman"/>
        </w:rPr>
        <w:t xml:space="preserve">Our study has several strengths and limitations. Strengths include using a rigorous design to evaluate </w:t>
      </w:r>
      <w:r w:rsidR="00B84B15" w:rsidRPr="00DE64C0">
        <w:rPr>
          <w:rFonts w:cs="Times New Roman"/>
        </w:rPr>
        <w:t xml:space="preserve">the effectiveness of </w:t>
      </w:r>
      <w:r w:rsidR="008F28D3" w:rsidRPr="00DE64C0">
        <w:rPr>
          <w:rFonts w:cs="Times New Roman"/>
        </w:rPr>
        <w:t>the</w:t>
      </w:r>
      <w:r w:rsidR="00B84B15" w:rsidRPr="00DE64C0">
        <w:rPr>
          <w:rFonts w:cs="Times New Roman"/>
        </w:rPr>
        <w:t xml:space="preserve"> programme specially developed</w:t>
      </w:r>
      <w:r w:rsidR="008962B5" w:rsidRPr="00DE64C0">
        <w:rPr>
          <w:rFonts w:cs="Times New Roman"/>
        </w:rPr>
        <w:t xml:space="preserve"> for</w:t>
      </w:r>
      <w:r w:rsidR="00B84B15" w:rsidRPr="00DE64C0">
        <w:rPr>
          <w:rFonts w:cs="Times New Roman"/>
        </w:rPr>
        <w:t xml:space="preserve"> </w:t>
      </w:r>
      <w:r w:rsidR="008962B5" w:rsidRPr="00DE64C0">
        <w:rPr>
          <w:rFonts w:cs="Times New Roman"/>
        </w:rPr>
        <w:t>delivery</w:t>
      </w:r>
      <w:r w:rsidR="00B84B15" w:rsidRPr="00DE64C0">
        <w:rPr>
          <w:rFonts w:cs="Times New Roman"/>
        </w:rPr>
        <w:t xml:space="preserve"> </w:t>
      </w:r>
      <w:r w:rsidR="002D4FB2" w:rsidRPr="00DE64C0">
        <w:rPr>
          <w:rFonts w:cs="Times New Roman"/>
        </w:rPr>
        <w:t xml:space="preserve">within a multi-ethnic </w:t>
      </w:r>
      <w:r w:rsidR="00B84B15" w:rsidRPr="00DE64C0">
        <w:rPr>
          <w:rFonts w:cs="Times New Roman"/>
        </w:rPr>
        <w:t>primary care settin</w:t>
      </w:r>
      <w:r w:rsidR="008962B5" w:rsidRPr="00DE64C0">
        <w:rPr>
          <w:rFonts w:cs="Times New Roman"/>
        </w:rPr>
        <w:t xml:space="preserve">g. The primary limitation was that </w:t>
      </w:r>
      <w:r w:rsidR="00CF40AB" w:rsidRPr="00DE64C0">
        <w:rPr>
          <w:rFonts w:cs="Times New Roman"/>
        </w:rPr>
        <w:t>this</w:t>
      </w:r>
      <w:r w:rsidR="008962B5" w:rsidRPr="00DE64C0">
        <w:rPr>
          <w:rFonts w:cs="Times New Roman"/>
        </w:rPr>
        <w:t xml:space="preserve"> study was underpowered due to the discrepancy between predicted </w:t>
      </w:r>
      <w:r w:rsidR="00E37430" w:rsidRPr="00DE64C0">
        <w:rPr>
          <w:rFonts w:cs="Times New Roman"/>
        </w:rPr>
        <w:t>and</w:t>
      </w:r>
      <w:r w:rsidR="008962B5" w:rsidRPr="00DE64C0">
        <w:rPr>
          <w:rFonts w:cs="Times New Roman"/>
        </w:rPr>
        <w:t xml:space="preserve"> observed incidence rates of </w:t>
      </w:r>
      <w:r w:rsidR="008D7191" w:rsidRPr="00DE64C0">
        <w:rPr>
          <w:rFonts w:cs="Times New Roman"/>
        </w:rPr>
        <w:t>T2DM</w:t>
      </w:r>
      <w:r w:rsidR="008962B5" w:rsidRPr="00DE64C0">
        <w:rPr>
          <w:rFonts w:cs="Times New Roman"/>
        </w:rPr>
        <w:t xml:space="preserve">. </w:t>
      </w:r>
      <w:r w:rsidR="00BE552D" w:rsidRPr="00DE64C0">
        <w:rPr>
          <w:rFonts w:cs="Times New Roman"/>
        </w:rPr>
        <w:t>T</w:t>
      </w:r>
      <w:r w:rsidR="009764B5" w:rsidRPr="00DE64C0">
        <w:rPr>
          <w:rFonts w:cs="Times New Roman"/>
        </w:rPr>
        <w:t xml:space="preserve">he </w:t>
      </w:r>
      <w:r w:rsidR="005C7E29" w:rsidRPr="00DE64C0">
        <w:rPr>
          <w:rFonts w:cs="Times New Roman"/>
        </w:rPr>
        <w:t>observed</w:t>
      </w:r>
      <w:r w:rsidR="009764B5" w:rsidRPr="00DE64C0">
        <w:rPr>
          <w:rFonts w:cs="Times New Roman"/>
        </w:rPr>
        <w:t xml:space="preserve"> incidence rates of 63.16 events per 1,000 person years in the </w:t>
      </w:r>
      <w:r w:rsidR="00BE5F55" w:rsidRPr="00DE64C0">
        <w:rPr>
          <w:rFonts w:cs="Times New Roman"/>
        </w:rPr>
        <w:t>standard</w:t>
      </w:r>
      <w:r w:rsidR="00BB3E36" w:rsidRPr="00DE64C0">
        <w:rPr>
          <w:rFonts w:cs="Times New Roman"/>
        </w:rPr>
        <w:t>-</w:t>
      </w:r>
      <w:r w:rsidR="00BE5F55" w:rsidRPr="00DE64C0">
        <w:rPr>
          <w:rFonts w:cs="Times New Roman"/>
        </w:rPr>
        <w:t xml:space="preserve">care </w:t>
      </w:r>
      <w:r w:rsidR="009764B5" w:rsidRPr="00DE64C0">
        <w:rPr>
          <w:rFonts w:cs="Times New Roman"/>
        </w:rPr>
        <w:t>arm were substantially lower than anticipated</w:t>
      </w:r>
      <w:r w:rsidR="00BB3E36" w:rsidRPr="00DE64C0">
        <w:rPr>
          <w:rFonts w:cs="Times New Roman"/>
        </w:rPr>
        <w:t>,</w:t>
      </w:r>
      <w:r w:rsidR="009764B5" w:rsidRPr="00DE64C0">
        <w:rPr>
          <w:rFonts w:cs="Times New Roman"/>
        </w:rPr>
        <w:t xml:space="preserve"> </w:t>
      </w:r>
      <w:r w:rsidR="00CE5531" w:rsidRPr="00DE64C0">
        <w:rPr>
          <w:rFonts w:cs="Times New Roman"/>
        </w:rPr>
        <w:t xml:space="preserve">and </w:t>
      </w:r>
      <w:r w:rsidR="001563A3" w:rsidRPr="00DE64C0">
        <w:rPr>
          <w:rFonts w:cs="Times New Roman"/>
        </w:rPr>
        <w:t>consistent with</w:t>
      </w:r>
      <w:r w:rsidR="00CE5531" w:rsidRPr="00DE64C0">
        <w:rPr>
          <w:rFonts w:cs="Times New Roman"/>
        </w:rPr>
        <w:t xml:space="preserve"> those observed in non-intervention settings</w:t>
      </w:r>
      <w:r w:rsidR="00E62B4A" w:rsidRPr="00DE64C0">
        <w:rPr>
          <w:rFonts w:cs="Times New Roman"/>
        </w:rPr>
        <w:t>.</w:t>
      </w:r>
      <w:r w:rsidR="008A114F" w:rsidRPr="00DE64C0">
        <w:rPr>
          <w:rFonts w:cs="Times New Roman"/>
        </w:rPr>
        <w:fldChar w:fldCharType="begin"/>
      </w:r>
      <w:r w:rsidR="009A55BE" w:rsidRPr="00DE64C0">
        <w:rPr>
          <w:rFonts w:cs="Times New Roman"/>
        </w:rPr>
        <w:instrText xml:space="preserve"> ADDIN EN.CITE &lt;EndNote&gt;&lt;Cite&gt;&lt;Author&gt;Morris&lt;/Author&gt;&lt;RecNum&gt;303&lt;/RecNum&gt;&lt;DisplayText&gt;(27)&lt;/DisplayText&gt;&lt;record&gt;&lt;rec-number&gt;303&lt;/rec-number&gt;&lt;foreign-keys&gt;&lt;key app="EN" db-id="eevzp0wtbzpeebedtwpperz9vszffvs0tsdt" timestamp="0"&gt;303&lt;/key&gt;&lt;/foreign-keys&gt;&lt;ref-type name="Journal Article"&gt;17&lt;/ref-type&gt;&lt;contributors&gt;&lt;authors&gt;&lt;author&gt;Morris, D.H.&lt;/author&gt;&lt;author&gt;Webb, D.&lt;/author&gt;&lt;author&gt;Achana, F. &lt;/author&gt;&lt;author&gt;Srinivasan, B. &lt;/author&gt;&lt;author&gt;Gray, L.J. &lt;/author&gt;&lt;author&gt;Davies, M.J. &lt;/author&gt;&lt;author&gt;Khunti, K. &lt;/author&gt;&lt;/authors&gt;&lt;/contributors&gt;&lt;titles&gt;&lt;title&gt;Progression rates from HbA1c 6.0-6.4% and other prediabetes definitions to type 2 diabetes: a meta-analysis.. &lt;/title&gt;&lt;secondary-title&gt;Diabetologia. 2013;56(7):1489-1493.&lt;/secondary-title&gt;&lt;/titles&gt;&lt;dates&gt;&lt;/dates&gt;&lt;urls&gt;&lt;/urls&gt;&lt;/record&gt;&lt;/Cite&gt;&lt;/EndNote&gt;</w:instrText>
      </w:r>
      <w:r w:rsidR="008A114F" w:rsidRPr="00DE64C0">
        <w:rPr>
          <w:rFonts w:cs="Times New Roman"/>
        </w:rPr>
        <w:fldChar w:fldCharType="separate"/>
      </w:r>
      <w:r w:rsidR="009A55BE" w:rsidRPr="00DE64C0">
        <w:rPr>
          <w:rFonts w:cs="Times New Roman"/>
          <w:noProof/>
        </w:rPr>
        <w:t>(27)</w:t>
      </w:r>
      <w:r w:rsidR="008A114F" w:rsidRPr="00DE64C0">
        <w:rPr>
          <w:rFonts w:cs="Times New Roman"/>
        </w:rPr>
        <w:fldChar w:fldCharType="end"/>
      </w:r>
      <w:r w:rsidR="00CE5531" w:rsidRPr="00DE64C0">
        <w:rPr>
          <w:rFonts w:cs="Times New Roman"/>
        </w:rPr>
        <w:t xml:space="preserve"> This act</w:t>
      </w:r>
      <w:r w:rsidR="005C7E29" w:rsidRPr="00DE64C0">
        <w:rPr>
          <w:rFonts w:cs="Times New Roman"/>
        </w:rPr>
        <w:t>ed</w:t>
      </w:r>
      <w:r w:rsidR="00CE5531" w:rsidRPr="00DE64C0">
        <w:rPr>
          <w:rFonts w:cs="Times New Roman"/>
        </w:rPr>
        <w:t xml:space="preserve"> to substantially reduce the study power</w:t>
      </w:r>
      <w:r w:rsidR="00C33649" w:rsidRPr="00DE64C0">
        <w:rPr>
          <w:rFonts w:cs="Times New Roman"/>
        </w:rPr>
        <w:t xml:space="preserve">, </w:t>
      </w:r>
      <w:r w:rsidR="00CE5531" w:rsidRPr="00DE64C0">
        <w:rPr>
          <w:rFonts w:cs="Times New Roman"/>
        </w:rPr>
        <w:t xml:space="preserve">resulting in wider confidence intervals </w:t>
      </w:r>
      <w:r w:rsidR="00C33649" w:rsidRPr="00DE64C0">
        <w:rPr>
          <w:rFonts w:cs="Times New Roman"/>
        </w:rPr>
        <w:t xml:space="preserve">and a greater likelihood </w:t>
      </w:r>
      <w:r w:rsidR="00E37430" w:rsidRPr="00DE64C0">
        <w:rPr>
          <w:rFonts w:cs="Times New Roman"/>
        </w:rPr>
        <w:t xml:space="preserve">of </w:t>
      </w:r>
      <w:r w:rsidR="00C33649" w:rsidRPr="00DE64C0">
        <w:rPr>
          <w:rFonts w:cs="Times New Roman"/>
        </w:rPr>
        <w:t>a type 2 error</w:t>
      </w:r>
      <w:r w:rsidR="00CE5531" w:rsidRPr="00DE64C0">
        <w:rPr>
          <w:rFonts w:cs="Times New Roman"/>
        </w:rPr>
        <w:t xml:space="preserve">. </w:t>
      </w:r>
      <w:r w:rsidR="00C33649" w:rsidRPr="00DE64C0">
        <w:rPr>
          <w:rFonts w:cs="Times New Roman"/>
        </w:rPr>
        <w:t xml:space="preserve">In addition, the variation in </w:t>
      </w:r>
      <w:r w:rsidR="00BD25EB" w:rsidRPr="00DE64C0">
        <w:rPr>
          <w:rFonts w:cs="Times New Roman"/>
        </w:rPr>
        <w:t xml:space="preserve">cluster size was greater than </w:t>
      </w:r>
      <w:r w:rsidR="00BE552D" w:rsidRPr="00DE64C0">
        <w:rPr>
          <w:rFonts w:cs="Times New Roman"/>
        </w:rPr>
        <w:t>planned</w:t>
      </w:r>
      <w:r w:rsidR="003058E5" w:rsidRPr="00DE64C0">
        <w:rPr>
          <w:rFonts w:cs="Times New Roman"/>
        </w:rPr>
        <w:t xml:space="preserve"> (the number of participants recruited per practice ranged from</w:t>
      </w:r>
      <w:r w:rsidR="00BE552D" w:rsidRPr="00DE64C0">
        <w:rPr>
          <w:rFonts w:cs="Times New Roman"/>
        </w:rPr>
        <w:t xml:space="preserve"> 2-</w:t>
      </w:r>
      <w:r w:rsidR="003058E5" w:rsidRPr="00DE64C0">
        <w:rPr>
          <w:rFonts w:cs="Times New Roman"/>
        </w:rPr>
        <w:t>49</w:t>
      </w:r>
      <w:r w:rsidR="00E37430" w:rsidRPr="00DE64C0">
        <w:rPr>
          <w:rFonts w:cs="Times New Roman"/>
        </w:rPr>
        <w:t>,</w:t>
      </w:r>
      <w:r w:rsidR="00BD25EB" w:rsidRPr="00DE64C0">
        <w:rPr>
          <w:rFonts w:cs="Times New Roman"/>
        </w:rPr>
        <w:t xml:space="preserve"> </w:t>
      </w:r>
      <w:r w:rsidR="007B3E92" w:rsidRPr="00DE64C0">
        <w:rPr>
          <w:rFonts w:cs="Times New Roman"/>
        </w:rPr>
        <w:t xml:space="preserve">further </w:t>
      </w:r>
      <w:r w:rsidR="00440DD7" w:rsidRPr="00DE64C0">
        <w:rPr>
          <w:rFonts w:cs="Times New Roman"/>
        </w:rPr>
        <w:t>dilut</w:t>
      </w:r>
      <w:r w:rsidR="00E37430" w:rsidRPr="00DE64C0">
        <w:rPr>
          <w:rFonts w:cs="Times New Roman"/>
        </w:rPr>
        <w:t>ing</w:t>
      </w:r>
      <w:r w:rsidR="00BD25EB" w:rsidRPr="00DE64C0">
        <w:rPr>
          <w:rFonts w:cs="Times New Roman"/>
        </w:rPr>
        <w:t xml:space="preserve"> power.</w:t>
      </w:r>
      <w:r w:rsidR="00C23716" w:rsidRPr="00DE64C0">
        <w:rPr>
          <w:rFonts w:cs="Times New Roman"/>
        </w:rPr>
        <w:t xml:space="preserve"> </w:t>
      </w:r>
      <w:r w:rsidR="002D4FB2" w:rsidRPr="00DE64C0">
        <w:rPr>
          <w:rFonts w:cs="Times New Roman"/>
        </w:rPr>
        <w:t>However,</w:t>
      </w:r>
      <w:r w:rsidR="00C23716" w:rsidRPr="00DE64C0">
        <w:rPr>
          <w:rFonts w:cs="Times New Roman"/>
        </w:rPr>
        <w:t xml:space="preserve"> the estimate</w:t>
      </w:r>
      <w:r w:rsidR="001C6562" w:rsidRPr="00DE64C0">
        <w:rPr>
          <w:rFonts w:cs="Times New Roman"/>
        </w:rPr>
        <w:t>s</w:t>
      </w:r>
      <w:r w:rsidR="00C23716" w:rsidRPr="00DE64C0">
        <w:rPr>
          <w:rFonts w:cs="Times New Roman"/>
        </w:rPr>
        <w:t xml:space="preserve"> of the ICC (0.05) and the inflation for drop out (25%) </w:t>
      </w:r>
      <w:r w:rsidR="001C6562" w:rsidRPr="00DE64C0">
        <w:rPr>
          <w:rFonts w:cs="Times New Roman"/>
        </w:rPr>
        <w:t xml:space="preserve">used </w:t>
      </w:r>
      <w:r w:rsidR="00C23716" w:rsidRPr="00DE64C0">
        <w:rPr>
          <w:rFonts w:cs="Times New Roman"/>
        </w:rPr>
        <w:t xml:space="preserve">were adequate (0.02 and </w:t>
      </w:r>
      <w:r w:rsidR="00267921" w:rsidRPr="00DE64C0">
        <w:rPr>
          <w:rFonts w:cs="Times New Roman"/>
        </w:rPr>
        <w:t>24% respectively)</w:t>
      </w:r>
      <w:r w:rsidR="00C23716" w:rsidRPr="00DE64C0">
        <w:rPr>
          <w:rFonts w:cs="Times New Roman"/>
        </w:rPr>
        <w:t>. A</w:t>
      </w:r>
      <w:r w:rsidR="002D4FB2" w:rsidRPr="00DE64C0">
        <w:rPr>
          <w:rFonts w:cs="Times New Roman"/>
        </w:rPr>
        <w:t>lthough</w:t>
      </w:r>
      <w:r w:rsidR="002B203B" w:rsidRPr="00DE64C0">
        <w:rPr>
          <w:rFonts w:cs="Times New Roman"/>
        </w:rPr>
        <w:t xml:space="preserve"> the reduction in the risk of </w:t>
      </w:r>
      <w:r w:rsidR="00A52601" w:rsidRPr="00DE64C0">
        <w:rPr>
          <w:rFonts w:cs="Times New Roman"/>
        </w:rPr>
        <w:t>T2DM</w:t>
      </w:r>
      <w:r w:rsidR="002B203B" w:rsidRPr="00DE64C0">
        <w:rPr>
          <w:rFonts w:cs="Times New Roman"/>
        </w:rPr>
        <w:t xml:space="preserve"> </w:t>
      </w:r>
      <w:r w:rsidR="00BE552D" w:rsidRPr="00DE64C0">
        <w:rPr>
          <w:rFonts w:cs="Times New Roman"/>
        </w:rPr>
        <w:t>was not</w:t>
      </w:r>
      <w:r w:rsidR="002B203B" w:rsidRPr="00DE64C0">
        <w:rPr>
          <w:rFonts w:cs="Times New Roman"/>
        </w:rPr>
        <w:t xml:space="preserve"> </w:t>
      </w:r>
      <w:r w:rsidR="00BB3E36" w:rsidRPr="00DE64C0">
        <w:rPr>
          <w:rFonts w:cs="Times New Roman"/>
        </w:rPr>
        <w:t>statistical</w:t>
      </w:r>
      <w:r w:rsidR="00BE552D" w:rsidRPr="00DE64C0">
        <w:rPr>
          <w:rFonts w:cs="Times New Roman"/>
        </w:rPr>
        <w:t>ly</w:t>
      </w:r>
      <w:r w:rsidR="00BB3E36" w:rsidRPr="00DE64C0">
        <w:rPr>
          <w:rFonts w:cs="Times New Roman"/>
        </w:rPr>
        <w:t xml:space="preserve"> </w:t>
      </w:r>
      <w:r w:rsidR="00BE552D" w:rsidRPr="00DE64C0">
        <w:rPr>
          <w:rFonts w:cs="Times New Roman"/>
        </w:rPr>
        <w:t>significant</w:t>
      </w:r>
      <w:r w:rsidR="002B203B" w:rsidRPr="00DE64C0">
        <w:rPr>
          <w:rFonts w:cs="Times New Roman"/>
        </w:rPr>
        <w:t>, the effect size was similar to the Indian Diabetes Prevention programme</w:t>
      </w:r>
      <w:r w:rsidR="00E37430" w:rsidRPr="00DE64C0">
        <w:rPr>
          <w:rFonts w:cs="Times New Roman"/>
        </w:rPr>
        <w:t>,</w:t>
      </w:r>
      <w:r w:rsidR="002B203B" w:rsidRPr="00DE64C0">
        <w:rPr>
          <w:rFonts w:cs="Times New Roman"/>
        </w:rPr>
        <w:t xml:space="preserve"> which reported a 28.9% reduction in the risk of </w:t>
      </w:r>
      <w:r w:rsidR="008D7191" w:rsidRPr="00DE64C0">
        <w:rPr>
          <w:rFonts w:cs="Times New Roman"/>
        </w:rPr>
        <w:t>T2DM</w:t>
      </w:r>
      <w:r w:rsidR="00A52601" w:rsidRPr="00DE64C0">
        <w:rPr>
          <w:rFonts w:cs="Times New Roman"/>
        </w:rPr>
        <w:t xml:space="preserve"> </w:t>
      </w:r>
      <w:r w:rsidR="002B203B" w:rsidRPr="00DE64C0">
        <w:rPr>
          <w:rFonts w:cs="Times New Roman"/>
        </w:rPr>
        <w:t>following a lifestyle intervention</w:t>
      </w:r>
      <w:r w:rsidR="00E62B4A" w:rsidRPr="00DE64C0">
        <w:rPr>
          <w:rFonts w:cs="Times New Roman"/>
        </w:rPr>
        <w:t>.</w:t>
      </w:r>
      <w:r w:rsidR="008A114F" w:rsidRPr="00DE64C0">
        <w:rPr>
          <w:rFonts w:cs="Times New Roman"/>
        </w:rPr>
        <w:fldChar w:fldCharType="begin"/>
      </w:r>
      <w:r w:rsidR="009A55BE" w:rsidRPr="00DE64C0">
        <w:rPr>
          <w:rFonts w:cs="Times New Roman"/>
        </w:rPr>
        <w:instrText xml:space="preserve"> ADDIN EN.CITE &lt;EndNote&gt;&lt;Cite&gt;&lt;Author&gt;Ramachandran&lt;/Author&gt;&lt;Year&gt;2006&lt;/Year&gt;&lt;RecNum&gt;155&lt;/RecNum&gt;&lt;DisplayText&gt;(28)&lt;/DisplayText&gt;&lt;record&gt;&lt;rec-number&gt;155&lt;/rec-number&gt;&lt;foreign-keys&gt;&lt;key app="EN" db-id="eevzp0wtbzpeebedtwpperz9vszffvs0tsdt" timestamp="0"&gt;155&lt;/key&gt;&lt;/foreign-keys&gt;&lt;ref-type name="Journal Article"&gt;17&lt;/ref-type&gt;&lt;contributors&gt;&lt;authors&gt;&lt;author&gt;Ramachandran, A.&lt;/author&gt;&lt;author&gt;Snehalatha, C.&lt;/author&gt;&lt;author&gt;Mary, S.&lt;/author&gt;&lt;author&gt;Mukesh, B.&lt;/author&gt;&lt;author&gt;Bhaskar, A.D.&lt;/author&gt;&lt;author&gt;Vijay, V.&lt;/author&gt;&lt;author&gt;Indian Diabetes Prevention Programme (IDPP),&lt;/author&gt;&lt;/authors&gt;&lt;/contributors&gt;&lt;titles&gt;&lt;title&gt;The Indian Diabetes Prevention Programme shows that lifestyle modification and metformin prevent type 2 diabetes in Asian Indian subjects with impaired glucose tolerance (IDPP-1) &lt;/title&gt;&lt;secondary-title&gt;Diabetologia&lt;/secondary-title&gt;&lt;/titles&gt;&lt;periodical&gt;&lt;full-title&gt;Diabetologia&lt;/full-title&gt;&lt;abbr-1&gt;Diabetologia&lt;/abbr-1&gt;&lt;/periodical&gt;&lt;pages&gt;289-297&lt;/pages&gt;&lt;volume&gt;49&lt;/volume&gt;&lt;number&gt;2&lt;/number&gt;&lt;dates&gt;&lt;year&gt;2006&lt;/year&gt;&lt;/dates&gt;&lt;urls&gt;&lt;/urls&gt;&lt;/record&gt;&lt;/Cite&gt;&lt;/EndNote&gt;</w:instrText>
      </w:r>
      <w:r w:rsidR="008A114F" w:rsidRPr="00DE64C0">
        <w:rPr>
          <w:rFonts w:cs="Times New Roman"/>
        </w:rPr>
        <w:fldChar w:fldCharType="separate"/>
      </w:r>
      <w:r w:rsidR="009A55BE" w:rsidRPr="00DE64C0">
        <w:rPr>
          <w:rFonts w:cs="Times New Roman"/>
          <w:noProof/>
        </w:rPr>
        <w:t>(28)</w:t>
      </w:r>
      <w:r w:rsidR="008A114F" w:rsidRPr="00DE64C0">
        <w:rPr>
          <w:rFonts w:cs="Times New Roman"/>
        </w:rPr>
        <w:fldChar w:fldCharType="end"/>
      </w:r>
      <w:r w:rsidR="007F66D3" w:rsidRPr="00DE64C0">
        <w:rPr>
          <w:rFonts w:cs="Times New Roman"/>
        </w:rPr>
        <w:t xml:space="preserve"> </w:t>
      </w:r>
      <w:r w:rsidR="00E37430" w:rsidRPr="00DE64C0">
        <w:t>L</w:t>
      </w:r>
      <w:r w:rsidR="00BD25EB" w:rsidRPr="00DE64C0">
        <w:t>imitation</w:t>
      </w:r>
      <w:r w:rsidR="002B203B" w:rsidRPr="00DE64C0">
        <w:t>s</w:t>
      </w:r>
      <w:r w:rsidR="00BD25EB" w:rsidRPr="00DE64C0">
        <w:t xml:space="preserve"> inherent in cluster </w:t>
      </w:r>
      <w:r w:rsidR="00E37430" w:rsidRPr="00DE64C0">
        <w:t>randomised studies</w:t>
      </w:r>
      <w:r w:rsidR="00BD25EB" w:rsidRPr="00DE64C0">
        <w:t xml:space="preserve"> were </w:t>
      </w:r>
      <w:r w:rsidR="00E37430" w:rsidRPr="00DE64C0">
        <w:t xml:space="preserve">also </w:t>
      </w:r>
      <w:r w:rsidR="00BD25EB" w:rsidRPr="00DE64C0">
        <w:t>observed here,</w:t>
      </w:r>
      <w:r w:rsidR="00BD25EB" w:rsidRPr="00DE64C0">
        <w:rPr>
          <w:rFonts w:cs="Times New Roman"/>
        </w:rPr>
        <w:t xml:space="preserve"> particularly achieving a balance in participant characteristics across groups</w:t>
      </w:r>
      <w:r w:rsidR="00E37430" w:rsidRPr="00DE64C0">
        <w:rPr>
          <w:rFonts w:cs="Times New Roman"/>
        </w:rPr>
        <w:t>:</w:t>
      </w:r>
      <w:r w:rsidR="00BD25EB" w:rsidRPr="00DE64C0">
        <w:rPr>
          <w:rFonts w:cs="Times New Roman"/>
        </w:rPr>
        <w:t xml:space="preserve"> </w:t>
      </w:r>
      <w:r w:rsidR="00E37430" w:rsidRPr="00DE64C0">
        <w:rPr>
          <w:rFonts w:cs="Times New Roman"/>
        </w:rPr>
        <w:t>i</w:t>
      </w:r>
      <w:r w:rsidR="00BD25EB" w:rsidRPr="00DE64C0">
        <w:rPr>
          <w:rFonts w:cs="Times New Roman"/>
        </w:rPr>
        <w:t xml:space="preserve">mportant differences at baseline were </w:t>
      </w:r>
      <w:r w:rsidR="00F30386" w:rsidRPr="00DE64C0">
        <w:rPr>
          <w:rFonts w:cs="Times New Roman"/>
        </w:rPr>
        <w:t>observed</w:t>
      </w:r>
      <w:r w:rsidR="00E37430" w:rsidRPr="00DE64C0">
        <w:rPr>
          <w:rFonts w:cs="Times New Roman"/>
        </w:rPr>
        <w:t>,</w:t>
      </w:r>
      <w:r w:rsidR="00F30386" w:rsidRPr="00DE64C0">
        <w:rPr>
          <w:rFonts w:cs="Times New Roman"/>
        </w:rPr>
        <w:t xml:space="preserve"> with the intervention group having higher levels of social deprivation and smok</w:t>
      </w:r>
      <w:r w:rsidR="00E37430" w:rsidRPr="00DE64C0">
        <w:rPr>
          <w:rFonts w:cs="Times New Roman"/>
        </w:rPr>
        <w:t>ing rates</w:t>
      </w:r>
      <w:r w:rsidR="00F30386" w:rsidRPr="00DE64C0">
        <w:rPr>
          <w:rFonts w:cs="Times New Roman"/>
        </w:rPr>
        <w:t xml:space="preserve">, but with lower levels of BMI and waist circumference. </w:t>
      </w:r>
      <w:r w:rsidR="00BD25EB" w:rsidRPr="00DE64C0">
        <w:rPr>
          <w:rFonts w:cs="Times New Roman"/>
        </w:rPr>
        <w:t xml:space="preserve"> </w:t>
      </w:r>
      <w:r w:rsidR="00F30386" w:rsidRPr="00DE64C0">
        <w:rPr>
          <w:rFonts w:cs="Times New Roman"/>
        </w:rPr>
        <w:t>T</w:t>
      </w:r>
      <w:r w:rsidR="00BD25EB" w:rsidRPr="00DE64C0">
        <w:rPr>
          <w:rFonts w:cs="Times New Roman"/>
        </w:rPr>
        <w:t xml:space="preserve">hese differences could have </w:t>
      </w:r>
      <w:r w:rsidR="00F30386" w:rsidRPr="00DE64C0">
        <w:rPr>
          <w:rFonts w:cs="Times New Roman"/>
        </w:rPr>
        <w:t>acted to confound the result</w:t>
      </w:r>
      <w:r w:rsidR="001C17A4" w:rsidRPr="00DE64C0">
        <w:rPr>
          <w:rFonts w:cs="Times New Roman"/>
        </w:rPr>
        <w:t xml:space="preserve">. </w:t>
      </w:r>
      <w:r w:rsidR="00255981" w:rsidRPr="00DE64C0">
        <w:rPr>
          <w:rFonts w:cs="Times New Roman"/>
        </w:rPr>
        <w:t>Finally</w:t>
      </w:r>
      <w:r w:rsidR="00BB3E36" w:rsidRPr="00DE64C0">
        <w:rPr>
          <w:rFonts w:cs="Times New Roman"/>
        </w:rPr>
        <w:t>,</w:t>
      </w:r>
      <w:r w:rsidR="00255981" w:rsidRPr="00DE64C0">
        <w:rPr>
          <w:rFonts w:cs="Times New Roman"/>
        </w:rPr>
        <w:t xml:space="preserve"> the generalizability of the findings </w:t>
      </w:r>
      <w:r w:rsidR="001C17A4" w:rsidRPr="00DE64C0">
        <w:rPr>
          <w:rFonts w:cs="Times New Roman"/>
        </w:rPr>
        <w:t>should</w:t>
      </w:r>
      <w:r w:rsidR="00E37430" w:rsidRPr="00DE64C0">
        <w:rPr>
          <w:rFonts w:cs="Times New Roman"/>
        </w:rPr>
        <w:t xml:space="preserve"> be assessed cautiously.</w:t>
      </w:r>
      <w:r w:rsidR="00255981" w:rsidRPr="00DE64C0">
        <w:rPr>
          <w:rFonts w:cs="Times New Roman"/>
        </w:rPr>
        <w:t xml:space="preserve"> Of those invited for screening</w:t>
      </w:r>
      <w:r w:rsidR="00440DD7" w:rsidRPr="00DE64C0">
        <w:rPr>
          <w:rFonts w:cs="Times New Roman"/>
        </w:rPr>
        <w:t>,</w:t>
      </w:r>
      <w:r w:rsidR="00255981" w:rsidRPr="00DE64C0">
        <w:rPr>
          <w:rFonts w:cs="Times New Roman"/>
        </w:rPr>
        <w:t xml:space="preserve"> 19% attended.</w:t>
      </w:r>
      <w:r w:rsidR="008A114F" w:rsidRPr="00DE64C0">
        <w:rPr>
          <w:rFonts w:cs="Times New Roman"/>
        </w:rPr>
        <w:fldChar w:fldCharType="begin"/>
      </w:r>
      <w:r w:rsidR="00452800" w:rsidRPr="00DE64C0">
        <w:rPr>
          <w:rFonts w:cs="Times New Roman"/>
        </w:rPr>
        <w:instrText xml:space="preserve"> ADDIN EN.CITE &lt;EndNote&gt;&lt;Cite&gt;&lt;Author&gt;Gray&lt;/Author&gt;&lt;Year&gt;2012&lt;/Year&gt;&lt;RecNum&gt;282&lt;/RecNum&gt;&lt;DisplayText&gt;(12)&lt;/DisplayText&gt;&lt;record&gt;&lt;rec-number&gt;282&lt;/rec-number&gt;&lt;foreign-keys&gt;&lt;key app="EN" db-id="eevzp0wtbzpeebedtwpperz9vszffvs0tsdt" timestamp="0"&gt;282&lt;/key&gt;&lt;/foreign-keys&gt;&lt;ref-type name="Journal Article"&gt;17&lt;/ref-type&gt;&lt;contributors&gt;&lt;authors&gt;&lt;author&gt;Gray, L.J.&lt;/author&gt;&lt;author&gt;Khunti, K.&lt;/author&gt;&lt;author&gt;Edwardson, C.&lt;/author&gt;&lt;author&gt;Goldby, S.&lt;/author&gt;&lt;author&gt;Henson, J.&lt;/author&gt;&lt;author&gt;Morris, D.H.&lt;/author&gt;&lt;author&gt;Sheppard, D.&lt;/author&gt;&lt;author&gt;Webb, D.&lt;/author&gt;&lt;author&gt;Williams, S.&lt;/author&gt;&lt;author&gt;Yates, T.&lt;/author&gt;&lt;author&gt;Davies, M.J. &lt;/author&gt;&lt;/authors&gt;&lt;/contributors&gt;&lt;titles&gt;&lt;title&gt;Implementation of the automated Leicester Practice Risk Score in two diabetes prevention trials provides a high yield of people with abnormal glucose tolerance.&lt;/title&gt;&lt;secondary-title&gt;Diabetologia&lt;/secondary-title&gt;&lt;/titles&gt;&lt;periodical&gt;&lt;full-title&gt;Diabetologia&lt;/full-title&gt;&lt;abbr-1&gt;Diabetologia&lt;/abbr-1&gt;&lt;/periodical&gt;&lt;pages&gt;3238-44&lt;/pages&gt;&lt;volume&gt;55&lt;/volume&gt;&lt;number&gt;12&lt;/number&gt;&lt;dates&gt;&lt;year&gt;2012&lt;/year&gt;&lt;/dates&gt;&lt;urls&gt;&lt;/urls&gt;&lt;/record&gt;&lt;/Cite&gt;&lt;/EndNote&gt;</w:instrText>
      </w:r>
      <w:r w:rsidR="008A114F" w:rsidRPr="00DE64C0">
        <w:rPr>
          <w:rFonts w:cs="Times New Roman"/>
        </w:rPr>
        <w:fldChar w:fldCharType="separate"/>
      </w:r>
      <w:r w:rsidR="00923110" w:rsidRPr="00DE64C0">
        <w:rPr>
          <w:rFonts w:cs="Times New Roman"/>
          <w:noProof/>
        </w:rPr>
        <w:t>(12)</w:t>
      </w:r>
      <w:r w:rsidR="008A114F" w:rsidRPr="00DE64C0">
        <w:rPr>
          <w:rFonts w:cs="Times New Roman"/>
        </w:rPr>
        <w:fldChar w:fldCharType="end"/>
      </w:r>
      <w:r w:rsidR="00255981" w:rsidRPr="00DE64C0">
        <w:rPr>
          <w:rFonts w:cs="Times New Roman"/>
        </w:rPr>
        <w:t xml:space="preserve"> Although this</w:t>
      </w:r>
      <w:r w:rsidR="002B45CA" w:rsidRPr="00DE64C0">
        <w:rPr>
          <w:rFonts w:cs="Times New Roman"/>
        </w:rPr>
        <w:t xml:space="preserve"> uptake rate</w:t>
      </w:r>
      <w:r w:rsidR="00255981" w:rsidRPr="00DE64C0">
        <w:rPr>
          <w:rFonts w:cs="Times New Roman"/>
        </w:rPr>
        <w:t xml:space="preserve"> is </w:t>
      </w:r>
      <w:r w:rsidR="002B45CA" w:rsidRPr="00DE64C0">
        <w:rPr>
          <w:rFonts w:cs="Times New Roman"/>
        </w:rPr>
        <w:t>consistent</w:t>
      </w:r>
      <w:r w:rsidR="00255981" w:rsidRPr="00DE64C0">
        <w:rPr>
          <w:rFonts w:cs="Times New Roman"/>
        </w:rPr>
        <w:t xml:space="preserve"> </w:t>
      </w:r>
      <w:r w:rsidR="00E37430" w:rsidRPr="00DE64C0">
        <w:rPr>
          <w:rFonts w:cs="Times New Roman"/>
        </w:rPr>
        <w:t>with</w:t>
      </w:r>
      <w:r w:rsidR="00255981" w:rsidRPr="00DE64C0">
        <w:rPr>
          <w:rFonts w:cs="Times New Roman"/>
        </w:rPr>
        <w:t xml:space="preserve"> other studies in similar populations</w:t>
      </w:r>
      <w:r w:rsidR="00E62B4A" w:rsidRPr="00DE64C0">
        <w:rPr>
          <w:rFonts w:cs="Times New Roman"/>
        </w:rPr>
        <w:t xml:space="preserve"> </w:t>
      </w:r>
      <w:r w:rsidR="00E62B4A" w:rsidRPr="00DE64C0">
        <w:rPr>
          <w:rFonts w:cs="Times New Roman"/>
        </w:rPr>
        <w:fldChar w:fldCharType="begin"/>
      </w:r>
      <w:r w:rsidR="009A55BE" w:rsidRPr="00DE64C0">
        <w:rPr>
          <w:rFonts w:cs="Times New Roman"/>
        </w:rPr>
        <w:instrText xml:space="preserve"> ADDIN EN.CITE &lt;EndNote&gt;&lt;Cite&gt;&lt;Author&gt;Aujla&lt;/Author&gt;&lt;Year&gt;2010&lt;/Year&gt;&lt;RecNum&gt;101&lt;/RecNum&gt;&lt;DisplayText&gt;(29, 30)&lt;/DisplayText&gt;&lt;record&gt;&lt;rec-number&gt;101&lt;/rec-number&gt;&lt;foreign-keys&gt;&lt;key app="EN" db-id="eevzp0wtbzpeebedtwpperz9vszffvs0tsdt" timestamp="0"&gt;101&lt;/key&gt;&lt;/foreign-keys&gt;&lt;ref-type name="Journal Article"&gt;17&lt;/ref-type&gt;&lt;contributors&gt;&lt;authors&gt;&lt;author&gt;Aujla, N. &lt;/author&gt;&lt;author&gt;Eborall, H.C. &lt;/author&gt;&lt;author&gt;Stone, M. &lt;/author&gt;&lt;author&gt;Taub, N.&lt;/author&gt;&lt;author&gt;Davies, M.J. &lt;/author&gt;&lt;author&gt;Khunti, K.&lt;/author&gt;&lt;/authors&gt;&lt;/contributors&gt;&lt;titles&gt;&lt;title&gt;Barriers to practice and patient recruitment to primary care based diabetes screening studies&lt;/title&gt;&lt;secondary-title&gt;Diabetic Med &lt;/secondary-title&gt;&lt;/titles&gt;&lt;pages&gt;371&lt;/pages&gt;&lt;volume&gt;27&lt;/volume&gt;&lt;number&gt;Suppl. 1&lt;/number&gt;&lt;dates&gt;&lt;year&gt;2010&lt;/year&gt;&lt;/dates&gt;&lt;urls&gt;&lt;/urls&gt;&lt;/record&gt;&lt;/Cite&gt;&lt;Cite&gt;&lt;Author&gt;Webb&lt;/Author&gt;&lt;Year&gt;2011&lt;/Year&gt;&lt;RecNum&gt;100&lt;/RecNum&gt;&lt;record&gt;&lt;rec-number&gt;100&lt;/rec-number&gt;&lt;foreign-keys&gt;&lt;key app="EN" db-id="eevzp0wtbzpeebedtwpperz9vszffvs0tsdt" timestamp="0"&gt;100&lt;/key&gt;&lt;/foreign-keys&gt;&lt;ref-type name="Journal Article"&gt;17&lt;/ref-type&gt;&lt;contributors&gt;&lt;authors&gt;&lt;author&gt;Webb, D.R. &lt;/author&gt;&lt;author&gt;Gray, L.J. &lt;/author&gt;&lt;author&gt;Khunti, K. &lt;/author&gt;&lt;author&gt;Srinivasan, B. &lt;/author&gt;&lt;author&gt;Taub, N. &lt;/author&gt;&lt;author&gt;Campbell, S. &lt;/author&gt;&lt;author&gt;Barnett, J. &lt;/author&gt;&lt;author&gt;Farooqi, A. &lt;/author&gt;&lt;author&gt;Echouffo-Tcheugui, J.B. &lt;/author&gt;&lt;author&gt;Griffin, S.J. &lt;/author&gt;&lt;author&gt;Wareham, N.J. &lt;/author&gt;&lt;author&gt;Davies, M.J.&lt;/author&gt;&lt;/authors&gt;&lt;/contributors&gt;&lt;titles&gt;&lt;title&gt;Screening for diabetes using an oral glucose tolerance test within a western multi-ethnic population identifies modifiable cardiovascular risk: the ADDITION-Leicester study&lt;/title&gt;&lt;secondary-title&gt;In Press Diabetologia. 2011 Jun 3&lt;/secondary-title&gt;&lt;/titles&gt;&lt;dates&gt;&lt;year&gt;2011&lt;/year&gt;&lt;/dates&gt;&lt;urls&gt;&lt;/urls&gt;&lt;/record&gt;&lt;/Cite&gt;&lt;/EndNote&gt;</w:instrText>
      </w:r>
      <w:r w:rsidR="00E62B4A" w:rsidRPr="00DE64C0">
        <w:rPr>
          <w:rFonts w:cs="Times New Roman"/>
        </w:rPr>
        <w:fldChar w:fldCharType="separate"/>
      </w:r>
      <w:r w:rsidR="009A55BE" w:rsidRPr="00DE64C0">
        <w:rPr>
          <w:rFonts w:cs="Times New Roman"/>
          <w:noProof/>
        </w:rPr>
        <w:t>(29, 30)</w:t>
      </w:r>
      <w:r w:rsidR="00E62B4A" w:rsidRPr="00DE64C0">
        <w:rPr>
          <w:rFonts w:cs="Times New Roman"/>
        </w:rPr>
        <w:fldChar w:fldCharType="end"/>
      </w:r>
      <w:r w:rsidR="00255981" w:rsidRPr="00DE64C0">
        <w:rPr>
          <w:rFonts w:cs="Times New Roman"/>
        </w:rPr>
        <w:t xml:space="preserve"> and reflects the difficulty </w:t>
      </w:r>
      <w:r w:rsidR="00E37430" w:rsidRPr="00DE64C0">
        <w:rPr>
          <w:rFonts w:cs="Times New Roman"/>
        </w:rPr>
        <w:t>of</w:t>
      </w:r>
      <w:r w:rsidR="00255981" w:rsidRPr="00DE64C0">
        <w:rPr>
          <w:rFonts w:cs="Times New Roman"/>
        </w:rPr>
        <w:t xml:space="preserve"> recruiting a multi-ethnic urban population into </w:t>
      </w:r>
      <w:r w:rsidR="00DE0A57" w:rsidRPr="00DE64C0">
        <w:rPr>
          <w:rFonts w:cs="Times New Roman"/>
        </w:rPr>
        <w:t>prevention</w:t>
      </w:r>
      <w:r w:rsidR="00255981" w:rsidRPr="00DE64C0">
        <w:rPr>
          <w:rFonts w:cs="Times New Roman"/>
        </w:rPr>
        <w:t xml:space="preserve"> studies, </w:t>
      </w:r>
      <w:r w:rsidR="00440DD7" w:rsidRPr="00DE64C0">
        <w:rPr>
          <w:rFonts w:cs="Times New Roman"/>
        </w:rPr>
        <w:t>it may limit</w:t>
      </w:r>
      <w:r w:rsidR="00255981" w:rsidRPr="00DE64C0">
        <w:rPr>
          <w:rFonts w:cs="Times New Roman"/>
        </w:rPr>
        <w:t xml:space="preserve"> the </w:t>
      </w:r>
      <w:r w:rsidR="005C7E29" w:rsidRPr="00DE64C0">
        <w:rPr>
          <w:rFonts w:cs="Times New Roman"/>
        </w:rPr>
        <w:t>generalizability</w:t>
      </w:r>
      <w:r w:rsidR="00255981" w:rsidRPr="00DE64C0">
        <w:rPr>
          <w:rFonts w:cs="Times New Roman"/>
        </w:rPr>
        <w:t xml:space="preserve"> of the </w:t>
      </w:r>
      <w:r w:rsidR="00440DD7" w:rsidRPr="00DE64C0">
        <w:rPr>
          <w:rFonts w:cs="Times New Roman"/>
        </w:rPr>
        <w:t>findings</w:t>
      </w:r>
      <w:r w:rsidR="00255981" w:rsidRPr="00DE64C0">
        <w:rPr>
          <w:rFonts w:cs="Times New Roman"/>
        </w:rPr>
        <w:t>. Higher rates of uptake would be expected in a non-research setting</w:t>
      </w:r>
      <w:r w:rsidR="00E37430" w:rsidRPr="00DE64C0">
        <w:rPr>
          <w:rFonts w:cs="Times New Roman"/>
        </w:rPr>
        <w:t>:</w:t>
      </w:r>
      <w:r w:rsidR="00255981" w:rsidRPr="00DE64C0">
        <w:rPr>
          <w:rFonts w:cs="Times New Roman"/>
        </w:rPr>
        <w:t xml:space="preserve"> </w:t>
      </w:r>
      <w:r w:rsidR="00E37430" w:rsidRPr="00DE64C0">
        <w:rPr>
          <w:rFonts w:cs="Times New Roman"/>
        </w:rPr>
        <w:t>f</w:t>
      </w:r>
      <w:r w:rsidR="00255981" w:rsidRPr="00DE64C0">
        <w:rPr>
          <w:rFonts w:cs="Times New Roman"/>
        </w:rPr>
        <w:t xml:space="preserve">or example, the NHS Health Checks </w:t>
      </w:r>
      <w:r w:rsidR="005E3962" w:rsidRPr="00DE64C0">
        <w:rPr>
          <w:rFonts w:cs="Times New Roman"/>
        </w:rPr>
        <w:lastRenderedPageBreak/>
        <w:t>programme has</w:t>
      </w:r>
      <w:r w:rsidR="00255981" w:rsidRPr="00DE64C0">
        <w:rPr>
          <w:rFonts w:cs="Times New Roman"/>
        </w:rPr>
        <w:t xml:space="preserve"> 40% uptake</w:t>
      </w:r>
      <w:r w:rsidR="008A114F" w:rsidRPr="00DE64C0">
        <w:rPr>
          <w:rFonts w:cs="Times New Roman"/>
        </w:rPr>
        <w:t>.</w:t>
      </w:r>
      <w:r w:rsidR="008A114F" w:rsidRPr="00DE64C0">
        <w:rPr>
          <w:rFonts w:cs="Times New Roman"/>
        </w:rPr>
        <w:fldChar w:fldCharType="begin"/>
      </w:r>
      <w:r w:rsidR="009A55BE" w:rsidRPr="00DE64C0">
        <w:rPr>
          <w:rFonts w:cs="Times New Roman"/>
        </w:rPr>
        <w:instrText xml:space="preserve"> ADDIN EN.CITE &lt;EndNote&gt;&lt;Cite&gt;&lt;Author&gt;Dalton&lt;/Author&gt;&lt;Year&gt;2011&lt;/Year&gt;&lt;RecNum&gt;200&lt;/RecNum&gt;&lt;DisplayText&gt;(31)&lt;/DisplayText&gt;&lt;record&gt;&lt;rec-number&gt;200&lt;/rec-number&gt;&lt;foreign-keys&gt;&lt;key app="EN" db-id="eevzp0wtbzpeebedtwpperz9vszffvs0tsdt" timestamp="0"&gt;200&lt;/key&gt;&lt;/foreign-keys&gt;&lt;ref-type name="Journal Article"&gt;17&lt;/ref-type&gt;&lt;contributors&gt;&lt;authors&gt;&lt;author&gt;Dalton, A.R.H.&lt;/author&gt;&lt;author&gt;Bottle, A.&lt;/author&gt;&lt;author&gt;Okoro, C.&lt;/author&gt;&lt;author&gt;Majeed, A.&lt;/author&gt;&lt;author&gt;Millett, C.&lt;/author&gt;&lt;/authors&gt;&lt;/contributors&gt;&lt;titles&gt;&lt;title&gt;Uptake of the NHS Health Checks programme in a deprived, culturally diverse setting: cross-sectional study&lt;/title&gt;&lt;secondary-title&gt;Journal of Public Health&lt;/secondary-title&gt;&lt;/titles&gt;&lt;periodical&gt;&lt;full-title&gt;Journal of Public Health&lt;/full-title&gt;&lt;/periodical&gt;&lt;volume&gt;doi:10.1093&lt;/volume&gt;&lt;dates&gt;&lt;year&gt;2011&lt;/year&gt;&lt;/dates&gt;&lt;urls&gt;&lt;/urls&gt;&lt;/record&gt;&lt;/Cite&gt;&lt;/EndNote&gt;</w:instrText>
      </w:r>
      <w:r w:rsidR="008A114F" w:rsidRPr="00DE64C0">
        <w:rPr>
          <w:rFonts w:cs="Times New Roman"/>
        </w:rPr>
        <w:fldChar w:fldCharType="separate"/>
      </w:r>
      <w:r w:rsidR="009A55BE" w:rsidRPr="00DE64C0">
        <w:rPr>
          <w:rFonts w:cs="Times New Roman"/>
          <w:noProof/>
        </w:rPr>
        <w:t>(31)</w:t>
      </w:r>
      <w:r w:rsidR="008A114F" w:rsidRPr="00DE64C0">
        <w:rPr>
          <w:rFonts w:cs="Times New Roman"/>
        </w:rPr>
        <w:fldChar w:fldCharType="end"/>
      </w:r>
      <w:r w:rsidR="00680CD7" w:rsidRPr="00DE64C0">
        <w:rPr>
          <w:rFonts w:cs="Times New Roman"/>
        </w:rPr>
        <w:t xml:space="preserve"> </w:t>
      </w:r>
      <w:r w:rsidR="00A9322B" w:rsidRPr="00DE64C0">
        <w:rPr>
          <w:rFonts w:cs="Times New Roman"/>
        </w:rPr>
        <w:t xml:space="preserve"> </w:t>
      </w:r>
      <w:r w:rsidR="00680CD7" w:rsidRPr="00DE64C0">
        <w:rPr>
          <w:rFonts w:cs="Times New Roman"/>
        </w:rPr>
        <w:t xml:space="preserve">Due to ethical </w:t>
      </w:r>
      <w:r w:rsidR="00A9322B" w:rsidRPr="00DE64C0">
        <w:rPr>
          <w:rFonts w:cs="Times New Roman"/>
        </w:rPr>
        <w:t>constraints</w:t>
      </w:r>
      <w:r w:rsidR="00680CD7" w:rsidRPr="00DE64C0">
        <w:rPr>
          <w:rFonts w:cs="Times New Roman"/>
        </w:rPr>
        <w:t>, no data extracted from primary care regarding those invited</w:t>
      </w:r>
      <w:r w:rsidR="00637951" w:rsidRPr="00DE64C0">
        <w:rPr>
          <w:rFonts w:cs="Times New Roman"/>
        </w:rPr>
        <w:t xml:space="preserve"> for screening</w:t>
      </w:r>
      <w:r w:rsidR="00680CD7" w:rsidRPr="00DE64C0">
        <w:rPr>
          <w:rFonts w:cs="Times New Roman"/>
        </w:rPr>
        <w:t xml:space="preserve">. Therefore we cannot compare the </w:t>
      </w:r>
      <w:r w:rsidR="00F90241" w:rsidRPr="00DE64C0">
        <w:rPr>
          <w:rFonts w:cs="Times New Roman"/>
        </w:rPr>
        <w:t xml:space="preserve">characteristics of the invited cohort to those who attended to establish if there </w:t>
      </w:r>
      <w:r w:rsidR="009A55BE" w:rsidRPr="00DE64C0">
        <w:rPr>
          <w:rFonts w:cs="Times New Roman"/>
        </w:rPr>
        <w:t>was</w:t>
      </w:r>
      <w:r w:rsidR="00F90241" w:rsidRPr="00DE64C0">
        <w:rPr>
          <w:rFonts w:cs="Times New Roman"/>
        </w:rPr>
        <w:t xml:space="preserve"> any potential for bias. </w:t>
      </w:r>
      <w:r w:rsidR="00DC1614" w:rsidRPr="00DE64C0">
        <w:rPr>
          <w:rFonts w:cs="Times New Roman"/>
        </w:rPr>
        <w:t>A study of similar design conducted in the same area screening for T2DM found that the 22% who attended screening were older and more likely to be female.</w:t>
      </w:r>
      <w:r w:rsidR="00DC1614" w:rsidRPr="00DE64C0">
        <w:rPr>
          <w:rFonts w:cs="Times New Roman"/>
        </w:rPr>
        <w:fldChar w:fldCharType="begin"/>
      </w:r>
      <w:r w:rsidR="009A55BE" w:rsidRPr="00DE64C0">
        <w:rPr>
          <w:rFonts w:cs="Times New Roman"/>
        </w:rPr>
        <w:instrText xml:space="preserve"> ADDIN EN.CITE &lt;EndNote&gt;&lt;Cite&gt;&lt;Author&gt;Webb&lt;/Author&gt;&lt;Year&gt;2011&lt;/Year&gt;&lt;RecNum&gt;100&lt;/RecNum&gt;&lt;DisplayText&gt;(30)&lt;/DisplayText&gt;&lt;record&gt;&lt;rec-number&gt;100&lt;/rec-number&gt;&lt;foreign-keys&gt;&lt;key app="EN" db-id="eevzp0wtbzpeebedtwpperz9vszffvs0tsdt" timestamp="0"&gt;100&lt;/key&gt;&lt;/foreign-keys&gt;&lt;ref-type name="Journal Article"&gt;17&lt;/ref-type&gt;&lt;contributors&gt;&lt;authors&gt;&lt;author&gt;Webb, D.R. &lt;/author&gt;&lt;author&gt;Gray, L.J. &lt;/author&gt;&lt;author&gt;Khunti, K. &lt;/author&gt;&lt;author&gt;Srinivasan, B. &lt;/author&gt;&lt;author&gt;Taub, N. &lt;/author&gt;&lt;author&gt;Campbell, S. &lt;/author&gt;&lt;author&gt;Barnett, J. &lt;/author&gt;&lt;author&gt;Farooqi, A. &lt;/author&gt;&lt;author&gt;Echouffo-Tcheugui, J.B. &lt;/author&gt;&lt;author&gt;Griffin, S.J. &lt;/author&gt;&lt;author&gt;Wareham, N.J. &lt;/author&gt;&lt;author&gt;Davies, M.J.&lt;/author&gt;&lt;/authors&gt;&lt;/contributors&gt;&lt;titles&gt;&lt;title&gt;Screening for diabetes using an oral glucose tolerance test within a western multi-ethnic population identifies modifiable cardiovascular risk: the ADDITION-Leicester study&lt;/title&gt;&lt;secondary-title&gt;In Press Diabetologia. 2011 Jun 3&lt;/secondary-title&gt;&lt;/titles&gt;&lt;dates&gt;&lt;year&gt;2011&lt;/year&gt;&lt;/dates&gt;&lt;urls&gt;&lt;/urls&gt;&lt;/record&gt;&lt;/Cite&gt;&lt;/EndNote&gt;</w:instrText>
      </w:r>
      <w:r w:rsidR="00DC1614" w:rsidRPr="00DE64C0">
        <w:rPr>
          <w:rFonts w:cs="Times New Roman"/>
        </w:rPr>
        <w:fldChar w:fldCharType="separate"/>
      </w:r>
      <w:r w:rsidR="009A55BE" w:rsidRPr="00DE64C0">
        <w:rPr>
          <w:rFonts w:cs="Times New Roman"/>
          <w:noProof/>
        </w:rPr>
        <w:t>(30)</w:t>
      </w:r>
      <w:r w:rsidR="00DC1614" w:rsidRPr="00DE64C0">
        <w:rPr>
          <w:rFonts w:cs="Times New Roman"/>
        </w:rPr>
        <w:fldChar w:fldCharType="end"/>
      </w:r>
      <w:r w:rsidR="00F90241" w:rsidRPr="00DE64C0">
        <w:rPr>
          <w:rFonts w:cs="Times New Roman"/>
        </w:rPr>
        <w:t xml:space="preserve"> </w:t>
      </w:r>
      <w:r w:rsidR="005E3962" w:rsidRPr="00DE64C0">
        <w:rPr>
          <w:rFonts w:cs="Times New Roman"/>
        </w:rPr>
        <w:t>Only 23% of the intervention group attended the initial education, ad-hoc analyses suggest the intervention effect can be increased as attendance increases. Future studies should focus on strategies to increase uptake to screening and attendance/compliance with the programme.</w:t>
      </w:r>
    </w:p>
    <w:p w14:paraId="5C07F315" w14:textId="77777777" w:rsidR="002D4FB2" w:rsidRPr="00DE64C0" w:rsidRDefault="002D4FB2" w:rsidP="00FF4C5F">
      <w:pPr>
        <w:rPr>
          <w:rFonts w:cs="Times New Roman"/>
        </w:rPr>
      </w:pPr>
    </w:p>
    <w:p w14:paraId="4055B9C5" w14:textId="1AD284CD" w:rsidR="004C661E" w:rsidRPr="00DE64C0" w:rsidRDefault="005E3962" w:rsidP="00FF4C5F">
      <w:pPr>
        <w:rPr>
          <w:rFonts w:cs="Times New Roman"/>
        </w:rPr>
      </w:pPr>
      <w:r w:rsidRPr="00DE64C0">
        <w:rPr>
          <w:rFonts w:cs="Times New Roman"/>
        </w:rPr>
        <w:t>W</w:t>
      </w:r>
      <w:r w:rsidR="004C661E" w:rsidRPr="00DE64C0">
        <w:rPr>
          <w:rFonts w:cs="Times New Roman"/>
        </w:rPr>
        <w:t>e observed several improvements in secondary outcomes.</w:t>
      </w:r>
      <w:r w:rsidR="00585725" w:rsidRPr="00DE64C0">
        <w:rPr>
          <w:rFonts w:cs="Times New Roman"/>
        </w:rPr>
        <w:t xml:space="preserve"> </w:t>
      </w:r>
      <w:r w:rsidR="004C661E" w:rsidRPr="00DE64C0">
        <w:rPr>
          <w:rFonts w:cs="Times New Roman"/>
        </w:rPr>
        <w:t xml:space="preserve">Importantly, there was evidence that the programme reduced </w:t>
      </w:r>
      <w:r w:rsidR="00DE0A57" w:rsidRPr="00DE64C0">
        <w:rPr>
          <w:rFonts w:cs="Times New Roman"/>
        </w:rPr>
        <w:t>threatening perceptions</w:t>
      </w:r>
      <w:r w:rsidR="004C661E" w:rsidRPr="00DE64C0">
        <w:rPr>
          <w:rFonts w:cs="Times New Roman"/>
        </w:rPr>
        <w:t xml:space="preserve"> of </w:t>
      </w:r>
      <w:r w:rsidR="007B3E92" w:rsidRPr="00DE64C0">
        <w:rPr>
          <w:rFonts w:cs="Times New Roman"/>
        </w:rPr>
        <w:t>PDM</w:t>
      </w:r>
      <w:r w:rsidRPr="00DE64C0">
        <w:rPr>
          <w:rFonts w:cs="Times New Roman"/>
        </w:rPr>
        <w:t>, anxiety and improved</w:t>
      </w:r>
      <w:r w:rsidR="004C661E" w:rsidRPr="00DE64C0">
        <w:rPr>
          <w:rFonts w:cs="Times New Roman"/>
        </w:rPr>
        <w:t xml:space="preserve"> overall quality of life. This is consistent with</w:t>
      </w:r>
      <w:r w:rsidR="0098676D" w:rsidRPr="00DE64C0">
        <w:rPr>
          <w:rFonts w:cs="Times New Roman"/>
        </w:rPr>
        <w:t xml:space="preserve"> other</w:t>
      </w:r>
      <w:r w:rsidR="004C661E" w:rsidRPr="00DE64C0">
        <w:rPr>
          <w:rFonts w:cs="Times New Roman"/>
        </w:rPr>
        <w:t xml:space="preserve"> structured</w:t>
      </w:r>
      <w:r w:rsidR="00BB3E36" w:rsidRPr="00DE64C0">
        <w:rPr>
          <w:rFonts w:cs="Times New Roman"/>
        </w:rPr>
        <w:t>-</w:t>
      </w:r>
      <w:r w:rsidR="004C661E" w:rsidRPr="00DE64C0">
        <w:rPr>
          <w:rFonts w:cs="Times New Roman"/>
        </w:rPr>
        <w:t>education programmes</w:t>
      </w:r>
      <w:r w:rsidR="00DC2844" w:rsidRPr="00DE64C0">
        <w:rPr>
          <w:rFonts w:cs="Times New Roman"/>
        </w:rPr>
        <w:t>.</w:t>
      </w:r>
      <w:r w:rsidR="008A114F" w:rsidRPr="00DE64C0">
        <w:rPr>
          <w:rFonts w:cs="Times New Roman"/>
        </w:rPr>
        <w:fldChar w:fldCharType="begin"/>
      </w:r>
      <w:r w:rsidR="00DC1614" w:rsidRPr="00DE64C0">
        <w:rPr>
          <w:rFonts w:cs="Times New Roman"/>
        </w:rPr>
        <w:instrText xml:space="preserve"> ADDIN EN.CITE &lt;EndNote&gt;&lt;Cite&gt;&lt;Author&gt;Davies&lt;/Author&gt;&lt;Year&gt;2008&lt;/Year&gt;&lt;RecNum&gt;132&lt;/RecNum&gt;&lt;DisplayText&gt;(16)&lt;/DisplayText&gt;&lt;record&gt;&lt;rec-number&gt;132&lt;/rec-number&gt;&lt;foreign-keys&gt;&lt;key app="EN" db-id="eevzp0wtbzpeebedtwpperz9vszffvs0tsdt" timestamp="0"&gt;132&lt;/key&gt;&lt;/foreign-keys&gt;&lt;ref-type name="Journal Article"&gt;17&lt;/ref-type&gt;&lt;contributors&gt;&lt;authors&gt;&lt;author&gt;Davies, M. &lt;/author&gt;&lt;author&gt;Heller, S. &lt;/author&gt;&lt;author&gt;Skinner, T. &lt;/author&gt;&lt;author&gt;Campbell, M.&lt;/author&gt;&lt;author&gt;Carey, M. &lt;/author&gt;&lt;author&gt;Cradock, S. &lt;/author&gt;&lt;author&gt;Dallosso, H. &lt;/author&gt;&lt;author&gt;Daly, H. &lt;/author&gt;&lt;author&gt;Doherty, Y. &lt;/author&gt;&lt;author&gt;Eaton, S. &lt;/author&gt;&lt;author&gt;Fox, C. &lt;/author&gt;&lt;author&gt;Oliver, L. &lt;/author&gt;&lt;author&gt;Rantell, K. &lt;/author&gt;&lt;author&gt;Rayman, G. &lt;/author&gt;&lt;author&gt;Khunti, K. &lt;/author&gt;&lt;author&gt;on behalf of the DESMOND Collaborative,&lt;/author&gt;&lt;/authors&gt;&lt;/contributors&gt;&lt;titles&gt;&lt;title&gt;Effectiveness of the diabetes education and self management for ongoing and newly diagnosed (DESMOND) programme for people with newly diagnosed type 2 diabetes: cluster randomised controlled trial.&lt;/title&gt;&lt;secondary-title&gt;British Medical Journal &lt;/secondary-title&gt;&lt;/titles&gt;&lt;pages&gt;491-5&lt;/pages&gt;&lt;volume&gt;336&lt;/volume&gt;&lt;number&gt;7642&lt;/number&gt;&lt;dates&gt;&lt;year&gt;2008&lt;/year&gt;&lt;/dates&gt;&lt;urls&gt;&lt;/urls&gt;&lt;/record&gt;&lt;/Cite&gt;&lt;/EndNote&gt;</w:instrText>
      </w:r>
      <w:r w:rsidR="008A114F" w:rsidRPr="00DE64C0">
        <w:rPr>
          <w:rFonts w:cs="Times New Roman"/>
        </w:rPr>
        <w:fldChar w:fldCharType="separate"/>
      </w:r>
      <w:r w:rsidR="00923110" w:rsidRPr="00DE64C0">
        <w:rPr>
          <w:rFonts w:cs="Times New Roman"/>
          <w:noProof/>
        </w:rPr>
        <w:t>(16)</w:t>
      </w:r>
      <w:r w:rsidR="008A114F" w:rsidRPr="00DE64C0">
        <w:rPr>
          <w:rFonts w:cs="Times New Roman"/>
        </w:rPr>
        <w:fldChar w:fldCharType="end"/>
      </w:r>
      <w:r w:rsidR="004C661E" w:rsidRPr="00DE64C0">
        <w:rPr>
          <w:rFonts w:cs="Times New Roman"/>
        </w:rPr>
        <w:t xml:space="preserve"> These benefits were mirrored by modest </w:t>
      </w:r>
      <w:r w:rsidR="00440DD7" w:rsidRPr="00DE64C0">
        <w:rPr>
          <w:rFonts w:cs="Times New Roman"/>
        </w:rPr>
        <w:t>improvements</w:t>
      </w:r>
      <w:r w:rsidR="004C661E" w:rsidRPr="00DE64C0">
        <w:rPr>
          <w:rFonts w:cs="Times New Roman"/>
        </w:rPr>
        <w:t xml:space="preserve"> </w:t>
      </w:r>
      <w:r w:rsidR="00440DD7" w:rsidRPr="00DE64C0">
        <w:rPr>
          <w:rFonts w:cs="Times New Roman"/>
        </w:rPr>
        <w:t>in</w:t>
      </w:r>
      <w:r w:rsidR="004C661E" w:rsidRPr="00DE64C0">
        <w:rPr>
          <w:rFonts w:cs="Times New Roman"/>
        </w:rPr>
        <w:t xml:space="preserve"> health behaviour. For example, </w:t>
      </w:r>
      <w:r w:rsidR="00DE0A57" w:rsidRPr="00DE64C0">
        <w:rPr>
          <w:rFonts w:cs="Times New Roman"/>
        </w:rPr>
        <w:t>the intervention</w:t>
      </w:r>
      <w:r w:rsidR="00BB3E36" w:rsidRPr="00DE64C0">
        <w:rPr>
          <w:rFonts w:cs="Times New Roman"/>
        </w:rPr>
        <w:t>-</w:t>
      </w:r>
      <w:r w:rsidR="00DE0A57" w:rsidRPr="00DE64C0">
        <w:rPr>
          <w:rFonts w:cs="Times New Roman"/>
        </w:rPr>
        <w:t xml:space="preserve">group </w:t>
      </w:r>
      <w:r w:rsidR="009A55BE" w:rsidRPr="00DE64C0">
        <w:rPr>
          <w:rFonts w:cs="Times New Roman"/>
        </w:rPr>
        <w:t>reported healthier</w:t>
      </w:r>
      <w:r w:rsidR="007B3E92" w:rsidRPr="00DE64C0">
        <w:rPr>
          <w:rFonts w:cs="Times New Roman"/>
        </w:rPr>
        <w:t xml:space="preserve"> </w:t>
      </w:r>
      <w:r w:rsidR="00E37430" w:rsidRPr="00DE64C0">
        <w:rPr>
          <w:rFonts w:cs="Times New Roman"/>
        </w:rPr>
        <w:t xml:space="preserve">dietary </w:t>
      </w:r>
      <w:r w:rsidR="007B3E92" w:rsidRPr="00DE64C0">
        <w:rPr>
          <w:rFonts w:cs="Times New Roman"/>
        </w:rPr>
        <w:t>fat profile</w:t>
      </w:r>
      <w:r w:rsidR="00BC576E" w:rsidRPr="00DE64C0">
        <w:rPr>
          <w:rFonts w:cs="Times New Roman"/>
        </w:rPr>
        <w:t>,</w:t>
      </w:r>
      <w:r w:rsidR="004C661E" w:rsidRPr="00DE64C0">
        <w:rPr>
          <w:rFonts w:cs="Times New Roman"/>
        </w:rPr>
        <w:t xml:space="preserve"> sitting </w:t>
      </w:r>
      <w:r w:rsidR="00DE0A57" w:rsidRPr="00DE64C0">
        <w:rPr>
          <w:rFonts w:cs="Times New Roman"/>
        </w:rPr>
        <w:t xml:space="preserve">on average </w:t>
      </w:r>
      <w:r w:rsidR="004C661E" w:rsidRPr="00DE64C0">
        <w:rPr>
          <w:rFonts w:cs="Times New Roman"/>
        </w:rPr>
        <w:t xml:space="preserve">for 26 minutes less </w:t>
      </w:r>
      <w:r w:rsidR="00BC576E" w:rsidRPr="00DE64C0">
        <w:rPr>
          <w:rFonts w:cs="Times New Roman"/>
        </w:rPr>
        <w:t xml:space="preserve">per day </w:t>
      </w:r>
      <w:r w:rsidR="004C661E" w:rsidRPr="00DE64C0">
        <w:rPr>
          <w:rFonts w:cs="Times New Roman"/>
        </w:rPr>
        <w:t xml:space="preserve">and undertaking </w:t>
      </w:r>
      <w:r w:rsidRPr="00DE64C0">
        <w:rPr>
          <w:rFonts w:cs="Times New Roman"/>
        </w:rPr>
        <w:t>498</w:t>
      </w:r>
      <w:r w:rsidR="004C661E" w:rsidRPr="00DE64C0">
        <w:rPr>
          <w:rFonts w:cs="Times New Roman"/>
        </w:rPr>
        <w:t xml:space="preserve"> more steps per day compared to </w:t>
      </w:r>
      <w:r w:rsidR="00BE5F55" w:rsidRPr="00DE64C0">
        <w:rPr>
          <w:rFonts w:cs="Times New Roman"/>
        </w:rPr>
        <w:t>standard</w:t>
      </w:r>
      <w:r w:rsidR="008F28D3" w:rsidRPr="00DE64C0">
        <w:rPr>
          <w:rFonts w:cs="Times New Roman"/>
        </w:rPr>
        <w:t>-</w:t>
      </w:r>
      <w:r w:rsidR="00BE5F55" w:rsidRPr="00DE64C0">
        <w:rPr>
          <w:rFonts w:cs="Times New Roman"/>
        </w:rPr>
        <w:t>care</w:t>
      </w:r>
      <w:r w:rsidR="004C661E" w:rsidRPr="00DE64C0">
        <w:rPr>
          <w:rFonts w:cs="Times New Roman"/>
        </w:rPr>
        <w:t xml:space="preserve">. </w:t>
      </w:r>
      <w:r w:rsidR="00993D3A" w:rsidRPr="00DE64C0">
        <w:rPr>
          <w:rFonts w:cs="Times New Roman"/>
        </w:rPr>
        <w:t>This</w:t>
      </w:r>
      <w:r w:rsidR="004C661E" w:rsidRPr="00DE64C0">
        <w:rPr>
          <w:rFonts w:cs="Times New Roman"/>
        </w:rPr>
        <w:t xml:space="preserve"> change eq</w:t>
      </w:r>
      <w:r w:rsidR="00DE0A57" w:rsidRPr="00DE64C0">
        <w:rPr>
          <w:rFonts w:cs="Times New Roman"/>
        </w:rPr>
        <w:t xml:space="preserve">uates to an increase of </w:t>
      </w:r>
      <w:r w:rsidR="004C661E" w:rsidRPr="00DE64C0">
        <w:rPr>
          <w:rFonts w:cs="Times New Roman"/>
        </w:rPr>
        <w:t xml:space="preserve">35 minutes </w:t>
      </w:r>
      <w:r w:rsidRPr="00DE64C0">
        <w:rPr>
          <w:rFonts w:cs="Times New Roman"/>
        </w:rPr>
        <w:t xml:space="preserve">of purposeful walking </w:t>
      </w:r>
      <w:r w:rsidR="004C661E" w:rsidRPr="00DE64C0">
        <w:rPr>
          <w:rFonts w:cs="Times New Roman"/>
        </w:rPr>
        <w:t>per week.</w:t>
      </w:r>
      <w:r w:rsidR="008A114F" w:rsidRPr="00DE64C0">
        <w:rPr>
          <w:rFonts w:cs="Times New Roman"/>
        </w:rPr>
        <w:fldChar w:fldCharType="begin"/>
      </w:r>
      <w:r w:rsidR="009A55BE" w:rsidRPr="00DE64C0">
        <w:rPr>
          <w:rFonts w:cs="Times New Roman"/>
        </w:rPr>
        <w:instrText xml:space="preserve"> ADDIN EN.CITE &lt;EndNote&gt;&lt;Cite&gt;&lt;Author&gt;Tudor-Locke&lt;/Author&gt;&lt;Year&gt;2004&lt;/Year&gt;&lt;RecNum&gt;562&lt;/RecNum&gt;&lt;DisplayText&gt;(25)&lt;/DisplayText&gt;&lt;record&gt;&lt;rec-number&gt;562&lt;/rec-number&gt;&lt;foreign-keys&gt;&lt;key app="EN" db-id="eevzp0wtbzpeebedtwpperz9vszffvs0tsdt" timestamp="0"&gt;562&lt;/key&gt;&lt;/foreign-keys&gt;&lt;ref-type name="Journal Article"&gt;17&lt;/ref-type&gt;&lt;contributors&gt;&lt;authors&gt;&lt;author&gt;Tudor-Locke, C.&lt;/author&gt;&lt;author&gt;Bassett, D.R. &lt;/author&gt;&lt;/authors&gt;&lt;/contributors&gt;&lt;titles&gt;&lt;title&gt;How many steps/day are enough? Preliminary pedometer indices for public health.&lt;/title&gt;&lt;secondary-title&gt;Sports Med&lt;/secondary-title&gt;&lt;/titles&gt;&lt;pages&gt;1-8&lt;/pages&gt;&lt;volume&gt;34&lt;/volume&gt;&lt;dates&gt;&lt;year&gt;2004&lt;/year&gt;&lt;/dates&gt;&lt;urls&gt;&lt;/urls&gt;&lt;/record&gt;&lt;/Cite&gt;&lt;/EndNote&gt;</w:instrText>
      </w:r>
      <w:r w:rsidR="008A114F" w:rsidRPr="00DE64C0">
        <w:rPr>
          <w:rFonts w:cs="Times New Roman"/>
        </w:rPr>
        <w:fldChar w:fldCharType="separate"/>
      </w:r>
      <w:r w:rsidR="009A55BE" w:rsidRPr="00DE64C0">
        <w:rPr>
          <w:rFonts w:cs="Times New Roman"/>
          <w:noProof/>
        </w:rPr>
        <w:t>(25)</w:t>
      </w:r>
      <w:r w:rsidR="008A114F" w:rsidRPr="00DE64C0">
        <w:rPr>
          <w:rFonts w:cs="Times New Roman"/>
        </w:rPr>
        <w:fldChar w:fldCharType="end"/>
      </w:r>
      <w:r w:rsidR="004C661E" w:rsidRPr="00DE64C0">
        <w:rPr>
          <w:rFonts w:cs="Times New Roman"/>
        </w:rPr>
        <w:t xml:space="preserve"> This is similar </w:t>
      </w:r>
      <w:r w:rsidR="00440DD7" w:rsidRPr="00DE64C0">
        <w:rPr>
          <w:rFonts w:cs="Times New Roman"/>
        </w:rPr>
        <w:t xml:space="preserve">to </w:t>
      </w:r>
      <w:r w:rsidR="00993D3A" w:rsidRPr="00DE64C0">
        <w:rPr>
          <w:rFonts w:cs="Times New Roman"/>
        </w:rPr>
        <w:t>that</w:t>
      </w:r>
      <w:r w:rsidR="00440DD7" w:rsidRPr="00DE64C0">
        <w:rPr>
          <w:rFonts w:cs="Times New Roman"/>
        </w:rPr>
        <w:t xml:space="preserve"> reported</w:t>
      </w:r>
      <w:r w:rsidR="004C661E" w:rsidRPr="00DE64C0">
        <w:rPr>
          <w:rFonts w:cs="Times New Roman"/>
        </w:rPr>
        <w:t xml:space="preserve"> in the Early </w:t>
      </w:r>
      <w:r w:rsidR="00AE6594" w:rsidRPr="00DE64C0">
        <w:rPr>
          <w:rFonts w:cs="Times New Roman"/>
        </w:rPr>
        <w:t>Activity in Diabetes (</w:t>
      </w:r>
      <w:r w:rsidR="004C661E" w:rsidRPr="00DE64C0">
        <w:rPr>
          <w:rFonts w:cs="Times New Roman"/>
        </w:rPr>
        <w:t>ACTID</w:t>
      </w:r>
      <w:r w:rsidR="00AE6594" w:rsidRPr="00DE64C0">
        <w:rPr>
          <w:rFonts w:cs="Times New Roman"/>
        </w:rPr>
        <w:t>)</w:t>
      </w:r>
      <w:r w:rsidR="004C661E" w:rsidRPr="00DE64C0">
        <w:rPr>
          <w:rFonts w:cs="Times New Roman"/>
        </w:rPr>
        <w:t xml:space="preserve"> diet and physical activity intervention for those with newly diagnosed T2DM</w:t>
      </w:r>
      <w:r w:rsidR="00BC576E" w:rsidRPr="00DE64C0">
        <w:rPr>
          <w:rFonts w:cs="Times New Roman"/>
        </w:rPr>
        <w:t>,</w:t>
      </w:r>
      <w:r w:rsidR="004C661E" w:rsidRPr="00DE64C0">
        <w:rPr>
          <w:rFonts w:cs="Times New Roman"/>
        </w:rPr>
        <w:t xml:space="preserve"> which was also </w:t>
      </w:r>
      <w:r w:rsidR="00C34342" w:rsidRPr="00DE64C0">
        <w:rPr>
          <w:rFonts w:cs="Times New Roman"/>
        </w:rPr>
        <w:t>conducted</w:t>
      </w:r>
      <w:r w:rsidR="004C661E" w:rsidRPr="00DE64C0">
        <w:rPr>
          <w:rFonts w:cs="Times New Roman"/>
        </w:rPr>
        <w:t xml:space="preserve"> in primary care</w:t>
      </w:r>
      <w:r w:rsidR="00DC2844" w:rsidRPr="00DE64C0">
        <w:rPr>
          <w:rFonts w:cs="Times New Roman"/>
        </w:rPr>
        <w:t>.</w:t>
      </w:r>
      <w:r w:rsidR="008A114F" w:rsidRPr="00DE64C0">
        <w:rPr>
          <w:rFonts w:cs="Times New Roman"/>
        </w:rPr>
        <w:fldChar w:fldCharType="begin"/>
      </w:r>
      <w:r w:rsidR="009A55BE" w:rsidRPr="00DE64C0">
        <w:rPr>
          <w:rFonts w:cs="Times New Roman"/>
        </w:rPr>
        <w:instrText xml:space="preserve"> ADDIN EN.CITE &lt;EndNote&gt;&lt;Cite&gt;&lt;Author&gt;Andrews&lt;/Author&gt;&lt;RecNum&gt;640&lt;/RecNum&gt;&lt;DisplayText&gt;(32)&lt;/DisplayText&gt;&lt;record&gt;&lt;rec-number&gt;640&lt;/rec-number&gt;&lt;foreign-keys&gt;&lt;key app="EN" db-id="eevzp0wtbzpeebedtwpperz9vszffvs0tsdt" timestamp="0"&gt;640&lt;/key&gt;&lt;/foreign-keys&gt;&lt;ref-type name="Journal Article"&gt;17&lt;/ref-type&gt;&lt;contributors&gt;&lt;authors&gt;&lt;author&gt;Andrews, R. C.&lt;/author&gt;&lt;author&gt;Cooper, A. R.&lt;/author&gt;&lt;author&gt;Montgomery, A. A.&lt;/author&gt;&lt;author&gt;Norcross, A. J.&lt;/author&gt;&lt;author&gt;Peters, T. J.&lt;/author&gt;&lt;author&gt;Sharp, D. J.&lt;/author&gt;&lt;author&gt;Jackson, N.&lt;/author&gt;&lt;author&gt;Fitzsimons, K.&lt;/author&gt;&lt;author&gt;Bright, J.&lt;/author&gt;&lt;author&gt;Coulman, K.&lt;/author&gt;&lt;author&gt;England, C. Y.&lt;/author&gt;&lt;author&gt;Gorton, J.&lt;/author&gt;&lt;author&gt;McLenaghan, A.&lt;/author&gt;&lt;author&gt;Paxton, E.&lt;/author&gt;&lt;author&gt;Polet, A.&lt;/author&gt;&lt;author&gt;Thompson, C.&lt;/author&gt;&lt;author&gt;Dayan, C. M.&lt;/author&gt;&lt;/authors&gt;&lt;/contributors&gt;&lt;titles&gt;&lt;title&gt;Diet or diet plus physical activity versus usual care in patients with newly diagnosed type 2 diabetes: the Early ACTID randomised controlled trial&lt;/title&gt;&lt;secondary-title&gt;The Lancet&lt;/secondary-title&gt;&lt;/titles&gt;&lt;periodical&gt;&lt;full-title&gt;The Lancet&lt;/full-title&gt;&lt;/periodical&gt;&lt;pages&gt;129-139&lt;/pages&gt;&lt;volume&gt;378&lt;/volume&gt;&lt;number&gt;9786&lt;/number&gt;&lt;dates&gt;&lt;pub-dates&gt;&lt;date&gt;//&lt;/date&gt;&lt;/pub-dates&gt;&lt;/dates&gt;&lt;isbn&gt;0140-6736&lt;/isbn&gt;&lt;urls&gt;&lt;related-urls&gt;&lt;url&gt;http://www.sciencedirect.com/science/article/pii/S014067361160442X&lt;/url&gt;&lt;/related-urls&gt;&lt;/urls&gt;&lt;electronic-resource-num&gt;http://dx.doi.org/10.1016/S0140-6736(11)60442-X&lt;/electronic-resource-num&gt;&lt;access-date&gt;2011/7/15/&lt;/access-date&gt;&lt;/record&gt;&lt;/Cite&gt;&lt;/EndNote&gt;</w:instrText>
      </w:r>
      <w:r w:rsidR="008A114F" w:rsidRPr="00DE64C0">
        <w:rPr>
          <w:rFonts w:cs="Times New Roman"/>
        </w:rPr>
        <w:fldChar w:fldCharType="separate"/>
      </w:r>
      <w:r w:rsidR="009A55BE" w:rsidRPr="00DE64C0">
        <w:rPr>
          <w:rFonts w:cs="Times New Roman"/>
          <w:noProof/>
        </w:rPr>
        <w:t>(32)</w:t>
      </w:r>
      <w:r w:rsidR="008A114F" w:rsidRPr="00DE64C0">
        <w:rPr>
          <w:rFonts w:cs="Times New Roman"/>
        </w:rPr>
        <w:fldChar w:fldCharType="end"/>
      </w:r>
      <w:r w:rsidR="004C661E" w:rsidRPr="00DE64C0">
        <w:rPr>
          <w:rFonts w:cs="Times New Roman"/>
        </w:rPr>
        <w:t xml:space="preserve"> </w:t>
      </w:r>
      <w:r w:rsidR="00A315B7" w:rsidRPr="00DE64C0">
        <w:rPr>
          <w:rFonts w:cs="Times New Roman"/>
        </w:rPr>
        <w:t>The protocol defined a priori a number secondary outcomes,</w:t>
      </w:r>
      <w:r w:rsidR="009E6006" w:rsidRPr="00DE64C0">
        <w:rPr>
          <w:rFonts w:cs="Times New Roman"/>
        </w:rPr>
        <w:fldChar w:fldCharType="begin"/>
      </w:r>
      <w:r w:rsidR="009E6006" w:rsidRPr="00DE64C0">
        <w:rPr>
          <w:rFonts w:cs="Times New Roman"/>
        </w:rPr>
        <w:instrText xml:space="preserve"> ADDIN EN.CITE &lt;EndNote&gt;&lt;Cite&gt;&lt;Author&gt;Gray&lt;/Author&gt;&lt;Year&gt;2012&lt;/Year&gt;&lt;RecNum&gt;187&lt;/RecNum&gt;&lt;DisplayText&gt;(13)&lt;/DisplayText&gt;&lt;record&gt;&lt;rec-number&gt;187&lt;/rec-number&gt;&lt;foreign-keys&gt;&lt;key app="EN" db-id="eevzp0wtbzpeebedtwpperz9vszffvs0tsdt" timestamp="0"&gt;187&lt;/key&gt;&lt;/foreign-keys&gt;&lt;ref-type name="Journal Article"&gt;17&lt;/ref-type&gt;&lt;contributors&gt;&lt;authors&gt;&lt;author&gt;Gray, L.J.&lt;/author&gt;&lt;author&gt;Khunti , K.&lt;/author&gt;&lt;author&gt;Williams, S.&lt;/author&gt;&lt;author&gt;Goldby, S.&lt;/author&gt;&lt;author&gt;Troughton, J.&lt;/author&gt;&lt;author&gt;Yates, T.&lt;/author&gt;&lt;author&gt;Gray, A.&lt;/author&gt;&lt;author&gt;Davies, M.&lt;/author&gt;&lt;author&gt;for the Let’s Prevent Collaborators,&lt;/author&gt;&lt;/authors&gt;&lt;/contributors&gt;&lt;titles&gt;&lt;title&gt;Let’s Prevent Diabetes: study protocol for a cluster randomised controlled trial of an educational intervention in a multi-ethnic UK population with screen detected impaired glucose regulation. &lt;/title&gt;&lt;secondary-title&gt;Cardiovascular Diabetology&lt;/secondary-title&gt;&lt;/titles&gt;&lt;dates&gt;&lt;year&gt;2012&lt;/year&gt;&lt;/dates&gt;&lt;urls&gt;&lt;/urls&gt;&lt;/record&gt;&lt;/Cite&gt;&lt;/EndNote&gt;</w:instrText>
      </w:r>
      <w:r w:rsidR="009E6006" w:rsidRPr="00DE64C0">
        <w:rPr>
          <w:rFonts w:cs="Times New Roman"/>
        </w:rPr>
        <w:fldChar w:fldCharType="separate"/>
      </w:r>
      <w:r w:rsidR="009E6006" w:rsidRPr="00DE64C0">
        <w:rPr>
          <w:rFonts w:cs="Times New Roman"/>
          <w:noProof/>
        </w:rPr>
        <w:t>(13)</w:t>
      </w:r>
      <w:r w:rsidR="009E6006" w:rsidRPr="00DE64C0">
        <w:rPr>
          <w:rFonts w:cs="Times New Roman"/>
        </w:rPr>
        <w:fldChar w:fldCharType="end"/>
      </w:r>
      <w:r w:rsidR="00A315B7" w:rsidRPr="00DE64C0">
        <w:rPr>
          <w:rFonts w:cs="Times New Roman"/>
        </w:rPr>
        <w:t xml:space="preserve"> this reflects the </w:t>
      </w:r>
      <w:r w:rsidRPr="00DE64C0">
        <w:rPr>
          <w:rFonts w:cs="Times New Roman"/>
        </w:rPr>
        <w:t xml:space="preserve">nature of the </w:t>
      </w:r>
      <w:r w:rsidR="00A315B7" w:rsidRPr="00DE64C0">
        <w:rPr>
          <w:rFonts w:cs="Times New Roman"/>
        </w:rPr>
        <w:t xml:space="preserve">intervention, which </w:t>
      </w:r>
      <w:r w:rsidRPr="00DE64C0">
        <w:rPr>
          <w:rFonts w:cs="Times New Roman"/>
        </w:rPr>
        <w:t>targets</w:t>
      </w:r>
      <w:r w:rsidR="00A315B7" w:rsidRPr="00DE64C0">
        <w:rPr>
          <w:rFonts w:cs="Times New Roman"/>
        </w:rPr>
        <w:t xml:space="preserve"> a number of aspects of </w:t>
      </w:r>
      <w:r w:rsidR="00DB483B" w:rsidRPr="00DE64C0">
        <w:rPr>
          <w:rFonts w:cs="Times New Roman"/>
        </w:rPr>
        <w:t xml:space="preserve">health and </w:t>
      </w:r>
      <w:r w:rsidR="00A315B7" w:rsidRPr="00DE64C0">
        <w:rPr>
          <w:rFonts w:cs="Times New Roman"/>
        </w:rPr>
        <w:t xml:space="preserve">wellbeing. </w:t>
      </w:r>
      <w:r w:rsidR="00DB483B" w:rsidRPr="00DE64C0">
        <w:rPr>
          <w:rFonts w:cs="Times New Roman"/>
        </w:rPr>
        <w:t>We have not adjusted for multiple testing, which may have increased the type 1 error</w:t>
      </w:r>
      <w:r w:rsidRPr="00DE64C0">
        <w:rPr>
          <w:rFonts w:cs="Times New Roman"/>
        </w:rPr>
        <w:t xml:space="preserve"> rate</w:t>
      </w:r>
      <w:r w:rsidR="00DB483B" w:rsidRPr="00DE64C0">
        <w:rPr>
          <w:rFonts w:cs="Times New Roman"/>
        </w:rPr>
        <w:t>.</w:t>
      </w:r>
      <w:r w:rsidR="004277F8" w:rsidRPr="00DE64C0">
        <w:rPr>
          <w:rFonts w:cs="Times New Roman"/>
        </w:rPr>
        <w:fldChar w:fldCharType="begin"/>
      </w:r>
      <w:r w:rsidR="009A55BE" w:rsidRPr="00DE64C0">
        <w:rPr>
          <w:rFonts w:cs="Times New Roman"/>
        </w:rPr>
        <w:instrText xml:space="preserve"> ADDIN EN.CITE &lt;EndNote&gt;&lt;Cite&gt;&lt;Author&gt;Freemantle&lt;/Author&gt;&lt;Year&gt;2001&lt;/Year&gt;&lt;RecNum&gt;673&lt;/RecNum&gt;&lt;DisplayText&gt;(33)&lt;/DisplayText&gt;&lt;record&gt;&lt;rec-number&gt;673&lt;/rec-number&gt;&lt;foreign-keys&gt;&lt;key app="EN" db-id="eevzp0wtbzpeebedtwpperz9vszffvs0tsdt" timestamp="1446637322"&gt;673&lt;/key&gt;&lt;/foreign-keys&gt;&lt;ref-type name="Journal Article"&gt;17&lt;/ref-type&gt;&lt;contributors&gt;&lt;authors&gt;&lt;author&gt;Freemantle, N.  &lt;/author&gt;&lt;/authors&gt;&lt;/contributors&gt;&lt;titles&gt;&lt;title&gt;Interpreting the results of secondary end points and subgroup analyses in clinical trials: should we lock the crazy aunt in the attic?&lt;/title&gt;&lt;secondary-title&gt;BMJ : British Medical Journal&lt;/secondary-title&gt;&lt;/titles&gt;&lt;periodical&gt;&lt;full-title&gt;BMJ : British Medical Journal&lt;/full-title&gt;&lt;/periodical&gt;&lt;pages&gt;989-991&lt;/pages&gt;&lt;volume&gt;322&lt;/volume&gt;&lt;number&gt;7292&lt;/number&gt;&lt;dates&gt;&lt;year&gt;2001&lt;/year&gt;&lt;/dates&gt;&lt;urls&gt;&lt;/urls&gt;&lt;/record&gt;&lt;/Cite&gt;&lt;/EndNote&gt;</w:instrText>
      </w:r>
      <w:r w:rsidR="004277F8" w:rsidRPr="00DE64C0">
        <w:rPr>
          <w:rFonts w:cs="Times New Roman"/>
        </w:rPr>
        <w:fldChar w:fldCharType="separate"/>
      </w:r>
      <w:r w:rsidR="009A55BE" w:rsidRPr="00DE64C0">
        <w:rPr>
          <w:rFonts w:cs="Times New Roman"/>
          <w:noProof/>
        </w:rPr>
        <w:t>(33)</w:t>
      </w:r>
      <w:r w:rsidR="004277F8" w:rsidRPr="00DE64C0">
        <w:rPr>
          <w:rFonts w:cs="Times New Roman"/>
        </w:rPr>
        <w:fldChar w:fldCharType="end"/>
      </w:r>
      <w:r w:rsidR="00DB483B" w:rsidRPr="00DE64C0">
        <w:rPr>
          <w:rFonts w:cs="Times New Roman"/>
        </w:rPr>
        <w:t xml:space="preserve"> </w:t>
      </w:r>
      <w:r w:rsidR="004277F8" w:rsidRPr="00DE64C0">
        <w:rPr>
          <w:rFonts w:cs="Times New Roman"/>
        </w:rPr>
        <w:t xml:space="preserve"> The results seen here reflect those seen in other similar trials, </w:t>
      </w:r>
      <w:r w:rsidR="004277F8" w:rsidRPr="00DE64C0">
        <w:rPr>
          <w:rFonts w:cs="Times New Roman"/>
        </w:rPr>
        <w:fldChar w:fldCharType="begin">
          <w:fldData xml:space="preserve">PEVuZE5vdGU+PENpdGU+PEF1dGhvcj5SYW1hY2hhbmRyYW48L0F1dGhvcj48WWVhcj4yMDA2PC9Z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</w:fldData>
        </w:fldChar>
      </w:r>
      <w:r w:rsidR="009A55BE" w:rsidRPr="00DE64C0">
        <w:rPr>
          <w:rFonts w:cs="Times New Roman"/>
        </w:rPr>
        <w:instrText xml:space="preserve"> ADDIN EN.CITE </w:instrText>
      </w:r>
      <w:r w:rsidR="009A55BE" w:rsidRPr="00DE64C0">
        <w:rPr>
          <w:rFonts w:cs="Times New Roman"/>
        </w:rPr>
        <w:fldChar w:fldCharType="begin">
          <w:fldData xml:space="preserve">PEVuZE5vdGU+PENpdGU+PEF1dGhvcj5SYW1hY2hhbmRyYW48L0F1dGhvcj48WWVhcj4yMDA2PC9Z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</w:fldData>
        </w:fldChar>
      </w:r>
      <w:r w:rsidR="009A55BE" w:rsidRPr="00DE64C0">
        <w:rPr>
          <w:rFonts w:cs="Times New Roman"/>
        </w:rPr>
        <w:instrText xml:space="preserve"> ADDIN EN.CITE.DATA </w:instrText>
      </w:r>
      <w:r w:rsidR="009A55BE" w:rsidRPr="00DE64C0">
        <w:rPr>
          <w:rFonts w:cs="Times New Roman"/>
        </w:rPr>
      </w:r>
      <w:r w:rsidR="009A55BE" w:rsidRPr="00DE64C0">
        <w:rPr>
          <w:rFonts w:cs="Times New Roman"/>
        </w:rPr>
        <w:fldChar w:fldCharType="end"/>
      </w:r>
      <w:r w:rsidR="004277F8" w:rsidRPr="00DE64C0">
        <w:rPr>
          <w:rFonts w:cs="Times New Roman"/>
        </w:rPr>
      </w:r>
      <w:r w:rsidR="004277F8" w:rsidRPr="00DE64C0">
        <w:rPr>
          <w:rFonts w:cs="Times New Roman"/>
        </w:rPr>
        <w:fldChar w:fldCharType="separate"/>
      </w:r>
      <w:r w:rsidR="009A55BE" w:rsidRPr="00DE64C0">
        <w:rPr>
          <w:rFonts w:cs="Times New Roman"/>
          <w:noProof/>
        </w:rPr>
        <w:t>(28, 34)</w:t>
      </w:r>
      <w:r w:rsidR="004277F8" w:rsidRPr="00DE64C0">
        <w:rPr>
          <w:rFonts w:cs="Times New Roman"/>
        </w:rPr>
        <w:fldChar w:fldCharType="end"/>
      </w:r>
      <w:r w:rsidR="004277F8" w:rsidRPr="00DE64C0">
        <w:rPr>
          <w:rFonts w:cs="Times New Roman"/>
        </w:rPr>
        <w:t xml:space="preserve">  and have been interpreted in terms of clinical as well as statistical importance. </w:t>
      </w:r>
    </w:p>
    <w:p w14:paraId="31BC0489" w14:textId="77777777" w:rsidR="00ED2A77" w:rsidRPr="00DE64C0" w:rsidRDefault="00ED2A77" w:rsidP="00FF4C5F">
      <w:pPr>
        <w:rPr>
          <w:rFonts w:cs="Times New Roman"/>
        </w:rPr>
      </w:pPr>
    </w:p>
    <w:p w14:paraId="7BB7033C" w14:textId="0CE0FE51" w:rsidR="008962B5" w:rsidRPr="00DE64C0" w:rsidRDefault="00C33649" w:rsidP="00FF4C5F">
      <w:pPr>
        <w:rPr>
          <w:rFonts w:cs="Times New Roman"/>
        </w:rPr>
      </w:pPr>
      <w:r w:rsidRPr="00DE64C0">
        <w:rPr>
          <w:rFonts w:cs="Times New Roman"/>
        </w:rPr>
        <w:t xml:space="preserve">Our study extends evidence </w:t>
      </w:r>
      <w:r w:rsidR="007F66D3" w:rsidRPr="00DE64C0">
        <w:rPr>
          <w:rFonts w:cs="Times New Roman"/>
        </w:rPr>
        <w:t>for efficacy</w:t>
      </w:r>
      <w:r w:rsidR="00BA015D" w:rsidRPr="00DE64C0">
        <w:rPr>
          <w:rFonts w:cs="Times New Roman"/>
        </w:rPr>
        <w:t xml:space="preserve"> </w:t>
      </w:r>
      <w:r w:rsidR="00D550AF" w:rsidRPr="00DE64C0">
        <w:rPr>
          <w:rFonts w:cs="Times New Roman"/>
        </w:rPr>
        <w:t xml:space="preserve">of </w:t>
      </w:r>
      <w:r w:rsidR="00CD1470" w:rsidRPr="00DE64C0">
        <w:rPr>
          <w:rFonts w:cs="Times New Roman"/>
        </w:rPr>
        <w:t xml:space="preserve">lifestyle </w:t>
      </w:r>
      <w:r w:rsidR="00D550AF" w:rsidRPr="00DE64C0">
        <w:rPr>
          <w:rFonts w:cs="Times New Roman"/>
        </w:rPr>
        <w:t xml:space="preserve">interventions </w:t>
      </w:r>
      <w:r w:rsidR="00CD1470" w:rsidRPr="00DE64C0">
        <w:rPr>
          <w:rFonts w:cs="Times New Roman"/>
        </w:rPr>
        <w:t xml:space="preserve">in the prevention of </w:t>
      </w:r>
      <w:r w:rsidR="008D7191" w:rsidRPr="00DE64C0">
        <w:rPr>
          <w:rFonts w:cs="Times New Roman"/>
        </w:rPr>
        <w:t>T2DM</w:t>
      </w:r>
      <w:r w:rsidR="00A52601" w:rsidRPr="00DE64C0">
        <w:rPr>
          <w:rFonts w:cs="Times New Roman"/>
        </w:rPr>
        <w:t xml:space="preserve"> </w:t>
      </w:r>
      <w:r w:rsidRPr="00DE64C0">
        <w:rPr>
          <w:rFonts w:cs="Times New Roman"/>
        </w:rPr>
        <w:t xml:space="preserve">into in a primary care setting. </w:t>
      </w:r>
      <w:r w:rsidR="00CD1470" w:rsidRPr="00DE64C0">
        <w:rPr>
          <w:rFonts w:cs="Times New Roman"/>
        </w:rPr>
        <w:t>T</w:t>
      </w:r>
      <w:r w:rsidRPr="00DE64C0">
        <w:rPr>
          <w:rFonts w:cs="Times New Roman"/>
        </w:rPr>
        <w:t xml:space="preserve">here is </w:t>
      </w:r>
      <w:r w:rsidR="009313B1" w:rsidRPr="00DE64C0">
        <w:rPr>
          <w:rFonts w:cs="Times New Roman"/>
        </w:rPr>
        <w:t xml:space="preserve">now </w:t>
      </w:r>
      <w:r w:rsidRPr="00DE64C0">
        <w:rPr>
          <w:rFonts w:cs="Times New Roman"/>
        </w:rPr>
        <w:t xml:space="preserve">evidence internationally that </w:t>
      </w:r>
      <w:r w:rsidR="00A52601" w:rsidRPr="00DE64C0">
        <w:rPr>
          <w:rFonts w:cs="Times New Roman"/>
        </w:rPr>
        <w:t>T2DM</w:t>
      </w:r>
      <w:r w:rsidRPr="00DE64C0">
        <w:rPr>
          <w:rFonts w:cs="Times New Roman"/>
        </w:rPr>
        <w:t xml:space="preserve"> </w:t>
      </w:r>
      <w:r w:rsidR="00F30386" w:rsidRPr="00DE64C0">
        <w:rPr>
          <w:rFonts w:cs="Times New Roman"/>
        </w:rPr>
        <w:t>prevention programmes</w:t>
      </w:r>
      <w:r w:rsidRPr="00DE64C0">
        <w:rPr>
          <w:rFonts w:cs="Times New Roman"/>
        </w:rPr>
        <w:t xml:space="preserve"> </w:t>
      </w:r>
      <w:r w:rsidR="00BD25EB" w:rsidRPr="00DE64C0">
        <w:rPr>
          <w:rFonts w:cs="Times New Roman"/>
        </w:rPr>
        <w:t xml:space="preserve">can be </w:t>
      </w:r>
      <w:r w:rsidRPr="00DE64C0">
        <w:rPr>
          <w:rFonts w:cs="Times New Roman"/>
        </w:rPr>
        <w:t xml:space="preserve">tailored </w:t>
      </w:r>
      <w:r w:rsidR="00BD25EB" w:rsidRPr="00DE64C0">
        <w:rPr>
          <w:rFonts w:cs="Times New Roman"/>
        </w:rPr>
        <w:t>for</w:t>
      </w:r>
      <w:r w:rsidR="00F30386" w:rsidRPr="00DE64C0">
        <w:rPr>
          <w:rFonts w:cs="Times New Roman"/>
        </w:rPr>
        <w:t>,</w:t>
      </w:r>
      <w:r w:rsidR="00BD25EB" w:rsidRPr="00DE64C0">
        <w:rPr>
          <w:rFonts w:cs="Times New Roman"/>
        </w:rPr>
        <w:t xml:space="preserve"> and translated into</w:t>
      </w:r>
      <w:r w:rsidR="00F30386" w:rsidRPr="00DE64C0">
        <w:rPr>
          <w:rFonts w:cs="Times New Roman"/>
        </w:rPr>
        <w:t>,</w:t>
      </w:r>
      <w:r w:rsidR="00BD25EB" w:rsidRPr="00DE64C0">
        <w:rPr>
          <w:rFonts w:cs="Times New Roman"/>
        </w:rPr>
        <w:t xml:space="preserve"> primary health care and community settings</w:t>
      </w:r>
      <w:r w:rsidR="005664B1" w:rsidRPr="00DE64C0">
        <w:rPr>
          <w:rFonts w:cs="Times New Roman"/>
        </w:rPr>
        <w:t>,</w:t>
      </w:r>
      <w:r w:rsidR="00BD25EB" w:rsidRPr="00DE64C0">
        <w:rPr>
          <w:rFonts w:cs="Times New Roman"/>
        </w:rPr>
        <w:t xml:space="preserve"> with modest </w:t>
      </w:r>
      <w:r w:rsidR="005664B1" w:rsidRPr="00DE64C0">
        <w:rPr>
          <w:rFonts w:cs="Times New Roman"/>
        </w:rPr>
        <w:t>short</w:t>
      </w:r>
      <w:r w:rsidR="00D550AF" w:rsidRPr="00DE64C0">
        <w:rPr>
          <w:rFonts w:cs="Times New Roman"/>
        </w:rPr>
        <w:t>-</w:t>
      </w:r>
      <w:r w:rsidR="005664B1" w:rsidRPr="00DE64C0">
        <w:rPr>
          <w:rFonts w:cs="Times New Roman"/>
        </w:rPr>
        <w:t xml:space="preserve">term </w:t>
      </w:r>
      <w:r w:rsidR="00BD25EB" w:rsidRPr="00DE64C0">
        <w:rPr>
          <w:rFonts w:cs="Times New Roman"/>
        </w:rPr>
        <w:t>effects</w:t>
      </w:r>
      <w:r w:rsidR="00BF6377" w:rsidRPr="00DE64C0">
        <w:rPr>
          <w:rFonts w:cs="Times New Roman"/>
        </w:rPr>
        <w:t xml:space="preserve"> on</w:t>
      </w:r>
      <w:r w:rsidR="00CD1470" w:rsidRPr="00DE64C0">
        <w:rPr>
          <w:rFonts w:cs="Times New Roman"/>
        </w:rPr>
        <w:t xml:space="preserve"> markers of health status, such as body weight</w:t>
      </w:r>
      <w:r w:rsidR="005664B1" w:rsidRPr="00DE64C0">
        <w:rPr>
          <w:rFonts w:cs="Times New Roman"/>
        </w:rPr>
        <w:t>.</w:t>
      </w:r>
      <w:r w:rsidR="00F501E0" w:rsidRPr="00DE64C0">
        <w:rPr>
          <w:rFonts w:cs="Times New Roman"/>
        </w:rPr>
        <w:fldChar w:fldCharType="begin"/>
      </w:r>
      <w:r w:rsidR="009A55BE" w:rsidRPr="00DE64C0">
        <w:rPr>
          <w:rFonts w:cs="Times New Roman"/>
        </w:rPr>
        <w:instrText xml:space="preserve"> ADDIN EN.CITE &lt;EndNote&gt;&lt;Cite&gt;&lt;Author&gt;Dunkley&lt;/Author&gt;&lt;Year&gt;2014&lt;/Year&gt;&lt;RecNum&gt;396&lt;/RecNum&gt;&lt;DisplayText&gt;(35)&lt;/DisplayText&gt;&lt;record&gt;&lt;rec-number&gt;396&lt;/rec-number&gt;&lt;foreign-keys&gt;&lt;key app="EN" db-id="eevzp0wtbzpeebedtwpperz9vszffvs0tsdt" timestamp="0"&gt;396&lt;/key&gt;&lt;/foreign-keys&gt;&lt;ref-type name="Journal Article"&gt;17&lt;/ref-type&gt;&lt;contributors&gt;&lt;authors&gt;&lt;author&gt;Dunkley, A.&lt;/author&gt;&lt;author&gt;Bodicoat, D.H.&lt;/author&gt;&lt;author&gt;Greaves, C. J.&lt;/author&gt;&lt;author&gt;Russell, C.&lt;/author&gt;&lt;author&gt;Yates, T.&lt;/author&gt;&lt;author&gt;Davies, M.J.&lt;/author&gt;&lt;author&gt;Khunti, K.&lt;/author&gt;&lt;/authors&gt;&lt;/contributors&gt;&lt;titles&gt;&lt;title&gt;Diabetes Prevention in the Real World: Effectiveness of Pragmatic Lifestyle Interventions for the Prevention of Type 2 Diabetes and of the Impact of Adherence to Guideline Recommendations. A Systematic Review and Meta-analysis.&lt;/title&gt;&lt;secondary-title&gt;Diabetes Care&lt;/secondary-title&gt;&lt;/titles&gt;&lt;periodical&gt;&lt;full-title&gt;Diabetes Care&lt;/full-title&gt;&lt;/periodical&gt;&lt;pages&gt;922-933&lt;/pages&gt;&lt;volume&gt;37&lt;/volume&gt;&lt;dates&gt;&lt;year&gt;2014&lt;/year&gt;&lt;/dates&gt;&lt;urls&gt;&lt;/urls&gt;&lt;/record&gt;&lt;/Cite&gt;&lt;/EndNote&gt;</w:instrText>
      </w:r>
      <w:r w:rsidR="00F501E0" w:rsidRPr="00DE64C0">
        <w:rPr>
          <w:rFonts w:cs="Times New Roman"/>
        </w:rPr>
        <w:fldChar w:fldCharType="separate"/>
      </w:r>
      <w:r w:rsidR="009A55BE" w:rsidRPr="00DE64C0">
        <w:rPr>
          <w:rFonts w:cs="Times New Roman"/>
          <w:noProof/>
        </w:rPr>
        <w:t>(35)</w:t>
      </w:r>
      <w:r w:rsidR="00F501E0" w:rsidRPr="00DE64C0">
        <w:rPr>
          <w:rFonts w:cs="Times New Roman"/>
        </w:rPr>
        <w:fldChar w:fldCharType="end"/>
      </w:r>
      <w:r w:rsidR="00CD1470" w:rsidRPr="00DE64C0">
        <w:rPr>
          <w:rFonts w:cs="Times New Roman"/>
        </w:rPr>
        <w:t xml:space="preserve"> However, </w:t>
      </w:r>
      <w:r w:rsidR="00BD25EB" w:rsidRPr="00DE64C0">
        <w:rPr>
          <w:rFonts w:cs="Times New Roman"/>
        </w:rPr>
        <w:t xml:space="preserve">longer-term studies designed to quantify effectiveness on reducing progression to </w:t>
      </w:r>
      <w:r w:rsidR="008D7191" w:rsidRPr="00DE64C0">
        <w:rPr>
          <w:rFonts w:cs="Times New Roman"/>
        </w:rPr>
        <w:t xml:space="preserve">T2DM </w:t>
      </w:r>
      <w:r w:rsidR="00E41119" w:rsidRPr="00DE64C0">
        <w:rPr>
          <w:rFonts w:cs="Times New Roman"/>
        </w:rPr>
        <w:t xml:space="preserve">are lacking. </w:t>
      </w:r>
      <w:r w:rsidR="009313B1" w:rsidRPr="00DE64C0">
        <w:rPr>
          <w:rFonts w:cs="Times New Roman"/>
        </w:rPr>
        <w:t>This has resulted in a lack of</w:t>
      </w:r>
      <w:r w:rsidR="00E41119" w:rsidRPr="00DE64C0">
        <w:rPr>
          <w:rFonts w:cs="Times New Roman"/>
        </w:rPr>
        <w:t xml:space="preserve"> evidence-based solutions </w:t>
      </w:r>
      <w:r w:rsidR="005664B1" w:rsidRPr="00DE64C0">
        <w:rPr>
          <w:rFonts w:cs="Times New Roman"/>
        </w:rPr>
        <w:t>that might</w:t>
      </w:r>
      <w:r w:rsidR="00E41119" w:rsidRPr="00DE64C0">
        <w:rPr>
          <w:rFonts w:cs="Times New Roman"/>
        </w:rPr>
        <w:t xml:space="preserve"> </w:t>
      </w:r>
      <w:r w:rsidR="00B575A4" w:rsidRPr="00DE64C0">
        <w:rPr>
          <w:rFonts w:cs="Times New Roman"/>
        </w:rPr>
        <w:t>enabl</w:t>
      </w:r>
      <w:r w:rsidR="005664B1" w:rsidRPr="00DE64C0">
        <w:rPr>
          <w:rFonts w:cs="Times New Roman"/>
        </w:rPr>
        <w:t>e</w:t>
      </w:r>
      <w:r w:rsidR="00E41119" w:rsidRPr="00DE64C0">
        <w:rPr>
          <w:rFonts w:cs="Times New Roman"/>
        </w:rPr>
        <w:t xml:space="preserve"> primary care organisations</w:t>
      </w:r>
      <w:r w:rsidR="00F10638" w:rsidRPr="00DE64C0">
        <w:rPr>
          <w:rFonts w:cs="Times New Roman"/>
        </w:rPr>
        <w:t xml:space="preserve"> </w:t>
      </w:r>
      <w:r w:rsidR="00B575A4" w:rsidRPr="00DE64C0">
        <w:rPr>
          <w:rFonts w:cs="Times New Roman"/>
        </w:rPr>
        <w:t xml:space="preserve">to </w:t>
      </w:r>
      <w:r w:rsidR="00E41119" w:rsidRPr="00DE64C0">
        <w:rPr>
          <w:rFonts w:cs="Times New Roman"/>
        </w:rPr>
        <w:t xml:space="preserve">conform to NICE guidance </w:t>
      </w:r>
      <w:r w:rsidR="009313B1" w:rsidRPr="00DE64C0">
        <w:rPr>
          <w:rFonts w:cs="Times New Roman"/>
        </w:rPr>
        <w:t xml:space="preserve">for the prevention of </w:t>
      </w:r>
      <w:r w:rsidR="00576496" w:rsidRPr="00DE64C0">
        <w:rPr>
          <w:rFonts w:cs="Times New Roman"/>
        </w:rPr>
        <w:t>T2DM</w:t>
      </w:r>
      <w:r w:rsidR="008F28D3" w:rsidRPr="00DE64C0">
        <w:rPr>
          <w:rFonts w:cs="Times New Roman"/>
        </w:rPr>
        <w:t xml:space="preserve">. </w:t>
      </w:r>
      <w:r w:rsidR="008A114F" w:rsidRPr="00DE64C0">
        <w:rPr>
          <w:rFonts w:cs="Times New Roman"/>
        </w:rPr>
        <w:fldChar w:fldCharType="begin"/>
      </w:r>
      <w:r w:rsidR="009A55BE" w:rsidRPr="00DE64C0">
        <w:rPr>
          <w:rFonts w:cs="Times New Roman"/>
        </w:rPr>
        <w:instrText xml:space="preserve"> ADDIN EN.CITE &lt;EndNote&gt;&lt;Cite&gt;&lt;Author&gt;National Institute of Health and Clinical Excellence&lt;/Author&gt;&lt;Year&gt;2012&lt;/Year&gt;&lt;RecNum&gt;572&lt;/RecNum&gt;&lt;DisplayText&gt;(36)&lt;/DisplayText&gt;&lt;record&gt;&lt;rec-number&gt;572&lt;/rec-number&gt;&lt;foreign-keys&gt;&lt;key app="EN" db-id="eevzp0wtbzpeebedtwpperz9vszffvs0tsdt" timestamp="0"&gt;572&lt;/key&gt;&lt;/foreign-keys&gt;&lt;ref-type name="Report"&gt;27&lt;/ref-type&gt;&lt;contributors&gt;&lt;authors&gt;&lt;author&gt;National Institute of Health and Clinical Excellence,&lt;/author&gt;&lt;/authors&gt;&lt;/contributors&gt;&lt;titles&gt;&lt;title&gt;Preventing type 2 diabetes: risk identification and interventions for individuals at high risk&lt;/title&gt;&lt;/titles&gt;&lt;dates&gt;&lt;year&gt;2012&lt;/year&gt;&lt;/dates&gt;&lt;pub-location&gt;London&lt;/pub-location&gt;&lt;publisher&gt;NICE&lt;/publisher&gt;&lt;urls&gt;&lt;/urls&gt;&lt;/record&gt;&lt;/Cite&gt;&lt;/EndNote&gt;</w:instrText>
      </w:r>
      <w:r w:rsidR="008A114F" w:rsidRPr="00DE64C0">
        <w:rPr>
          <w:rFonts w:cs="Times New Roman"/>
        </w:rPr>
        <w:fldChar w:fldCharType="separate"/>
      </w:r>
      <w:r w:rsidR="009A55BE" w:rsidRPr="00DE64C0">
        <w:rPr>
          <w:rFonts w:cs="Times New Roman"/>
          <w:noProof/>
        </w:rPr>
        <w:t>(36)</w:t>
      </w:r>
      <w:r w:rsidR="008A114F" w:rsidRPr="00DE64C0">
        <w:rPr>
          <w:rFonts w:cs="Times New Roman"/>
        </w:rPr>
        <w:fldChar w:fldCharType="end"/>
      </w:r>
      <w:r w:rsidR="008F28D3" w:rsidRPr="00DE64C0">
        <w:rPr>
          <w:rFonts w:cs="Times New Roman"/>
        </w:rPr>
        <w:t xml:space="preserve"> </w:t>
      </w:r>
      <w:r w:rsidR="003D7E96" w:rsidRPr="00DE64C0">
        <w:rPr>
          <w:rFonts w:cs="Times New Roman"/>
        </w:rPr>
        <w:t xml:space="preserve">By utilising structured education, </w:t>
      </w:r>
      <w:r w:rsidR="00C4218E" w:rsidRPr="00DE64C0">
        <w:rPr>
          <w:rFonts w:cs="Times New Roman"/>
        </w:rPr>
        <w:t xml:space="preserve">Let’s Prevent was purposefully designed to </w:t>
      </w:r>
      <w:r w:rsidR="003D7E96" w:rsidRPr="00DE64C0">
        <w:rPr>
          <w:rFonts w:cs="Times New Roman"/>
        </w:rPr>
        <w:t>harness</w:t>
      </w:r>
      <w:r w:rsidR="00C4218E" w:rsidRPr="00DE64C0">
        <w:rPr>
          <w:rFonts w:cs="Times New Roman"/>
        </w:rPr>
        <w:t xml:space="preserve"> </w:t>
      </w:r>
      <w:r w:rsidR="009313B1" w:rsidRPr="00DE64C0">
        <w:rPr>
          <w:rFonts w:cs="Times New Roman"/>
        </w:rPr>
        <w:t xml:space="preserve">existing </w:t>
      </w:r>
      <w:r w:rsidR="00C4218E" w:rsidRPr="00DE64C0">
        <w:rPr>
          <w:rFonts w:cs="Times New Roman"/>
        </w:rPr>
        <w:t xml:space="preserve">infrastructure within routine primary care. </w:t>
      </w:r>
      <w:r w:rsidR="00A36273" w:rsidRPr="00DE64C0">
        <w:rPr>
          <w:rFonts w:cs="Times New Roman"/>
        </w:rPr>
        <w:t xml:space="preserve">Structured education has been recommended in the management of </w:t>
      </w:r>
      <w:r w:rsidR="008D7191" w:rsidRPr="00DE64C0">
        <w:rPr>
          <w:rFonts w:cs="Times New Roman"/>
        </w:rPr>
        <w:t xml:space="preserve">T2DM </w:t>
      </w:r>
      <w:r w:rsidR="00094716" w:rsidRPr="00DE64C0">
        <w:rPr>
          <w:rFonts w:cs="Times New Roman"/>
        </w:rPr>
        <w:t>by NICE since 2003.</w:t>
      </w:r>
      <w:r w:rsidR="008A114F" w:rsidRPr="00DE64C0">
        <w:rPr>
          <w:rFonts w:cs="Times New Roman"/>
        </w:rPr>
        <w:fldChar w:fldCharType="begin"/>
      </w:r>
      <w:r w:rsidR="009A55BE" w:rsidRPr="00DE64C0">
        <w:rPr>
          <w:rFonts w:cs="Times New Roman"/>
        </w:rPr>
        <w:instrText xml:space="preserve"> ADDIN EN.CITE &lt;EndNote&gt;&lt;Cite&gt;&lt;Author&gt;National Institute for Health and Clinical Excellence&lt;/Author&gt;&lt;Year&gt;2003&lt;/Year&gt;&lt;RecNum&gt;557&lt;/RecNum&gt;&lt;DisplayText&gt;(37)&lt;/DisplayText&gt;&lt;record&gt;&lt;rec-number&gt;557&lt;/rec-number&gt;&lt;foreign-keys&gt;&lt;key app="EN" db-id="eevzp0wtbzpeebedtwpperz9vszffvs0tsdt" timestamp="0"&gt;557&lt;/key&gt;&lt;/foreign-keys&gt;&lt;ref-type name="Report"&gt;27&lt;/ref-type&gt;&lt;contributors&gt;&lt;authors&gt;&lt;author&gt;National Institute for Health and Clinical Excellence,&lt;/author&gt;&lt;/authors&gt;&lt;/contributors&gt;&lt;titles&gt;&lt;title&gt;Guidance on the use of Patient Education Models for Diabetes (Technology Appraisal 60) &lt;/title&gt;&lt;/titles&gt;&lt;dates&gt;&lt;year&gt;2003&lt;/year&gt;&lt;/dates&gt;&lt;pub-location&gt;London&lt;/pub-location&gt;&lt;publisher&gt;NICE&lt;/publisher&gt;&lt;urls&gt;&lt;/urls&gt;&lt;/record&gt;&lt;/Cite&gt;&lt;/EndNote&gt;</w:instrText>
      </w:r>
      <w:r w:rsidR="008A114F" w:rsidRPr="00DE64C0">
        <w:rPr>
          <w:rFonts w:cs="Times New Roman"/>
        </w:rPr>
        <w:fldChar w:fldCharType="separate"/>
      </w:r>
      <w:r w:rsidR="009A55BE" w:rsidRPr="00DE64C0">
        <w:rPr>
          <w:rFonts w:cs="Times New Roman"/>
          <w:noProof/>
        </w:rPr>
        <w:t>(37)</w:t>
      </w:r>
      <w:r w:rsidR="008A114F" w:rsidRPr="00DE64C0">
        <w:rPr>
          <w:rFonts w:cs="Times New Roman"/>
        </w:rPr>
        <w:fldChar w:fldCharType="end"/>
      </w:r>
      <w:r w:rsidR="00094716" w:rsidRPr="00DE64C0">
        <w:t xml:space="preserve"> </w:t>
      </w:r>
      <w:r w:rsidR="00094716" w:rsidRPr="00DE64C0">
        <w:rPr>
          <w:rFonts w:cs="Times New Roman"/>
        </w:rPr>
        <w:t xml:space="preserve">DESMOND is one of the most prominent </w:t>
      </w:r>
      <w:r w:rsidR="00094716" w:rsidRPr="00DE64C0">
        <w:rPr>
          <w:rFonts w:cs="Times New Roman"/>
        </w:rPr>
        <w:lastRenderedPageBreak/>
        <w:t xml:space="preserve">nationally available </w:t>
      </w:r>
      <w:r w:rsidR="008D7191" w:rsidRPr="00DE64C0">
        <w:rPr>
          <w:rFonts w:cs="Times New Roman"/>
        </w:rPr>
        <w:t xml:space="preserve">T2DM </w:t>
      </w:r>
      <w:r w:rsidR="00094716" w:rsidRPr="00DE64C0">
        <w:rPr>
          <w:rFonts w:cs="Times New Roman"/>
        </w:rPr>
        <w:t>structured</w:t>
      </w:r>
      <w:r w:rsidR="00D550AF" w:rsidRPr="00DE64C0">
        <w:rPr>
          <w:rFonts w:cs="Times New Roman"/>
        </w:rPr>
        <w:t>-</w:t>
      </w:r>
      <w:r w:rsidR="00094716" w:rsidRPr="00DE64C0">
        <w:rPr>
          <w:rFonts w:cs="Times New Roman"/>
        </w:rPr>
        <w:t>education programme</w:t>
      </w:r>
      <w:r w:rsidR="00D550AF" w:rsidRPr="00DE64C0">
        <w:rPr>
          <w:rFonts w:cs="Times New Roman"/>
        </w:rPr>
        <w:t>,</w:t>
      </w:r>
      <w:r w:rsidR="00094716" w:rsidRPr="00DE64C0">
        <w:rPr>
          <w:rFonts w:cs="Times New Roman"/>
        </w:rPr>
        <w:t xml:space="preserve"> and the only </w:t>
      </w:r>
      <w:r w:rsidR="00F10638" w:rsidRPr="00DE64C0">
        <w:rPr>
          <w:rFonts w:cs="Times New Roman"/>
        </w:rPr>
        <w:t xml:space="preserve">UK </w:t>
      </w:r>
      <w:r w:rsidR="00094716" w:rsidRPr="00DE64C0">
        <w:rPr>
          <w:rFonts w:cs="Times New Roman"/>
        </w:rPr>
        <w:t xml:space="preserve">programme </w:t>
      </w:r>
      <w:r w:rsidR="005664B1" w:rsidRPr="00DE64C0">
        <w:rPr>
          <w:rFonts w:cs="Times New Roman"/>
        </w:rPr>
        <w:t xml:space="preserve">tested within </w:t>
      </w:r>
      <w:r w:rsidR="00094716" w:rsidRPr="00DE64C0">
        <w:rPr>
          <w:rFonts w:cs="Times New Roman"/>
        </w:rPr>
        <w:t xml:space="preserve">a multi-centred </w:t>
      </w:r>
      <w:r w:rsidR="005E3962" w:rsidRPr="00DE64C0">
        <w:rPr>
          <w:rFonts w:cs="Times New Roman"/>
        </w:rPr>
        <w:t>RCT</w:t>
      </w:r>
      <w:r w:rsidR="00094716" w:rsidRPr="00DE64C0">
        <w:rPr>
          <w:rFonts w:cs="Times New Roman"/>
        </w:rPr>
        <w:t xml:space="preserve"> to quantify effectiveness and cost-effectiveness.</w:t>
      </w:r>
      <w:r w:rsidR="008A114F" w:rsidRPr="00DE64C0">
        <w:rPr>
          <w:rFonts w:cs="Times New Roman"/>
        </w:rPr>
        <w:fldChar w:fldCharType="begin">
          <w:fldData xml:space="preserve">PEVuZE5vdGU+PENpdGU+PEF1dGhvcj5EYXZpZXM8L0F1dGhvcj48WWVhcj4yMDA4PC9ZZWFyPjxS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</w:fldData>
        </w:fldChar>
      </w:r>
      <w:r w:rsidR="009A55BE" w:rsidRPr="00DE64C0">
        <w:rPr>
          <w:rFonts w:cs="Times New Roman"/>
        </w:rPr>
        <w:instrText xml:space="preserve"> ADDIN EN.CITE </w:instrText>
      </w:r>
      <w:r w:rsidR="009A55BE" w:rsidRPr="00DE64C0">
        <w:rPr>
          <w:rFonts w:cs="Times New Roman"/>
        </w:rPr>
        <w:fldChar w:fldCharType="begin">
          <w:fldData xml:space="preserve">PEVuZE5vdGU+PENpdGU+PEF1dGhvcj5EYXZpZXM8L0F1dGhvcj48WWVhcj4yMDA4PC9ZZWFyPjxS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</w:fldData>
        </w:fldChar>
      </w:r>
      <w:r w:rsidR="009A55BE" w:rsidRPr="00DE64C0">
        <w:rPr>
          <w:rFonts w:cs="Times New Roman"/>
        </w:rPr>
        <w:instrText xml:space="preserve"> ADDIN EN.CITE.DATA </w:instrText>
      </w:r>
      <w:r w:rsidR="009A55BE" w:rsidRPr="00DE64C0">
        <w:rPr>
          <w:rFonts w:cs="Times New Roman"/>
        </w:rPr>
      </w:r>
      <w:r w:rsidR="009A55BE" w:rsidRPr="00DE64C0">
        <w:rPr>
          <w:rFonts w:cs="Times New Roman"/>
        </w:rPr>
        <w:fldChar w:fldCharType="end"/>
      </w:r>
      <w:r w:rsidR="008A114F" w:rsidRPr="00DE64C0">
        <w:rPr>
          <w:rFonts w:cs="Times New Roman"/>
        </w:rPr>
      </w:r>
      <w:r w:rsidR="008A114F" w:rsidRPr="00DE64C0">
        <w:rPr>
          <w:rFonts w:cs="Times New Roman"/>
        </w:rPr>
        <w:fldChar w:fldCharType="separate"/>
      </w:r>
      <w:r w:rsidR="009A55BE" w:rsidRPr="00DE64C0">
        <w:rPr>
          <w:rFonts w:cs="Times New Roman"/>
          <w:noProof/>
        </w:rPr>
        <w:t>(16, 38)</w:t>
      </w:r>
      <w:r w:rsidR="008A114F" w:rsidRPr="00DE64C0">
        <w:rPr>
          <w:rFonts w:cs="Times New Roman"/>
        </w:rPr>
        <w:fldChar w:fldCharType="end"/>
      </w:r>
      <w:r w:rsidR="00094716" w:rsidRPr="00DE64C0">
        <w:rPr>
          <w:rFonts w:cs="Times New Roman"/>
        </w:rPr>
        <w:t xml:space="preserve"> Here we show that this </w:t>
      </w:r>
      <w:r w:rsidR="00D335D5" w:rsidRPr="00DE64C0">
        <w:rPr>
          <w:rFonts w:cs="Times New Roman"/>
        </w:rPr>
        <w:t>approach</w:t>
      </w:r>
      <w:r w:rsidR="00F10638" w:rsidRPr="00DE64C0">
        <w:rPr>
          <w:rFonts w:cs="Times New Roman"/>
        </w:rPr>
        <w:t xml:space="preserve"> can be adapted to the prevention of </w:t>
      </w:r>
      <w:r w:rsidR="00576496" w:rsidRPr="00DE64C0">
        <w:rPr>
          <w:rFonts w:cs="Times New Roman"/>
        </w:rPr>
        <w:t>T2DM</w:t>
      </w:r>
      <w:r w:rsidR="00F10638" w:rsidRPr="00DE64C0">
        <w:rPr>
          <w:rFonts w:cs="Times New Roman"/>
        </w:rPr>
        <w:t xml:space="preserve"> within a diverse multi-ethnic PDM population whilst using</w:t>
      </w:r>
      <w:r w:rsidR="00DD3FB1" w:rsidRPr="00DE64C0">
        <w:rPr>
          <w:rFonts w:cs="Times New Roman"/>
        </w:rPr>
        <w:t xml:space="preserve"> </w:t>
      </w:r>
      <w:r w:rsidR="00E34989" w:rsidRPr="00DE64C0">
        <w:rPr>
          <w:rFonts w:cs="Times New Roman"/>
        </w:rPr>
        <w:t xml:space="preserve">less than 25% of the contact time seen in </w:t>
      </w:r>
      <w:r w:rsidR="00D550AF" w:rsidRPr="00DE64C0">
        <w:rPr>
          <w:rFonts w:cs="Times New Roman"/>
        </w:rPr>
        <w:t xml:space="preserve">other </w:t>
      </w:r>
      <w:r w:rsidR="00E34989" w:rsidRPr="00DE64C0">
        <w:rPr>
          <w:rFonts w:cs="Times New Roman"/>
        </w:rPr>
        <w:t>efficacy trials</w:t>
      </w:r>
      <w:r w:rsidR="00F10638" w:rsidRPr="00DE64C0">
        <w:rPr>
          <w:rFonts w:cs="Times New Roman"/>
        </w:rPr>
        <w:t>.</w:t>
      </w:r>
      <w:r w:rsidR="00D335D5" w:rsidRPr="00DE64C0">
        <w:rPr>
          <w:rFonts w:cs="Times New Roman"/>
        </w:rPr>
        <w:t xml:space="preserve"> </w:t>
      </w:r>
      <w:r w:rsidR="0058013B" w:rsidRPr="00DE64C0">
        <w:rPr>
          <w:rFonts w:cs="Times New Roman"/>
        </w:rPr>
        <w:t>F</w:t>
      </w:r>
      <w:r w:rsidR="004C661E" w:rsidRPr="00DE64C0">
        <w:rPr>
          <w:rFonts w:cs="Times New Roman"/>
        </w:rPr>
        <w:t xml:space="preserve">uture research is needed to </w:t>
      </w:r>
      <w:r w:rsidR="005E3962" w:rsidRPr="00DE64C0">
        <w:rPr>
          <w:rFonts w:cs="Times New Roman"/>
        </w:rPr>
        <w:t>investigate</w:t>
      </w:r>
      <w:r w:rsidR="004C661E" w:rsidRPr="00DE64C0">
        <w:rPr>
          <w:rFonts w:cs="Times New Roman"/>
        </w:rPr>
        <w:t xml:space="preserve"> </w:t>
      </w:r>
      <w:r w:rsidR="00C47223" w:rsidRPr="00DE64C0">
        <w:rPr>
          <w:rFonts w:cs="Times New Roman"/>
        </w:rPr>
        <w:t xml:space="preserve">how the approach used in Let’s Prevent can be tailored to individual preferences </w:t>
      </w:r>
      <w:r w:rsidR="005664B1" w:rsidRPr="00DE64C0">
        <w:rPr>
          <w:rFonts w:cs="Times New Roman"/>
        </w:rPr>
        <w:t>concerning</w:t>
      </w:r>
      <w:r w:rsidR="00C47223" w:rsidRPr="00DE64C0">
        <w:rPr>
          <w:rFonts w:cs="Times New Roman"/>
        </w:rPr>
        <w:t xml:space="preserve"> the </w:t>
      </w:r>
      <w:r w:rsidR="005664B1" w:rsidRPr="00DE64C0">
        <w:rPr>
          <w:rFonts w:cs="Times New Roman"/>
        </w:rPr>
        <w:t>frequency</w:t>
      </w:r>
      <w:r w:rsidR="00C47223" w:rsidRPr="00DE64C0">
        <w:rPr>
          <w:rFonts w:cs="Times New Roman"/>
        </w:rPr>
        <w:t xml:space="preserve"> and format of contact. In particular, </w:t>
      </w:r>
      <w:r w:rsidR="005E3962" w:rsidRPr="00DE64C0">
        <w:rPr>
          <w:rFonts w:cs="Times New Roman"/>
        </w:rPr>
        <w:t>utilising web</w:t>
      </w:r>
      <w:r w:rsidR="00C47223" w:rsidRPr="00DE64C0">
        <w:rPr>
          <w:rFonts w:cs="Times New Roman"/>
        </w:rPr>
        <w:t xml:space="preserve">-based platforms is likely to receive a growing focus in the future. </w:t>
      </w:r>
    </w:p>
    <w:p w14:paraId="78BAAE2B" w14:textId="77777777" w:rsidR="00664F54" w:rsidRPr="00DE64C0" w:rsidRDefault="00664F54" w:rsidP="00FF4C5F">
      <w:pPr>
        <w:rPr>
          <w:rFonts w:cs="Times New Roman"/>
        </w:rPr>
      </w:pPr>
    </w:p>
    <w:p w14:paraId="7D38DEA5" w14:textId="58CADF04" w:rsidR="00664F54" w:rsidRPr="00DE64C0" w:rsidRDefault="00664F54" w:rsidP="00664F54">
      <w:r w:rsidRPr="00DE64C0">
        <w:rPr>
          <w:rFonts w:cs="Times New Roman"/>
        </w:rPr>
        <w:t xml:space="preserve">A separate paper assesses the cost effectiveness of the intervention. In brief, </w:t>
      </w:r>
      <w:r w:rsidRPr="00DE64C0">
        <w:t>this showed the education programme was associated with higher costs (£168) and higher quality of life (0.046 QALYs) compared to the standard care group over three years. Therefore, the Let’s Prevent programme is likely to be cost effective at a willingness to pay threshold of £20,000 per QALY gained.</w:t>
      </w:r>
      <w:r w:rsidR="00FB25AB" w:rsidRPr="00DE64C0">
        <w:fldChar w:fldCharType="begin"/>
      </w:r>
      <w:r w:rsidR="009A55BE" w:rsidRPr="00DE64C0">
        <w:instrText xml:space="preserve"> ADDIN EN.CITE &lt;EndNote&gt;&lt;Cite&gt;&lt;Author&gt;Leal&lt;/Author&gt;&lt;Year&gt;2015&lt;/Year&gt;&lt;RecNum&gt;662&lt;/RecNum&gt;&lt;DisplayText&gt;(39)&lt;/DisplayText&gt;&lt;record&gt;&lt;rec-number&gt;662&lt;/rec-number&gt;&lt;foreign-keys&gt;&lt;key app="EN" db-id="eevzp0wtbzpeebedtwpperz9vszffvs0tsdt" timestamp="0"&gt;662&lt;/key&gt;&lt;/foreign-keys&gt;&lt;ref-type name="Journal Article"&gt;17&lt;/ref-type&gt;&lt;contributors&gt;&lt;authors&gt;&lt;author&gt;Leal, J.&lt;/author&gt;&lt;author&gt;Ahrabian, D.&lt;/author&gt;&lt;author&gt;Gray, A.M.&lt;/author&gt;&lt;/authors&gt;&lt;/contributors&gt;&lt;titles&gt;&lt;title&gt;Cost effectiveness of a pragmatic structured education intervention for type 2 diabetes: economic evaluation of data from the Let’s Prevent trial &lt;/title&gt;&lt;secondary-title&gt;Submitted to BMJ&lt;/secondary-title&gt;&lt;/titles&gt;&lt;dates&gt;&lt;year&gt;2015&lt;/year&gt;&lt;/dates&gt;&lt;urls&gt;&lt;/urls&gt;&lt;/record&gt;&lt;/Cite&gt;&lt;/EndNote&gt;</w:instrText>
      </w:r>
      <w:r w:rsidR="00FB25AB" w:rsidRPr="00DE64C0">
        <w:fldChar w:fldCharType="separate"/>
      </w:r>
      <w:r w:rsidR="009A55BE" w:rsidRPr="00DE64C0">
        <w:rPr>
          <w:noProof/>
        </w:rPr>
        <w:t>(39)</w:t>
      </w:r>
      <w:r w:rsidR="00FB25AB" w:rsidRPr="00DE64C0">
        <w:fldChar w:fldCharType="end"/>
      </w:r>
      <w:r w:rsidRPr="00DE64C0">
        <w:t xml:space="preserve">  </w:t>
      </w:r>
    </w:p>
    <w:p w14:paraId="169777C8" w14:textId="77777777" w:rsidR="004277F8" w:rsidRPr="00DE64C0" w:rsidRDefault="004277F8" w:rsidP="00FF4C5F">
      <w:pPr>
        <w:rPr>
          <w:rFonts w:cs="Times New Roman"/>
          <w:b/>
        </w:rPr>
      </w:pPr>
    </w:p>
    <w:p w14:paraId="7493225E" w14:textId="4B9A5CCB" w:rsidR="009310C1" w:rsidRPr="00DE64C0" w:rsidRDefault="009310C1" w:rsidP="00FF4C5F">
      <w:pPr>
        <w:rPr>
          <w:rFonts w:cs="Times New Roman"/>
          <w:b/>
        </w:rPr>
      </w:pPr>
      <w:r w:rsidRPr="00DE64C0">
        <w:rPr>
          <w:rFonts w:cs="Times New Roman"/>
          <w:b/>
        </w:rPr>
        <w:t>CONCLUSION</w:t>
      </w:r>
    </w:p>
    <w:p w14:paraId="3216EC6F" w14:textId="73BE38D9" w:rsidR="00452800" w:rsidRPr="00DE64C0" w:rsidRDefault="00BE552D" w:rsidP="00452800">
      <w:r w:rsidRPr="00DE64C0">
        <w:t>We have</w:t>
      </w:r>
      <w:r w:rsidR="00814D1C" w:rsidRPr="00DE64C0">
        <w:t xml:space="preserve"> shown that a relatively low</w:t>
      </w:r>
      <w:r w:rsidR="0058013B" w:rsidRPr="00DE64C0">
        <w:t>-</w:t>
      </w:r>
      <w:r w:rsidR="00814D1C" w:rsidRPr="00DE64C0">
        <w:t xml:space="preserve">resource, pragmatic </w:t>
      </w:r>
      <w:r w:rsidR="00A52601" w:rsidRPr="00DE64C0">
        <w:t>T2DM</w:t>
      </w:r>
      <w:r w:rsidR="00411E80" w:rsidRPr="00DE64C0">
        <w:t xml:space="preserve"> prevention </w:t>
      </w:r>
      <w:r w:rsidR="00814D1C" w:rsidRPr="00DE64C0">
        <w:t xml:space="preserve">programme can lead to </w:t>
      </w:r>
      <w:r w:rsidR="00D63970" w:rsidRPr="00DE64C0">
        <w:t xml:space="preserve">modest </w:t>
      </w:r>
      <w:r w:rsidR="00814D1C" w:rsidRPr="00DE64C0">
        <w:t>improve</w:t>
      </w:r>
      <w:r w:rsidR="00D63970" w:rsidRPr="00DE64C0">
        <w:t>ments to</w:t>
      </w:r>
      <w:r w:rsidR="00814D1C" w:rsidRPr="00DE64C0">
        <w:t xml:space="preserve"> biomedical</w:t>
      </w:r>
      <w:r w:rsidR="00D63970" w:rsidRPr="00DE64C0">
        <w:t>, lifestyle</w:t>
      </w:r>
      <w:r w:rsidR="00814D1C" w:rsidRPr="00DE64C0">
        <w:t xml:space="preserve"> and psycho</w:t>
      </w:r>
      <w:r w:rsidR="0021140B" w:rsidRPr="00DE64C0">
        <w:t>social outcomes</w:t>
      </w:r>
      <w:r w:rsidR="00D63970" w:rsidRPr="00DE64C0">
        <w:t xml:space="preserve"> without significantly reducing the risk of T2DM</w:t>
      </w:r>
      <w:r w:rsidR="0021140B" w:rsidRPr="00DE64C0">
        <w:t xml:space="preserve">. </w:t>
      </w:r>
      <w:r w:rsidR="00452800" w:rsidRPr="00DE64C0">
        <w:rPr>
          <w:color w:val="000000" w:themeColor="text1"/>
        </w:rPr>
        <w:t xml:space="preserve">The findings have important implications for future research and primary care. </w:t>
      </w:r>
    </w:p>
    <w:p w14:paraId="2FEED20C" w14:textId="7C2EFCE6" w:rsidR="00F30DCB" w:rsidRPr="00DE64C0" w:rsidRDefault="00F30DCB" w:rsidP="00FF4C5F"/>
    <w:p w14:paraId="74C43D45" w14:textId="77777777" w:rsidR="00FF4C5F" w:rsidRPr="00DE64C0" w:rsidRDefault="00FF4C5F">
      <w:pPr>
        <w:spacing w:after="200" w:line="276" w:lineRule="auto"/>
        <w:jc w:val="left"/>
        <w:rPr>
          <w:bCs/>
          <w:lang w:val="en-US"/>
        </w:rPr>
      </w:pPr>
      <w:r w:rsidRPr="00DE64C0">
        <w:rPr>
          <w:bCs/>
          <w:lang w:val="en-US"/>
        </w:rPr>
        <w:br w:type="page"/>
      </w:r>
    </w:p>
    <w:p w14:paraId="335C2FFB" w14:textId="446BC07C" w:rsidR="00AE4935" w:rsidRPr="00DE64C0" w:rsidRDefault="00AE4935" w:rsidP="00FF4C5F">
      <w:pPr>
        <w:rPr>
          <w:bCs/>
          <w:lang w:val="en-US"/>
        </w:rPr>
      </w:pPr>
      <w:r w:rsidRPr="00DE64C0">
        <w:rPr>
          <w:bCs/>
          <w:lang w:val="en-US"/>
        </w:rPr>
        <w:lastRenderedPageBreak/>
        <w:t xml:space="preserve">Funding </w:t>
      </w:r>
      <w:r w:rsidR="00E74CB0" w:rsidRPr="00DE64C0">
        <w:rPr>
          <w:bCs/>
          <w:lang w:val="en-US"/>
        </w:rPr>
        <w:t>and Ethics</w:t>
      </w:r>
    </w:p>
    <w:p w14:paraId="618B8CEB" w14:textId="54A69F98" w:rsidR="00AE4935" w:rsidRPr="00DE64C0" w:rsidRDefault="00AE4935" w:rsidP="00FF4C5F">
      <w:pPr>
        <w:rPr>
          <w:rFonts w:eastAsia="Times New Roman"/>
          <w:lang w:val="en-US"/>
        </w:rPr>
      </w:pPr>
      <w:r w:rsidRPr="00DE64C0">
        <w:rPr>
          <w:rFonts w:eastAsia="Times New Roman"/>
        </w:rPr>
        <w:t xml:space="preserve">This research was funded by National Institute for Health Research (NIHR) under its Programme Grants for Applied Research scheme </w:t>
      </w:r>
      <w:r w:rsidRPr="00DE64C0">
        <w:rPr>
          <w:rFonts w:eastAsia="Times New Roman"/>
          <w:lang w:val="en-US"/>
        </w:rPr>
        <w:t>(</w:t>
      </w:r>
      <w:r w:rsidRPr="00DE64C0">
        <w:rPr>
          <w:rFonts w:eastAsia="Times New Roman"/>
        </w:rPr>
        <w:t>RP-PG-0606-1272</w:t>
      </w:r>
      <w:r w:rsidRPr="00DE64C0">
        <w:rPr>
          <w:rFonts w:eastAsia="Times New Roman"/>
          <w:lang w:val="en-US"/>
        </w:rPr>
        <w:t xml:space="preserve">). </w:t>
      </w:r>
      <w:r w:rsidR="00E74CB0" w:rsidRPr="00DE64C0">
        <w:rPr>
          <w:rFonts w:eastAsia="Times New Roman"/>
        </w:rPr>
        <w:t xml:space="preserve">This report/article presents independent research commissioned by the National Institute for Health Research (NIHR) under its Programme Grants for Applied Research scheme </w:t>
      </w:r>
      <w:r w:rsidR="00E74CB0" w:rsidRPr="00DE64C0">
        <w:rPr>
          <w:rFonts w:eastAsia="Times New Roman"/>
          <w:lang w:val="en-US"/>
        </w:rPr>
        <w:t>(</w:t>
      </w:r>
      <w:r w:rsidR="00E74CB0" w:rsidRPr="00DE64C0">
        <w:rPr>
          <w:rFonts w:eastAsia="Times New Roman"/>
        </w:rPr>
        <w:t>RP-PG-0606-1272</w:t>
      </w:r>
      <w:r w:rsidR="00E74CB0" w:rsidRPr="00DE64C0">
        <w:rPr>
          <w:rFonts w:eastAsia="Times New Roman"/>
          <w:lang w:val="en-US"/>
        </w:rPr>
        <w:t>)</w:t>
      </w:r>
      <w:r w:rsidR="00E74CB0" w:rsidRPr="00DE64C0">
        <w:rPr>
          <w:rFonts w:eastAsia="Times New Roman"/>
        </w:rPr>
        <w:t xml:space="preserve">. The views expressed in this publication are those of the authors and not necessarily those of the NHS, the NIHR or the Department of Health. Ethical approval was granted for this project </w:t>
      </w:r>
      <w:r w:rsidR="00923110" w:rsidRPr="00DE64C0">
        <w:rPr>
          <w:color w:val="000000" w:themeColor="text1"/>
        </w:rPr>
        <w:t>by the NHS East Midlands Ethics Committee.</w:t>
      </w:r>
    </w:p>
    <w:p w14:paraId="64B4D1AC" w14:textId="77777777" w:rsidR="00AE4935" w:rsidRPr="00DE64C0" w:rsidRDefault="00AE4935" w:rsidP="00FF4C5F">
      <w:pPr>
        <w:rPr>
          <w:rFonts w:eastAsia="Times New Roman"/>
          <w:lang w:val="en-US"/>
        </w:rPr>
      </w:pPr>
    </w:p>
    <w:p w14:paraId="38CC3D6C" w14:textId="77777777" w:rsidR="001117D9" w:rsidRPr="00DE64C0" w:rsidRDefault="00F501E0" w:rsidP="00FF4C5F">
      <w:r w:rsidRPr="00DE64C0">
        <w:t xml:space="preserve">Acknowledgements </w:t>
      </w:r>
    </w:p>
    <w:p w14:paraId="78F47AF2" w14:textId="3535C631" w:rsidR="0062017B" w:rsidRPr="00DE64C0" w:rsidRDefault="009A7BDA" w:rsidP="00FF4C5F">
      <w:bookmarkStart w:id="8" w:name="_Toc406070606"/>
      <w:r w:rsidRPr="00DE64C0">
        <w:t>The project was supported by the University of Leicester Clinical Trials Unit, the National Institute for Health Research Collaboration for Leadership in Applied Health Research and Care – East Midlands (NIHR CLAHRC – EM), and the NIHR Leicester-Loughborough Diet, Lifestyle and Physical Activity Biomedical Research Unit</w:t>
      </w:r>
      <w:r w:rsidR="00853BDD" w:rsidRPr="00DE64C0">
        <w:t>,</w:t>
      </w:r>
      <w:r w:rsidRPr="00DE64C0">
        <w:t xml:space="preserve"> which is a partnership between University Hospitals of Leicester NHS Trust, Loughborough University and the University of Leicester.</w:t>
      </w:r>
    </w:p>
    <w:p w14:paraId="1FD18BDA" w14:textId="77777777" w:rsidR="009A7BDA" w:rsidRPr="00DE64C0" w:rsidRDefault="009A7BDA" w:rsidP="00FF4C5F"/>
    <w:bookmarkEnd w:id="8"/>
    <w:p w14:paraId="24C6ADE5" w14:textId="29831FBF" w:rsidR="00923110" w:rsidRPr="00DE64C0" w:rsidRDefault="00A91DAE" w:rsidP="00FF4C5F">
      <w:r w:rsidRPr="00DE64C0">
        <w:t xml:space="preserve">Conflicts </w:t>
      </w:r>
      <w:r w:rsidR="00923110" w:rsidRPr="00DE64C0">
        <w:t>of interests</w:t>
      </w:r>
    </w:p>
    <w:p w14:paraId="37EEED95" w14:textId="77777777" w:rsidR="00923110" w:rsidRPr="00DE64C0" w:rsidRDefault="00923110" w:rsidP="00FF4C5F">
      <w:r w:rsidRPr="00DE64C0">
        <w:t>Laura J Gray, Jacqui Troughton, Alastair Gray,</w:t>
      </w:r>
      <w:r w:rsidRPr="00DE64C0">
        <w:rPr>
          <w:rFonts w:cs="Times New Roman"/>
        </w:rPr>
        <w:t xml:space="preserve"> </w:t>
      </w:r>
      <w:proofErr w:type="spellStart"/>
      <w:r w:rsidRPr="00DE64C0">
        <w:rPr>
          <w:rFonts w:cs="Times New Roman"/>
        </w:rPr>
        <w:t>Jaakko</w:t>
      </w:r>
      <w:proofErr w:type="spellEnd"/>
      <w:r w:rsidRPr="00DE64C0">
        <w:rPr>
          <w:rFonts w:cs="Times New Roman"/>
        </w:rPr>
        <w:t xml:space="preserve"> </w:t>
      </w:r>
      <w:proofErr w:type="spellStart"/>
      <w:r w:rsidRPr="00DE64C0">
        <w:rPr>
          <w:rFonts w:cs="Times New Roman"/>
        </w:rPr>
        <w:t>Tuomilehto</w:t>
      </w:r>
      <w:proofErr w:type="spellEnd"/>
      <w:r w:rsidRPr="00DE64C0">
        <w:rPr>
          <w:rFonts w:cs="Times New Roman"/>
        </w:rPr>
        <w:t xml:space="preserve"> and </w:t>
      </w:r>
      <w:r w:rsidRPr="00DE64C0">
        <w:t xml:space="preserve">Azhar Farooqi declare </w:t>
      </w:r>
      <w:r w:rsidRPr="00DE64C0">
        <w:rPr>
          <w:bCs/>
          <w:lang w:val="en-US"/>
        </w:rPr>
        <w:t xml:space="preserve">no support from any </w:t>
      </w:r>
      <w:proofErr w:type="spellStart"/>
      <w:r w:rsidRPr="00DE64C0">
        <w:rPr>
          <w:bCs/>
          <w:lang w:val="en-US"/>
        </w:rPr>
        <w:t>organisation</w:t>
      </w:r>
      <w:proofErr w:type="spellEnd"/>
      <w:r w:rsidRPr="00DE64C0">
        <w:rPr>
          <w:bCs/>
          <w:lang w:val="en-US"/>
        </w:rPr>
        <w:t xml:space="preserve"> for the submitted work, no financial relationships with any </w:t>
      </w:r>
      <w:proofErr w:type="spellStart"/>
      <w:r w:rsidRPr="00DE64C0">
        <w:rPr>
          <w:bCs/>
          <w:lang w:val="en-US"/>
        </w:rPr>
        <w:t>organisations</w:t>
      </w:r>
      <w:proofErr w:type="spellEnd"/>
      <w:r w:rsidRPr="00DE64C0">
        <w:rPr>
          <w:bCs/>
          <w:lang w:val="en-US"/>
        </w:rPr>
        <w:t xml:space="preserve"> that might have an interest in the submitted work in the previous three years, and no other relationships or activities that could appear to have influenced the submitted work. </w:t>
      </w:r>
      <w:r w:rsidRPr="00DE64C0">
        <w:t xml:space="preserve">Melanie J Davies, Kamlesh Khunti and Thomas Yates declare </w:t>
      </w:r>
      <w:r w:rsidRPr="00DE64C0">
        <w:rPr>
          <w:bCs/>
          <w:lang w:val="en-US"/>
        </w:rPr>
        <w:t xml:space="preserve">no support from any </w:t>
      </w:r>
      <w:proofErr w:type="spellStart"/>
      <w:r w:rsidRPr="00DE64C0">
        <w:rPr>
          <w:bCs/>
          <w:lang w:val="en-US"/>
        </w:rPr>
        <w:t>organisation</w:t>
      </w:r>
      <w:proofErr w:type="spellEnd"/>
      <w:r w:rsidRPr="00DE64C0">
        <w:rPr>
          <w:bCs/>
          <w:lang w:val="en-US"/>
        </w:rPr>
        <w:t xml:space="preserve"> for the submitted work and no financial relationships with any </w:t>
      </w:r>
      <w:proofErr w:type="spellStart"/>
      <w:r w:rsidRPr="00DE64C0">
        <w:rPr>
          <w:bCs/>
          <w:lang w:val="en-US"/>
        </w:rPr>
        <w:t>organisations</w:t>
      </w:r>
      <w:proofErr w:type="spellEnd"/>
      <w:r w:rsidRPr="00DE64C0">
        <w:rPr>
          <w:bCs/>
          <w:lang w:val="en-US"/>
        </w:rPr>
        <w:t xml:space="preserve"> that might have an interest in the submitted work in the previous three years; MJD, KK and TY were members (KK chair) of the NICE PH 38 (</w:t>
      </w:r>
      <w:r w:rsidRPr="00DE64C0">
        <w:t xml:space="preserve">Preventing type 2 diabetes: risk identification and interventions for individuals at high risk) Programme Development Group. </w:t>
      </w:r>
    </w:p>
    <w:p w14:paraId="2F655D18" w14:textId="77777777" w:rsidR="00AF3AB7" w:rsidRPr="00DE64C0" w:rsidRDefault="00AF3AB7" w:rsidP="00FF4C5F">
      <w:pPr>
        <w:rPr>
          <w:bCs/>
          <w:lang w:val="en-US"/>
        </w:rPr>
      </w:pPr>
    </w:p>
    <w:p w14:paraId="578F6D36" w14:textId="77777777" w:rsidR="00923110" w:rsidRPr="00DE64C0" w:rsidRDefault="00923110" w:rsidP="00FF4C5F">
      <w:r w:rsidRPr="00DE64C0">
        <w:t>Contributor statements</w:t>
      </w:r>
    </w:p>
    <w:p w14:paraId="52216ACD" w14:textId="670B0E77" w:rsidR="00923110" w:rsidRPr="00DE64C0" w:rsidRDefault="00923110" w:rsidP="00FF4C5F">
      <w:pPr>
        <w:rPr>
          <w:rFonts w:ascii="interfaceregular" w:hAnsi="interfaceregular" w:cs="Arial"/>
          <w:color w:val="333333"/>
          <w:lang w:val="en"/>
        </w:rPr>
      </w:pPr>
      <w:r w:rsidRPr="00DE64C0">
        <w:rPr>
          <w:rFonts w:ascii="interfaceregular" w:hAnsi="interfaceregular" w:cs="Arial"/>
          <w:color w:val="333333"/>
          <w:lang w:val="en"/>
        </w:rPr>
        <w:t xml:space="preserve">MJD Principal Investigator for the Let’s Prevent Programme Grant, initiated the project, commented on drafts of the paper and approved the final version. MJD is the guarantor for the paper and affirms that the manuscript is an honest, accurate, and transparent account of the study being reported, that no important aspects of the study have been omitted, and that </w:t>
      </w:r>
      <w:r w:rsidRPr="00DE64C0">
        <w:rPr>
          <w:rFonts w:ascii="interfaceregular" w:hAnsi="interfaceregular" w:cs="Arial"/>
          <w:color w:val="333333"/>
          <w:lang w:val="en"/>
        </w:rPr>
        <w:lastRenderedPageBreak/>
        <w:t xml:space="preserve">any discrepancies from the study as planned (and, if relevant, registered) have been explained.  LJG wrote the statistical analysis plan, cleaned and </w:t>
      </w:r>
      <w:proofErr w:type="spellStart"/>
      <w:r w:rsidRPr="00DE64C0">
        <w:rPr>
          <w:rFonts w:ascii="interfaceregular" w:hAnsi="interfaceregular" w:cs="Arial"/>
          <w:color w:val="333333"/>
          <w:lang w:val="en"/>
        </w:rPr>
        <w:t>analysed</w:t>
      </w:r>
      <w:proofErr w:type="spellEnd"/>
      <w:r w:rsidRPr="00DE64C0">
        <w:rPr>
          <w:rFonts w:ascii="interfaceregular" w:hAnsi="interfaceregular" w:cs="Arial"/>
          <w:color w:val="333333"/>
          <w:lang w:val="en"/>
        </w:rPr>
        <w:t xml:space="preserve"> the data, and drafted and revised the paper. </w:t>
      </w:r>
      <w:r w:rsidRPr="00DE64C0">
        <w:t xml:space="preserve">JT developed the Let’s Prevent Programme, </w:t>
      </w:r>
      <w:r w:rsidRPr="00DE64C0">
        <w:rPr>
          <w:rFonts w:ascii="interfaceregular" w:hAnsi="interfaceregular" w:cs="Arial"/>
          <w:color w:val="333333"/>
          <w:lang w:val="en"/>
        </w:rPr>
        <w:t xml:space="preserve">commented on drafts of the paper and approved the final version. AG had input into the design of the study, the collection of data, led the cost effectiveness analysis, and commented on drafts of the paper and approved the final version. </w:t>
      </w:r>
      <w:proofErr w:type="spellStart"/>
      <w:r w:rsidRPr="00DE64C0">
        <w:rPr>
          <w:rFonts w:ascii="interfaceregular" w:hAnsi="interfaceregular" w:cs="Arial"/>
          <w:color w:val="333333"/>
          <w:lang w:val="en"/>
        </w:rPr>
        <w:t>JTu</w:t>
      </w:r>
      <w:proofErr w:type="spellEnd"/>
      <w:r w:rsidRPr="00DE64C0">
        <w:rPr>
          <w:rFonts w:ascii="interfaceregular" w:hAnsi="interfaceregular" w:cs="Arial"/>
          <w:color w:val="333333"/>
          <w:lang w:val="en"/>
        </w:rPr>
        <w:t xml:space="preserve"> had input into the design of the study and commented on drafts of the paper and approved the final version. AF had input into the design of the study, commented on drafts of the paper and approved the final version. KK and TY had input into the design and running of the study, commented on drafts of the paper and approved the final version.</w:t>
      </w:r>
    </w:p>
    <w:p w14:paraId="03A4EE50" w14:textId="77777777" w:rsidR="00AF3AB7" w:rsidRPr="00DE64C0" w:rsidRDefault="00AF3AB7" w:rsidP="00FF4C5F"/>
    <w:p w14:paraId="512404AA" w14:textId="67A83C6B" w:rsidR="00AF3AB7" w:rsidRPr="00DE64C0" w:rsidRDefault="00AF3AB7" w:rsidP="00FF4C5F">
      <w:r w:rsidRPr="00DE64C0">
        <w:t xml:space="preserve">The Let’s Prevent Diabetes Team: Keith Abrams, University of Leicester, </w:t>
      </w:r>
      <w:proofErr w:type="gramStart"/>
      <w:r w:rsidRPr="00DE64C0">
        <w:t>Leicester</w:t>
      </w:r>
      <w:proofErr w:type="gramEnd"/>
      <w:r w:rsidRPr="00DE64C0">
        <w:t xml:space="preserve">. </w:t>
      </w:r>
      <w:proofErr w:type="spellStart"/>
      <w:proofErr w:type="gramStart"/>
      <w:r w:rsidRPr="00DE64C0">
        <w:t>Dariush</w:t>
      </w:r>
      <w:proofErr w:type="spellEnd"/>
      <w:r w:rsidRPr="00DE64C0">
        <w:t xml:space="preserve"> </w:t>
      </w:r>
      <w:proofErr w:type="spellStart"/>
      <w:r w:rsidRPr="00DE64C0">
        <w:t>Ahrabian</w:t>
      </w:r>
      <w:proofErr w:type="spellEnd"/>
      <w:r w:rsidRPr="00DE64C0">
        <w:t>, University of Oxford.</w:t>
      </w:r>
      <w:proofErr w:type="gramEnd"/>
      <w:r w:rsidRPr="00DE64C0">
        <w:t xml:space="preserve"> </w:t>
      </w:r>
      <w:proofErr w:type="gramStart"/>
      <w:r w:rsidRPr="00DE64C0">
        <w:t>Sayjal Amin, University Hospitals of Leicester, Leicester.</w:t>
      </w:r>
      <w:proofErr w:type="gramEnd"/>
      <w:r w:rsidRPr="00DE64C0">
        <w:t xml:space="preserve"> Mary Bancroft, Hockley Farm Medical Practice. </w:t>
      </w:r>
      <w:proofErr w:type="gramStart"/>
      <w:r w:rsidRPr="00DE64C0">
        <w:t>Janette Barnett, University Hospitals of Leicester, Leicester.</w:t>
      </w:r>
      <w:proofErr w:type="gramEnd"/>
      <w:r w:rsidRPr="00DE64C0">
        <w:t xml:space="preserve"> </w:t>
      </w:r>
      <w:proofErr w:type="gramStart"/>
      <w:r w:rsidRPr="00DE64C0">
        <w:t>Hannah Berkeley, University Hospitals of Leicester, Leicester.</w:t>
      </w:r>
      <w:proofErr w:type="gramEnd"/>
      <w:r w:rsidRPr="00DE64C0">
        <w:t xml:space="preserve"> </w:t>
      </w:r>
      <w:proofErr w:type="gramStart"/>
      <w:r w:rsidRPr="00DE64C0">
        <w:t>Danielle Bodicoat, University of Leicester, Leicester.</w:t>
      </w:r>
      <w:proofErr w:type="gramEnd"/>
      <w:r w:rsidRPr="00DE64C0">
        <w:t xml:space="preserve"> </w:t>
      </w:r>
      <w:proofErr w:type="gramStart"/>
      <w:r w:rsidRPr="00DE64C0">
        <w:t>Michael Bonar, University Hospitals of Leicester, Leicester.</w:t>
      </w:r>
      <w:proofErr w:type="gramEnd"/>
      <w:r w:rsidRPr="00DE64C0">
        <w:t xml:space="preserve"> </w:t>
      </w:r>
      <w:proofErr w:type="gramStart"/>
      <w:r w:rsidRPr="00DE64C0">
        <w:t>Louise Boyles, University Hospitals of Leicester, Leicester.</w:t>
      </w:r>
      <w:proofErr w:type="gramEnd"/>
      <w:r w:rsidRPr="00DE64C0">
        <w:t xml:space="preserve"> </w:t>
      </w:r>
      <w:proofErr w:type="gramStart"/>
      <w:r w:rsidRPr="00DE64C0">
        <w:t>Paul Bray, University Hospitals of Leicester, Leicester.</w:t>
      </w:r>
      <w:proofErr w:type="gramEnd"/>
      <w:r w:rsidRPr="00DE64C0">
        <w:t xml:space="preserve"> </w:t>
      </w:r>
      <w:proofErr w:type="gramStart"/>
      <w:r w:rsidRPr="00DE64C0">
        <w:t>Nichola Cairns, University Hospitals of Leicester, Leicester.</w:t>
      </w:r>
      <w:proofErr w:type="gramEnd"/>
      <w:r w:rsidRPr="00DE64C0">
        <w:t xml:space="preserve"> </w:t>
      </w:r>
      <w:proofErr w:type="gramStart"/>
      <w:r w:rsidRPr="00DE64C0">
        <w:t>Sandra Campbell, University Hospitals of Leicester, Leicester.</w:t>
      </w:r>
      <w:proofErr w:type="gramEnd"/>
      <w:r w:rsidRPr="00DE64C0">
        <w:t xml:space="preserve"> </w:t>
      </w:r>
      <w:proofErr w:type="gramStart"/>
      <w:r w:rsidRPr="00DE64C0">
        <w:t>Marian Carey, University Hospitals of Leicester, Leicester.</w:t>
      </w:r>
      <w:proofErr w:type="gramEnd"/>
      <w:r w:rsidRPr="00DE64C0">
        <w:t xml:space="preserve"> </w:t>
      </w:r>
      <w:proofErr w:type="gramStart"/>
      <w:r w:rsidRPr="00DE64C0">
        <w:t>Patrice Carter, University of Leicester, Leicester.</w:t>
      </w:r>
      <w:proofErr w:type="gramEnd"/>
      <w:r w:rsidRPr="00DE64C0">
        <w:t xml:space="preserve"> </w:t>
      </w:r>
      <w:proofErr w:type="gramStart"/>
      <w:r w:rsidRPr="00DE64C0">
        <w:t>Sudesna Chatterjee, University Hospitals of Leicester, Leicester.</w:t>
      </w:r>
      <w:proofErr w:type="gramEnd"/>
      <w:r w:rsidRPr="00DE64C0">
        <w:t xml:space="preserve"> Pauline Cowling, Sheffield Teaching Hospitals NHS Foundation Trust, Sheffield. </w:t>
      </w:r>
      <w:proofErr w:type="gramStart"/>
      <w:r w:rsidRPr="00DE64C0">
        <w:t>Carolyn Currie, University Hospitals of Leicester, Leicester.</w:t>
      </w:r>
      <w:proofErr w:type="gramEnd"/>
      <w:r w:rsidRPr="00DE64C0">
        <w:t xml:space="preserve"> </w:t>
      </w:r>
      <w:proofErr w:type="gramStart"/>
      <w:r w:rsidRPr="00DE64C0">
        <w:t>Heather Daly, University Hospitals of Leicester, Leicester.</w:t>
      </w:r>
      <w:proofErr w:type="gramEnd"/>
      <w:r w:rsidRPr="00DE64C0">
        <w:t xml:space="preserve"> </w:t>
      </w:r>
      <w:proofErr w:type="gramStart"/>
      <w:r w:rsidRPr="00DE64C0">
        <w:t>Alison Dunkley, University of Leicester, Leicester.</w:t>
      </w:r>
      <w:proofErr w:type="gramEnd"/>
      <w:r w:rsidRPr="00DE64C0">
        <w:t xml:space="preserve"> </w:t>
      </w:r>
      <w:proofErr w:type="gramStart"/>
      <w:r w:rsidRPr="00DE64C0">
        <w:t>Sue Enright, University Hospitals of Leicester, Leicester.</w:t>
      </w:r>
      <w:proofErr w:type="gramEnd"/>
      <w:r w:rsidRPr="00DE64C0">
        <w:t xml:space="preserve"> </w:t>
      </w:r>
      <w:proofErr w:type="gramStart"/>
      <w:r w:rsidRPr="00DE64C0">
        <w:t>Stephanie Goldby, University Hospitals of Leicester, Leicester.</w:t>
      </w:r>
      <w:proofErr w:type="gramEnd"/>
      <w:r w:rsidRPr="00DE64C0">
        <w:t xml:space="preserve"> </w:t>
      </w:r>
      <w:proofErr w:type="gramStart"/>
      <w:r w:rsidRPr="00DE64C0">
        <w:t>Geri Gray, University Hospitals of Leicester, Leicester.</w:t>
      </w:r>
      <w:proofErr w:type="gramEnd"/>
      <w:r w:rsidRPr="00DE64C0">
        <w:t xml:space="preserve"> Colin Greaves, </w:t>
      </w:r>
      <w:r w:rsidRPr="00DE64C0">
        <w:rPr>
          <w:lang w:val="en"/>
        </w:rPr>
        <w:t xml:space="preserve">University of Exeter Medical School, </w:t>
      </w:r>
      <w:r w:rsidRPr="00DE64C0">
        <w:t xml:space="preserve">Exeter. </w:t>
      </w:r>
      <w:proofErr w:type="gramStart"/>
      <w:r w:rsidRPr="00DE64C0">
        <w:t>Joe Henson, University Hospitals of Leicester, Leicester.</w:t>
      </w:r>
      <w:proofErr w:type="gramEnd"/>
      <w:r w:rsidRPr="00DE64C0">
        <w:t xml:space="preserve"> </w:t>
      </w:r>
      <w:proofErr w:type="gramStart"/>
      <w:r w:rsidRPr="00DE64C0">
        <w:t xml:space="preserve">Stephen </w:t>
      </w:r>
      <w:proofErr w:type="spellStart"/>
      <w:r w:rsidRPr="00DE64C0">
        <w:t>Hiles</w:t>
      </w:r>
      <w:proofErr w:type="spellEnd"/>
      <w:r w:rsidRPr="00DE64C0">
        <w:t>, University Hospitals of Leicester, Leicester.</w:t>
      </w:r>
      <w:proofErr w:type="gramEnd"/>
      <w:r w:rsidRPr="00DE64C0">
        <w:t xml:space="preserve"> </w:t>
      </w:r>
      <w:proofErr w:type="gramStart"/>
      <w:r w:rsidRPr="00DE64C0">
        <w:t>Sian Hill, University Hospitals of Leicester, Leicester.</w:t>
      </w:r>
      <w:proofErr w:type="gramEnd"/>
      <w:r w:rsidRPr="00DE64C0">
        <w:t xml:space="preserve"> </w:t>
      </w:r>
      <w:proofErr w:type="gramStart"/>
      <w:r w:rsidRPr="00DE64C0">
        <w:t>Jayne Hill, University Hospitals of Leicester, Leicester.</w:t>
      </w:r>
      <w:proofErr w:type="gramEnd"/>
      <w:r w:rsidRPr="00DE64C0">
        <w:t xml:space="preserve"> </w:t>
      </w:r>
      <w:proofErr w:type="gramStart"/>
      <w:r w:rsidRPr="00DE64C0">
        <w:t xml:space="preserve">Hannah </w:t>
      </w:r>
      <w:proofErr w:type="spellStart"/>
      <w:r w:rsidRPr="00DE64C0">
        <w:t>Holdsworth</w:t>
      </w:r>
      <w:proofErr w:type="spellEnd"/>
      <w:r w:rsidRPr="00DE64C0">
        <w:t>, University Hospitals of Leicester, Leicester.</w:t>
      </w:r>
      <w:proofErr w:type="gramEnd"/>
      <w:r w:rsidRPr="00DE64C0">
        <w:t xml:space="preserve"> </w:t>
      </w:r>
      <w:proofErr w:type="gramStart"/>
      <w:r w:rsidRPr="00DE64C0">
        <w:t>Rosie Horne, University of Leicester, Leicester.</w:t>
      </w:r>
      <w:proofErr w:type="gramEnd"/>
      <w:r w:rsidRPr="00DE64C0">
        <w:t xml:space="preserve"> </w:t>
      </w:r>
      <w:proofErr w:type="gramStart"/>
      <w:r w:rsidRPr="00DE64C0">
        <w:t xml:space="preserve">Zin </w:t>
      </w:r>
      <w:proofErr w:type="spellStart"/>
      <w:r w:rsidRPr="00DE64C0">
        <w:t>Zin</w:t>
      </w:r>
      <w:proofErr w:type="spellEnd"/>
      <w:r w:rsidRPr="00DE64C0">
        <w:t xml:space="preserve"> Htike, University Hospitals of Leicester, Leicester.</w:t>
      </w:r>
      <w:proofErr w:type="gramEnd"/>
      <w:r w:rsidRPr="00DE64C0">
        <w:t xml:space="preserve"> </w:t>
      </w:r>
      <w:proofErr w:type="spellStart"/>
      <w:proofErr w:type="gramStart"/>
      <w:r w:rsidRPr="00DE64C0">
        <w:t>Shenaz</w:t>
      </w:r>
      <w:proofErr w:type="spellEnd"/>
      <w:r w:rsidRPr="00DE64C0">
        <w:t xml:space="preserve"> Jamal, University Hospitals of Leicester, Leicester.</w:t>
      </w:r>
      <w:proofErr w:type="gramEnd"/>
      <w:r w:rsidRPr="00DE64C0">
        <w:t xml:space="preserve"> </w:t>
      </w:r>
      <w:proofErr w:type="gramStart"/>
      <w:r w:rsidRPr="00DE64C0">
        <w:t>Janet Jarvis, University Hospitals of Leicester, Leicester.</w:t>
      </w:r>
      <w:proofErr w:type="gramEnd"/>
      <w:r w:rsidRPr="00DE64C0">
        <w:t xml:space="preserve"> </w:t>
      </w:r>
      <w:proofErr w:type="gramStart"/>
      <w:r w:rsidRPr="00DE64C0">
        <w:t>Carolyn Johnson, University Hospitals of Leicester, Leicester.</w:t>
      </w:r>
      <w:proofErr w:type="gramEnd"/>
      <w:r w:rsidRPr="00DE64C0">
        <w:t xml:space="preserve"> </w:t>
      </w:r>
      <w:proofErr w:type="gramStart"/>
      <w:r w:rsidRPr="00DE64C0">
        <w:t>Janet Jones, University Hospitals of Leicester, Leicester.</w:t>
      </w:r>
      <w:proofErr w:type="gramEnd"/>
      <w:r w:rsidRPr="00DE64C0">
        <w:t xml:space="preserve"> </w:t>
      </w:r>
      <w:proofErr w:type="gramStart"/>
      <w:r w:rsidRPr="00DE64C0">
        <w:t xml:space="preserve">Kenneth Jones, University Hospitals of </w:t>
      </w:r>
      <w:r w:rsidRPr="00DE64C0">
        <w:lastRenderedPageBreak/>
        <w:t>Leicester, Leicester.</w:t>
      </w:r>
      <w:proofErr w:type="gramEnd"/>
      <w:r w:rsidRPr="00DE64C0">
        <w:t xml:space="preserve"> </w:t>
      </w:r>
      <w:proofErr w:type="spellStart"/>
      <w:proofErr w:type="gramStart"/>
      <w:r w:rsidRPr="00DE64C0">
        <w:t>Sabera</w:t>
      </w:r>
      <w:proofErr w:type="spellEnd"/>
      <w:r w:rsidRPr="00DE64C0">
        <w:t xml:space="preserve"> Khan, University Hospitals of Leicester, Leicester.</w:t>
      </w:r>
      <w:proofErr w:type="gramEnd"/>
      <w:r w:rsidRPr="00DE64C0">
        <w:t xml:space="preserve"> </w:t>
      </w:r>
      <w:proofErr w:type="gramStart"/>
      <w:r w:rsidRPr="00DE64C0">
        <w:t>Anita Khulpateea, University Hospitals of Leicester, Leicester.</w:t>
      </w:r>
      <w:proofErr w:type="gramEnd"/>
      <w:r w:rsidRPr="00DE64C0">
        <w:t xml:space="preserve"> </w:t>
      </w:r>
      <w:proofErr w:type="gramStart"/>
      <w:r w:rsidRPr="00DE64C0">
        <w:t>Jose Leal, University of Oxford.</w:t>
      </w:r>
      <w:proofErr w:type="gramEnd"/>
      <w:r w:rsidRPr="00DE64C0">
        <w:t xml:space="preserve"> </w:t>
      </w:r>
      <w:proofErr w:type="gramStart"/>
      <w:r w:rsidRPr="00DE64C0">
        <w:t>Judith Leonard, University Hospitals of Leicester, Leicester.</w:t>
      </w:r>
      <w:proofErr w:type="gramEnd"/>
      <w:r w:rsidRPr="00DE64C0">
        <w:t xml:space="preserve"> </w:t>
      </w:r>
      <w:proofErr w:type="gramStart"/>
      <w:r w:rsidRPr="00DE64C0">
        <w:t>Hamidreza Mani, University Hospitals of Leicester, Leicester.</w:t>
      </w:r>
      <w:proofErr w:type="gramEnd"/>
      <w:r w:rsidRPr="00DE64C0">
        <w:t xml:space="preserve"> </w:t>
      </w:r>
      <w:proofErr w:type="gramStart"/>
      <w:r w:rsidRPr="00DE64C0">
        <w:t>Lorraine Martin-Stacey, University Hospitals of Leicester, Leicester.</w:t>
      </w:r>
      <w:proofErr w:type="gramEnd"/>
      <w:r w:rsidRPr="00DE64C0">
        <w:t xml:space="preserve"> </w:t>
      </w:r>
      <w:proofErr w:type="gramStart"/>
      <w:r w:rsidRPr="00DE64C0">
        <w:t>Val Morgan, University Hospitals of Leicester, Leicester.</w:t>
      </w:r>
      <w:proofErr w:type="gramEnd"/>
      <w:r w:rsidRPr="00DE64C0">
        <w:t xml:space="preserve"> </w:t>
      </w:r>
      <w:proofErr w:type="gramStart"/>
      <w:r w:rsidRPr="00DE64C0">
        <w:t>Frances Morris, University Hospitals of Leicester, Leicester.</w:t>
      </w:r>
      <w:proofErr w:type="gramEnd"/>
      <w:r w:rsidRPr="00DE64C0">
        <w:t xml:space="preserve"> </w:t>
      </w:r>
      <w:proofErr w:type="gramStart"/>
      <w:r w:rsidRPr="00DE64C0">
        <w:t>Samiul Mostafa, University Hospitals of Leicester, Leicester.</w:t>
      </w:r>
      <w:proofErr w:type="gramEnd"/>
      <w:r w:rsidRPr="00DE64C0">
        <w:t xml:space="preserve"> </w:t>
      </w:r>
      <w:proofErr w:type="gramStart"/>
      <w:r w:rsidRPr="00DE64C0">
        <w:t>Alison Northern, University Hospitals of Leicester, Leicester.</w:t>
      </w:r>
      <w:proofErr w:type="gramEnd"/>
      <w:r w:rsidRPr="00DE64C0">
        <w:t xml:space="preserve"> </w:t>
      </w:r>
      <w:proofErr w:type="gramStart"/>
      <w:r w:rsidRPr="00DE64C0">
        <w:t>Kayleigh O’Brien, University Hospitals of Leicester, Leicester.</w:t>
      </w:r>
      <w:proofErr w:type="gramEnd"/>
      <w:r w:rsidRPr="00DE64C0">
        <w:t xml:space="preserve"> </w:t>
      </w:r>
      <w:proofErr w:type="gramStart"/>
      <w:r w:rsidRPr="00DE64C0">
        <w:t>Hersha Patel, University Hospitals of Leicester, Leicester.</w:t>
      </w:r>
      <w:proofErr w:type="gramEnd"/>
      <w:r w:rsidRPr="00DE64C0">
        <w:t xml:space="preserve"> </w:t>
      </w:r>
      <w:proofErr w:type="gramStart"/>
      <w:r w:rsidRPr="00DE64C0">
        <w:t>Naina Patel, University of Leicester, Leicester.</w:t>
      </w:r>
      <w:proofErr w:type="gramEnd"/>
      <w:r w:rsidRPr="00DE64C0">
        <w:t xml:space="preserve"> </w:t>
      </w:r>
      <w:proofErr w:type="gramStart"/>
      <w:r w:rsidRPr="00DE64C0">
        <w:t>Rachel Plummer, University Hospitals of Leicester, Leicester.</w:t>
      </w:r>
      <w:proofErr w:type="gramEnd"/>
      <w:r w:rsidRPr="00DE64C0">
        <w:t xml:space="preserve"> </w:t>
      </w:r>
      <w:proofErr w:type="gramStart"/>
      <w:r w:rsidRPr="00DE64C0">
        <w:t>Sheila Porter, University Hospitals of Leicester, Leicester.</w:t>
      </w:r>
      <w:proofErr w:type="gramEnd"/>
      <w:r w:rsidRPr="00DE64C0">
        <w:t xml:space="preserve"> </w:t>
      </w:r>
      <w:proofErr w:type="gramStart"/>
      <w:r w:rsidRPr="00DE64C0">
        <w:t>Mo Radia, University Hospitals of Leicester, Leicester.</w:t>
      </w:r>
      <w:proofErr w:type="gramEnd"/>
      <w:r w:rsidRPr="00DE64C0">
        <w:t xml:space="preserve"> </w:t>
      </w:r>
      <w:proofErr w:type="gramStart"/>
      <w:r w:rsidRPr="00DE64C0">
        <w:t>Kathryn Realf, University Hospitals of Leicester, Leicester.</w:t>
      </w:r>
      <w:proofErr w:type="gramEnd"/>
      <w:r w:rsidRPr="00DE64C0">
        <w:t xml:space="preserve"> </w:t>
      </w:r>
      <w:proofErr w:type="gramStart"/>
      <w:r w:rsidRPr="00DE64C0">
        <w:t>Dean Richmond, University Hospitals of Leicester, Leicester.</w:t>
      </w:r>
      <w:proofErr w:type="gramEnd"/>
      <w:r w:rsidRPr="00DE64C0">
        <w:t xml:space="preserve"> </w:t>
      </w:r>
      <w:proofErr w:type="gramStart"/>
      <w:r w:rsidRPr="00DE64C0">
        <w:t>Clare Russell, University of Leicester, Leicester.</w:t>
      </w:r>
      <w:proofErr w:type="gramEnd"/>
      <w:r w:rsidRPr="00DE64C0">
        <w:t xml:space="preserve"> </w:t>
      </w:r>
      <w:proofErr w:type="gramStart"/>
      <w:r w:rsidRPr="00DE64C0">
        <w:t xml:space="preserve">Rebecca </w:t>
      </w:r>
      <w:proofErr w:type="spellStart"/>
      <w:r w:rsidRPr="00DE64C0">
        <w:t>Saker</w:t>
      </w:r>
      <w:proofErr w:type="spellEnd"/>
      <w:r w:rsidRPr="00DE64C0">
        <w:t>, University Hospitals of Leicester, Leicester.</w:t>
      </w:r>
      <w:proofErr w:type="gramEnd"/>
      <w:r w:rsidRPr="00DE64C0">
        <w:t xml:space="preserve"> </w:t>
      </w:r>
      <w:proofErr w:type="gramStart"/>
      <w:r w:rsidRPr="00DE64C0">
        <w:t xml:space="preserve">Jane </w:t>
      </w:r>
      <w:proofErr w:type="spellStart"/>
      <w:r w:rsidRPr="00DE64C0">
        <w:t>Sennet</w:t>
      </w:r>
      <w:proofErr w:type="spellEnd"/>
      <w:r w:rsidRPr="00DE64C0">
        <w:t>, University Hospitals of Leicester, Leicester.</w:t>
      </w:r>
      <w:proofErr w:type="gramEnd"/>
      <w:r w:rsidRPr="00DE64C0">
        <w:t xml:space="preserve"> David Sheppard, Saffron Group Practice, Leicester. </w:t>
      </w:r>
      <w:proofErr w:type="gramStart"/>
      <w:r w:rsidRPr="00DE64C0">
        <w:t>Rebecca Spong, University of Leicester, Leicester.</w:t>
      </w:r>
      <w:proofErr w:type="gramEnd"/>
      <w:r w:rsidRPr="00DE64C0">
        <w:t xml:space="preserve"> </w:t>
      </w:r>
      <w:proofErr w:type="gramStart"/>
      <w:r w:rsidRPr="00DE64C0">
        <w:t>Bernie Stribling, University Hospitals of Leicester, Leicester.</w:t>
      </w:r>
      <w:proofErr w:type="gramEnd"/>
      <w:r w:rsidRPr="00DE64C0">
        <w:t xml:space="preserve"> </w:t>
      </w:r>
      <w:proofErr w:type="gramStart"/>
      <w:r w:rsidRPr="00DE64C0">
        <w:t>Margaret Stone, University of Leicester, Leicester.</w:t>
      </w:r>
      <w:proofErr w:type="gramEnd"/>
      <w:r w:rsidRPr="00DE64C0">
        <w:t xml:space="preserve"> </w:t>
      </w:r>
      <w:proofErr w:type="gramStart"/>
      <w:r w:rsidRPr="00DE64C0">
        <w:t>Nick Taub, University of Leicester, Leicester.</w:t>
      </w:r>
      <w:proofErr w:type="gramEnd"/>
      <w:r w:rsidRPr="00DE64C0">
        <w:t xml:space="preserve"> </w:t>
      </w:r>
      <w:proofErr w:type="gramStart"/>
      <w:r w:rsidRPr="00DE64C0">
        <w:t>David Webb, University of Leicester, Leicester.</w:t>
      </w:r>
      <w:proofErr w:type="gramEnd"/>
      <w:r w:rsidRPr="00DE64C0">
        <w:t xml:space="preserve"> </w:t>
      </w:r>
      <w:proofErr w:type="gramStart"/>
      <w:r w:rsidRPr="00DE64C0">
        <w:t>Emma Wilmott, University Hospitals of Leicester, Leicester.</w:t>
      </w:r>
      <w:proofErr w:type="gramEnd"/>
      <w:r w:rsidRPr="00DE64C0">
        <w:t xml:space="preserve"> </w:t>
      </w:r>
      <w:proofErr w:type="gramStart"/>
      <w:r w:rsidRPr="00DE64C0">
        <w:t>Carolina Wilson, University Hospitals of Leicester, Leicester.</w:t>
      </w:r>
      <w:proofErr w:type="gramEnd"/>
      <w:r w:rsidRPr="00DE64C0">
        <w:t xml:space="preserve"> </w:t>
      </w:r>
      <w:proofErr w:type="gramStart"/>
      <w:r w:rsidRPr="00DE64C0">
        <w:t>Panna Wilson, University Hospitals of Leicester, Leicester.</w:t>
      </w:r>
      <w:proofErr w:type="gramEnd"/>
      <w:r w:rsidRPr="00DE64C0">
        <w:t xml:space="preserve"> </w:t>
      </w:r>
    </w:p>
    <w:p w14:paraId="6DD3BCBB" w14:textId="77777777" w:rsidR="00AF3AB7" w:rsidRPr="00DE64C0" w:rsidRDefault="00AF3AB7" w:rsidP="00FF4C5F"/>
    <w:p w14:paraId="6EFC3D01" w14:textId="77777777" w:rsidR="00AF3AB7" w:rsidRPr="00DE64C0" w:rsidRDefault="00AF3AB7" w:rsidP="00FF4C5F">
      <w:r w:rsidRPr="00DE64C0">
        <w:t xml:space="preserve">Participating Practices: Dr Y B Shah &amp; Partners, Silverdale Medical Centre. </w:t>
      </w:r>
      <w:proofErr w:type="gramStart"/>
      <w:r w:rsidRPr="00DE64C0">
        <w:t xml:space="preserve">Leicester Medical Group </w:t>
      </w:r>
      <w:proofErr w:type="spellStart"/>
      <w:r w:rsidRPr="00DE64C0">
        <w:t>Aylestone</w:t>
      </w:r>
      <w:proofErr w:type="spellEnd"/>
      <w:r w:rsidRPr="00DE64C0">
        <w:t xml:space="preserve"> Rd Medical Centre.</w:t>
      </w:r>
      <w:proofErr w:type="gramEnd"/>
      <w:r w:rsidRPr="00DE64C0">
        <w:t xml:space="preserve"> Leicester Medical Group, Walnut Street Medical Centre. Dr J M Fry &amp; Partner (Dr Clay), </w:t>
      </w:r>
      <w:proofErr w:type="spellStart"/>
      <w:r w:rsidRPr="00DE64C0">
        <w:t>Rushey</w:t>
      </w:r>
      <w:proofErr w:type="spellEnd"/>
      <w:r w:rsidRPr="00DE64C0">
        <w:t xml:space="preserve"> Mead Health Centre. </w:t>
      </w:r>
      <w:proofErr w:type="gramStart"/>
      <w:r w:rsidRPr="00DE64C0">
        <w:t xml:space="preserve">Dr </w:t>
      </w:r>
      <w:proofErr w:type="spellStart"/>
      <w:r w:rsidRPr="00DE64C0">
        <w:t>Patchett</w:t>
      </w:r>
      <w:proofErr w:type="spellEnd"/>
      <w:r w:rsidRPr="00DE64C0">
        <w:t xml:space="preserve"> &amp; Partners, </w:t>
      </w:r>
      <w:proofErr w:type="spellStart"/>
      <w:r w:rsidRPr="00DE64C0">
        <w:t>Groby</w:t>
      </w:r>
      <w:proofErr w:type="spellEnd"/>
      <w:r w:rsidRPr="00DE64C0">
        <w:t xml:space="preserve"> Road Medical Centre.</w:t>
      </w:r>
      <w:proofErr w:type="gramEnd"/>
      <w:r w:rsidRPr="00DE64C0">
        <w:t xml:space="preserve"> Leicester Medical Group, </w:t>
      </w:r>
      <w:proofErr w:type="spellStart"/>
      <w:r w:rsidRPr="00DE64C0">
        <w:t>Thurmaston</w:t>
      </w:r>
      <w:proofErr w:type="spellEnd"/>
      <w:r w:rsidRPr="00DE64C0">
        <w:t xml:space="preserve"> Health centre. Dr </w:t>
      </w:r>
      <w:proofErr w:type="spellStart"/>
      <w:r w:rsidRPr="00DE64C0">
        <w:t>Mojaria</w:t>
      </w:r>
      <w:proofErr w:type="spellEnd"/>
      <w:r w:rsidRPr="00DE64C0">
        <w:t xml:space="preserve">, </w:t>
      </w:r>
      <w:proofErr w:type="spellStart"/>
      <w:r w:rsidRPr="00DE64C0">
        <w:t>Broadhurst</w:t>
      </w:r>
      <w:proofErr w:type="spellEnd"/>
      <w:r w:rsidRPr="00DE64C0">
        <w:t xml:space="preserve"> Street Medical Practice. Dr Clay &amp; Partners, </w:t>
      </w:r>
      <w:proofErr w:type="gramStart"/>
      <w:r w:rsidRPr="00DE64C0">
        <w:t>The</w:t>
      </w:r>
      <w:proofErr w:type="gramEnd"/>
      <w:r w:rsidRPr="00DE64C0">
        <w:t xml:space="preserve"> Banks Surgery. </w:t>
      </w:r>
      <w:proofErr w:type="gramStart"/>
      <w:r w:rsidRPr="00DE64C0">
        <w:t>Dr Brunskill &amp; Partners, Pinfold Medical Practice.</w:t>
      </w:r>
      <w:proofErr w:type="gramEnd"/>
      <w:r w:rsidRPr="00DE64C0">
        <w:t xml:space="preserve"> Dr Barlow &amp; Partners, </w:t>
      </w:r>
      <w:proofErr w:type="spellStart"/>
      <w:r w:rsidRPr="00DE64C0">
        <w:t>Quorn</w:t>
      </w:r>
      <w:proofErr w:type="spellEnd"/>
      <w:r w:rsidRPr="00DE64C0">
        <w:t xml:space="preserve"> Medical Centre. </w:t>
      </w:r>
      <w:proofErr w:type="gramStart"/>
      <w:r w:rsidRPr="00DE64C0">
        <w:t>Dr Clay &amp; Partners, Cottage Surgery.</w:t>
      </w:r>
      <w:proofErr w:type="gramEnd"/>
      <w:r w:rsidRPr="00DE64C0">
        <w:t xml:space="preserve"> Dr Joshi (Dr </w:t>
      </w:r>
      <w:proofErr w:type="spellStart"/>
      <w:r w:rsidRPr="00DE64C0">
        <w:t>Astles</w:t>
      </w:r>
      <w:proofErr w:type="spellEnd"/>
      <w:r w:rsidRPr="00DE64C0">
        <w:t xml:space="preserve"> &amp; Partners), </w:t>
      </w:r>
      <w:proofErr w:type="spellStart"/>
      <w:r w:rsidRPr="00DE64C0">
        <w:t>Willowbrook</w:t>
      </w:r>
      <w:proofErr w:type="spellEnd"/>
      <w:r w:rsidRPr="00DE64C0">
        <w:t xml:space="preserve"> Medical Centre. Dr G Singh </w:t>
      </w:r>
      <w:proofErr w:type="spellStart"/>
      <w:r w:rsidRPr="00DE64C0">
        <w:t>Pasley</w:t>
      </w:r>
      <w:proofErr w:type="spellEnd"/>
      <w:r w:rsidRPr="00DE64C0">
        <w:t xml:space="preserve"> Road Health Centre. Dr Ryan &amp; Partners, </w:t>
      </w:r>
      <w:proofErr w:type="spellStart"/>
      <w:r w:rsidRPr="00DE64C0">
        <w:t>Woodbrook</w:t>
      </w:r>
      <w:proofErr w:type="spellEnd"/>
      <w:r w:rsidRPr="00DE64C0">
        <w:t xml:space="preserve"> Medical Centre. Dr Lennox &amp; Partner, St Matthews Medical Centre. Dr </w:t>
      </w:r>
      <w:proofErr w:type="spellStart"/>
      <w:r w:rsidRPr="00DE64C0">
        <w:t>Prassad</w:t>
      </w:r>
      <w:proofErr w:type="spellEnd"/>
      <w:r w:rsidRPr="00DE64C0">
        <w:t xml:space="preserve">, Clarendon Park Rd Health Centre. </w:t>
      </w:r>
      <w:proofErr w:type="gramStart"/>
      <w:r w:rsidRPr="00DE64C0">
        <w:t xml:space="preserve">Dr G C </w:t>
      </w:r>
      <w:proofErr w:type="spellStart"/>
      <w:r w:rsidRPr="00DE64C0">
        <w:t>Ackerley</w:t>
      </w:r>
      <w:proofErr w:type="spellEnd"/>
      <w:r w:rsidRPr="00DE64C0">
        <w:t xml:space="preserve"> &amp; Partners (Dr </w:t>
      </w:r>
      <w:proofErr w:type="spellStart"/>
      <w:r w:rsidRPr="00DE64C0">
        <w:t>Bandrapalli</w:t>
      </w:r>
      <w:proofErr w:type="spellEnd"/>
      <w:r w:rsidRPr="00DE64C0">
        <w:t xml:space="preserve">), Beaumont Lodge previously known as </w:t>
      </w:r>
      <w:proofErr w:type="spellStart"/>
      <w:r w:rsidRPr="00DE64C0">
        <w:t>Heatherbrook</w:t>
      </w:r>
      <w:proofErr w:type="spellEnd"/>
      <w:r w:rsidRPr="00DE64C0">
        <w:t xml:space="preserve"> (</w:t>
      </w:r>
      <w:proofErr w:type="spellStart"/>
      <w:r w:rsidRPr="00DE64C0">
        <w:t>Astill</w:t>
      </w:r>
      <w:proofErr w:type="spellEnd"/>
      <w:r w:rsidRPr="00DE64C0">
        <w:t xml:space="preserve"> Lodge) Surgery (also site at </w:t>
      </w:r>
      <w:proofErr w:type="spellStart"/>
      <w:r w:rsidRPr="00DE64C0">
        <w:t>Baxters</w:t>
      </w:r>
      <w:proofErr w:type="spellEnd"/>
      <w:r w:rsidRPr="00DE64C0">
        <w:t xml:space="preserve"> Close).</w:t>
      </w:r>
      <w:proofErr w:type="gramEnd"/>
      <w:r w:rsidRPr="00DE64C0">
        <w:t xml:space="preserve"> Dr </w:t>
      </w:r>
      <w:proofErr w:type="spellStart"/>
      <w:r w:rsidRPr="00DE64C0">
        <w:t>Trzcinski</w:t>
      </w:r>
      <w:proofErr w:type="spellEnd"/>
      <w:r w:rsidRPr="00DE64C0">
        <w:t xml:space="preserve"> &amp; Partners, </w:t>
      </w:r>
      <w:proofErr w:type="spellStart"/>
      <w:r w:rsidRPr="00DE64C0">
        <w:t>Markfield</w:t>
      </w:r>
      <w:proofErr w:type="spellEnd"/>
      <w:r w:rsidRPr="00DE64C0">
        <w:t xml:space="preserve"> Medical Centre. </w:t>
      </w:r>
      <w:proofErr w:type="gramStart"/>
      <w:r w:rsidRPr="00DE64C0">
        <w:t xml:space="preserve">Dr Lewis &amp; Dr Patel, </w:t>
      </w:r>
      <w:proofErr w:type="spellStart"/>
      <w:r w:rsidRPr="00DE64C0">
        <w:t>Whitwick</w:t>
      </w:r>
      <w:proofErr w:type="spellEnd"/>
      <w:r w:rsidRPr="00DE64C0">
        <w:t xml:space="preserve"> Health Centre.</w:t>
      </w:r>
      <w:proofErr w:type="gramEnd"/>
      <w:r w:rsidRPr="00DE64C0">
        <w:t xml:space="preserve"> </w:t>
      </w:r>
      <w:proofErr w:type="gramStart"/>
      <w:r w:rsidRPr="00DE64C0">
        <w:t>Dr Davenport &amp; Partners, Newbold Verdon Medical Practice.</w:t>
      </w:r>
      <w:proofErr w:type="gramEnd"/>
      <w:r w:rsidRPr="00DE64C0">
        <w:t xml:space="preserve"> </w:t>
      </w:r>
      <w:proofErr w:type="gramStart"/>
      <w:r w:rsidRPr="00DE64C0">
        <w:t xml:space="preserve">Dr Wilmott &amp; Partners, </w:t>
      </w:r>
      <w:r w:rsidRPr="00DE64C0">
        <w:lastRenderedPageBreak/>
        <w:t>Castle Mead Medical Centre.</w:t>
      </w:r>
      <w:proofErr w:type="gramEnd"/>
      <w:r w:rsidRPr="00DE64C0">
        <w:t xml:space="preserve"> Dr Azar Farooqi, East Leicester Medical Practice. Dr Wilson &amp; Partners, </w:t>
      </w:r>
      <w:proofErr w:type="gramStart"/>
      <w:r w:rsidRPr="00DE64C0">
        <w:t>The</w:t>
      </w:r>
      <w:proofErr w:type="gramEnd"/>
      <w:r w:rsidRPr="00DE64C0">
        <w:t xml:space="preserve"> Old School Surgery. </w:t>
      </w:r>
      <w:proofErr w:type="gramStart"/>
      <w:r w:rsidRPr="00DE64C0">
        <w:t>Dr Bennett &amp; Partners, Market Harborough Medical Centre.</w:t>
      </w:r>
      <w:proofErr w:type="gramEnd"/>
      <w:r w:rsidRPr="00DE64C0">
        <w:t xml:space="preserve"> Dr D A </w:t>
      </w:r>
      <w:proofErr w:type="spellStart"/>
      <w:r w:rsidRPr="00DE64C0">
        <w:t>Nandha</w:t>
      </w:r>
      <w:proofErr w:type="spellEnd"/>
      <w:r w:rsidRPr="00DE64C0">
        <w:t xml:space="preserve">, Evington Medical Centre. Dr Maini &amp; Dr Roshan, </w:t>
      </w:r>
      <w:proofErr w:type="gramStart"/>
      <w:r w:rsidRPr="00DE64C0">
        <w:t>The</w:t>
      </w:r>
      <w:proofErr w:type="gramEnd"/>
      <w:r w:rsidRPr="00DE64C0">
        <w:t xml:space="preserve"> Willows Medical Centre. Dr Davies &amp; Partners, Ashby Health Centre. </w:t>
      </w:r>
      <w:proofErr w:type="gramStart"/>
      <w:r w:rsidRPr="00DE64C0">
        <w:t xml:space="preserve">Dr Palin (Dr </w:t>
      </w:r>
      <w:proofErr w:type="spellStart"/>
      <w:r w:rsidRPr="00DE64C0">
        <w:t>Prideaux</w:t>
      </w:r>
      <w:proofErr w:type="spellEnd"/>
      <w:r w:rsidRPr="00DE64C0">
        <w:t xml:space="preserve"> &amp; partners), </w:t>
      </w:r>
      <w:proofErr w:type="spellStart"/>
      <w:r w:rsidRPr="00DE64C0">
        <w:t>Bushloe</w:t>
      </w:r>
      <w:proofErr w:type="spellEnd"/>
      <w:r w:rsidRPr="00DE64C0">
        <w:t xml:space="preserve"> End Surgery.</w:t>
      </w:r>
      <w:proofErr w:type="gramEnd"/>
      <w:r w:rsidRPr="00DE64C0">
        <w:t xml:space="preserve"> Dr </w:t>
      </w:r>
      <w:proofErr w:type="spellStart"/>
      <w:r w:rsidRPr="00DE64C0">
        <w:t>Ghatora</w:t>
      </w:r>
      <w:proofErr w:type="spellEnd"/>
      <w:r w:rsidRPr="00DE64C0">
        <w:t xml:space="preserve">, </w:t>
      </w:r>
      <w:proofErr w:type="spellStart"/>
      <w:r w:rsidRPr="00DE64C0">
        <w:t>Shepshed</w:t>
      </w:r>
      <w:proofErr w:type="spellEnd"/>
      <w:r w:rsidRPr="00DE64C0">
        <w:t xml:space="preserve"> Health Centre. </w:t>
      </w:r>
      <w:proofErr w:type="gramStart"/>
      <w:r w:rsidRPr="00DE64C0">
        <w:t xml:space="preserve">Dr Woods &amp; Partners, </w:t>
      </w:r>
      <w:proofErr w:type="spellStart"/>
      <w:r w:rsidRPr="00DE64C0">
        <w:t>Hugglescote</w:t>
      </w:r>
      <w:proofErr w:type="spellEnd"/>
      <w:r w:rsidRPr="00DE64C0">
        <w:t xml:space="preserve"> Surgery.</w:t>
      </w:r>
      <w:proofErr w:type="gramEnd"/>
      <w:r w:rsidRPr="00DE64C0">
        <w:t xml:space="preserve"> Dr S </w:t>
      </w:r>
      <w:proofErr w:type="spellStart"/>
      <w:r w:rsidRPr="00DE64C0">
        <w:t>Mansingh</w:t>
      </w:r>
      <w:proofErr w:type="spellEnd"/>
      <w:r w:rsidRPr="00DE64C0">
        <w:t xml:space="preserve"> &amp; Dr SK </w:t>
      </w:r>
      <w:proofErr w:type="spellStart"/>
      <w:r w:rsidRPr="00DE64C0">
        <w:t>Dey</w:t>
      </w:r>
      <w:proofErr w:type="spellEnd"/>
      <w:r w:rsidRPr="00DE64C0">
        <w:t xml:space="preserve">, St Peters Health Centre. The Practice Asquith, Asquith Surgery. Dr H </w:t>
      </w:r>
      <w:proofErr w:type="spellStart"/>
      <w:r w:rsidRPr="00DE64C0">
        <w:t>Mukadam</w:t>
      </w:r>
      <w:proofErr w:type="spellEnd"/>
      <w:r w:rsidRPr="00DE64C0">
        <w:t xml:space="preserve">, Fosse Medical Centre. </w:t>
      </w:r>
      <w:proofErr w:type="gramStart"/>
      <w:r w:rsidRPr="00DE64C0">
        <w:t>The Practice Cross Street.</w:t>
      </w:r>
      <w:proofErr w:type="gramEnd"/>
      <w:r w:rsidRPr="00DE64C0">
        <w:t xml:space="preserve"> Dr </w:t>
      </w:r>
      <w:proofErr w:type="spellStart"/>
      <w:r w:rsidRPr="00DE64C0">
        <w:t>Bhutani</w:t>
      </w:r>
      <w:proofErr w:type="spellEnd"/>
      <w:r w:rsidRPr="00DE64C0">
        <w:t xml:space="preserve"> &amp; Partners, </w:t>
      </w:r>
      <w:proofErr w:type="spellStart"/>
      <w:r w:rsidRPr="00DE64C0">
        <w:t>Enderby</w:t>
      </w:r>
      <w:proofErr w:type="spellEnd"/>
      <w:r w:rsidRPr="00DE64C0">
        <w:t xml:space="preserve"> Medical Centre. </w:t>
      </w:r>
      <w:proofErr w:type="gramStart"/>
      <w:r w:rsidRPr="00DE64C0">
        <w:t xml:space="preserve">The Practice </w:t>
      </w:r>
      <w:proofErr w:type="spellStart"/>
      <w:r w:rsidRPr="00DE64C0">
        <w:t>Rushey</w:t>
      </w:r>
      <w:proofErr w:type="spellEnd"/>
      <w:r w:rsidRPr="00DE64C0">
        <w:t xml:space="preserve"> Mead.</w:t>
      </w:r>
      <w:proofErr w:type="gramEnd"/>
      <w:r w:rsidRPr="00DE64C0">
        <w:t xml:space="preserve"> The Practice - </w:t>
      </w:r>
      <w:proofErr w:type="spellStart"/>
      <w:r w:rsidRPr="00DE64C0">
        <w:t>Sayeed</w:t>
      </w:r>
      <w:proofErr w:type="spellEnd"/>
      <w:r w:rsidRPr="00DE64C0">
        <w:t xml:space="preserve"> Medical Centre. Dr JC Reynolds &amp; Partners (Dr Graham Johnson), </w:t>
      </w:r>
      <w:proofErr w:type="gramStart"/>
      <w:r w:rsidRPr="00DE64C0">
        <w:t>The</w:t>
      </w:r>
      <w:proofErr w:type="gramEnd"/>
      <w:r w:rsidRPr="00DE64C0">
        <w:t xml:space="preserve"> Wycliffe Medical Practice, </w:t>
      </w:r>
      <w:proofErr w:type="spellStart"/>
      <w:r w:rsidRPr="00DE64C0">
        <w:t>Lutterworth</w:t>
      </w:r>
      <w:proofErr w:type="spellEnd"/>
      <w:r w:rsidRPr="00DE64C0">
        <w:t xml:space="preserve"> Medical Centre. Dr Pathak/Dr Roshan, </w:t>
      </w:r>
      <w:proofErr w:type="spellStart"/>
      <w:r w:rsidRPr="00DE64C0">
        <w:t>Hazelmere</w:t>
      </w:r>
      <w:proofErr w:type="spellEnd"/>
      <w:r w:rsidRPr="00DE64C0">
        <w:t xml:space="preserve"> Medical Centre. </w:t>
      </w:r>
      <w:proofErr w:type="gramStart"/>
      <w:r w:rsidRPr="00DE64C0">
        <w:t>Dr B W Kinsella &amp; Partners</w:t>
      </w:r>
      <w:r w:rsidRPr="00DE64C0">
        <w:tab/>
        <w:t>Hockley Farm Heath &amp; Social Care Centre.</w:t>
      </w:r>
      <w:proofErr w:type="gramEnd"/>
      <w:r w:rsidRPr="00DE64C0">
        <w:t xml:space="preserve"> Dr </w:t>
      </w:r>
      <w:proofErr w:type="spellStart"/>
      <w:r w:rsidRPr="00DE64C0">
        <w:t>Shafi</w:t>
      </w:r>
      <w:proofErr w:type="spellEnd"/>
      <w:r w:rsidRPr="00DE64C0">
        <w:t xml:space="preserve">, Briton Street Surgery. Dr </w:t>
      </w:r>
      <w:proofErr w:type="spellStart"/>
      <w:r w:rsidRPr="00DE64C0">
        <w:t>Shafi</w:t>
      </w:r>
      <w:proofErr w:type="spellEnd"/>
      <w:r w:rsidRPr="00DE64C0">
        <w:t xml:space="preserve"> - </w:t>
      </w:r>
      <w:proofErr w:type="spellStart"/>
      <w:r w:rsidRPr="00DE64C0">
        <w:t>Westcotes</w:t>
      </w:r>
      <w:proofErr w:type="spellEnd"/>
      <w:r w:rsidRPr="00DE64C0">
        <w:t xml:space="preserve"> 1, </w:t>
      </w:r>
      <w:proofErr w:type="spellStart"/>
      <w:r w:rsidRPr="00DE64C0">
        <w:t>Westcotes</w:t>
      </w:r>
      <w:proofErr w:type="spellEnd"/>
      <w:r w:rsidRPr="00DE64C0">
        <w:t xml:space="preserve"> GP Surgery W1. Dr </w:t>
      </w:r>
      <w:proofErr w:type="spellStart"/>
      <w:r w:rsidRPr="00DE64C0">
        <w:t>Shafi</w:t>
      </w:r>
      <w:proofErr w:type="spellEnd"/>
      <w:r w:rsidRPr="00DE64C0">
        <w:t xml:space="preserve"> - </w:t>
      </w:r>
      <w:proofErr w:type="spellStart"/>
      <w:r w:rsidRPr="00DE64C0">
        <w:t>Westcotes</w:t>
      </w:r>
      <w:proofErr w:type="spellEnd"/>
      <w:r w:rsidRPr="00DE64C0">
        <w:t xml:space="preserve"> 2 </w:t>
      </w:r>
      <w:proofErr w:type="spellStart"/>
      <w:r w:rsidRPr="00DE64C0">
        <w:t>Westcotes</w:t>
      </w:r>
      <w:proofErr w:type="spellEnd"/>
      <w:r w:rsidRPr="00DE64C0">
        <w:t xml:space="preserve"> GP Surgery W2. </w:t>
      </w:r>
      <w:proofErr w:type="gramStart"/>
      <w:r w:rsidRPr="00DE64C0">
        <w:t xml:space="preserve">Dr Panton &amp; Partners </w:t>
      </w:r>
      <w:proofErr w:type="spellStart"/>
      <w:r w:rsidRPr="00DE64C0">
        <w:t>Oakmeadow</w:t>
      </w:r>
      <w:proofErr w:type="spellEnd"/>
      <w:r w:rsidRPr="00DE64C0">
        <w:t xml:space="preserve"> Surgery.</w:t>
      </w:r>
      <w:proofErr w:type="gramEnd"/>
      <w:r w:rsidRPr="00DE64C0">
        <w:t xml:space="preserve"> </w:t>
      </w:r>
    </w:p>
    <w:p w14:paraId="2787DDE3" w14:textId="09C24C38" w:rsidR="007D50D0" w:rsidRPr="00DE64C0" w:rsidRDefault="007D50D0" w:rsidP="00FF4C5F">
      <w:pPr>
        <w:rPr>
          <w:rFonts w:eastAsiaTheme="majorEastAsia" w:cstheme="majorBidi"/>
          <w:szCs w:val="20"/>
        </w:rPr>
      </w:pPr>
      <w:r w:rsidRPr="00DE64C0">
        <w:br w:type="page"/>
      </w:r>
    </w:p>
    <w:p w14:paraId="22581CAB" w14:textId="24F8A4F8" w:rsidR="001117D9" w:rsidRPr="00DE64C0" w:rsidRDefault="00FF4C5F" w:rsidP="00FF4C5F">
      <w:pPr>
        <w:rPr>
          <w:b/>
        </w:rPr>
      </w:pPr>
      <w:r w:rsidRPr="00DE64C0">
        <w:rPr>
          <w:b/>
        </w:rPr>
        <w:lastRenderedPageBreak/>
        <w:t>REFERENCES</w:t>
      </w:r>
    </w:p>
    <w:p w14:paraId="6E4748DB" w14:textId="77777777" w:rsidR="009A55BE" w:rsidRPr="00DE64C0" w:rsidRDefault="001117D9" w:rsidP="009A55BE">
      <w:pPr>
        <w:pStyle w:val="EndNoteBibliography"/>
      </w:pPr>
      <w:r w:rsidRPr="00DE64C0">
        <w:fldChar w:fldCharType="begin"/>
      </w:r>
      <w:r w:rsidRPr="00DE64C0">
        <w:instrText xml:space="preserve"> ADDIN EN.REFLIST </w:instrText>
      </w:r>
      <w:r w:rsidRPr="00DE64C0">
        <w:fldChar w:fldCharType="separate"/>
      </w:r>
      <w:r w:rsidR="009A55BE" w:rsidRPr="00DE64C0">
        <w:t>1.</w:t>
      </w:r>
      <w:r w:rsidR="009A55BE" w:rsidRPr="00DE64C0">
        <w:tab/>
        <w:t>Roper NA, Bilous RW, Kelly WF, Unwin NC, Connolly VM. Excess mortality in a population with diabetes and the impact of material deprivation: longitudinal, population based study. BMJ. 2001;322(7299):1389-93.</w:t>
      </w:r>
    </w:p>
    <w:p w14:paraId="3D719C2F" w14:textId="77777777" w:rsidR="009A55BE" w:rsidRPr="00DE64C0" w:rsidRDefault="009A55BE" w:rsidP="009A55BE">
      <w:pPr>
        <w:pStyle w:val="EndNoteBibliography"/>
      </w:pPr>
      <w:r w:rsidRPr="00DE64C0">
        <w:t>2.</w:t>
      </w:r>
      <w:r w:rsidRPr="00DE64C0">
        <w:tab/>
        <w:t>Hex N, Bartlett C, Wright D, Taylor M, Varley D. Estimating the current and future costs of Type 1 and Type 2 diabetes in the UK, including direct health costs and indirect societal and productivity costs. Diabet Med. 2012;29(7):855-62.</w:t>
      </w:r>
    </w:p>
    <w:p w14:paraId="64E3D23C" w14:textId="77777777" w:rsidR="009A55BE" w:rsidRPr="00DE64C0" w:rsidRDefault="009A55BE" w:rsidP="009A55BE">
      <w:pPr>
        <w:pStyle w:val="EndNoteBibliography"/>
      </w:pPr>
      <w:r w:rsidRPr="00DE64C0">
        <w:t>3.</w:t>
      </w:r>
      <w:r w:rsidRPr="00DE64C0">
        <w:tab/>
        <w:t>NHS. Five year forward view. 2014.</w:t>
      </w:r>
    </w:p>
    <w:p w14:paraId="465C7DB4" w14:textId="77777777" w:rsidR="009A55BE" w:rsidRPr="00DE64C0" w:rsidRDefault="009A55BE" w:rsidP="009A55BE">
      <w:pPr>
        <w:pStyle w:val="EndNoteBibliography"/>
      </w:pPr>
      <w:r w:rsidRPr="00DE64C0">
        <w:t>4.</w:t>
      </w:r>
      <w:r w:rsidRPr="00DE64C0">
        <w:tab/>
        <w:t>Gillies CL, Abrams KR, Lambert PC, Cooper NJ, Sutton AJ, Hsu RT, et al. Pharmacological and lifestyle interventions to prevent or delay type 2 diabetes in people with impaired glucose tolerance: systematic review and meta-analysis. BMJ. 2007;334(7588):299.</w:t>
      </w:r>
    </w:p>
    <w:p w14:paraId="5658755D" w14:textId="77777777" w:rsidR="009A55BE" w:rsidRPr="00DE64C0" w:rsidRDefault="009A55BE" w:rsidP="009A55BE">
      <w:pPr>
        <w:pStyle w:val="EndNoteBibliography"/>
      </w:pPr>
      <w:r w:rsidRPr="00DE64C0">
        <w:t>5.</w:t>
      </w:r>
      <w:r w:rsidRPr="00DE64C0">
        <w:tab/>
        <w:t>Tuomilehto J, Lindstrom J, Eriksson JG, Valle TT, Hamalainen H, Ilanne-Parikka P, et al. Prevention of Type 2 Diabetes Mellitus by changes in lifestyle among subjects with Impaired Glucose Tolerance. New England Journal of Medicine. 2001;344(18):1343-50.</w:t>
      </w:r>
    </w:p>
    <w:p w14:paraId="5C550350" w14:textId="77777777" w:rsidR="009A55BE" w:rsidRPr="00DE64C0" w:rsidRDefault="009A55BE" w:rsidP="009A55BE">
      <w:pPr>
        <w:pStyle w:val="EndNoteBibliography"/>
      </w:pPr>
      <w:r w:rsidRPr="00DE64C0">
        <w:t>6.</w:t>
      </w:r>
      <w:r w:rsidRPr="00DE64C0">
        <w:tab/>
        <w:t>Knowler WC, Barrett-Connor E, Fowler SE, Hamman RF, Lachin JM, Walker EA, et al. Reduction in the incidence of type 2 diabetes with lifestyle intervention or metformin. New England Journal of Medicine. 2002;346(6):393–403.</w:t>
      </w:r>
    </w:p>
    <w:p w14:paraId="243B7F46" w14:textId="77777777" w:rsidR="009A55BE" w:rsidRPr="00DE64C0" w:rsidRDefault="009A55BE" w:rsidP="009A55BE">
      <w:pPr>
        <w:pStyle w:val="EndNoteBibliography"/>
      </w:pPr>
      <w:r w:rsidRPr="00DE64C0">
        <w:t>7.</w:t>
      </w:r>
      <w:r w:rsidRPr="00DE64C0">
        <w:tab/>
        <w:t>Yates T, Davies M, Gorely T, Bull F, Khunti K. Effectiveness of a pragmatic education programme aimed at promoting walking activity in individuals with impaired glucose tolerance: a randomized controlled trial. . Diabetes Care. 2009;32(8):1404-10.</w:t>
      </w:r>
    </w:p>
    <w:p w14:paraId="00C71A12" w14:textId="77777777" w:rsidR="009A55BE" w:rsidRPr="00DE64C0" w:rsidRDefault="009A55BE" w:rsidP="009A55BE">
      <w:pPr>
        <w:pStyle w:val="EndNoteBibliography"/>
      </w:pPr>
      <w:r w:rsidRPr="00DE64C0">
        <w:t>8.</w:t>
      </w:r>
      <w:r w:rsidRPr="00DE64C0">
        <w:tab/>
        <w:t>Dyson PA, Hammersley MS, Morris RJ, Holman RR, Turner RC. The Fasting Hyperglycaemia Study: II. Randomized controlled trial of reinforced healthy-living advice in subjects with increased but not diabetic fasting plasma glucose. Metabolism 1997;46(12 Suppl 1):50-5.</w:t>
      </w:r>
    </w:p>
    <w:p w14:paraId="45C03697" w14:textId="77777777" w:rsidR="009A55BE" w:rsidRPr="00DE64C0" w:rsidRDefault="009A55BE" w:rsidP="009A55BE">
      <w:pPr>
        <w:pStyle w:val="EndNoteBibliography"/>
      </w:pPr>
      <w:r w:rsidRPr="00DE64C0">
        <w:t>9.</w:t>
      </w:r>
      <w:r w:rsidRPr="00DE64C0">
        <w:tab/>
        <w:t>Oldroyd JC, Unwin NC, White M, Mathers JC, Alberti KGMM. Randomised controlled trial evaluating lifestyle interventions in people with impaired glucose tolerance. Diabetes Research and Clinical Practice. 2006;72(2):117-27.</w:t>
      </w:r>
    </w:p>
    <w:p w14:paraId="389846EA" w14:textId="77777777" w:rsidR="009A55BE" w:rsidRPr="00DE64C0" w:rsidRDefault="009A55BE" w:rsidP="009A55BE">
      <w:pPr>
        <w:pStyle w:val="EndNoteBibliography"/>
      </w:pPr>
      <w:r w:rsidRPr="00DE64C0">
        <w:t>10.</w:t>
      </w:r>
      <w:r w:rsidRPr="00DE64C0">
        <w:tab/>
        <w:t>Bhopal RS, Douglas A, Wallia S, Forbes JF, Lean MEJ, Gill JMR, et al. Effect of a lifestyle intervention on weight change in south Asian individuals in the UK at high risk of type 2 diabetes: a family-cluster randomised controlled trial. The Lancet Diabetes &amp; Endocrinology. 2014;2(3):218-27.</w:t>
      </w:r>
    </w:p>
    <w:p w14:paraId="2C68B40A" w14:textId="77777777" w:rsidR="009A55BE" w:rsidRPr="00DE64C0" w:rsidRDefault="009A55BE" w:rsidP="009A55BE">
      <w:pPr>
        <w:pStyle w:val="EndNoteBibliography"/>
      </w:pPr>
      <w:r w:rsidRPr="00DE64C0">
        <w:t>11.</w:t>
      </w:r>
      <w:r w:rsidRPr="00DE64C0">
        <w:tab/>
        <w:t>Gray LJ, Davies MJ, Hiles S, Taub NA, Webb DR, Srinivasan BT, et al. Detection of impaired glucose regulation and/or type 2 diabetes mellitus, using primary care electronic data, in a multiethnic UK community setting. Diabetologia. 2012;55(4):959-66.</w:t>
      </w:r>
    </w:p>
    <w:p w14:paraId="2BFDCFCF" w14:textId="77777777" w:rsidR="009A55BE" w:rsidRPr="00DE64C0" w:rsidRDefault="009A55BE" w:rsidP="009A55BE">
      <w:pPr>
        <w:pStyle w:val="EndNoteBibliography"/>
      </w:pPr>
      <w:r w:rsidRPr="00DE64C0">
        <w:t>12.</w:t>
      </w:r>
      <w:r w:rsidRPr="00DE64C0">
        <w:tab/>
        <w:t>Gray LJ, Khunti K, Edwardson C, Goldby S, Henson J, Morris DH, et al. Implementation of the automated Leicester Practice Risk Score in two diabetes prevention trials provides a high yield of people with abnormal glucose tolerance. Diabetologia. 2012;55(12):3238-44.</w:t>
      </w:r>
    </w:p>
    <w:p w14:paraId="7BA0BFBA" w14:textId="77777777" w:rsidR="009A55BE" w:rsidRPr="00DE64C0" w:rsidRDefault="009A55BE" w:rsidP="009A55BE">
      <w:pPr>
        <w:pStyle w:val="EndNoteBibliography"/>
      </w:pPr>
      <w:r w:rsidRPr="00DE64C0">
        <w:t>13.</w:t>
      </w:r>
      <w:r w:rsidRPr="00DE64C0">
        <w:tab/>
        <w:t>Gray LJ, Khunti  K, Williams S, Goldby S, Troughton J, Yates T, et al. Let’s Prevent Diabetes: study protocol for a cluster randomised controlled trial of an educational intervention in a multi-ethnic UK population with screen detected impaired glucose regulation. . Cardiovascular Diabetology. 2012.</w:t>
      </w:r>
    </w:p>
    <w:p w14:paraId="4E31B2CA" w14:textId="77777777" w:rsidR="009A55BE" w:rsidRPr="00DE64C0" w:rsidRDefault="009A55BE" w:rsidP="009A55BE">
      <w:pPr>
        <w:pStyle w:val="EndNoteBibliography"/>
      </w:pPr>
      <w:r w:rsidRPr="00DE64C0">
        <w:t>14.</w:t>
      </w:r>
      <w:r w:rsidRPr="00DE64C0">
        <w:tab/>
        <w:t>Webb DR, Khunti K, Srinivasan B, Gray L, Taub N, Campbell S, et al. Rationale and design of the ADDITION-Leicester study, a systematic screening programme and randomised controlled trial of multi-factorial cardiovascular risk intervention in people with type 2 diabetes mellitus detected by screening. Trials. 2010;11:16.</w:t>
      </w:r>
    </w:p>
    <w:p w14:paraId="518F36DA" w14:textId="77777777" w:rsidR="009A55BE" w:rsidRPr="00DE64C0" w:rsidRDefault="009A55BE" w:rsidP="009A55BE">
      <w:pPr>
        <w:pStyle w:val="EndNoteBibliography"/>
      </w:pPr>
      <w:r w:rsidRPr="00DE64C0">
        <w:t>15.</w:t>
      </w:r>
      <w:r w:rsidRPr="00DE64C0">
        <w:tab/>
        <w:t>World Health Organisation. Definition, Diagnosis, and Classification of Diabetes Mellitus and its Complications. Report of a WHO consultation. Part 1: Diagnosis and Classification of Diabetes Mellitus. Report. Geneva: World Health Organisation, 1999.</w:t>
      </w:r>
    </w:p>
    <w:p w14:paraId="1A53C313" w14:textId="77777777" w:rsidR="009A55BE" w:rsidRPr="00DE64C0" w:rsidRDefault="009A55BE" w:rsidP="009A55BE">
      <w:pPr>
        <w:pStyle w:val="EndNoteBibliography"/>
      </w:pPr>
      <w:r w:rsidRPr="00DE64C0">
        <w:lastRenderedPageBreak/>
        <w:t>16.</w:t>
      </w:r>
      <w:r w:rsidRPr="00DE64C0">
        <w:tab/>
        <w:t>Davies M, Heller S, Skinner T, Campbell M, Carey M, Cradock S, et al. Effectiveness of the diabetes education and self management for ongoing and newly diagnosed (DESMOND) programme for people with newly diagnosed type 2 diabetes: cluster randomised controlled trial. British Medical Journal 2008;336(7642):491-5.</w:t>
      </w:r>
    </w:p>
    <w:p w14:paraId="16854711" w14:textId="77777777" w:rsidR="009A55BE" w:rsidRPr="00DE64C0" w:rsidRDefault="009A55BE" w:rsidP="009A55BE">
      <w:pPr>
        <w:pStyle w:val="EndNoteBibliography"/>
      </w:pPr>
      <w:r w:rsidRPr="00DE64C0">
        <w:t>17.</w:t>
      </w:r>
      <w:r w:rsidRPr="00DE64C0">
        <w:tab/>
        <w:t>Gillett M, Dallosso HM, Dixon S, Brennan A, Carey ME, Campbell MJ, et al. Delivering the diabetes education and self management for ongoing and newly diagnosed (DESMOND) programme for people with newly diagnosed type 2 diabetes: cost effectiveness analysis. BMJ. 2010;341:c4093.</w:t>
      </w:r>
    </w:p>
    <w:p w14:paraId="5BD02E06" w14:textId="77777777" w:rsidR="009A55BE" w:rsidRPr="00DE64C0" w:rsidRDefault="009A55BE" w:rsidP="009A55BE">
      <w:pPr>
        <w:pStyle w:val="EndNoteBibliography"/>
      </w:pPr>
      <w:r w:rsidRPr="00DE64C0">
        <w:t>18.</w:t>
      </w:r>
      <w:r w:rsidRPr="00DE64C0">
        <w:tab/>
        <w:t>World Health Organisation. Use of glycated haemoglobin (HbA1c) in the diagnosis of diabetes mellitus. Geneva: 2011.</w:t>
      </w:r>
    </w:p>
    <w:p w14:paraId="250E6FEA" w14:textId="77777777" w:rsidR="009A55BE" w:rsidRPr="00DE64C0" w:rsidRDefault="009A55BE" w:rsidP="009A55BE">
      <w:pPr>
        <w:pStyle w:val="EndNoteBibliography"/>
      </w:pPr>
      <w:r w:rsidRPr="00DE64C0">
        <w:t>19.</w:t>
      </w:r>
      <w:r w:rsidRPr="00DE64C0">
        <w:tab/>
        <w:t>Craig CL, Marshall AL, Sjöström M, Bauman AE, Booth ML, Ainsworth BE, et al. International physical activity questionnaire: 12-country reliability and validity. Medicine and Science in Sports and Exercise. 2003;35:1381-95.</w:t>
      </w:r>
    </w:p>
    <w:p w14:paraId="293D83A5" w14:textId="77777777" w:rsidR="009A55BE" w:rsidRPr="00DE64C0" w:rsidRDefault="009A55BE" w:rsidP="009A55BE">
      <w:pPr>
        <w:pStyle w:val="EndNoteBibliography"/>
      </w:pPr>
      <w:r w:rsidRPr="00DE64C0">
        <w:t>20.</w:t>
      </w:r>
      <w:r w:rsidRPr="00DE64C0">
        <w:tab/>
        <w:t>Roe L, Strong C, Whiteside C, Neil A, Mant D. Dietary intervention in primary care: Validity of the DINE method for diet assessment. Family practice 1994;11:375-81.</w:t>
      </w:r>
    </w:p>
    <w:p w14:paraId="3F56300D" w14:textId="77777777" w:rsidR="009A55BE" w:rsidRPr="00DE64C0" w:rsidRDefault="009A55BE" w:rsidP="009A55BE">
      <w:pPr>
        <w:pStyle w:val="EndNoteBibliography"/>
      </w:pPr>
      <w:r w:rsidRPr="00DE64C0">
        <w:t>21.</w:t>
      </w:r>
      <w:r w:rsidRPr="00DE64C0">
        <w:tab/>
        <w:t>Broadbent E, Petrie KJ, Main J, Weinman J. The brief illness perception questionnaire. Journal of Psychosomatic Research. 2006;60:631-7.</w:t>
      </w:r>
    </w:p>
    <w:p w14:paraId="4CE65D7E" w14:textId="77777777" w:rsidR="009A55BE" w:rsidRPr="00DE64C0" w:rsidRDefault="009A55BE" w:rsidP="009A55BE">
      <w:pPr>
        <w:pStyle w:val="EndNoteBibliography"/>
      </w:pPr>
      <w:r w:rsidRPr="00DE64C0">
        <w:t>22.</w:t>
      </w:r>
      <w:r w:rsidRPr="00DE64C0">
        <w:tab/>
        <w:t>Zigmond AS, Snaith RP. The hospital anxiety and depression scale. Acta Psychiatr Scand. 2006;67:361-70.</w:t>
      </w:r>
    </w:p>
    <w:p w14:paraId="45D6D06B" w14:textId="77777777" w:rsidR="009A55BE" w:rsidRPr="00DE64C0" w:rsidRDefault="009A55BE" w:rsidP="009A55BE">
      <w:pPr>
        <w:pStyle w:val="EndNoteBibliography"/>
      </w:pPr>
      <w:r w:rsidRPr="00DE64C0">
        <w:t>23.</w:t>
      </w:r>
      <w:r w:rsidRPr="00DE64C0">
        <w:tab/>
        <w:t>Sintonen H, Pekurinen M. A fifteen-dimensional measure of health-related quality of life (15D) and its applications. In: Walker SR, Rosser RM, editors. Quality of Life Assessment: Key Issues in the 1990s. Dordrecht: Kluwer Academic Publishers; 1993. p. 185-95.</w:t>
      </w:r>
    </w:p>
    <w:p w14:paraId="20887710" w14:textId="77777777" w:rsidR="009A55BE" w:rsidRPr="00DE64C0" w:rsidRDefault="009A55BE" w:rsidP="009A55BE">
      <w:pPr>
        <w:pStyle w:val="EndNoteBibliography"/>
      </w:pPr>
      <w:r w:rsidRPr="00DE64C0">
        <w:t>24.</w:t>
      </w:r>
      <w:r w:rsidRPr="00DE64C0">
        <w:tab/>
        <w:t>Gusi N, Olivares PR, Rajendram R. The EQ-5D Health-Related Quality of Life Questionnaire. In: Preedy. VR, Watson. RR, editors. Handbook of Disease Burdens and Quality of Life Measures New York: Springer; 2010. p. 87-99.</w:t>
      </w:r>
    </w:p>
    <w:p w14:paraId="508CE05A" w14:textId="77777777" w:rsidR="009A55BE" w:rsidRPr="00DE64C0" w:rsidRDefault="009A55BE" w:rsidP="009A55BE">
      <w:pPr>
        <w:pStyle w:val="EndNoteBibliography"/>
      </w:pPr>
      <w:r w:rsidRPr="00DE64C0">
        <w:t>25.</w:t>
      </w:r>
      <w:r w:rsidRPr="00DE64C0">
        <w:tab/>
        <w:t>Tudor-Locke C, Bassett DR. How many steps/day are enough? Preliminary pedometer indices for public health. Sports Med. 2004;34:1-8.</w:t>
      </w:r>
    </w:p>
    <w:p w14:paraId="3DB468F5" w14:textId="77777777" w:rsidR="009A55BE" w:rsidRPr="00DE64C0" w:rsidRDefault="009A55BE" w:rsidP="009A55BE">
      <w:pPr>
        <w:pStyle w:val="EndNoteBibliography"/>
      </w:pPr>
      <w:r w:rsidRPr="00DE64C0">
        <w:t>26.</w:t>
      </w:r>
      <w:r w:rsidRPr="00DE64C0">
        <w:tab/>
        <w:t>Rubin DB. Multiple Imputation for Nonresponse in Surveys. New York: John Wiley and Sons; 2004.</w:t>
      </w:r>
    </w:p>
    <w:p w14:paraId="748FACDF" w14:textId="77777777" w:rsidR="009A55BE" w:rsidRPr="00DE64C0" w:rsidRDefault="009A55BE" w:rsidP="009A55BE">
      <w:pPr>
        <w:pStyle w:val="EndNoteBibliography"/>
      </w:pPr>
      <w:r w:rsidRPr="00DE64C0">
        <w:t>27.</w:t>
      </w:r>
      <w:r w:rsidRPr="00DE64C0">
        <w:tab/>
        <w:t>Morris DH, Webb D, Achana F, Srinivasan B, Gray LJ, Davies MJ, et al. Progression rates from HbA1c 6.0-6.4% and other prediabetes definitions to type 2 diabetes: a meta-analysis.. . Diabetologia 2013;56(7):1489-1493.</w:t>
      </w:r>
    </w:p>
    <w:p w14:paraId="25C21509" w14:textId="77777777" w:rsidR="009A55BE" w:rsidRPr="00DE64C0" w:rsidRDefault="009A55BE" w:rsidP="009A55BE">
      <w:pPr>
        <w:pStyle w:val="EndNoteBibliography"/>
      </w:pPr>
      <w:r w:rsidRPr="00DE64C0">
        <w:t>28.</w:t>
      </w:r>
      <w:r w:rsidRPr="00DE64C0">
        <w:tab/>
        <w:t>Ramachandran A, Snehalatha C, Mary S, Mukesh B, Bhaskar AD, Vijay V, et al. The Indian Diabetes Prevention Programme shows that lifestyle modification and metformin prevent type 2 diabetes in Asian Indian subjects with impaired glucose tolerance (IDPP-1) Diabetologia. 2006;49(2):289-97.</w:t>
      </w:r>
    </w:p>
    <w:p w14:paraId="7C6024B6" w14:textId="77777777" w:rsidR="009A55BE" w:rsidRPr="00DE64C0" w:rsidRDefault="009A55BE" w:rsidP="009A55BE">
      <w:pPr>
        <w:pStyle w:val="EndNoteBibliography"/>
      </w:pPr>
      <w:r w:rsidRPr="00DE64C0">
        <w:t>29.</w:t>
      </w:r>
      <w:r w:rsidRPr="00DE64C0">
        <w:tab/>
        <w:t>Aujla N, Eborall HC, Stone M, Taub N, Davies MJ, Khunti K. Barriers to practice and patient recruitment to primary care based diabetes screening studies. Diabetic Med 2010;27(Suppl. 1):371.</w:t>
      </w:r>
    </w:p>
    <w:p w14:paraId="03EEB598" w14:textId="77777777" w:rsidR="009A55BE" w:rsidRPr="00DE64C0" w:rsidRDefault="009A55BE" w:rsidP="009A55BE">
      <w:pPr>
        <w:pStyle w:val="EndNoteBibliography"/>
      </w:pPr>
      <w:r w:rsidRPr="00DE64C0">
        <w:t>30.</w:t>
      </w:r>
      <w:r w:rsidRPr="00DE64C0">
        <w:tab/>
        <w:t>Webb DR, Gray LJ, Khunti K, Srinivasan B, Taub N, Campbell S, et al. Screening for diabetes using an oral glucose tolerance test within a western multi-ethnic population identifies modifiable cardiovascular risk: the ADDITION-Leicester study. In Press Diabetologia 2011 Jun 3. 2011.</w:t>
      </w:r>
    </w:p>
    <w:p w14:paraId="0397763A" w14:textId="77777777" w:rsidR="009A55BE" w:rsidRPr="00DE64C0" w:rsidRDefault="009A55BE" w:rsidP="009A55BE">
      <w:pPr>
        <w:pStyle w:val="EndNoteBibliography"/>
      </w:pPr>
      <w:r w:rsidRPr="00DE64C0">
        <w:t>31.</w:t>
      </w:r>
      <w:r w:rsidRPr="00DE64C0">
        <w:tab/>
        <w:t>Dalton ARH, Bottle A, Okoro C, Majeed A, Millett C. Uptake of the NHS Health Checks programme in a deprived, culturally diverse setting: cross-sectional study. Journal of Public Health. 2011;doi:10.1093.</w:t>
      </w:r>
    </w:p>
    <w:p w14:paraId="1FE3F6BA" w14:textId="77777777" w:rsidR="009A55BE" w:rsidRPr="00DE64C0" w:rsidRDefault="009A55BE" w:rsidP="009A55BE">
      <w:pPr>
        <w:pStyle w:val="EndNoteBibliography"/>
      </w:pPr>
      <w:r w:rsidRPr="00DE64C0">
        <w:t>32.</w:t>
      </w:r>
      <w:r w:rsidRPr="00DE64C0">
        <w:tab/>
        <w:t>Andrews RC, Cooper AR, Montgomery AA, Norcross AJ, Peters TJ, Sharp DJ, et al. Diet or diet plus physical activity versus usual care in patients with newly diagnosed type 2 diabetes: the Early ACTID randomised controlled trial. The Lancet.378(9786):129-39.</w:t>
      </w:r>
    </w:p>
    <w:p w14:paraId="538BCBDC" w14:textId="77777777" w:rsidR="009A55BE" w:rsidRPr="00DE64C0" w:rsidRDefault="009A55BE" w:rsidP="009A55BE">
      <w:pPr>
        <w:pStyle w:val="EndNoteBibliography"/>
      </w:pPr>
      <w:r w:rsidRPr="00DE64C0">
        <w:lastRenderedPageBreak/>
        <w:t>33.</w:t>
      </w:r>
      <w:r w:rsidRPr="00DE64C0">
        <w:tab/>
        <w:t>Freemantle N. Interpreting the results of secondary end points and subgroup analyses in clinical trials: should we lock the crazy aunt in the attic? BMJ : British Medical Journal. 2001;322(7292):989-91.</w:t>
      </w:r>
    </w:p>
    <w:p w14:paraId="2A5DB2C1" w14:textId="77777777" w:rsidR="009A55BE" w:rsidRPr="00DE64C0" w:rsidRDefault="009A55BE" w:rsidP="009A55BE">
      <w:pPr>
        <w:pStyle w:val="EndNoteBibliography"/>
      </w:pPr>
      <w:r w:rsidRPr="00DE64C0">
        <w:t>34.</w:t>
      </w:r>
      <w:r w:rsidRPr="00DE64C0">
        <w:tab/>
        <w:t>Lindström J, Louheranta A, Mannelin M, Rastas M, Salminen V, Eriksson J, et al. The Finnish Diabetes Prevention Study (DPS): Lifestyle intervention and 3-year results on diet and physical activity. Diabetes Care. 2003;26(12):3230-6.</w:t>
      </w:r>
    </w:p>
    <w:p w14:paraId="48D98739" w14:textId="77777777" w:rsidR="009A55BE" w:rsidRPr="00DE64C0" w:rsidRDefault="009A55BE" w:rsidP="009A55BE">
      <w:pPr>
        <w:pStyle w:val="EndNoteBibliography"/>
      </w:pPr>
      <w:r w:rsidRPr="00DE64C0">
        <w:t>35.</w:t>
      </w:r>
      <w:r w:rsidRPr="00DE64C0">
        <w:tab/>
        <w:t>Dunkley A, Bodicoat DH, Greaves CJ, Russell C, Yates T, Davies MJ, et al. Diabetes Prevention in the Real World: Effectiveness of Pragmatic Lifestyle Interventions for the Prevention of Type 2 Diabetes and of the Impact of Adherence to Guideline Recommendations. A Systematic Review and Meta-analysis. Diabetes Care. 2014;37:922-33.</w:t>
      </w:r>
    </w:p>
    <w:p w14:paraId="188F67A9" w14:textId="77777777" w:rsidR="009A55BE" w:rsidRPr="00DE64C0" w:rsidRDefault="009A55BE" w:rsidP="009A55BE">
      <w:pPr>
        <w:pStyle w:val="EndNoteBibliography"/>
      </w:pPr>
      <w:r w:rsidRPr="00DE64C0">
        <w:t>36.</w:t>
      </w:r>
      <w:r w:rsidRPr="00DE64C0">
        <w:tab/>
        <w:t>National Institute of Health and Clinical Excellence. Preventing type 2 diabetes: risk identification and interventions for individuals at high risk. London: NICE, 2012.</w:t>
      </w:r>
    </w:p>
    <w:p w14:paraId="220315F5" w14:textId="77777777" w:rsidR="009A55BE" w:rsidRPr="00DE64C0" w:rsidRDefault="009A55BE" w:rsidP="009A55BE">
      <w:pPr>
        <w:pStyle w:val="EndNoteBibliography"/>
      </w:pPr>
      <w:r w:rsidRPr="00DE64C0">
        <w:t>37.</w:t>
      </w:r>
      <w:r w:rsidRPr="00DE64C0">
        <w:tab/>
        <w:t>National Institute for Health and Clinical Excellence. Guidance on the use of Patient Education Models for Diabetes (Technology Appraisal 60) London: NICE, 2003.</w:t>
      </w:r>
    </w:p>
    <w:p w14:paraId="343A825B" w14:textId="77777777" w:rsidR="009A55BE" w:rsidRPr="00DE64C0" w:rsidRDefault="009A55BE" w:rsidP="009A55BE">
      <w:pPr>
        <w:pStyle w:val="EndNoteBibliography"/>
      </w:pPr>
      <w:r w:rsidRPr="00DE64C0">
        <w:t>38.</w:t>
      </w:r>
      <w:r w:rsidRPr="00DE64C0">
        <w:tab/>
        <w:t>Gillett M, Dallosso HM, Dixon S, Brennan A, Carey ME, Campbell MJ, et al. Delivering the diabetes education and self management for ongoing and newly diagnosed (DESMOND) programme for people with newly diagnosed type 2 diabetes: cost effectiveness analysis2010 2010-08-20 12:28:44.</w:t>
      </w:r>
    </w:p>
    <w:p w14:paraId="6D89F0D4" w14:textId="77777777" w:rsidR="009A55BE" w:rsidRPr="00DE64C0" w:rsidRDefault="009A55BE" w:rsidP="009A55BE">
      <w:pPr>
        <w:pStyle w:val="EndNoteBibliography"/>
      </w:pPr>
      <w:r w:rsidRPr="00DE64C0">
        <w:t>39.</w:t>
      </w:r>
      <w:r w:rsidRPr="00DE64C0">
        <w:tab/>
        <w:t>Leal J, Ahrabian D, Gray AM. Cost effectiveness of a pragmatic structured education intervention for type 2 diabetes: economic evaluation of data from the Let’s Prevent trial Submitted to BMJ. 2015.</w:t>
      </w:r>
    </w:p>
    <w:p w14:paraId="349DAE26" w14:textId="4D45CEBB" w:rsidR="001117D9" w:rsidRPr="001D0DC9" w:rsidRDefault="001117D9" w:rsidP="00FF4C5F">
      <w:pPr>
        <w:rPr>
          <w:rFonts w:cs="Times New Roman"/>
        </w:rPr>
      </w:pPr>
      <w:r w:rsidRPr="00DE64C0">
        <w:fldChar w:fldCharType="end"/>
      </w:r>
      <w:bookmarkStart w:id="9" w:name="_Ref405543753"/>
      <w:bookmarkStart w:id="10" w:name="_Toc406070632"/>
      <w:r w:rsidRPr="001117D9">
        <w:t xml:space="preserve"> </w:t>
      </w:r>
      <w:bookmarkEnd w:id="9"/>
      <w:bookmarkEnd w:id="10"/>
    </w:p>
    <w:sectPr w:rsidR="001117D9" w:rsidRPr="001D0DC9" w:rsidSect="00FF4C5F">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6D2135" w15:done="0"/>
  <w15:commentEx w15:paraId="586C8F0D" w15:done="0"/>
  <w15:commentEx w15:paraId="7EB4090D" w15:done="0"/>
  <w15:commentEx w15:paraId="5BCC3F7E" w15:done="0"/>
  <w15:commentEx w15:paraId="45ACA3B5" w15:done="0"/>
  <w15:commentEx w15:paraId="0B1135EB" w15:done="0"/>
  <w15:commentEx w15:paraId="55D1EA06" w15:done="0"/>
  <w15:commentEx w15:paraId="2E4E1FB6" w15:done="0"/>
  <w15:commentEx w15:paraId="06234A75" w15:done="0"/>
  <w15:commentEx w15:paraId="12EC2CF8" w15:done="0"/>
  <w15:commentEx w15:paraId="0985DDFE" w15:done="0"/>
  <w15:commentEx w15:paraId="6FA22014" w15:done="0"/>
  <w15:commentEx w15:paraId="39B5920E" w15:done="0"/>
  <w15:commentEx w15:paraId="05B1076B" w15:done="0"/>
  <w15:commentEx w15:paraId="73764FA9" w15:done="0"/>
  <w15:commentEx w15:paraId="1CDB04A7" w15:done="0"/>
  <w15:commentEx w15:paraId="3FC6AC11" w15:done="0"/>
  <w15:commentEx w15:paraId="4D14857F" w15:done="0"/>
  <w15:commentEx w15:paraId="194E30B2" w15:done="0"/>
  <w15:commentEx w15:paraId="67AECEB7" w15:done="0"/>
  <w15:commentEx w15:paraId="383D2935" w15:done="0"/>
  <w15:commentEx w15:paraId="56E31B25" w15:done="0"/>
  <w15:commentEx w15:paraId="1D62B138" w15:done="0"/>
  <w15:commentEx w15:paraId="0A53F017" w15:done="0"/>
  <w15:commentEx w15:paraId="6E357873" w15:done="0"/>
  <w15:commentEx w15:paraId="48C6C9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29543" w14:textId="77777777" w:rsidR="001740DF" w:rsidRDefault="001740DF" w:rsidP="001075E7">
      <w:pPr>
        <w:spacing w:line="240" w:lineRule="auto"/>
      </w:pPr>
      <w:r>
        <w:separator/>
      </w:r>
    </w:p>
  </w:endnote>
  <w:endnote w:type="continuationSeparator" w:id="0">
    <w:p w14:paraId="664B05C1" w14:textId="77777777" w:rsidR="001740DF" w:rsidRDefault="001740DF" w:rsidP="001075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face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418555"/>
      <w:docPartObj>
        <w:docPartGallery w:val="Page Numbers (Bottom of Page)"/>
        <w:docPartUnique/>
      </w:docPartObj>
    </w:sdtPr>
    <w:sdtEndPr>
      <w:rPr>
        <w:noProof/>
      </w:rPr>
    </w:sdtEndPr>
    <w:sdtContent>
      <w:p w14:paraId="63CBA0D6" w14:textId="39AF92C1" w:rsidR="001740DF" w:rsidRDefault="001740DF">
        <w:pPr>
          <w:pStyle w:val="Footer"/>
          <w:jc w:val="center"/>
        </w:pPr>
        <w:r>
          <w:fldChar w:fldCharType="begin"/>
        </w:r>
        <w:r>
          <w:instrText xml:space="preserve"> PAGE   \* MERGEFORMAT </w:instrText>
        </w:r>
        <w:r>
          <w:fldChar w:fldCharType="separate"/>
        </w:r>
        <w:r w:rsidR="00DE64C0">
          <w:rPr>
            <w:noProof/>
          </w:rPr>
          <w:t>31</w:t>
        </w:r>
        <w:r>
          <w:rPr>
            <w:noProof/>
          </w:rPr>
          <w:fldChar w:fldCharType="end"/>
        </w:r>
      </w:p>
    </w:sdtContent>
  </w:sdt>
  <w:p w14:paraId="0777340C" w14:textId="77777777" w:rsidR="001740DF" w:rsidRDefault="00174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837F1" w14:textId="77777777" w:rsidR="001740DF" w:rsidRDefault="001740DF" w:rsidP="001075E7">
      <w:pPr>
        <w:spacing w:line="240" w:lineRule="auto"/>
      </w:pPr>
      <w:r>
        <w:separator/>
      </w:r>
    </w:p>
  </w:footnote>
  <w:footnote w:type="continuationSeparator" w:id="0">
    <w:p w14:paraId="324088E2" w14:textId="77777777" w:rsidR="001740DF" w:rsidRDefault="001740DF" w:rsidP="001075E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35CE"/>
    <w:multiLevelType w:val="hybridMultilevel"/>
    <w:tmpl w:val="96A24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857994"/>
    <w:multiLevelType w:val="hybridMultilevel"/>
    <w:tmpl w:val="EE502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4E09E2"/>
    <w:multiLevelType w:val="hybridMultilevel"/>
    <w:tmpl w:val="9F8A0D88"/>
    <w:lvl w:ilvl="0" w:tplc="6534D5A0">
      <w:start w:val="1"/>
      <w:numFmt w:val="bullet"/>
      <w:pStyle w:val="Bullets"/>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stair gray">
    <w15:presenceInfo w15:providerId="Windows Live" w15:userId="a606482e74ba69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evzp0wtbzpeebedtwpperz9vszffvs0tsdt&quot;&gt;Let&amp;apos;s Prevent Refs 26.11.14&lt;record-ids&gt;&lt;item&gt;42&lt;/item&gt;&lt;item&gt;48&lt;/item&gt;&lt;item&gt;55&lt;/item&gt;&lt;item&gt;70&lt;/item&gt;&lt;item&gt;79&lt;/item&gt;&lt;item&gt;100&lt;/item&gt;&lt;item&gt;101&lt;/item&gt;&lt;item&gt;122&lt;/item&gt;&lt;item&gt;126&lt;/item&gt;&lt;item&gt;132&lt;/item&gt;&lt;item&gt;134&lt;/item&gt;&lt;item&gt;135&lt;/item&gt;&lt;item&gt;136&lt;/item&gt;&lt;item&gt;137&lt;/item&gt;&lt;item&gt;138&lt;/item&gt;&lt;item&gt;145&lt;/item&gt;&lt;item&gt;155&lt;/item&gt;&lt;item&gt;176&lt;/item&gt;&lt;item&gt;187&lt;/item&gt;&lt;item&gt;200&lt;/item&gt;&lt;item&gt;282&lt;/item&gt;&lt;item&gt;303&lt;/item&gt;&lt;item&gt;336&lt;/item&gt;&lt;item&gt;358&lt;/item&gt;&lt;item&gt;396&lt;/item&gt;&lt;item&gt;557&lt;/item&gt;&lt;item&gt;562&lt;/item&gt;&lt;item&gt;572&lt;/item&gt;&lt;item&gt;573&lt;/item&gt;&lt;item&gt;607&lt;/item&gt;&lt;item&gt;640&lt;/item&gt;&lt;item&gt;653&lt;/item&gt;&lt;item&gt;654&lt;/item&gt;&lt;item&gt;655&lt;/item&gt;&lt;item&gt;662&lt;/item&gt;&lt;item&gt;663&lt;/item&gt;&lt;item&gt;664&lt;/item&gt;&lt;item&gt;672&lt;/item&gt;&lt;item&gt;673&lt;/item&gt;&lt;/record-ids&gt;&lt;/item&gt;&lt;/Libraries&gt;"/>
  </w:docVars>
  <w:rsids>
    <w:rsidRoot w:val="00814D1C"/>
    <w:rsid w:val="000146CE"/>
    <w:rsid w:val="0002366F"/>
    <w:rsid w:val="00026139"/>
    <w:rsid w:val="00042F0A"/>
    <w:rsid w:val="00055CEA"/>
    <w:rsid w:val="00060689"/>
    <w:rsid w:val="00061EA6"/>
    <w:rsid w:val="0006698D"/>
    <w:rsid w:val="000858E8"/>
    <w:rsid w:val="00094716"/>
    <w:rsid w:val="000A32AC"/>
    <w:rsid w:val="000A3876"/>
    <w:rsid w:val="000A389A"/>
    <w:rsid w:val="000A5063"/>
    <w:rsid w:val="000A785C"/>
    <w:rsid w:val="000C16FD"/>
    <w:rsid w:val="000C26AD"/>
    <w:rsid w:val="000C5571"/>
    <w:rsid w:val="000C7673"/>
    <w:rsid w:val="000D4BFE"/>
    <w:rsid w:val="000E34CF"/>
    <w:rsid w:val="000E7CDE"/>
    <w:rsid w:val="00101AA2"/>
    <w:rsid w:val="00102E4B"/>
    <w:rsid w:val="00103867"/>
    <w:rsid w:val="00106C97"/>
    <w:rsid w:val="001075E7"/>
    <w:rsid w:val="001117D9"/>
    <w:rsid w:val="00111999"/>
    <w:rsid w:val="001148B2"/>
    <w:rsid w:val="00116EC8"/>
    <w:rsid w:val="0012013B"/>
    <w:rsid w:val="00131199"/>
    <w:rsid w:val="001322DF"/>
    <w:rsid w:val="001326CF"/>
    <w:rsid w:val="001338B2"/>
    <w:rsid w:val="0013432F"/>
    <w:rsid w:val="00135CE6"/>
    <w:rsid w:val="00135F89"/>
    <w:rsid w:val="00146BB4"/>
    <w:rsid w:val="001563A3"/>
    <w:rsid w:val="00157826"/>
    <w:rsid w:val="001605AD"/>
    <w:rsid w:val="001605BE"/>
    <w:rsid w:val="00163197"/>
    <w:rsid w:val="00164AA3"/>
    <w:rsid w:val="00165097"/>
    <w:rsid w:val="001735D3"/>
    <w:rsid w:val="001740DF"/>
    <w:rsid w:val="001878AA"/>
    <w:rsid w:val="0019215A"/>
    <w:rsid w:val="00195F77"/>
    <w:rsid w:val="00196F29"/>
    <w:rsid w:val="001A4839"/>
    <w:rsid w:val="001B0FCF"/>
    <w:rsid w:val="001B3D6E"/>
    <w:rsid w:val="001B664B"/>
    <w:rsid w:val="001B6BCB"/>
    <w:rsid w:val="001C17A4"/>
    <w:rsid w:val="001C3A3A"/>
    <w:rsid w:val="001C46F8"/>
    <w:rsid w:val="001C6562"/>
    <w:rsid w:val="001C788C"/>
    <w:rsid w:val="001D470D"/>
    <w:rsid w:val="001E169B"/>
    <w:rsid w:val="0021140B"/>
    <w:rsid w:val="00216CA3"/>
    <w:rsid w:val="00222C36"/>
    <w:rsid w:val="00231B64"/>
    <w:rsid w:val="00236575"/>
    <w:rsid w:val="0024524D"/>
    <w:rsid w:val="00245FE2"/>
    <w:rsid w:val="00255981"/>
    <w:rsid w:val="00256082"/>
    <w:rsid w:val="0026135C"/>
    <w:rsid w:val="00267630"/>
    <w:rsid w:val="00267921"/>
    <w:rsid w:val="0027132E"/>
    <w:rsid w:val="002721D2"/>
    <w:rsid w:val="00280B38"/>
    <w:rsid w:val="002843C4"/>
    <w:rsid w:val="00290249"/>
    <w:rsid w:val="002A5831"/>
    <w:rsid w:val="002A6F7F"/>
    <w:rsid w:val="002B0728"/>
    <w:rsid w:val="002B203B"/>
    <w:rsid w:val="002B45CA"/>
    <w:rsid w:val="002C020F"/>
    <w:rsid w:val="002C3ABF"/>
    <w:rsid w:val="002C4307"/>
    <w:rsid w:val="002C5E16"/>
    <w:rsid w:val="002C66A3"/>
    <w:rsid w:val="002D4260"/>
    <w:rsid w:val="002D4FB2"/>
    <w:rsid w:val="002E1264"/>
    <w:rsid w:val="002E58F2"/>
    <w:rsid w:val="002E63AB"/>
    <w:rsid w:val="002E6FA8"/>
    <w:rsid w:val="002F1BF3"/>
    <w:rsid w:val="002F5871"/>
    <w:rsid w:val="00301FD2"/>
    <w:rsid w:val="00302E97"/>
    <w:rsid w:val="003037A3"/>
    <w:rsid w:val="00303EE6"/>
    <w:rsid w:val="003058E5"/>
    <w:rsid w:val="00306288"/>
    <w:rsid w:val="003069C2"/>
    <w:rsid w:val="0031253F"/>
    <w:rsid w:val="00312E13"/>
    <w:rsid w:val="003132EF"/>
    <w:rsid w:val="003172C0"/>
    <w:rsid w:val="00324ADE"/>
    <w:rsid w:val="003267CA"/>
    <w:rsid w:val="00331A14"/>
    <w:rsid w:val="00342D47"/>
    <w:rsid w:val="003478AF"/>
    <w:rsid w:val="00356D78"/>
    <w:rsid w:val="00362468"/>
    <w:rsid w:val="00364E7B"/>
    <w:rsid w:val="00367E5D"/>
    <w:rsid w:val="00376525"/>
    <w:rsid w:val="0038481C"/>
    <w:rsid w:val="00384F3D"/>
    <w:rsid w:val="0039070C"/>
    <w:rsid w:val="003A20FD"/>
    <w:rsid w:val="003A5066"/>
    <w:rsid w:val="003B2CBC"/>
    <w:rsid w:val="003B5A70"/>
    <w:rsid w:val="003C53EA"/>
    <w:rsid w:val="003C5A01"/>
    <w:rsid w:val="003C5AD2"/>
    <w:rsid w:val="003C5BA4"/>
    <w:rsid w:val="003D1198"/>
    <w:rsid w:val="003D30B9"/>
    <w:rsid w:val="003D7E96"/>
    <w:rsid w:val="003E07FB"/>
    <w:rsid w:val="003E70C6"/>
    <w:rsid w:val="003F0344"/>
    <w:rsid w:val="003F05CC"/>
    <w:rsid w:val="003F3D27"/>
    <w:rsid w:val="00410D4B"/>
    <w:rsid w:val="00411759"/>
    <w:rsid w:val="00411E07"/>
    <w:rsid w:val="00411E80"/>
    <w:rsid w:val="0041795A"/>
    <w:rsid w:val="004179CE"/>
    <w:rsid w:val="004226ED"/>
    <w:rsid w:val="004277F8"/>
    <w:rsid w:val="00436C25"/>
    <w:rsid w:val="00440DD7"/>
    <w:rsid w:val="00443C77"/>
    <w:rsid w:val="00452800"/>
    <w:rsid w:val="00470972"/>
    <w:rsid w:val="004709C0"/>
    <w:rsid w:val="00473780"/>
    <w:rsid w:val="004775ED"/>
    <w:rsid w:val="00482CFE"/>
    <w:rsid w:val="0048433C"/>
    <w:rsid w:val="0048488C"/>
    <w:rsid w:val="00486685"/>
    <w:rsid w:val="0048747A"/>
    <w:rsid w:val="00492CBE"/>
    <w:rsid w:val="0049443E"/>
    <w:rsid w:val="00496551"/>
    <w:rsid w:val="004A5D40"/>
    <w:rsid w:val="004A6296"/>
    <w:rsid w:val="004A6716"/>
    <w:rsid w:val="004B41A7"/>
    <w:rsid w:val="004B4C72"/>
    <w:rsid w:val="004B7C65"/>
    <w:rsid w:val="004C059B"/>
    <w:rsid w:val="004C578B"/>
    <w:rsid w:val="004C661E"/>
    <w:rsid w:val="004D1D37"/>
    <w:rsid w:val="004D45A9"/>
    <w:rsid w:val="004E1935"/>
    <w:rsid w:val="004E2A2E"/>
    <w:rsid w:val="004E59A2"/>
    <w:rsid w:val="004E7113"/>
    <w:rsid w:val="004F18A6"/>
    <w:rsid w:val="004F1AE8"/>
    <w:rsid w:val="004F4803"/>
    <w:rsid w:val="004F56F4"/>
    <w:rsid w:val="00500952"/>
    <w:rsid w:val="005161AF"/>
    <w:rsid w:val="00524EA2"/>
    <w:rsid w:val="005250C3"/>
    <w:rsid w:val="00525FB8"/>
    <w:rsid w:val="005277A3"/>
    <w:rsid w:val="005304C6"/>
    <w:rsid w:val="005310B0"/>
    <w:rsid w:val="00532E5E"/>
    <w:rsid w:val="00536390"/>
    <w:rsid w:val="00537077"/>
    <w:rsid w:val="00547B83"/>
    <w:rsid w:val="005509A3"/>
    <w:rsid w:val="0056190B"/>
    <w:rsid w:val="00565119"/>
    <w:rsid w:val="005664B1"/>
    <w:rsid w:val="00566582"/>
    <w:rsid w:val="00566CE6"/>
    <w:rsid w:val="00576496"/>
    <w:rsid w:val="0058013B"/>
    <w:rsid w:val="00583EA6"/>
    <w:rsid w:val="00584581"/>
    <w:rsid w:val="00585725"/>
    <w:rsid w:val="00593B13"/>
    <w:rsid w:val="00593FFB"/>
    <w:rsid w:val="005952D3"/>
    <w:rsid w:val="005968CB"/>
    <w:rsid w:val="005A069F"/>
    <w:rsid w:val="005A1E19"/>
    <w:rsid w:val="005A406A"/>
    <w:rsid w:val="005A5F8A"/>
    <w:rsid w:val="005A662A"/>
    <w:rsid w:val="005B6D6D"/>
    <w:rsid w:val="005C7E29"/>
    <w:rsid w:val="005D469D"/>
    <w:rsid w:val="005D5504"/>
    <w:rsid w:val="005D6BF4"/>
    <w:rsid w:val="005E3962"/>
    <w:rsid w:val="005E4E52"/>
    <w:rsid w:val="005E7770"/>
    <w:rsid w:val="00602B50"/>
    <w:rsid w:val="0061331B"/>
    <w:rsid w:val="0062017B"/>
    <w:rsid w:val="006202E3"/>
    <w:rsid w:val="00624DDB"/>
    <w:rsid w:val="00625DE5"/>
    <w:rsid w:val="006312A5"/>
    <w:rsid w:val="00631B59"/>
    <w:rsid w:val="00637951"/>
    <w:rsid w:val="0065442F"/>
    <w:rsid w:val="00655D43"/>
    <w:rsid w:val="00664F54"/>
    <w:rsid w:val="006741AC"/>
    <w:rsid w:val="00674517"/>
    <w:rsid w:val="00674985"/>
    <w:rsid w:val="006808CD"/>
    <w:rsid w:val="00680CD7"/>
    <w:rsid w:val="00685E22"/>
    <w:rsid w:val="00690F86"/>
    <w:rsid w:val="006A065B"/>
    <w:rsid w:val="006A6ECA"/>
    <w:rsid w:val="006B3C40"/>
    <w:rsid w:val="006B7F5D"/>
    <w:rsid w:val="006C1587"/>
    <w:rsid w:val="006C2E52"/>
    <w:rsid w:val="006C42B0"/>
    <w:rsid w:val="006C6D25"/>
    <w:rsid w:val="006E6195"/>
    <w:rsid w:val="006E6B64"/>
    <w:rsid w:val="007025A8"/>
    <w:rsid w:val="00704066"/>
    <w:rsid w:val="00707993"/>
    <w:rsid w:val="00714551"/>
    <w:rsid w:val="00722943"/>
    <w:rsid w:val="00727B18"/>
    <w:rsid w:val="00732655"/>
    <w:rsid w:val="0073475C"/>
    <w:rsid w:val="00737A23"/>
    <w:rsid w:val="007472DB"/>
    <w:rsid w:val="00762047"/>
    <w:rsid w:val="00763526"/>
    <w:rsid w:val="0076373B"/>
    <w:rsid w:val="00772158"/>
    <w:rsid w:val="00772A3D"/>
    <w:rsid w:val="007749C8"/>
    <w:rsid w:val="0077659F"/>
    <w:rsid w:val="007776A0"/>
    <w:rsid w:val="00795599"/>
    <w:rsid w:val="007A18D7"/>
    <w:rsid w:val="007A465B"/>
    <w:rsid w:val="007A60DB"/>
    <w:rsid w:val="007B3E92"/>
    <w:rsid w:val="007B65C0"/>
    <w:rsid w:val="007C1955"/>
    <w:rsid w:val="007C408E"/>
    <w:rsid w:val="007D2636"/>
    <w:rsid w:val="007D3D16"/>
    <w:rsid w:val="007D50D0"/>
    <w:rsid w:val="007D6700"/>
    <w:rsid w:val="007E2C4D"/>
    <w:rsid w:val="007E3227"/>
    <w:rsid w:val="007E430A"/>
    <w:rsid w:val="007E6ACC"/>
    <w:rsid w:val="007F4B05"/>
    <w:rsid w:val="007F66D3"/>
    <w:rsid w:val="007F68D1"/>
    <w:rsid w:val="00802CF4"/>
    <w:rsid w:val="00804728"/>
    <w:rsid w:val="008114F7"/>
    <w:rsid w:val="00814A9F"/>
    <w:rsid w:val="00814D1C"/>
    <w:rsid w:val="0081630D"/>
    <w:rsid w:val="008173FA"/>
    <w:rsid w:val="008178D6"/>
    <w:rsid w:val="00820035"/>
    <w:rsid w:val="008256BA"/>
    <w:rsid w:val="008314F6"/>
    <w:rsid w:val="00835CE3"/>
    <w:rsid w:val="008363E6"/>
    <w:rsid w:val="008468D1"/>
    <w:rsid w:val="008471CA"/>
    <w:rsid w:val="00853BDD"/>
    <w:rsid w:val="008647C3"/>
    <w:rsid w:val="00865AE5"/>
    <w:rsid w:val="00871B06"/>
    <w:rsid w:val="0087257F"/>
    <w:rsid w:val="00872C87"/>
    <w:rsid w:val="00875E1F"/>
    <w:rsid w:val="00884B02"/>
    <w:rsid w:val="008871E2"/>
    <w:rsid w:val="008918CF"/>
    <w:rsid w:val="008962B5"/>
    <w:rsid w:val="008A1018"/>
    <w:rsid w:val="008A114F"/>
    <w:rsid w:val="008A1536"/>
    <w:rsid w:val="008A27F2"/>
    <w:rsid w:val="008B43DE"/>
    <w:rsid w:val="008C040F"/>
    <w:rsid w:val="008C0F36"/>
    <w:rsid w:val="008C2C43"/>
    <w:rsid w:val="008C5331"/>
    <w:rsid w:val="008D42AB"/>
    <w:rsid w:val="008D632D"/>
    <w:rsid w:val="008D7191"/>
    <w:rsid w:val="008E06D9"/>
    <w:rsid w:val="008E1694"/>
    <w:rsid w:val="008F1106"/>
    <w:rsid w:val="008F28D3"/>
    <w:rsid w:val="008F4142"/>
    <w:rsid w:val="008F725E"/>
    <w:rsid w:val="0091458E"/>
    <w:rsid w:val="00921FC2"/>
    <w:rsid w:val="00923110"/>
    <w:rsid w:val="00923805"/>
    <w:rsid w:val="009310C1"/>
    <w:rsid w:val="009313B1"/>
    <w:rsid w:val="009323FC"/>
    <w:rsid w:val="009417C4"/>
    <w:rsid w:val="00944452"/>
    <w:rsid w:val="009655D8"/>
    <w:rsid w:val="009668AA"/>
    <w:rsid w:val="00967EEC"/>
    <w:rsid w:val="009764B5"/>
    <w:rsid w:val="00981B16"/>
    <w:rsid w:val="00982198"/>
    <w:rsid w:val="009858F7"/>
    <w:rsid w:val="0098676D"/>
    <w:rsid w:val="009867C6"/>
    <w:rsid w:val="009901F1"/>
    <w:rsid w:val="0099033A"/>
    <w:rsid w:val="00991380"/>
    <w:rsid w:val="00991CC9"/>
    <w:rsid w:val="00993D3A"/>
    <w:rsid w:val="009A1C1A"/>
    <w:rsid w:val="009A3D9D"/>
    <w:rsid w:val="009A55BE"/>
    <w:rsid w:val="009A5660"/>
    <w:rsid w:val="009A7BDA"/>
    <w:rsid w:val="009B5ADC"/>
    <w:rsid w:val="009C73FD"/>
    <w:rsid w:val="009D1B27"/>
    <w:rsid w:val="009E07F5"/>
    <w:rsid w:val="009E3CC9"/>
    <w:rsid w:val="009E6006"/>
    <w:rsid w:val="009F2854"/>
    <w:rsid w:val="009F43E2"/>
    <w:rsid w:val="00A07857"/>
    <w:rsid w:val="00A11382"/>
    <w:rsid w:val="00A30EF1"/>
    <w:rsid w:val="00A315B7"/>
    <w:rsid w:val="00A31845"/>
    <w:rsid w:val="00A34628"/>
    <w:rsid w:val="00A34FBB"/>
    <w:rsid w:val="00A357D8"/>
    <w:rsid w:val="00A36273"/>
    <w:rsid w:val="00A37409"/>
    <w:rsid w:val="00A45834"/>
    <w:rsid w:val="00A52601"/>
    <w:rsid w:val="00A556F8"/>
    <w:rsid w:val="00A732FC"/>
    <w:rsid w:val="00A84F09"/>
    <w:rsid w:val="00A91DAE"/>
    <w:rsid w:val="00A9245B"/>
    <w:rsid w:val="00A9322B"/>
    <w:rsid w:val="00AA73AF"/>
    <w:rsid w:val="00AB5ECD"/>
    <w:rsid w:val="00AC2794"/>
    <w:rsid w:val="00AD5C43"/>
    <w:rsid w:val="00AE039A"/>
    <w:rsid w:val="00AE4935"/>
    <w:rsid w:val="00AE6594"/>
    <w:rsid w:val="00AF3AB7"/>
    <w:rsid w:val="00B07B4A"/>
    <w:rsid w:val="00B14346"/>
    <w:rsid w:val="00B17F08"/>
    <w:rsid w:val="00B24D64"/>
    <w:rsid w:val="00B251D9"/>
    <w:rsid w:val="00B25B01"/>
    <w:rsid w:val="00B348DB"/>
    <w:rsid w:val="00B34B51"/>
    <w:rsid w:val="00B41730"/>
    <w:rsid w:val="00B421F1"/>
    <w:rsid w:val="00B47BA6"/>
    <w:rsid w:val="00B575A4"/>
    <w:rsid w:val="00B621A8"/>
    <w:rsid w:val="00B738C0"/>
    <w:rsid w:val="00B84B15"/>
    <w:rsid w:val="00B86A1E"/>
    <w:rsid w:val="00B86D8D"/>
    <w:rsid w:val="00B91B03"/>
    <w:rsid w:val="00B9625F"/>
    <w:rsid w:val="00BA015D"/>
    <w:rsid w:val="00BA071C"/>
    <w:rsid w:val="00BA3A47"/>
    <w:rsid w:val="00BA6791"/>
    <w:rsid w:val="00BA679D"/>
    <w:rsid w:val="00BB3E36"/>
    <w:rsid w:val="00BB4448"/>
    <w:rsid w:val="00BC0C48"/>
    <w:rsid w:val="00BC576E"/>
    <w:rsid w:val="00BC7967"/>
    <w:rsid w:val="00BD25EB"/>
    <w:rsid w:val="00BD36DA"/>
    <w:rsid w:val="00BD3A99"/>
    <w:rsid w:val="00BD6330"/>
    <w:rsid w:val="00BE552D"/>
    <w:rsid w:val="00BE5F55"/>
    <w:rsid w:val="00BF1648"/>
    <w:rsid w:val="00BF3C6D"/>
    <w:rsid w:val="00BF6377"/>
    <w:rsid w:val="00BF74BB"/>
    <w:rsid w:val="00C05413"/>
    <w:rsid w:val="00C14A5F"/>
    <w:rsid w:val="00C14BF3"/>
    <w:rsid w:val="00C202FE"/>
    <w:rsid w:val="00C22DB2"/>
    <w:rsid w:val="00C23716"/>
    <w:rsid w:val="00C26090"/>
    <w:rsid w:val="00C33649"/>
    <w:rsid w:val="00C34342"/>
    <w:rsid w:val="00C4218E"/>
    <w:rsid w:val="00C44C4E"/>
    <w:rsid w:val="00C45742"/>
    <w:rsid w:val="00C47223"/>
    <w:rsid w:val="00C52BA4"/>
    <w:rsid w:val="00C558EE"/>
    <w:rsid w:val="00C57997"/>
    <w:rsid w:val="00C57EB0"/>
    <w:rsid w:val="00C6169A"/>
    <w:rsid w:val="00C728F6"/>
    <w:rsid w:val="00C74086"/>
    <w:rsid w:val="00C82AD0"/>
    <w:rsid w:val="00C82E0A"/>
    <w:rsid w:val="00C8660D"/>
    <w:rsid w:val="00C87384"/>
    <w:rsid w:val="00C9425B"/>
    <w:rsid w:val="00CA3290"/>
    <w:rsid w:val="00CA4EA6"/>
    <w:rsid w:val="00CB28B7"/>
    <w:rsid w:val="00CC1A3E"/>
    <w:rsid w:val="00CC2B91"/>
    <w:rsid w:val="00CC2D8E"/>
    <w:rsid w:val="00CC3868"/>
    <w:rsid w:val="00CC4B30"/>
    <w:rsid w:val="00CC5592"/>
    <w:rsid w:val="00CC69E0"/>
    <w:rsid w:val="00CD1470"/>
    <w:rsid w:val="00CD6B67"/>
    <w:rsid w:val="00CE5531"/>
    <w:rsid w:val="00CE7757"/>
    <w:rsid w:val="00CF04D9"/>
    <w:rsid w:val="00CF1B83"/>
    <w:rsid w:val="00CF40AB"/>
    <w:rsid w:val="00CF55E5"/>
    <w:rsid w:val="00CF6FF9"/>
    <w:rsid w:val="00CF7BA5"/>
    <w:rsid w:val="00D04E4E"/>
    <w:rsid w:val="00D23C5D"/>
    <w:rsid w:val="00D24441"/>
    <w:rsid w:val="00D259A0"/>
    <w:rsid w:val="00D26765"/>
    <w:rsid w:val="00D31941"/>
    <w:rsid w:val="00D335D5"/>
    <w:rsid w:val="00D346DF"/>
    <w:rsid w:val="00D35238"/>
    <w:rsid w:val="00D36B8D"/>
    <w:rsid w:val="00D40C87"/>
    <w:rsid w:val="00D41669"/>
    <w:rsid w:val="00D44851"/>
    <w:rsid w:val="00D50213"/>
    <w:rsid w:val="00D550AF"/>
    <w:rsid w:val="00D61D1A"/>
    <w:rsid w:val="00D63970"/>
    <w:rsid w:val="00D63CEB"/>
    <w:rsid w:val="00D64D18"/>
    <w:rsid w:val="00D67DD1"/>
    <w:rsid w:val="00D7149C"/>
    <w:rsid w:val="00D766F6"/>
    <w:rsid w:val="00D81A29"/>
    <w:rsid w:val="00D82044"/>
    <w:rsid w:val="00D926C3"/>
    <w:rsid w:val="00DA3BAD"/>
    <w:rsid w:val="00DA427A"/>
    <w:rsid w:val="00DA6D3A"/>
    <w:rsid w:val="00DB483B"/>
    <w:rsid w:val="00DB7E1A"/>
    <w:rsid w:val="00DC1614"/>
    <w:rsid w:val="00DC2844"/>
    <w:rsid w:val="00DC2884"/>
    <w:rsid w:val="00DD3DA8"/>
    <w:rsid w:val="00DD3FB1"/>
    <w:rsid w:val="00DE0A57"/>
    <w:rsid w:val="00DE64C0"/>
    <w:rsid w:val="00DF024C"/>
    <w:rsid w:val="00E01867"/>
    <w:rsid w:val="00E05829"/>
    <w:rsid w:val="00E168EA"/>
    <w:rsid w:val="00E243B3"/>
    <w:rsid w:val="00E34989"/>
    <w:rsid w:val="00E37430"/>
    <w:rsid w:val="00E40836"/>
    <w:rsid w:val="00E41119"/>
    <w:rsid w:val="00E447C8"/>
    <w:rsid w:val="00E46525"/>
    <w:rsid w:val="00E5371D"/>
    <w:rsid w:val="00E5414A"/>
    <w:rsid w:val="00E55E64"/>
    <w:rsid w:val="00E56759"/>
    <w:rsid w:val="00E56F41"/>
    <w:rsid w:val="00E62B4A"/>
    <w:rsid w:val="00E6347A"/>
    <w:rsid w:val="00E706E2"/>
    <w:rsid w:val="00E74CB0"/>
    <w:rsid w:val="00E82A2C"/>
    <w:rsid w:val="00E82AAF"/>
    <w:rsid w:val="00E92898"/>
    <w:rsid w:val="00EA1FCD"/>
    <w:rsid w:val="00EA5FCB"/>
    <w:rsid w:val="00EB073E"/>
    <w:rsid w:val="00EB36C1"/>
    <w:rsid w:val="00EC4DA8"/>
    <w:rsid w:val="00EC5F82"/>
    <w:rsid w:val="00EC7784"/>
    <w:rsid w:val="00ED073F"/>
    <w:rsid w:val="00ED2A77"/>
    <w:rsid w:val="00ED6F9D"/>
    <w:rsid w:val="00EE0D49"/>
    <w:rsid w:val="00EE578A"/>
    <w:rsid w:val="00EF7F24"/>
    <w:rsid w:val="00F01356"/>
    <w:rsid w:val="00F10638"/>
    <w:rsid w:val="00F14316"/>
    <w:rsid w:val="00F2102C"/>
    <w:rsid w:val="00F24398"/>
    <w:rsid w:val="00F30386"/>
    <w:rsid w:val="00F30DCB"/>
    <w:rsid w:val="00F4048A"/>
    <w:rsid w:val="00F40E78"/>
    <w:rsid w:val="00F46E93"/>
    <w:rsid w:val="00F501E0"/>
    <w:rsid w:val="00F62206"/>
    <w:rsid w:val="00F715EA"/>
    <w:rsid w:val="00F753B5"/>
    <w:rsid w:val="00F76808"/>
    <w:rsid w:val="00F82E77"/>
    <w:rsid w:val="00F83C29"/>
    <w:rsid w:val="00F83C69"/>
    <w:rsid w:val="00F901AC"/>
    <w:rsid w:val="00F90241"/>
    <w:rsid w:val="00F951AE"/>
    <w:rsid w:val="00F96387"/>
    <w:rsid w:val="00FA6019"/>
    <w:rsid w:val="00FA7CA0"/>
    <w:rsid w:val="00FB25AB"/>
    <w:rsid w:val="00FC1380"/>
    <w:rsid w:val="00FC7D09"/>
    <w:rsid w:val="00FD028E"/>
    <w:rsid w:val="00FD3D99"/>
    <w:rsid w:val="00FD541F"/>
    <w:rsid w:val="00FE111E"/>
    <w:rsid w:val="00FE1F00"/>
    <w:rsid w:val="00FE45F3"/>
    <w:rsid w:val="00FF1D30"/>
    <w:rsid w:val="00FF4C5F"/>
    <w:rsid w:val="00FF4DEA"/>
    <w:rsid w:val="00FF5BA8"/>
    <w:rsid w:val="00FF5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52C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1C"/>
    <w:pPr>
      <w:spacing w:after="0" w:line="360" w:lineRule="auto"/>
      <w:jc w:val="both"/>
    </w:pPr>
    <w:rPr>
      <w:rFonts w:ascii="Times New Roman" w:hAnsi="Times New Roman"/>
      <w:sz w:val="24"/>
      <w:szCs w:val="24"/>
    </w:rPr>
  </w:style>
  <w:style w:type="paragraph" w:styleId="Heading1">
    <w:name w:val="heading 1"/>
    <w:basedOn w:val="Normal"/>
    <w:next w:val="Normal"/>
    <w:link w:val="Heading1Char"/>
    <w:qFormat/>
    <w:rsid w:val="00814D1C"/>
    <w:pPr>
      <w:keepNext/>
      <w:widowControl w:val="0"/>
      <w:tabs>
        <w:tab w:val="left" w:pos="3402"/>
        <w:tab w:val="left" w:pos="4536"/>
        <w:tab w:val="left" w:pos="7938"/>
      </w:tabs>
      <w:overflowPunct w:val="0"/>
      <w:autoSpaceDE w:val="0"/>
      <w:autoSpaceDN w:val="0"/>
      <w:adjustRightInd w:val="0"/>
      <w:spacing w:after="120"/>
      <w:textAlignment w:val="baseline"/>
      <w:outlineLvl w:val="0"/>
    </w:pPr>
    <w:rPr>
      <w:rFonts w:eastAsiaTheme="majorEastAsia" w:cstheme="majorBidi"/>
      <w:b/>
      <w:szCs w:val="20"/>
    </w:rPr>
  </w:style>
  <w:style w:type="paragraph" w:styleId="Heading2">
    <w:name w:val="heading 2"/>
    <w:basedOn w:val="Normal"/>
    <w:next w:val="Normal"/>
    <w:link w:val="Heading2Char"/>
    <w:unhideWhenUsed/>
    <w:qFormat/>
    <w:rsid w:val="00814D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14D1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14D1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14D1C"/>
    <w:pPr>
      <w:widowControl w:val="0"/>
      <w:tabs>
        <w:tab w:val="left" w:pos="3402"/>
        <w:tab w:val="left" w:pos="4536"/>
        <w:tab w:val="left" w:pos="7938"/>
      </w:tabs>
      <w:overflowPunct w:val="0"/>
      <w:autoSpaceDE w:val="0"/>
      <w:autoSpaceDN w:val="0"/>
      <w:adjustRightInd w:val="0"/>
      <w:spacing w:before="240" w:after="60" w:line="240" w:lineRule="auto"/>
      <w:textAlignment w:val="baseline"/>
      <w:outlineLvl w:val="4"/>
    </w:pPr>
    <w:rPr>
      <w:rFonts w:ascii="Arial" w:eastAsiaTheme="majorEastAsia" w:hAnsi="Arial" w:cstheme="majorBidi"/>
      <w:b/>
      <w:bCs/>
      <w:i/>
      <w:iCs/>
      <w:sz w:val="26"/>
      <w:szCs w:val="26"/>
    </w:rPr>
  </w:style>
  <w:style w:type="paragraph" w:styleId="Heading6">
    <w:name w:val="heading 6"/>
    <w:basedOn w:val="Normal"/>
    <w:next w:val="Normal"/>
    <w:link w:val="Heading6Char"/>
    <w:uiPriority w:val="9"/>
    <w:unhideWhenUsed/>
    <w:qFormat/>
    <w:rsid w:val="00814D1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4D1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14D1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14D1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D1C"/>
    <w:rPr>
      <w:rFonts w:ascii="Times New Roman" w:eastAsiaTheme="majorEastAsia" w:hAnsi="Times New Roman" w:cstheme="majorBidi"/>
      <w:b/>
      <w:sz w:val="24"/>
      <w:szCs w:val="20"/>
    </w:rPr>
  </w:style>
  <w:style w:type="character" w:customStyle="1" w:styleId="Heading2Char">
    <w:name w:val="Heading 2 Char"/>
    <w:basedOn w:val="DefaultParagraphFont"/>
    <w:link w:val="Heading2"/>
    <w:rsid w:val="00814D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14D1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814D1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814D1C"/>
    <w:rPr>
      <w:rFonts w:ascii="Arial" w:eastAsiaTheme="majorEastAsia" w:hAnsi="Arial" w:cstheme="majorBidi"/>
      <w:b/>
      <w:bCs/>
      <w:i/>
      <w:iCs/>
      <w:sz w:val="26"/>
      <w:szCs w:val="26"/>
    </w:rPr>
  </w:style>
  <w:style w:type="character" w:customStyle="1" w:styleId="Heading6Char">
    <w:name w:val="Heading 6 Char"/>
    <w:basedOn w:val="DefaultParagraphFont"/>
    <w:link w:val="Heading6"/>
    <w:uiPriority w:val="9"/>
    <w:rsid w:val="00814D1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814D1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rsid w:val="00814D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14D1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99"/>
    <w:qFormat/>
    <w:rsid w:val="00814D1C"/>
    <w:pPr>
      <w:ind w:left="720"/>
      <w:contextualSpacing/>
    </w:pPr>
    <w:rPr>
      <w:rFonts w:ascii="Calibri" w:eastAsia="Calibri" w:hAnsi="Calibri"/>
    </w:rPr>
  </w:style>
  <w:style w:type="character" w:styleId="CommentReference">
    <w:name w:val="annotation reference"/>
    <w:basedOn w:val="DefaultParagraphFont"/>
    <w:uiPriority w:val="99"/>
    <w:unhideWhenUsed/>
    <w:rsid w:val="00814D1C"/>
    <w:rPr>
      <w:sz w:val="16"/>
      <w:szCs w:val="16"/>
    </w:rPr>
  </w:style>
  <w:style w:type="paragraph" w:styleId="CommentText">
    <w:name w:val="annotation text"/>
    <w:basedOn w:val="Normal"/>
    <w:link w:val="CommentTextChar"/>
    <w:uiPriority w:val="99"/>
    <w:unhideWhenUsed/>
    <w:rsid w:val="00814D1C"/>
    <w:pPr>
      <w:spacing w:line="240" w:lineRule="auto"/>
    </w:pPr>
    <w:rPr>
      <w:sz w:val="20"/>
      <w:szCs w:val="20"/>
    </w:rPr>
  </w:style>
  <w:style w:type="character" w:customStyle="1" w:styleId="CommentTextChar">
    <w:name w:val="Comment Text Char"/>
    <w:basedOn w:val="DefaultParagraphFont"/>
    <w:link w:val="CommentText"/>
    <w:uiPriority w:val="99"/>
    <w:rsid w:val="00814D1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14D1C"/>
    <w:rPr>
      <w:b/>
      <w:bCs/>
    </w:rPr>
  </w:style>
  <w:style w:type="character" w:customStyle="1" w:styleId="CommentSubjectChar">
    <w:name w:val="Comment Subject Char"/>
    <w:basedOn w:val="CommentTextChar"/>
    <w:link w:val="CommentSubject"/>
    <w:uiPriority w:val="99"/>
    <w:semiHidden/>
    <w:rsid w:val="00814D1C"/>
    <w:rPr>
      <w:rFonts w:ascii="Times New Roman" w:hAnsi="Times New Roman"/>
      <w:b/>
      <w:bCs/>
      <w:sz w:val="20"/>
      <w:szCs w:val="20"/>
    </w:rPr>
  </w:style>
  <w:style w:type="paragraph" w:styleId="BalloonText">
    <w:name w:val="Balloon Text"/>
    <w:basedOn w:val="Normal"/>
    <w:link w:val="BalloonTextChar"/>
    <w:uiPriority w:val="99"/>
    <w:unhideWhenUsed/>
    <w:rsid w:val="00814D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14D1C"/>
    <w:rPr>
      <w:rFonts w:ascii="Tahoma" w:hAnsi="Tahoma" w:cs="Tahoma"/>
      <w:sz w:val="16"/>
      <w:szCs w:val="16"/>
    </w:rPr>
  </w:style>
  <w:style w:type="paragraph" w:customStyle="1" w:styleId="EndNoteBibliographyTitle">
    <w:name w:val="EndNote Bibliography Title"/>
    <w:basedOn w:val="Normal"/>
    <w:link w:val="EndNoteBibliographyTitleChar"/>
    <w:rsid w:val="00814D1C"/>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814D1C"/>
    <w:rPr>
      <w:rFonts w:ascii="Times New Roman" w:hAnsi="Times New Roman" w:cs="Times New Roman"/>
      <w:noProof/>
      <w:sz w:val="24"/>
      <w:szCs w:val="24"/>
      <w:lang w:val="en-US"/>
    </w:rPr>
  </w:style>
  <w:style w:type="paragraph" w:customStyle="1" w:styleId="EndNoteBibliography">
    <w:name w:val="EndNote Bibliography"/>
    <w:basedOn w:val="Normal"/>
    <w:link w:val="EndNoteBibliographyChar"/>
    <w:rsid w:val="00814D1C"/>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814D1C"/>
    <w:rPr>
      <w:rFonts w:ascii="Times New Roman" w:hAnsi="Times New Roman" w:cs="Times New Roman"/>
      <w:noProof/>
      <w:sz w:val="24"/>
      <w:szCs w:val="24"/>
      <w:lang w:val="en-US"/>
    </w:rPr>
  </w:style>
  <w:style w:type="table" w:styleId="TableGrid">
    <w:name w:val="Table Grid"/>
    <w:basedOn w:val="TableNormal"/>
    <w:uiPriority w:val="59"/>
    <w:rsid w:val="00814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14D1C"/>
    <w:rPr>
      <w:rFonts w:cs="Times New Roman"/>
      <w:b/>
    </w:rPr>
  </w:style>
  <w:style w:type="character" w:customStyle="1" w:styleId="TableheadingChar">
    <w:name w:val="Table heading Char"/>
    <w:basedOn w:val="DefaultParagraphFont"/>
    <w:link w:val="Tableheading"/>
    <w:rsid w:val="00814D1C"/>
    <w:rPr>
      <w:rFonts w:ascii="Times New Roman" w:hAnsi="Times New Roman" w:cs="Times New Roman"/>
      <w:b/>
      <w:sz w:val="24"/>
      <w:szCs w:val="24"/>
    </w:rPr>
  </w:style>
  <w:style w:type="paragraph" w:customStyle="1" w:styleId="Figureheading">
    <w:name w:val="Figure heading"/>
    <w:basedOn w:val="Caption"/>
    <w:link w:val="FigureheadingChar"/>
    <w:qFormat/>
    <w:rsid w:val="00814D1C"/>
    <w:pPr>
      <w:spacing w:after="0"/>
    </w:pPr>
  </w:style>
  <w:style w:type="character" w:customStyle="1" w:styleId="FigureheadingChar">
    <w:name w:val="Figure heading Char"/>
    <w:basedOn w:val="DefaultParagraphFont"/>
    <w:link w:val="Figureheading"/>
    <w:rsid w:val="00814D1C"/>
    <w:rPr>
      <w:rFonts w:ascii="Times New Roman" w:hAnsi="Times New Roman"/>
      <w:b/>
      <w:bCs/>
      <w:sz w:val="24"/>
      <w:szCs w:val="24"/>
    </w:rPr>
  </w:style>
  <w:style w:type="paragraph" w:customStyle="1" w:styleId="Bullets">
    <w:name w:val="Bullets"/>
    <w:basedOn w:val="ListParagraph"/>
    <w:link w:val="BulletsChar"/>
    <w:qFormat/>
    <w:rsid w:val="00814D1C"/>
    <w:pPr>
      <w:numPr>
        <w:numId w:val="1"/>
      </w:numPr>
      <w:autoSpaceDE w:val="0"/>
      <w:autoSpaceDN w:val="0"/>
      <w:adjustRightInd w:val="0"/>
    </w:pPr>
    <w:rPr>
      <w:rFonts w:ascii="Times New Roman" w:hAnsi="Times New Roman" w:cs="Times New Roman"/>
    </w:rPr>
  </w:style>
  <w:style w:type="character" w:customStyle="1" w:styleId="BulletsChar">
    <w:name w:val="Bullets Char"/>
    <w:basedOn w:val="ListParagraphChar"/>
    <w:link w:val="Bullets"/>
    <w:rsid w:val="00814D1C"/>
    <w:rPr>
      <w:rFonts w:ascii="Times New Roman" w:eastAsia="Calibri" w:hAnsi="Times New Roman" w:cs="Times New Roman"/>
      <w:sz w:val="24"/>
      <w:szCs w:val="24"/>
    </w:rPr>
  </w:style>
  <w:style w:type="paragraph" w:styleId="NoSpacing">
    <w:name w:val="No Spacing"/>
    <w:link w:val="NoSpacingChar"/>
    <w:uiPriority w:val="1"/>
    <w:qFormat/>
    <w:rsid w:val="00814D1C"/>
    <w:pPr>
      <w:spacing w:after="0" w:line="240" w:lineRule="auto"/>
    </w:pPr>
    <w:rPr>
      <w:rFonts w:ascii="Calibri" w:hAnsi="Calibri"/>
      <w:lang w:val="en-US"/>
    </w:rPr>
  </w:style>
  <w:style w:type="character" w:customStyle="1" w:styleId="NoSpacingChar">
    <w:name w:val="No Spacing Char"/>
    <w:basedOn w:val="DefaultParagraphFont"/>
    <w:link w:val="NoSpacing"/>
    <w:uiPriority w:val="1"/>
    <w:rsid w:val="00814D1C"/>
    <w:rPr>
      <w:rFonts w:ascii="Calibri" w:hAnsi="Calibri"/>
      <w:lang w:val="en-US"/>
    </w:rPr>
  </w:style>
  <w:style w:type="character" w:customStyle="1" w:styleId="ListParagraphChar">
    <w:name w:val="List Paragraph Char"/>
    <w:basedOn w:val="DefaultParagraphFont"/>
    <w:link w:val="ListParagraph"/>
    <w:uiPriority w:val="99"/>
    <w:rsid w:val="00814D1C"/>
    <w:rPr>
      <w:rFonts w:ascii="Calibri" w:eastAsia="Calibri" w:hAnsi="Calibri"/>
      <w:sz w:val="24"/>
      <w:szCs w:val="24"/>
    </w:rPr>
  </w:style>
  <w:style w:type="paragraph" w:customStyle="1" w:styleId="Caption1">
    <w:name w:val="Caption1"/>
    <w:basedOn w:val="Caption"/>
    <w:link w:val="captionChar"/>
    <w:qFormat/>
    <w:rsid w:val="00814D1C"/>
  </w:style>
  <w:style w:type="character" w:customStyle="1" w:styleId="captionChar">
    <w:name w:val="caption Char"/>
    <w:basedOn w:val="CaptionChar0"/>
    <w:link w:val="Caption1"/>
    <w:rsid w:val="00814D1C"/>
    <w:rPr>
      <w:rFonts w:ascii="Times New Roman" w:hAnsi="Times New Roman"/>
      <w:b/>
      <w:bCs/>
      <w:sz w:val="24"/>
      <w:szCs w:val="24"/>
    </w:rPr>
  </w:style>
  <w:style w:type="paragraph" w:styleId="Caption">
    <w:name w:val="caption"/>
    <w:basedOn w:val="Normal"/>
    <w:next w:val="Normal"/>
    <w:link w:val="CaptionChar0"/>
    <w:uiPriority w:val="35"/>
    <w:unhideWhenUsed/>
    <w:qFormat/>
    <w:rsid w:val="00814D1C"/>
    <w:pPr>
      <w:spacing w:after="200" w:line="240" w:lineRule="auto"/>
    </w:pPr>
    <w:rPr>
      <w:b/>
      <w:bCs/>
    </w:rPr>
  </w:style>
  <w:style w:type="character" w:customStyle="1" w:styleId="CaptionChar0">
    <w:name w:val="Caption Char"/>
    <w:basedOn w:val="DefaultParagraphFont"/>
    <w:link w:val="Caption"/>
    <w:uiPriority w:val="35"/>
    <w:rsid w:val="00814D1C"/>
    <w:rPr>
      <w:rFonts w:ascii="Times New Roman" w:hAnsi="Times New Roman"/>
      <w:b/>
      <w:bCs/>
      <w:sz w:val="24"/>
      <w:szCs w:val="24"/>
    </w:rPr>
  </w:style>
  <w:style w:type="paragraph" w:styleId="Title">
    <w:name w:val="Title"/>
    <w:basedOn w:val="Normal"/>
    <w:next w:val="Normal"/>
    <w:link w:val="TitleChar"/>
    <w:uiPriority w:val="10"/>
    <w:qFormat/>
    <w:rsid w:val="00814D1C"/>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14D1C"/>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814D1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14D1C"/>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814D1C"/>
    <w:rPr>
      <w:b/>
      <w:bCs/>
    </w:rPr>
  </w:style>
  <w:style w:type="character" w:styleId="Emphasis">
    <w:name w:val="Emphasis"/>
    <w:uiPriority w:val="20"/>
    <w:qFormat/>
    <w:rsid w:val="00814D1C"/>
    <w:rPr>
      <w:i/>
      <w:iCs/>
    </w:rPr>
  </w:style>
  <w:style w:type="paragraph" w:styleId="Quote">
    <w:name w:val="Quote"/>
    <w:basedOn w:val="Normal"/>
    <w:next w:val="Normal"/>
    <w:link w:val="QuoteChar"/>
    <w:uiPriority w:val="29"/>
    <w:qFormat/>
    <w:rsid w:val="00814D1C"/>
    <w:rPr>
      <w:i/>
      <w:iCs/>
      <w:color w:val="000000" w:themeColor="text1"/>
    </w:rPr>
  </w:style>
  <w:style w:type="character" w:customStyle="1" w:styleId="QuoteChar">
    <w:name w:val="Quote Char"/>
    <w:basedOn w:val="DefaultParagraphFont"/>
    <w:link w:val="Quote"/>
    <w:uiPriority w:val="29"/>
    <w:rsid w:val="00814D1C"/>
    <w:rPr>
      <w:rFonts w:ascii="Times New Roman" w:hAnsi="Times New Roman"/>
      <w:i/>
      <w:iCs/>
      <w:color w:val="000000" w:themeColor="text1"/>
      <w:sz w:val="24"/>
      <w:szCs w:val="24"/>
    </w:rPr>
  </w:style>
  <w:style w:type="paragraph" w:styleId="IntenseQuote">
    <w:name w:val="Intense Quote"/>
    <w:basedOn w:val="Normal"/>
    <w:next w:val="Normal"/>
    <w:link w:val="IntenseQuoteChar"/>
    <w:uiPriority w:val="30"/>
    <w:qFormat/>
    <w:rsid w:val="00814D1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4D1C"/>
    <w:rPr>
      <w:rFonts w:ascii="Times New Roman" w:hAnsi="Times New Roman"/>
      <w:b/>
      <w:bCs/>
      <w:i/>
      <w:iCs/>
      <w:color w:val="4F81BD" w:themeColor="accent1"/>
      <w:sz w:val="24"/>
      <w:szCs w:val="24"/>
    </w:rPr>
  </w:style>
  <w:style w:type="character" w:styleId="SubtleEmphasis">
    <w:name w:val="Subtle Emphasis"/>
    <w:uiPriority w:val="19"/>
    <w:qFormat/>
    <w:rsid w:val="00814D1C"/>
    <w:rPr>
      <w:i/>
      <w:iCs/>
      <w:color w:val="808080" w:themeColor="text1" w:themeTint="7F"/>
    </w:rPr>
  </w:style>
  <w:style w:type="character" w:styleId="IntenseEmphasis">
    <w:name w:val="Intense Emphasis"/>
    <w:uiPriority w:val="21"/>
    <w:qFormat/>
    <w:rsid w:val="00814D1C"/>
    <w:rPr>
      <w:b/>
      <w:bCs/>
      <w:i/>
      <w:iCs/>
      <w:color w:val="4F81BD" w:themeColor="accent1"/>
    </w:rPr>
  </w:style>
  <w:style w:type="character" w:styleId="SubtleReference">
    <w:name w:val="Subtle Reference"/>
    <w:uiPriority w:val="31"/>
    <w:qFormat/>
    <w:rsid w:val="00814D1C"/>
    <w:rPr>
      <w:smallCaps/>
      <w:color w:val="C0504D" w:themeColor="accent2"/>
      <w:u w:val="single"/>
    </w:rPr>
  </w:style>
  <w:style w:type="character" w:styleId="IntenseReference">
    <w:name w:val="Intense Reference"/>
    <w:uiPriority w:val="32"/>
    <w:qFormat/>
    <w:rsid w:val="00814D1C"/>
    <w:rPr>
      <w:b/>
      <w:bCs/>
      <w:smallCaps/>
      <w:color w:val="C0504D" w:themeColor="accent2"/>
      <w:spacing w:val="5"/>
      <w:u w:val="single"/>
    </w:rPr>
  </w:style>
  <w:style w:type="character" w:styleId="BookTitle">
    <w:name w:val="Book Title"/>
    <w:uiPriority w:val="33"/>
    <w:qFormat/>
    <w:rsid w:val="00814D1C"/>
    <w:rPr>
      <w:b/>
      <w:bCs/>
      <w:smallCaps/>
      <w:spacing w:val="5"/>
    </w:rPr>
  </w:style>
  <w:style w:type="paragraph" w:styleId="TOCHeading">
    <w:name w:val="TOC Heading"/>
    <w:basedOn w:val="Heading1"/>
    <w:next w:val="Normal"/>
    <w:uiPriority w:val="39"/>
    <w:semiHidden/>
    <w:unhideWhenUsed/>
    <w:qFormat/>
    <w:rsid w:val="00814D1C"/>
    <w:pPr>
      <w:keepLines/>
      <w:widowControl/>
      <w:tabs>
        <w:tab w:val="clear" w:pos="3402"/>
        <w:tab w:val="clear" w:pos="4536"/>
        <w:tab w:val="clear" w:pos="7938"/>
      </w:tabs>
      <w:overflowPunct/>
      <w:autoSpaceDE/>
      <w:autoSpaceDN/>
      <w:adjustRightInd/>
      <w:spacing w:before="480" w:after="0"/>
      <w:textAlignment w:val="auto"/>
      <w:outlineLvl w:val="9"/>
    </w:pPr>
    <w:rPr>
      <w:rFonts w:asciiTheme="majorHAnsi" w:hAnsiTheme="majorHAnsi"/>
      <w:bCs/>
      <w:color w:val="365F91" w:themeColor="accent1" w:themeShade="BF"/>
      <w:sz w:val="28"/>
      <w:szCs w:val="28"/>
    </w:rPr>
  </w:style>
  <w:style w:type="paragraph" w:styleId="TOC1">
    <w:name w:val="toc 1"/>
    <w:basedOn w:val="Normal"/>
    <w:next w:val="Normal"/>
    <w:autoRedefine/>
    <w:uiPriority w:val="39"/>
    <w:unhideWhenUsed/>
    <w:qFormat/>
    <w:rsid w:val="00814D1C"/>
    <w:pPr>
      <w:spacing w:after="100"/>
    </w:pPr>
  </w:style>
  <w:style w:type="paragraph" w:styleId="TOC2">
    <w:name w:val="toc 2"/>
    <w:basedOn w:val="Normal"/>
    <w:next w:val="Normal"/>
    <w:autoRedefine/>
    <w:uiPriority w:val="39"/>
    <w:unhideWhenUsed/>
    <w:qFormat/>
    <w:rsid w:val="00814D1C"/>
    <w:pPr>
      <w:spacing w:after="100"/>
      <w:ind w:left="240"/>
    </w:pPr>
  </w:style>
  <w:style w:type="character" w:styleId="Hyperlink">
    <w:name w:val="Hyperlink"/>
    <w:basedOn w:val="DefaultParagraphFont"/>
    <w:uiPriority w:val="99"/>
    <w:unhideWhenUsed/>
    <w:rsid w:val="00814D1C"/>
    <w:rPr>
      <w:color w:val="0000FF" w:themeColor="hyperlink"/>
      <w:u w:val="single"/>
    </w:rPr>
  </w:style>
  <w:style w:type="paragraph" w:styleId="TOC3">
    <w:name w:val="toc 3"/>
    <w:basedOn w:val="Normal"/>
    <w:next w:val="Normal"/>
    <w:autoRedefine/>
    <w:uiPriority w:val="39"/>
    <w:unhideWhenUsed/>
    <w:qFormat/>
    <w:rsid w:val="00814D1C"/>
    <w:pPr>
      <w:spacing w:after="100" w:line="276" w:lineRule="auto"/>
      <w:ind w:left="440"/>
      <w:jc w:val="left"/>
    </w:pPr>
    <w:rPr>
      <w:rFonts w:asciiTheme="minorHAnsi" w:eastAsiaTheme="minorEastAsia" w:hAnsiTheme="minorHAnsi"/>
      <w:sz w:val="22"/>
      <w:szCs w:val="22"/>
      <w:lang w:val="en-US" w:eastAsia="ja-JP"/>
    </w:rPr>
  </w:style>
  <w:style w:type="paragraph" w:styleId="Header">
    <w:name w:val="header"/>
    <w:basedOn w:val="Normal"/>
    <w:link w:val="HeaderChar"/>
    <w:uiPriority w:val="99"/>
    <w:unhideWhenUsed/>
    <w:rsid w:val="00814D1C"/>
    <w:pPr>
      <w:tabs>
        <w:tab w:val="center" w:pos="4513"/>
        <w:tab w:val="right" w:pos="9026"/>
      </w:tabs>
      <w:spacing w:line="240" w:lineRule="auto"/>
    </w:pPr>
    <w:rPr>
      <w:rFonts w:cs="Times New Roman"/>
    </w:rPr>
  </w:style>
  <w:style w:type="character" w:customStyle="1" w:styleId="HeaderChar">
    <w:name w:val="Header Char"/>
    <w:basedOn w:val="DefaultParagraphFont"/>
    <w:link w:val="Header"/>
    <w:uiPriority w:val="99"/>
    <w:rsid w:val="00814D1C"/>
    <w:rPr>
      <w:rFonts w:ascii="Times New Roman" w:hAnsi="Times New Roman" w:cs="Times New Roman"/>
      <w:sz w:val="24"/>
      <w:szCs w:val="24"/>
    </w:rPr>
  </w:style>
  <w:style w:type="paragraph" w:styleId="Footer">
    <w:name w:val="footer"/>
    <w:basedOn w:val="Normal"/>
    <w:link w:val="FooterChar"/>
    <w:uiPriority w:val="99"/>
    <w:unhideWhenUsed/>
    <w:rsid w:val="00814D1C"/>
    <w:pPr>
      <w:tabs>
        <w:tab w:val="center" w:pos="4513"/>
        <w:tab w:val="right" w:pos="9026"/>
      </w:tabs>
      <w:spacing w:line="240" w:lineRule="auto"/>
    </w:pPr>
    <w:rPr>
      <w:rFonts w:cs="Times New Roman"/>
    </w:rPr>
  </w:style>
  <w:style w:type="character" w:customStyle="1" w:styleId="FooterChar">
    <w:name w:val="Footer Char"/>
    <w:basedOn w:val="DefaultParagraphFont"/>
    <w:link w:val="Footer"/>
    <w:uiPriority w:val="99"/>
    <w:rsid w:val="00814D1C"/>
    <w:rPr>
      <w:rFonts w:ascii="Times New Roman" w:hAnsi="Times New Roman" w:cs="Times New Roman"/>
      <w:sz w:val="24"/>
      <w:szCs w:val="24"/>
    </w:rPr>
  </w:style>
  <w:style w:type="paragraph" w:styleId="EndnoteText">
    <w:name w:val="endnote text"/>
    <w:basedOn w:val="Normal"/>
    <w:link w:val="EndnoteTextChar"/>
    <w:semiHidden/>
    <w:unhideWhenUsed/>
    <w:rsid w:val="00814D1C"/>
    <w:pPr>
      <w:spacing w:line="240" w:lineRule="auto"/>
    </w:pPr>
    <w:rPr>
      <w:rFonts w:cs="Times New Roman"/>
      <w:sz w:val="20"/>
      <w:szCs w:val="20"/>
    </w:rPr>
  </w:style>
  <w:style w:type="character" w:customStyle="1" w:styleId="EndnoteTextChar">
    <w:name w:val="Endnote Text Char"/>
    <w:basedOn w:val="DefaultParagraphFont"/>
    <w:link w:val="EndnoteText"/>
    <w:semiHidden/>
    <w:rsid w:val="00814D1C"/>
    <w:rPr>
      <w:rFonts w:ascii="Times New Roman" w:hAnsi="Times New Roman" w:cs="Times New Roman"/>
      <w:sz w:val="20"/>
      <w:szCs w:val="20"/>
    </w:rPr>
  </w:style>
  <w:style w:type="character" w:styleId="EndnoteReference">
    <w:name w:val="endnote reference"/>
    <w:basedOn w:val="DefaultParagraphFont"/>
    <w:semiHidden/>
    <w:unhideWhenUsed/>
    <w:rsid w:val="00814D1C"/>
    <w:rPr>
      <w:vertAlign w:val="superscript"/>
    </w:rPr>
  </w:style>
  <w:style w:type="paragraph" w:styleId="BodyText3">
    <w:name w:val="Body Text 3"/>
    <w:basedOn w:val="Normal"/>
    <w:link w:val="BodyText3Char"/>
    <w:rsid w:val="00814D1C"/>
    <w:pPr>
      <w:widowControl w:val="0"/>
      <w:tabs>
        <w:tab w:val="left" w:pos="567"/>
        <w:tab w:val="left" w:pos="3402"/>
        <w:tab w:val="left" w:pos="4536"/>
        <w:tab w:val="left" w:pos="7938"/>
      </w:tabs>
      <w:overflowPunct w:val="0"/>
      <w:autoSpaceDE w:val="0"/>
      <w:autoSpaceDN w:val="0"/>
      <w:adjustRightInd w:val="0"/>
      <w:jc w:val="center"/>
      <w:textAlignment w:val="baseline"/>
    </w:pPr>
    <w:rPr>
      <w:rFonts w:eastAsia="Times New Roman" w:cs="Times New Roman"/>
      <w:b/>
      <w:i/>
      <w:szCs w:val="20"/>
    </w:rPr>
  </w:style>
  <w:style w:type="character" w:customStyle="1" w:styleId="BodyText3Char">
    <w:name w:val="Body Text 3 Char"/>
    <w:basedOn w:val="DefaultParagraphFont"/>
    <w:link w:val="BodyText3"/>
    <w:rsid w:val="00814D1C"/>
    <w:rPr>
      <w:rFonts w:ascii="Times New Roman" w:eastAsia="Times New Roman" w:hAnsi="Times New Roman" w:cs="Times New Roman"/>
      <w:b/>
      <w:i/>
      <w:sz w:val="24"/>
      <w:szCs w:val="20"/>
    </w:rPr>
  </w:style>
  <w:style w:type="character" w:styleId="PageNumber">
    <w:name w:val="page number"/>
    <w:basedOn w:val="DefaultParagraphFont"/>
    <w:rsid w:val="00814D1C"/>
  </w:style>
  <w:style w:type="paragraph" w:styleId="HTMLPreformatted">
    <w:name w:val="HTML Preformatted"/>
    <w:basedOn w:val="Normal"/>
    <w:link w:val="HTMLPreformattedChar"/>
    <w:rsid w:val="00814D1C"/>
    <w:pPr>
      <w:widowControl w:val="0"/>
      <w:tabs>
        <w:tab w:val="left" w:pos="3402"/>
        <w:tab w:val="left" w:pos="4536"/>
        <w:tab w:val="left" w:pos="7938"/>
      </w:tabs>
      <w:overflowPunct w:val="0"/>
      <w:autoSpaceDE w:val="0"/>
      <w:autoSpaceDN w:val="0"/>
      <w:adjustRightInd w:val="0"/>
      <w:spacing w:line="240" w:lineRule="auto"/>
      <w:textAlignment w:val="baseline"/>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14D1C"/>
    <w:rPr>
      <w:rFonts w:ascii="Courier New" w:eastAsia="Times New Roman" w:hAnsi="Courier New" w:cs="Courier New"/>
      <w:sz w:val="20"/>
      <w:szCs w:val="20"/>
    </w:rPr>
  </w:style>
  <w:style w:type="character" w:styleId="FollowedHyperlink">
    <w:name w:val="FollowedHyperlink"/>
    <w:basedOn w:val="DefaultParagraphFont"/>
    <w:rsid w:val="00814D1C"/>
    <w:rPr>
      <w:color w:val="800080"/>
      <w:u w:val="single"/>
    </w:rPr>
  </w:style>
  <w:style w:type="paragraph" w:styleId="BodyText">
    <w:name w:val="Body Text"/>
    <w:basedOn w:val="Normal"/>
    <w:link w:val="BodyTextChar"/>
    <w:rsid w:val="00814D1C"/>
    <w:pPr>
      <w:spacing w:line="240" w:lineRule="auto"/>
    </w:pPr>
    <w:rPr>
      <w:rFonts w:eastAsia="Times New Roman" w:cs="Times New Roman"/>
      <w:b/>
      <w:bCs/>
    </w:rPr>
  </w:style>
  <w:style w:type="character" w:customStyle="1" w:styleId="BodyTextChar">
    <w:name w:val="Body Text Char"/>
    <w:basedOn w:val="DefaultParagraphFont"/>
    <w:link w:val="BodyText"/>
    <w:rsid w:val="00814D1C"/>
    <w:rPr>
      <w:rFonts w:ascii="Times New Roman" w:eastAsia="Times New Roman" w:hAnsi="Times New Roman" w:cs="Times New Roman"/>
      <w:b/>
      <w:bCs/>
      <w:sz w:val="24"/>
      <w:szCs w:val="24"/>
    </w:rPr>
  </w:style>
  <w:style w:type="paragraph" w:styleId="NormalWeb">
    <w:name w:val="Normal (Web)"/>
    <w:basedOn w:val="Normal"/>
    <w:uiPriority w:val="99"/>
    <w:rsid w:val="00814D1C"/>
    <w:pPr>
      <w:spacing w:before="100" w:beforeAutospacing="1" w:after="100" w:afterAutospacing="1" w:line="240" w:lineRule="auto"/>
    </w:pPr>
    <w:rPr>
      <w:rFonts w:eastAsia="Calibri" w:cs="Times New Roman"/>
      <w:lang w:eastAsia="en-GB"/>
    </w:rPr>
  </w:style>
  <w:style w:type="paragraph" w:styleId="PlainText">
    <w:name w:val="Plain Text"/>
    <w:basedOn w:val="Normal"/>
    <w:link w:val="PlainTextChar"/>
    <w:unhideWhenUsed/>
    <w:rsid w:val="00814D1C"/>
    <w:pPr>
      <w:spacing w:line="240" w:lineRule="auto"/>
    </w:pPr>
    <w:rPr>
      <w:rFonts w:ascii="Calibri" w:hAnsi="Calibri" w:cs="Times New Roman"/>
      <w:szCs w:val="21"/>
    </w:rPr>
  </w:style>
  <w:style w:type="character" w:customStyle="1" w:styleId="PlainTextChar">
    <w:name w:val="Plain Text Char"/>
    <w:basedOn w:val="DefaultParagraphFont"/>
    <w:link w:val="PlainText"/>
    <w:rsid w:val="00814D1C"/>
    <w:rPr>
      <w:rFonts w:ascii="Calibri" w:hAnsi="Calibri" w:cs="Times New Roman"/>
      <w:sz w:val="24"/>
      <w:szCs w:val="21"/>
    </w:rPr>
  </w:style>
  <w:style w:type="paragraph" w:styleId="TableofFigures">
    <w:name w:val="table of figures"/>
    <w:basedOn w:val="Normal"/>
    <w:next w:val="Normal"/>
    <w:uiPriority w:val="99"/>
    <w:unhideWhenUsed/>
    <w:rsid w:val="00814D1C"/>
  </w:style>
  <w:style w:type="table" w:customStyle="1" w:styleId="TableGrid1">
    <w:name w:val="Table Grid1"/>
    <w:basedOn w:val="TableNormal"/>
    <w:next w:val="TableGrid"/>
    <w:uiPriority w:val="59"/>
    <w:rsid w:val="00814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814D1C"/>
    <w:pPr>
      <w:spacing w:after="100" w:line="276" w:lineRule="auto"/>
      <w:ind w:left="660"/>
      <w:jc w:val="left"/>
    </w:pPr>
    <w:rPr>
      <w:rFonts w:asciiTheme="minorHAnsi" w:eastAsiaTheme="minorEastAsia" w:hAnsiTheme="minorHAnsi"/>
      <w:sz w:val="22"/>
      <w:szCs w:val="22"/>
      <w:lang w:eastAsia="en-GB"/>
    </w:rPr>
  </w:style>
  <w:style w:type="paragraph" w:styleId="TOC5">
    <w:name w:val="toc 5"/>
    <w:basedOn w:val="Normal"/>
    <w:next w:val="Normal"/>
    <w:autoRedefine/>
    <w:uiPriority w:val="39"/>
    <w:unhideWhenUsed/>
    <w:rsid w:val="00814D1C"/>
    <w:pPr>
      <w:spacing w:after="100" w:line="276" w:lineRule="auto"/>
      <w:ind w:left="880"/>
      <w:jc w:val="left"/>
    </w:pPr>
    <w:rPr>
      <w:rFonts w:asciiTheme="minorHAnsi" w:eastAsiaTheme="minorEastAsia" w:hAnsiTheme="minorHAnsi"/>
      <w:sz w:val="22"/>
      <w:szCs w:val="22"/>
      <w:lang w:eastAsia="en-GB"/>
    </w:rPr>
  </w:style>
  <w:style w:type="paragraph" w:styleId="TOC6">
    <w:name w:val="toc 6"/>
    <w:basedOn w:val="Normal"/>
    <w:next w:val="Normal"/>
    <w:autoRedefine/>
    <w:uiPriority w:val="39"/>
    <w:unhideWhenUsed/>
    <w:rsid w:val="00814D1C"/>
    <w:pPr>
      <w:spacing w:after="100" w:line="276" w:lineRule="auto"/>
      <w:ind w:left="1100"/>
      <w:jc w:val="left"/>
    </w:pPr>
    <w:rPr>
      <w:rFonts w:asciiTheme="minorHAnsi" w:eastAsiaTheme="minorEastAsia" w:hAnsiTheme="minorHAnsi"/>
      <w:sz w:val="22"/>
      <w:szCs w:val="22"/>
      <w:lang w:eastAsia="en-GB"/>
    </w:rPr>
  </w:style>
  <w:style w:type="paragraph" w:styleId="TOC7">
    <w:name w:val="toc 7"/>
    <w:basedOn w:val="Normal"/>
    <w:next w:val="Normal"/>
    <w:autoRedefine/>
    <w:uiPriority w:val="39"/>
    <w:unhideWhenUsed/>
    <w:rsid w:val="00814D1C"/>
    <w:pPr>
      <w:spacing w:after="100" w:line="276" w:lineRule="auto"/>
      <w:ind w:left="1320"/>
      <w:jc w:val="left"/>
    </w:pPr>
    <w:rPr>
      <w:rFonts w:asciiTheme="minorHAnsi" w:eastAsiaTheme="minorEastAsia" w:hAnsiTheme="minorHAnsi"/>
      <w:sz w:val="22"/>
      <w:szCs w:val="22"/>
      <w:lang w:eastAsia="en-GB"/>
    </w:rPr>
  </w:style>
  <w:style w:type="paragraph" w:styleId="TOC8">
    <w:name w:val="toc 8"/>
    <w:basedOn w:val="Normal"/>
    <w:next w:val="Normal"/>
    <w:autoRedefine/>
    <w:uiPriority w:val="39"/>
    <w:unhideWhenUsed/>
    <w:rsid w:val="00814D1C"/>
    <w:pPr>
      <w:spacing w:after="100" w:line="276" w:lineRule="auto"/>
      <w:ind w:left="1540"/>
      <w:jc w:val="left"/>
    </w:pPr>
    <w:rPr>
      <w:rFonts w:asciiTheme="minorHAnsi" w:eastAsiaTheme="minorEastAsia" w:hAnsiTheme="minorHAnsi"/>
      <w:sz w:val="22"/>
      <w:szCs w:val="22"/>
      <w:lang w:eastAsia="en-GB"/>
    </w:rPr>
  </w:style>
  <w:style w:type="paragraph" w:styleId="TOC9">
    <w:name w:val="toc 9"/>
    <w:basedOn w:val="Normal"/>
    <w:next w:val="Normal"/>
    <w:autoRedefine/>
    <w:uiPriority w:val="39"/>
    <w:unhideWhenUsed/>
    <w:rsid w:val="00814D1C"/>
    <w:pPr>
      <w:spacing w:after="100" w:line="276" w:lineRule="auto"/>
      <w:ind w:left="1760"/>
      <w:jc w:val="left"/>
    </w:pPr>
    <w:rPr>
      <w:rFonts w:asciiTheme="minorHAnsi" w:eastAsiaTheme="minorEastAsia" w:hAnsiTheme="minorHAnsi"/>
      <w:sz w:val="22"/>
      <w:szCs w:val="22"/>
      <w:lang w:eastAsia="en-GB"/>
    </w:rPr>
  </w:style>
  <w:style w:type="paragraph" w:styleId="FootnoteText">
    <w:name w:val="footnote text"/>
    <w:basedOn w:val="Normal"/>
    <w:link w:val="FootnoteTextChar"/>
    <w:semiHidden/>
    <w:rsid w:val="00814D1C"/>
    <w:rPr>
      <w:rFonts w:eastAsia="Calibri" w:cs="Times New Roman"/>
      <w:sz w:val="20"/>
      <w:szCs w:val="20"/>
      <w:lang w:eastAsia="en-GB"/>
    </w:rPr>
  </w:style>
  <w:style w:type="character" w:customStyle="1" w:styleId="FootnoteTextChar">
    <w:name w:val="Footnote Text Char"/>
    <w:basedOn w:val="DefaultParagraphFont"/>
    <w:link w:val="FootnoteText"/>
    <w:semiHidden/>
    <w:rsid w:val="00814D1C"/>
    <w:rPr>
      <w:rFonts w:ascii="Times New Roman" w:eastAsia="Calibri" w:hAnsi="Times New Roman" w:cs="Times New Roman"/>
      <w:sz w:val="20"/>
      <w:szCs w:val="20"/>
      <w:lang w:eastAsia="en-GB"/>
    </w:rPr>
  </w:style>
  <w:style w:type="character" w:customStyle="1" w:styleId="articletitle1">
    <w:name w:val="articletitle1"/>
    <w:rsid w:val="00814D1C"/>
    <w:rPr>
      <w:rFonts w:ascii="Verdana" w:hAnsi="Verdana" w:hint="default"/>
      <w:b/>
      <w:bCs/>
      <w:color w:val="000000"/>
      <w:sz w:val="26"/>
      <w:szCs w:val="26"/>
    </w:rPr>
  </w:style>
  <w:style w:type="character" w:customStyle="1" w:styleId="smalltext1">
    <w:name w:val="smalltext1"/>
    <w:rsid w:val="00814D1C"/>
    <w:rPr>
      <w:rFonts w:ascii="Verdana" w:hAnsi="Verdana" w:hint="default"/>
      <w:strike w:val="0"/>
      <w:dstrike w:val="0"/>
      <w:color w:val="000000"/>
      <w:sz w:val="15"/>
      <w:szCs w:val="15"/>
      <w:u w:val="none"/>
      <w:effect w:val="none"/>
    </w:rPr>
  </w:style>
  <w:style w:type="character" w:customStyle="1" w:styleId="ti2">
    <w:name w:val="ti2"/>
    <w:rsid w:val="00814D1C"/>
    <w:rPr>
      <w:sz w:val="22"/>
      <w:szCs w:val="22"/>
    </w:rPr>
  </w:style>
  <w:style w:type="character" w:customStyle="1" w:styleId="ecec041455409-10012008">
    <w:name w:val="ec_ec_041455409-10012008"/>
    <w:basedOn w:val="DefaultParagraphFont"/>
    <w:rsid w:val="00814D1C"/>
  </w:style>
  <w:style w:type="character" w:customStyle="1" w:styleId="DocumentMapChar">
    <w:name w:val="Document Map Char"/>
    <w:semiHidden/>
    <w:rsid w:val="00814D1C"/>
    <w:rPr>
      <w:rFonts w:ascii="Tahoma" w:eastAsia="Times New Roman" w:hAnsi="Tahoma" w:cs="Tahoma"/>
      <w:shd w:val="clear" w:color="auto" w:fill="000080"/>
      <w:lang w:val="en-US" w:eastAsia="en-US"/>
    </w:rPr>
  </w:style>
  <w:style w:type="paragraph" w:styleId="DocumentMap">
    <w:name w:val="Document Map"/>
    <w:basedOn w:val="Normal"/>
    <w:link w:val="DocumentMapChar1"/>
    <w:semiHidden/>
    <w:rsid w:val="00814D1C"/>
    <w:pPr>
      <w:shd w:val="clear" w:color="auto" w:fill="000080"/>
    </w:pPr>
    <w:rPr>
      <w:rFonts w:ascii="Tahoma" w:eastAsia="Calibri" w:hAnsi="Tahoma" w:cs="Tahoma"/>
      <w:sz w:val="20"/>
      <w:szCs w:val="20"/>
      <w:lang w:eastAsia="en-GB"/>
    </w:rPr>
  </w:style>
  <w:style w:type="character" w:customStyle="1" w:styleId="DocumentMapChar1">
    <w:name w:val="Document Map Char1"/>
    <w:basedOn w:val="DefaultParagraphFont"/>
    <w:link w:val="DocumentMap"/>
    <w:semiHidden/>
    <w:rsid w:val="00814D1C"/>
    <w:rPr>
      <w:rFonts w:ascii="Tahoma" w:eastAsia="Calibri" w:hAnsi="Tahoma" w:cs="Tahoma"/>
      <w:sz w:val="20"/>
      <w:szCs w:val="20"/>
      <w:shd w:val="clear" w:color="auto" w:fill="000080"/>
      <w:lang w:eastAsia="en-GB"/>
    </w:rPr>
  </w:style>
  <w:style w:type="character" w:customStyle="1" w:styleId="ec771203918-17032008">
    <w:name w:val="ec_771203918-17032008"/>
    <w:basedOn w:val="DefaultParagraphFont"/>
    <w:rsid w:val="00814D1C"/>
  </w:style>
  <w:style w:type="character" w:customStyle="1" w:styleId="ti">
    <w:name w:val="ti"/>
    <w:basedOn w:val="DefaultParagraphFont"/>
    <w:rsid w:val="00814D1C"/>
  </w:style>
  <w:style w:type="character" w:customStyle="1" w:styleId="article-title1">
    <w:name w:val="article-title1"/>
    <w:rsid w:val="00814D1C"/>
    <w:rPr>
      <w:b/>
      <w:bCs/>
      <w:sz w:val="34"/>
      <w:szCs w:val="34"/>
    </w:rPr>
  </w:style>
  <w:style w:type="character" w:customStyle="1" w:styleId="author1">
    <w:name w:val="author1"/>
    <w:rsid w:val="00814D1C"/>
    <w:rPr>
      <w:sz w:val="20"/>
      <w:szCs w:val="20"/>
    </w:rPr>
  </w:style>
  <w:style w:type="character" w:customStyle="1" w:styleId="ec768224609-05102007">
    <w:name w:val="ec_768224609-05102007"/>
    <w:basedOn w:val="DefaultParagraphFont"/>
    <w:rsid w:val="00814D1C"/>
  </w:style>
  <w:style w:type="character" w:styleId="FootnoteReference">
    <w:name w:val="footnote reference"/>
    <w:semiHidden/>
    <w:rsid w:val="00814D1C"/>
    <w:rPr>
      <w:vertAlign w:val="superscript"/>
    </w:rPr>
  </w:style>
  <w:style w:type="numbering" w:customStyle="1" w:styleId="NoList1">
    <w:name w:val="No List1"/>
    <w:next w:val="NoList"/>
    <w:uiPriority w:val="99"/>
    <w:semiHidden/>
    <w:unhideWhenUsed/>
    <w:rsid w:val="00814D1C"/>
  </w:style>
  <w:style w:type="paragraph" w:styleId="Revision">
    <w:name w:val="Revision"/>
    <w:hidden/>
    <w:uiPriority w:val="99"/>
    <w:semiHidden/>
    <w:rsid w:val="00814D1C"/>
    <w:rPr>
      <w:rFonts w:ascii="Arial" w:eastAsia="Times New Roman" w:hAnsi="Arial" w:cs="Times New Roman"/>
      <w:sz w:val="24"/>
      <w:szCs w:val="24"/>
      <w:lang w:val="en-US"/>
    </w:rPr>
  </w:style>
  <w:style w:type="table" w:styleId="LightList">
    <w:name w:val="Light List"/>
    <w:basedOn w:val="TableNormal"/>
    <w:uiPriority w:val="61"/>
    <w:rsid w:val="00814D1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21">
    <w:name w:val="Grid Table 21"/>
    <w:basedOn w:val="TableNormal"/>
    <w:uiPriority w:val="47"/>
    <w:rsid w:val="00814D1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814D1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jrnl">
    <w:name w:val="jrnl"/>
    <w:basedOn w:val="DefaultParagraphFont"/>
    <w:rsid w:val="005277A3"/>
  </w:style>
  <w:style w:type="character" w:customStyle="1" w:styleId="src">
    <w:name w:val="src"/>
    <w:basedOn w:val="DefaultParagraphFont"/>
    <w:rsid w:val="00527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1C"/>
    <w:pPr>
      <w:spacing w:after="0" w:line="360" w:lineRule="auto"/>
      <w:jc w:val="both"/>
    </w:pPr>
    <w:rPr>
      <w:rFonts w:ascii="Times New Roman" w:hAnsi="Times New Roman"/>
      <w:sz w:val="24"/>
      <w:szCs w:val="24"/>
    </w:rPr>
  </w:style>
  <w:style w:type="paragraph" w:styleId="Heading1">
    <w:name w:val="heading 1"/>
    <w:basedOn w:val="Normal"/>
    <w:next w:val="Normal"/>
    <w:link w:val="Heading1Char"/>
    <w:qFormat/>
    <w:rsid w:val="00814D1C"/>
    <w:pPr>
      <w:keepNext/>
      <w:widowControl w:val="0"/>
      <w:tabs>
        <w:tab w:val="left" w:pos="3402"/>
        <w:tab w:val="left" w:pos="4536"/>
        <w:tab w:val="left" w:pos="7938"/>
      </w:tabs>
      <w:overflowPunct w:val="0"/>
      <w:autoSpaceDE w:val="0"/>
      <w:autoSpaceDN w:val="0"/>
      <w:adjustRightInd w:val="0"/>
      <w:spacing w:after="120"/>
      <w:textAlignment w:val="baseline"/>
      <w:outlineLvl w:val="0"/>
    </w:pPr>
    <w:rPr>
      <w:rFonts w:eastAsiaTheme="majorEastAsia" w:cstheme="majorBidi"/>
      <w:b/>
      <w:szCs w:val="20"/>
    </w:rPr>
  </w:style>
  <w:style w:type="paragraph" w:styleId="Heading2">
    <w:name w:val="heading 2"/>
    <w:basedOn w:val="Normal"/>
    <w:next w:val="Normal"/>
    <w:link w:val="Heading2Char"/>
    <w:unhideWhenUsed/>
    <w:qFormat/>
    <w:rsid w:val="00814D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14D1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14D1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14D1C"/>
    <w:pPr>
      <w:widowControl w:val="0"/>
      <w:tabs>
        <w:tab w:val="left" w:pos="3402"/>
        <w:tab w:val="left" w:pos="4536"/>
        <w:tab w:val="left" w:pos="7938"/>
      </w:tabs>
      <w:overflowPunct w:val="0"/>
      <w:autoSpaceDE w:val="0"/>
      <w:autoSpaceDN w:val="0"/>
      <w:adjustRightInd w:val="0"/>
      <w:spacing w:before="240" w:after="60" w:line="240" w:lineRule="auto"/>
      <w:textAlignment w:val="baseline"/>
      <w:outlineLvl w:val="4"/>
    </w:pPr>
    <w:rPr>
      <w:rFonts w:ascii="Arial" w:eastAsiaTheme="majorEastAsia" w:hAnsi="Arial" w:cstheme="majorBidi"/>
      <w:b/>
      <w:bCs/>
      <w:i/>
      <w:iCs/>
      <w:sz w:val="26"/>
      <w:szCs w:val="26"/>
    </w:rPr>
  </w:style>
  <w:style w:type="paragraph" w:styleId="Heading6">
    <w:name w:val="heading 6"/>
    <w:basedOn w:val="Normal"/>
    <w:next w:val="Normal"/>
    <w:link w:val="Heading6Char"/>
    <w:uiPriority w:val="9"/>
    <w:unhideWhenUsed/>
    <w:qFormat/>
    <w:rsid w:val="00814D1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4D1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14D1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14D1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D1C"/>
    <w:rPr>
      <w:rFonts w:ascii="Times New Roman" w:eastAsiaTheme="majorEastAsia" w:hAnsi="Times New Roman" w:cstheme="majorBidi"/>
      <w:b/>
      <w:sz w:val="24"/>
      <w:szCs w:val="20"/>
    </w:rPr>
  </w:style>
  <w:style w:type="character" w:customStyle="1" w:styleId="Heading2Char">
    <w:name w:val="Heading 2 Char"/>
    <w:basedOn w:val="DefaultParagraphFont"/>
    <w:link w:val="Heading2"/>
    <w:rsid w:val="00814D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14D1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814D1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814D1C"/>
    <w:rPr>
      <w:rFonts w:ascii="Arial" w:eastAsiaTheme="majorEastAsia" w:hAnsi="Arial" w:cstheme="majorBidi"/>
      <w:b/>
      <w:bCs/>
      <w:i/>
      <w:iCs/>
      <w:sz w:val="26"/>
      <w:szCs w:val="26"/>
    </w:rPr>
  </w:style>
  <w:style w:type="character" w:customStyle="1" w:styleId="Heading6Char">
    <w:name w:val="Heading 6 Char"/>
    <w:basedOn w:val="DefaultParagraphFont"/>
    <w:link w:val="Heading6"/>
    <w:uiPriority w:val="9"/>
    <w:rsid w:val="00814D1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814D1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rsid w:val="00814D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14D1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99"/>
    <w:qFormat/>
    <w:rsid w:val="00814D1C"/>
    <w:pPr>
      <w:ind w:left="720"/>
      <w:contextualSpacing/>
    </w:pPr>
    <w:rPr>
      <w:rFonts w:ascii="Calibri" w:eastAsia="Calibri" w:hAnsi="Calibri"/>
    </w:rPr>
  </w:style>
  <w:style w:type="character" w:styleId="CommentReference">
    <w:name w:val="annotation reference"/>
    <w:basedOn w:val="DefaultParagraphFont"/>
    <w:uiPriority w:val="99"/>
    <w:unhideWhenUsed/>
    <w:rsid w:val="00814D1C"/>
    <w:rPr>
      <w:sz w:val="16"/>
      <w:szCs w:val="16"/>
    </w:rPr>
  </w:style>
  <w:style w:type="paragraph" w:styleId="CommentText">
    <w:name w:val="annotation text"/>
    <w:basedOn w:val="Normal"/>
    <w:link w:val="CommentTextChar"/>
    <w:uiPriority w:val="99"/>
    <w:unhideWhenUsed/>
    <w:rsid w:val="00814D1C"/>
    <w:pPr>
      <w:spacing w:line="240" w:lineRule="auto"/>
    </w:pPr>
    <w:rPr>
      <w:sz w:val="20"/>
      <w:szCs w:val="20"/>
    </w:rPr>
  </w:style>
  <w:style w:type="character" w:customStyle="1" w:styleId="CommentTextChar">
    <w:name w:val="Comment Text Char"/>
    <w:basedOn w:val="DefaultParagraphFont"/>
    <w:link w:val="CommentText"/>
    <w:uiPriority w:val="99"/>
    <w:rsid w:val="00814D1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14D1C"/>
    <w:rPr>
      <w:b/>
      <w:bCs/>
    </w:rPr>
  </w:style>
  <w:style w:type="character" w:customStyle="1" w:styleId="CommentSubjectChar">
    <w:name w:val="Comment Subject Char"/>
    <w:basedOn w:val="CommentTextChar"/>
    <w:link w:val="CommentSubject"/>
    <w:uiPriority w:val="99"/>
    <w:semiHidden/>
    <w:rsid w:val="00814D1C"/>
    <w:rPr>
      <w:rFonts w:ascii="Times New Roman" w:hAnsi="Times New Roman"/>
      <w:b/>
      <w:bCs/>
      <w:sz w:val="20"/>
      <w:szCs w:val="20"/>
    </w:rPr>
  </w:style>
  <w:style w:type="paragraph" w:styleId="BalloonText">
    <w:name w:val="Balloon Text"/>
    <w:basedOn w:val="Normal"/>
    <w:link w:val="BalloonTextChar"/>
    <w:uiPriority w:val="99"/>
    <w:unhideWhenUsed/>
    <w:rsid w:val="00814D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14D1C"/>
    <w:rPr>
      <w:rFonts w:ascii="Tahoma" w:hAnsi="Tahoma" w:cs="Tahoma"/>
      <w:sz w:val="16"/>
      <w:szCs w:val="16"/>
    </w:rPr>
  </w:style>
  <w:style w:type="paragraph" w:customStyle="1" w:styleId="EndNoteBibliographyTitle">
    <w:name w:val="EndNote Bibliography Title"/>
    <w:basedOn w:val="Normal"/>
    <w:link w:val="EndNoteBibliographyTitleChar"/>
    <w:rsid w:val="00814D1C"/>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814D1C"/>
    <w:rPr>
      <w:rFonts w:ascii="Times New Roman" w:hAnsi="Times New Roman" w:cs="Times New Roman"/>
      <w:noProof/>
      <w:sz w:val="24"/>
      <w:szCs w:val="24"/>
      <w:lang w:val="en-US"/>
    </w:rPr>
  </w:style>
  <w:style w:type="paragraph" w:customStyle="1" w:styleId="EndNoteBibliography">
    <w:name w:val="EndNote Bibliography"/>
    <w:basedOn w:val="Normal"/>
    <w:link w:val="EndNoteBibliographyChar"/>
    <w:rsid w:val="00814D1C"/>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814D1C"/>
    <w:rPr>
      <w:rFonts w:ascii="Times New Roman" w:hAnsi="Times New Roman" w:cs="Times New Roman"/>
      <w:noProof/>
      <w:sz w:val="24"/>
      <w:szCs w:val="24"/>
      <w:lang w:val="en-US"/>
    </w:rPr>
  </w:style>
  <w:style w:type="table" w:styleId="TableGrid">
    <w:name w:val="Table Grid"/>
    <w:basedOn w:val="TableNormal"/>
    <w:uiPriority w:val="59"/>
    <w:rsid w:val="00814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14D1C"/>
    <w:rPr>
      <w:rFonts w:cs="Times New Roman"/>
      <w:b/>
    </w:rPr>
  </w:style>
  <w:style w:type="character" w:customStyle="1" w:styleId="TableheadingChar">
    <w:name w:val="Table heading Char"/>
    <w:basedOn w:val="DefaultParagraphFont"/>
    <w:link w:val="Tableheading"/>
    <w:rsid w:val="00814D1C"/>
    <w:rPr>
      <w:rFonts w:ascii="Times New Roman" w:hAnsi="Times New Roman" w:cs="Times New Roman"/>
      <w:b/>
      <w:sz w:val="24"/>
      <w:szCs w:val="24"/>
    </w:rPr>
  </w:style>
  <w:style w:type="paragraph" w:customStyle="1" w:styleId="Figureheading">
    <w:name w:val="Figure heading"/>
    <w:basedOn w:val="Caption"/>
    <w:link w:val="FigureheadingChar"/>
    <w:qFormat/>
    <w:rsid w:val="00814D1C"/>
    <w:pPr>
      <w:spacing w:after="0"/>
    </w:pPr>
  </w:style>
  <w:style w:type="character" w:customStyle="1" w:styleId="FigureheadingChar">
    <w:name w:val="Figure heading Char"/>
    <w:basedOn w:val="DefaultParagraphFont"/>
    <w:link w:val="Figureheading"/>
    <w:rsid w:val="00814D1C"/>
    <w:rPr>
      <w:rFonts w:ascii="Times New Roman" w:hAnsi="Times New Roman"/>
      <w:b/>
      <w:bCs/>
      <w:sz w:val="24"/>
      <w:szCs w:val="24"/>
    </w:rPr>
  </w:style>
  <w:style w:type="paragraph" w:customStyle="1" w:styleId="Bullets">
    <w:name w:val="Bullets"/>
    <w:basedOn w:val="ListParagraph"/>
    <w:link w:val="BulletsChar"/>
    <w:qFormat/>
    <w:rsid w:val="00814D1C"/>
    <w:pPr>
      <w:numPr>
        <w:numId w:val="1"/>
      </w:numPr>
      <w:autoSpaceDE w:val="0"/>
      <w:autoSpaceDN w:val="0"/>
      <w:adjustRightInd w:val="0"/>
    </w:pPr>
    <w:rPr>
      <w:rFonts w:ascii="Times New Roman" w:hAnsi="Times New Roman" w:cs="Times New Roman"/>
    </w:rPr>
  </w:style>
  <w:style w:type="character" w:customStyle="1" w:styleId="BulletsChar">
    <w:name w:val="Bullets Char"/>
    <w:basedOn w:val="ListParagraphChar"/>
    <w:link w:val="Bullets"/>
    <w:rsid w:val="00814D1C"/>
    <w:rPr>
      <w:rFonts w:ascii="Times New Roman" w:eastAsia="Calibri" w:hAnsi="Times New Roman" w:cs="Times New Roman"/>
      <w:sz w:val="24"/>
      <w:szCs w:val="24"/>
    </w:rPr>
  </w:style>
  <w:style w:type="paragraph" w:styleId="NoSpacing">
    <w:name w:val="No Spacing"/>
    <w:link w:val="NoSpacingChar"/>
    <w:uiPriority w:val="1"/>
    <w:qFormat/>
    <w:rsid w:val="00814D1C"/>
    <w:pPr>
      <w:spacing w:after="0" w:line="240" w:lineRule="auto"/>
    </w:pPr>
    <w:rPr>
      <w:rFonts w:ascii="Calibri" w:hAnsi="Calibri"/>
      <w:lang w:val="en-US"/>
    </w:rPr>
  </w:style>
  <w:style w:type="character" w:customStyle="1" w:styleId="NoSpacingChar">
    <w:name w:val="No Spacing Char"/>
    <w:basedOn w:val="DefaultParagraphFont"/>
    <w:link w:val="NoSpacing"/>
    <w:uiPriority w:val="1"/>
    <w:rsid w:val="00814D1C"/>
    <w:rPr>
      <w:rFonts w:ascii="Calibri" w:hAnsi="Calibri"/>
      <w:lang w:val="en-US"/>
    </w:rPr>
  </w:style>
  <w:style w:type="character" w:customStyle="1" w:styleId="ListParagraphChar">
    <w:name w:val="List Paragraph Char"/>
    <w:basedOn w:val="DefaultParagraphFont"/>
    <w:link w:val="ListParagraph"/>
    <w:uiPriority w:val="99"/>
    <w:rsid w:val="00814D1C"/>
    <w:rPr>
      <w:rFonts w:ascii="Calibri" w:eastAsia="Calibri" w:hAnsi="Calibri"/>
      <w:sz w:val="24"/>
      <w:szCs w:val="24"/>
    </w:rPr>
  </w:style>
  <w:style w:type="paragraph" w:customStyle="1" w:styleId="Caption1">
    <w:name w:val="Caption1"/>
    <w:basedOn w:val="Caption"/>
    <w:link w:val="captionChar"/>
    <w:qFormat/>
    <w:rsid w:val="00814D1C"/>
  </w:style>
  <w:style w:type="character" w:customStyle="1" w:styleId="captionChar">
    <w:name w:val="caption Char"/>
    <w:basedOn w:val="CaptionChar0"/>
    <w:link w:val="Caption1"/>
    <w:rsid w:val="00814D1C"/>
    <w:rPr>
      <w:rFonts w:ascii="Times New Roman" w:hAnsi="Times New Roman"/>
      <w:b/>
      <w:bCs/>
      <w:sz w:val="24"/>
      <w:szCs w:val="24"/>
    </w:rPr>
  </w:style>
  <w:style w:type="paragraph" w:styleId="Caption">
    <w:name w:val="caption"/>
    <w:basedOn w:val="Normal"/>
    <w:next w:val="Normal"/>
    <w:link w:val="CaptionChar0"/>
    <w:uiPriority w:val="35"/>
    <w:unhideWhenUsed/>
    <w:qFormat/>
    <w:rsid w:val="00814D1C"/>
    <w:pPr>
      <w:spacing w:after="200" w:line="240" w:lineRule="auto"/>
    </w:pPr>
    <w:rPr>
      <w:b/>
      <w:bCs/>
    </w:rPr>
  </w:style>
  <w:style w:type="character" w:customStyle="1" w:styleId="CaptionChar0">
    <w:name w:val="Caption Char"/>
    <w:basedOn w:val="DefaultParagraphFont"/>
    <w:link w:val="Caption"/>
    <w:uiPriority w:val="35"/>
    <w:rsid w:val="00814D1C"/>
    <w:rPr>
      <w:rFonts w:ascii="Times New Roman" w:hAnsi="Times New Roman"/>
      <w:b/>
      <w:bCs/>
      <w:sz w:val="24"/>
      <w:szCs w:val="24"/>
    </w:rPr>
  </w:style>
  <w:style w:type="paragraph" w:styleId="Title">
    <w:name w:val="Title"/>
    <w:basedOn w:val="Normal"/>
    <w:next w:val="Normal"/>
    <w:link w:val="TitleChar"/>
    <w:uiPriority w:val="10"/>
    <w:qFormat/>
    <w:rsid w:val="00814D1C"/>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14D1C"/>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814D1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14D1C"/>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814D1C"/>
    <w:rPr>
      <w:b/>
      <w:bCs/>
    </w:rPr>
  </w:style>
  <w:style w:type="character" w:styleId="Emphasis">
    <w:name w:val="Emphasis"/>
    <w:uiPriority w:val="20"/>
    <w:qFormat/>
    <w:rsid w:val="00814D1C"/>
    <w:rPr>
      <w:i/>
      <w:iCs/>
    </w:rPr>
  </w:style>
  <w:style w:type="paragraph" w:styleId="Quote">
    <w:name w:val="Quote"/>
    <w:basedOn w:val="Normal"/>
    <w:next w:val="Normal"/>
    <w:link w:val="QuoteChar"/>
    <w:uiPriority w:val="29"/>
    <w:qFormat/>
    <w:rsid w:val="00814D1C"/>
    <w:rPr>
      <w:i/>
      <w:iCs/>
      <w:color w:val="000000" w:themeColor="text1"/>
    </w:rPr>
  </w:style>
  <w:style w:type="character" w:customStyle="1" w:styleId="QuoteChar">
    <w:name w:val="Quote Char"/>
    <w:basedOn w:val="DefaultParagraphFont"/>
    <w:link w:val="Quote"/>
    <w:uiPriority w:val="29"/>
    <w:rsid w:val="00814D1C"/>
    <w:rPr>
      <w:rFonts w:ascii="Times New Roman" w:hAnsi="Times New Roman"/>
      <w:i/>
      <w:iCs/>
      <w:color w:val="000000" w:themeColor="text1"/>
      <w:sz w:val="24"/>
      <w:szCs w:val="24"/>
    </w:rPr>
  </w:style>
  <w:style w:type="paragraph" w:styleId="IntenseQuote">
    <w:name w:val="Intense Quote"/>
    <w:basedOn w:val="Normal"/>
    <w:next w:val="Normal"/>
    <w:link w:val="IntenseQuoteChar"/>
    <w:uiPriority w:val="30"/>
    <w:qFormat/>
    <w:rsid w:val="00814D1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4D1C"/>
    <w:rPr>
      <w:rFonts w:ascii="Times New Roman" w:hAnsi="Times New Roman"/>
      <w:b/>
      <w:bCs/>
      <w:i/>
      <w:iCs/>
      <w:color w:val="4F81BD" w:themeColor="accent1"/>
      <w:sz w:val="24"/>
      <w:szCs w:val="24"/>
    </w:rPr>
  </w:style>
  <w:style w:type="character" w:styleId="SubtleEmphasis">
    <w:name w:val="Subtle Emphasis"/>
    <w:uiPriority w:val="19"/>
    <w:qFormat/>
    <w:rsid w:val="00814D1C"/>
    <w:rPr>
      <w:i/>
      <w:iCs/>
      <w:color w:val="808080" w:themeColor="text1" w:themeTint="7F"/>
    </w:rPr>
  </w:style>
  <w:style w:type="character" w:styleId="IntenseEmphasis">
    <w:name w:val="Intense Emphasis"/>
    <w:uiPriority w:val="21"/>
    <w:qFormat/>
    <w:rsid w:val="00814D1C"/>
    <w:rPr>
      <w:b/>
      <w:bCs/>
      <w:i/>
      <w:iCs/>
      <w:color w:val="4F81BD" w:themeColor="accent1"/>
    </w:rPr>
  </w:style>
  <w:style w:type="character" w:styleId="SubtleReference">
    <w:name w:val="Subtle Reference"/>
    <w:uiPriority w:val="31"/>
    <w:qFormat/>
    <w:rsid w:val="00814D1C"/>
    <w:rPr>
      <w:smallCaps/>
      <w:color w:val="C0504D" w:themeColor="accent2"/>
      <w:u w:val="single"/>
    </w:rPr>
  </w:style>
  <w:style w:type="character" w:styleId="IntenseReference">
    <w:name w:val="Intense Reference"/>
    <w:uiPriority w:val="32"/>
    <w:qFormat/>
    <w:rsid w:val="00814D1C"/>
    <w:rPr>
      <w:b/>
      <w:bCs/>
      <w:smallCaps/>
      <w:color w:val="C0504D" w:themeColor="accent2"/>
      <w:spacing w:val="5"/>
      <w:u w:val="single"/>
    </w:rPr>
  </w:style>
  <w:style w:type="character" w:styleId="BookTitle">
    <w:name w:val="Book Title"/>
    <w:uiPriority w:val="33"/>
    <w:qFormat/>
    <w:rsid w:val="00814D1C"/>
    <w:rPr>
      <w:b/>
      <w:bCs/>
      <w:smallCaps/>
      <w:spacing w:val="5"/>
    </w:rPr>
  </w:style>
  <w:style w:type="paragraph" w:styleId="TOCHeading">
    <w:name w:val="TOC Heading"/>
    <w:basedOn w:val="Heading1"/>
    <w:next w:val="Normal"/>
    <w:uiPriority w:val="39"/>
    <w:semiHidden/>
    <w:unhideWhenUsed/>
    <w:qFormat/>
    <w:rsid w:val="00814D1C"/>
    <w:pPr>
      <w:keepLines/>
      <w:widowControl/>
      <w:tabs>
        <w:tab w:val="clear" w:pos="3402"/>
        <w:tab w:val="clear" w:pos="4536"/>
        <w:tab w:val="clear" w:pos="7938"/>
      </w:tabs>
      <w:overflowPunct/>
      <w:autoSpaceDE/>
      <w:autoSpaceDN/>
      <w:adjustRightInd/>
      <w:spacing w:before="480" w:after="0"/>
      <w:textAlignment w:val="auto"/>
      <w:outlineLvl w:val="9"/>
    </w:pPr>
    <w:rPr>
      <w:rFonts w:asciiTheme="majorHAnsi" w:hAnsiTheme="majorHAnsi"/>
      <w:bCs/>
      <w:color w:val="365F91" w:themeColor="accent1" w:themeShade="BF"/>
      <w:sz w:val="28"/>
      <w:szCs w:val="28"/>
    </w:rPr>
  </w:style>
  <w:style w:type="paragraph" w:styleId="TOC1">
    <w:name w:val="toc 1"/>
    <w:basedOn w:val="Normal"/>
    <w:next w:val="Normal"/>
    <w:autoRedefine/>
    <w:uiPriority w:val="39"/>
    <w:unhideWhenUsed/>
    <w:qFormat/>
    <w:rsid w:val="00814D1C"/>
    <w:pPr>
      <w:spacing w:after="100"/>
    </w:pPr>
  </w:style>
  <w:style w:type="paragraph" w:styleId="TOC2">
    <w:name w:val="toc 2"/>
    <w:basedOn w:val="Normal"/>
    <w:next w:val="Normal"/>
    <w:autoRedefine/>
    <w:uiPriority w:val="39"/>
    <w:unhideWhenUsed/>
    <w:qFormat/>
    <w:rsid w:val="00814D1C"/>
    <w:pPr>
      <w:spacing w:after="100"/>
      <w:ind w:left="240"/>
    </w:pPr>
  </w:style>
  <w:style w:type="character" w:styleId="Hyperlink">
    <w:name w:val="Hyperlink"/>
    <w:basedOn w:val="DefaultParagraphFont"/>
    <w:uiPriority w:val="99"/>
    <w:unhideWhenUsed/>
    <w:rsid w:val="00814D1C"/>
    <w:rPr>
      <w:color w:val="0000FF" w:themeColor="hyperlink"/>
      <w:u w:val="single"/>
    </w:rPr>
  </w:style>
  <w:style w:type="paragraph" w:styleId="TOC3">
    <w:name w:val="toc 3"/>
    <w:basedOn w:val="Normal"/>
    <w:next w:val="Normal"/>
    <w:autoRedefine/>
    <w:uiPriority w:val="39"/>
    <w:unhideWhenUsed/>
    <w:qFormat/>
    <w:rsid w:val="00814D1C"/>
    <w:pPr>
      <w:spacing w:after="100" w:line="276" w:lineRule="auto"/>
      <w:ind w:left="440"/>
      <w:jc w:val="left"/>
    </w:pPr>
    <w:rPr>
      <w:rFonts w:asciiTheme="minorHAnsi" w:eastAsiaTheme="minorEastAsia" w:hAnsiTheme="minorHAnsi"/>
      <w:sz w:val="22"/>
      <w:szCs w:val="22"/>
      <w:lang w:val="en-US" w:eastAsia="ja-JP"/>
    </w:rPr>
  </w:style>
  <w:style w:type="paragraph" w:styleId="Header">
    <w:name w:val="header"/>
    <w:basedOn w:val="Normal"/>
    <w:link w:val="HeaderChar"/>
    <w:uiPriority w:val="99"/>
    <w:unhideWhenUsed/>
    <w:rsid w:val="00814D1C"/>
    <w:pPr>
      <w:tabs>
        <w:tab w:val="center" w:pos="4513"/>
        <w:tab w:val="right" w:pos="9026"/>
      </w:tabs>
      <w:spacing w:line="240" w:lineRule="auto"/>
    </w:pPr>
    <w:rPr>
      <w:rFonts w:cs="Times New Roman"/>
    </w:rPr>
  </w:style>
  <w:style w:type="character" w:customStyle="1" w:styleId="HeaderChar">
    <w:name w:val="Header Char"/>
    <w:basedOn w:val="DefaultParagraphFont"/>
    <w:link w:val="Header"/>
    <w:uiPriority w:val="99"/>
    <w:rsid w:val="00814D1C"/>
    <w:rPr>
      <w:rFonts w:ascii="Times New Roman" w:hAnsi="Times New Roman" w:cs="Times New Roman"/>
      <w:sz w:val="24"/>
      <w:szCs w:val="24"/>
    </w:rPr>
  </w:style>
  <w:style w:type="paragraph" w:styleId="Footer">
    <w:name w:val="footer"/>
    <w:basedOn w:val="Normal"/>
    <w:link w:val="FooterChar"/>
    <w:uiPriority w:val="99"/>
    <w:unhideWhenUsed/>
    <w:rsid w:val="00814D1C"/>
    <w:pPr>
      <w:tabs>
        <w:tab w:val="center" w:pos="4513"/>
        <w:tab w:val="right" w:pos="9026"/>
      </w:tabs>
      <w:spacing w:line="240" w:lineRule="auto"/>
    </w:pPr>
    <w:rPr>
      <w:rFonts w:cs="Times New Roman"/>
    </w:rPr>
  </w:style>
  <w:style w:type="character" w:customStyle="1" w:styleId="FooterChar">
    <w:name w:val="Footer Char"/>
    <w:basedOn w:val="DefaultParagraphFont"/>
    <w:link w:val="Footer"/>
    <w:uiPriority w:val="99"/>
    <w:rsid w:val="00814D1C"/>
    <w:rPr>
      <w:rFonts w:ascii="Times New Roman" w:hAnsi="Times New Roman" w:cs="Times New Roman"/>
      <w:sz w:val="24"/>
      <w:szCs w:val="24"/>
    </w:rPr>
  </w:style>
  <w:style w:type="paragraph" w:styleId="EndnoteText">
    <w:name w:val="endnote text"/>
    <w:basedOn w:val="Normal"/>
    <w:link w:val="EndnoteTextChar"/>
    <w:semiHidden/>
    <w:unhideWhenUsed/>
    <w:rsid w:val="00814D1C"/>
    <w:pPr>
      <w:spacing w:line="240" w:lineRule="auto"/>
    </w:pPr>
    <w:rPr>
      <w:rFonts w:cs="Times New Roman"/>
      <w:sz w:val="20"/>
      <w:szCs w:val="20"/>
    </w:rPr>
  </w:style>
  <w:style w:type="character" w:customStyle="1" w:styleId="EndnoteTextChar">
    <w:name w:val="Endnote Text Char"/>
    <w:basedOn w:val="DefaultParagraphFont"/>
    <w:link w:val="EndnoteText"/>
    <w:semiHidden/>
    <w:rsid w:val="00814D1C"/>
    <w:rPr>
      <w:rFonts w:ascii="Times New Roman" w:hAnsi="Times New Roman" w:cs="Times New Roman"/>
      <w:sz w:val="20"/>
      <w:szCs w:val="20"/>
    </w:rPr>
  </w:style>
  <w:style w:type="character" w:styleId="EndnoteReference">
    <w:name w:val="endnote reference"/>
    <w:basedOn w:val="DefaultParagraphFont"/>
    <w:semiHidden/>
    <w:unhideWhenUsed/>
    <w:rsid w:val="00814D1C"/>
    <w:rPr>
      <w:vertAlign w:val="superscript"/>
    </w:rPr>
  </w:style>
  <w:style w:type="paragraph" w:styleId="BodyText3">
    <w:name w:val="Body Text 3"/>
    <w:basedOn w:val="Normal"/>
    <w:link w:val="BodyText3Char"/>
    <w:rsid w:val="00814D1C"/>
    <w:pPr>
      <w:widowControl w:val="0"/>
      <w:tabs>
        <w:tab w:val="left" w:pos="567"/>
        <w:tab w:val="left" w:pos="3402"/>
        <w:tab w:val="left" w:pos="4536"/>
        <w:tab w:val="left" w:pos="7938"/>
      </w:tabs>
      <w:overflowPunct w:val="0"/>
      <w:autoSpaceDE w:val="0"/>
      <w:autoSpaceDN w:val="0"/>
      <w:adjustRightInd w:val="0"/>
      <w:jc w:val="center"/>
      <w:textAlignment w:val="baseline"/>
    </w:pPr>
    <w:rPr>
      <w:rFonts w:eastAsia="Times New Roman" w:cs="Times New Roman"/>
      <w:b/>
      <w:i/>
      <w:szCs w:val="20"/>
    </w:rPr>
  </w:style>
  <w:style w:type="character" w:customStyle="1" w:styleId="BodyText3Char">
    <w:name w:val="Body Text 3 Char"/>
    <w:basedOn w:val="DefaultParagraphFont"/>
    <w:link w:val="BodyText3"/>
    <w:rsid w:val="00814D1C"/>
    <w:rPr>
      <w:rFonts w:ascii="Times New Roman" w:eastAsia="Times New Roman" w:hAnsi="Times New Roman" w:cs="Times New Roman"/>
      <w:b/>
      <w:i/>
      <w:sz w:val="24"/>
      <w:szCs w:val="20"/>
    </w:rPr>
  </w:style>
  <w:style w:type="character" w:styleId="PageNumber">
    <w:name w:val="page number"/>
    <w:basedOn w:val="DefaultParagraphFont"/>
    <w:rsid w:val="00814D1C"/>
  </w:style>
  <w:style w:type="paragraph" w:styleId="HTMLPreformatted">
    <w:name w:val="HTML Preformatted"/>
    <w:basedOn w:val="Normal"/>
    <w:link w:val="HTMLPreformattedChar"/>
    <w:rsid w:val="00814D1C"/>
    <w:pPr>
      <w:widowControl w:val="0"/>
      <w:tabs>
        <w:tab w:val="left" w:pos="3402"/>
        <w:tab w:val="left" w:pos="4536"/>
        <w:tab w:val="left" w:pos="7938"/>
      </w:tabs>
      <w:overflowPunct w:val="0"/>
      <w:autoSpaceDE w:val="0"/>
      <w:autoSpaceDN w:val="0"/>
      <w:adjustRightInd w:val="0"/>
      <w:spacing w:line="240" w:lineRule="auto"/>
      <w:textAlignment w:val="baseline"/>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14D1C"/>
    <w:rPr>
      <w:rFonts w:ascii="Courier New" w:eastAsia="Times New Roman" w:hAnsi="Courier New" w:cs="Courier New"/>
      <w:sz w:val="20"/>
      <w:szCs w:val="20"/>
    </w:rPr>
  </w:style>
  <w:style w:type="character" w:styleId="FollowedHyperlink">
    <w:name w:val="FollowedHyperlink"/>
    <w:basedOn w:val="DefaultParagraphFont"/>
    <w:rsid w:val="00814D1C"/>
    <w:rPr>
      <w:color w:val="800080"/>
      <w:u w:val="single"/>
    </w:rPr>
  </w:style>
  <w:style w:type="paragraph" w:styleId="BodyText">
    <w:name w:val="Body Text"/>
    <w:basedOn w:val="Normal"/>
    <w:link w:val="BodyTextChar"/>
    <w:rsid w:val="00814D1C"/>
    <w:pPr>
      <w:spacing w:line="240" w:lineRule="auto"/>
    </w:pPr>
    <w:rPr>
      <w:rFonts w:eastAsia="Times New Roman" w:cs="Times New Roman"/>
      <w:b/>
      <w:bCs/>
    </w:rPr>
  </w:style>
  <w:style w:type="character" w:customStyle="1" w:styleId="BodyTextChar">
    <w:name w:val="Body Text Char"/>
    <w:basedOn w:val="DefaultParagraphFont"/>
    <w:link w:val="BodyText"/>
    <w:rsid w:val="00814D1C"/>
    <w:rPr>
      <w:rFonts w:ascii="Times New Roman" w:eastAsia="Times New Roman" w:hAnsi="Times New Roman" w:cs="Times New Roman"/>
      <w:b/>
      <w:bCs/>
      <w:sz w:val="24"/>
      <w:szCs w:val="24"/>
    </w:rPr>
  </w:style>
  <w:style w:type="paragraph" w:styleId="NormalWeb">
    <w:name w:val="Normal (Web)"/>
    <w:basedOn w:val="Normal"/>
    <w:uiPriority w:val="99"/>
    <w:rsid w:val="00814D1C"/>
    <w:pPr>
      <w:spacing w:before="100" w:beforeAutospacing="1" w:after="100" w:afterAutospacing="1" w:line="240" w:lineRule="auto"/>
    </w:pPr>
    <w:rPr>
      <w:rFonts w:eastAsia="Calibri" w:cs="Times New Roman"/>
      <w:lang w:eastAsia="en-GB"/>
    </w:rPr>
  </w:style>
  <w:style w:type="paragraph" w:styleId="PlainText">
    <w:name w:val="Plain Text"/>
    <w:basedOn w:val="Normal"/>
    <w:link w:val="PlainTextChar"/>
    <w:unhideWhenUsed/>
    <w:rsid w:val="00814D1C"/>
    <w:pPr>
      <w:spacing w:line="240" w:lineRule="auto"/>
    </w:pPr>
    <w:rPr>
      <w:rFonts w:ascii="Calibri" w:hAnsi="Calibri" w:cs="Times New Roman"/>
      <w:szCs w:val="21"/>
    </w:rPr>
  </w:style>
  <w:style w:type="character" w:customStyle="1" w:styleId="PlainTextChar">
    <w:name w:val="Plain Text Char"/>
    <w:basedOn w:val="DefaultParagraphFont"/>
    <w:link w:val="PlainText"/>
    <w:rsid w:val="00814D1C"/>
    <w:rPr>
      <w:rFonts w:ascii="Calibri" w:hAnsi="Calibri" w:cs="Times New Roman"/>
      <w:sz w:val="24"/>
      <w:szCs w:val="21"/>
    </w:rPr>
  </w:style>
  <w:style w:type="paragraph" w:styleId="TableofFigures">
    <w:name w:val="table of figures"/>
    <w:basedOn w:val="Normal"/>
    <w:next w:val="Normal"/>
    <w:uiPriority w:val="99"/>
    <w:unhideWhenUsed/>
    <w:rsid w:val="00814D1C"/>
  </w:style>
  <w:style w:type="table" w:customStyle="1" w:styleId="TableGrid1">
    <w:name w:val="Table Grid1"/>
    <w:basedOn w:val="TableNormal"/>
    <w:next w:val="TableGrid"/>
    <w:uiPriority w:val="59"/>
    <w:rsid w:val="00814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814D1C"/>
    <w:pPr>
      <w:spacing w:after="100" w:line="276" w:lineRule="auto"/>
      <w:ind w:left="660"/>
      <w:jc w:val="left"/>
    </w:pPr>
    <w:rPr>
      <w:rFonts w:asciiTheme="minorHAnsi" w:eastAsiaTheme="minorEastAsia" w:hAnsiTheme="minorHAnsi"/>
      <w:sz w:val="22"/>
      <w:szCs w:val="22"/>
      <w:lang w:eastAsia="en-GB"/>
    </w:rPr>
  </w:style>
  <w:style w:type="paragraph" w:styleId="TOC5">
    <w:name w:val="toc 5"/>
    <w:basedOn w:val="Normal"/>
    <w:next w:val="Normal"/>
    <w:autoRedefine/>
    <w:uiPriority w:val="39"/>
    <w:unhideWhenUsed/>
    <w:rsid w:val="00814D1C"/>
    <w:pPr>
      <w:spacing w:after="100" w:line="276" w:lineRule="auto"/>
      <w:ind w:left="880"/>
      <w:jc w:val="left"/>
    </w:pPr>
    <w:rPr>
      <w:rFonts w:asciiTheme="minorHAnsi" w:eastAsiaTheme="minorEastAsia" w:hAnsiTheme="minorHAnsi"/>
      <w:sz w:val="22"/>
      <w:szCs w:val="22"/>
      <w:lang w:eastAsia="en-GB"/>
    </w:rPr>
  </w:style>
  <w:style w:type="paragraph" w:styleId="TOC6">
    <w:name w:val="toc 6"/>
    <w:basedOn w:val="Normal"/>
    <w:next w:val="Normal"/>
    <w:autoRedefine/>
    <w:uiPriority w:val="39"/>
    <w:unhideWhenUsed/>
    <w:rsid w:val="00814D1C"/>
    <w:pPr>
      <w:spacing w:after="100" w:line="276" w:lineRule="auto"/>
      <w:ind w:left="1100"/>
      <w:jc w:val="left"/>
    </w:pPr>
    <w:rPr>
      <w:rFonts w:asciiTheme="minorHAnsi" w:eastAsiaTheme="minorEastAsia" w:hAnsiTheme="minorHAnsi"/>
      <w:sz w:val="22"/>
      <w:szCs w:val="22"/>
      <w:lang w:eastAsia="en-GB"/>
    </w:rPr>
  </w:style>
  <w:style w:type="paragraph" w:styleId="TOC7">
    <w:name w:val="toc 7"/>
    <w:basedOn w:val="Normal"/>
    <w:next w:val="Normal"/>
    <w:autoRedefine/>
    <w:uiPriority w:val="39"/>
    <w:unhideWhenUsed/>
    <w:rsid w:val="00814D1C"/>
    <w:pPr>
      <w:spacing w:after="100" w:line="276" w:lineRule="auto"/>
      <w:ind w:left="1320"/>
      <w:jc w:val="left"/>
    </w:pPr>
    <w:rPr>
      <w:rFonts w:asciiTheme="minorHAnsi" w:eastAsiaTheme="minorEastAsia" w:hAnsiTheme="minorHAnsi"/>
      <w:sz w:val="22"/>
      <w:szCs w:val="22"/>
      <w:lang w:eastAsia="en-GB"/>
    </w:rPr>
  </w:style>
  <w:style w:type="paragraph" w:styleId="TOC8">
    <w:name w:val="toc 8"/>
    <w:basedOn w:val="Normal"/>
    <w:next w:val="Normal"/>
    <w:autoRedefine/>
    <w:uiPriority w:val="39"/>
    <w:unhideWhenUsed/>
    <w:rsid w:val="00814D1C"/>
    <w:pPr>
      <w:spacing w:after="100" w:line="276" w:lineRule="auto"/>
      <w:ind w:left="1540"/>
      <w:jc w:val="left"/>
    </w:pPr>
    <w:rPr>
      <w:rFonts w:asciiTheme="minorHAnsi" w:eastAsiaTheme="minorEastAsia" w:hAnsiTheme="minorHAnsi"/>
      <w:sz w:val="22"/>
      <w:szCs w:val="22"/>
      <w:lang w:eastAsia="en-GB"/>
    </w:rPr>
  </w:style>
  <w:style w:type="paragraph" w:styleId="TOC9">
    <w:name w:val="toc 9"/>
    <w:basedOn w:val="Normal"/>
    <w:next w:val="Normal"/>
    <w:autoRedefine/>
    <w:uiPriority w:val="39"/>
    <w:unhideWhenUsed/>
    <w:rsid w:val="00814D1C"/>
    <w:pPr>
      <w:spacing w:after="100" w:line="276" w:lineRule="auto"/>
      <w:ind w:left="1760"/>
      <w:jc w:val="left"/>
    </w:pPr>
    <w:rPr>
      <w:rFonts w:asciiTheme="minorHAnsi" w:eastAsiaTheme="minorEastAsia" w:hAnsiTheme="minorHAnsi"/>
      <w:sz w:val="22"/>
      <w:szCs w:val="22"/>
      <w:lang w:eastAsia="en-GB"/>
    </w:rPr>
  </w:style>
  <w:style w:type="paragraph" w:styleId="FootnoteText">
    <w:name w:val="footnote text"/>
    <w:basedOn w:val="Normal"/>
    <w:link w:val="FootnoteTextChar"/>
    <w:semiHidden/>
    <w:rsid w:val="00814D1C"/>
    <w:rPr>
      <w:rFonts w:eastAsia="Calibri" w:cs="Times New Roman"/>
      <w:sz w:val="20"/>
      <w:szCs w:val="20"/>
      <w:lang w:eastAsia="en-GB"/>
    </w:rPr>
  </w:style>
  <w:style w:type="character" w:customStyle="1" w:styleId="FootnoteTextChar">
    <w:name w:val="Footnote Text Char"/>
    <w:basedOn w:val="DefaultParagraphFont"/>
    <w:link w:val="FootnoteText"/>
    <w:semiHidden/>
    <w:rsid w:val="00814D1C"/>
    <w:rPr>
      <w:rFonts w:ascii="Times New Roman" w:eastAsia="Calibri" w:hAnsi="Times New Roman" w:cs="Times New Roman"/>
      <w:sz w:val="20"/>
      <w:szCs w:val="20"/>
      <w:lang w:eastAsia="en-GB"/>
    </w:rPr>
  </w:style>
  <w:style w:type="character" w:customStyle="1" w:styleId="articletitle1">
    <w:name w:val="articletitle1"/>
    <w:rsid w:val="00814D1C"/>
    <w:rPr>
      <w:rFonts w:ascii="Verdana" w:hAnsi="Verdana" w:hint="default"/>
      <w:b/>
      <w:bCs/>
      <w:color w:val="000000"/>
      <w:sz w:val="26"/>
      <w:szCs w:val="26"/>
    </w:rPr>
  </w:style>
  <w:style w:type="character" w:customStyle="1" w:styleId="smalltext1">
    <w:name w:val="smalltext1"/>
    <w:rsid w:val="00814D1C"/>
    <w:rPr>
      <w:rFonts w:ascii="Verdana" w:hAnsi="Verdana" w:hint="default"/>
      <w:strike w:val="0"/>
      <w:dstrike w:val="0"/>
      <w:color w:val="000000"/>
      <w:sz w:val="15"/>
      <w:szCs w:val="15"/>
      <w:u w:val="none"/>
      <w:effect w:val="none"/>
    </w:rPr>
  </w:style>
  <w:style w:type="character" w:customStyle="1" w:styleId="ti2">
    <w:name w:val="ti2"/>
    <w:rsid w:val="00814D1C"/>
    <w:rPr>
      <w:sz w:val="22"/>
      <w:szCs w:val="22"/>
    </w:rPr>
  </w:style>
  <w:style w:type="character" w:customStyle="1" w:styleId="ecec041455409-10012008">
    <w:name w:val="ec_ec_041455409-10012008"/>
    <w:basedOn w:val="DefaultParagraphFont"/>
    <w:rsid w:val="00814D1C"/>
  </w:style>
  <w:style w:type="character" w:customStyle="1" w:styleId="DocumentMapChar">
    <w:name w:val="Document Map Char"/>
    <w:semiHidden/>
    <w:rsid w:val="00814D1C"/>
    <w:rPr>
      <w:rFonts w:ascii="Tahoma" w:eastAsia="Times New Roman" w:hAnsi="Tahoma" w:cs="Tahoma"/>
      <w:shd w:val="clear" w:color="auto" w:fill="000080"/>
      <w:lang w:val="en-US" w:eastAsia="en-US"/>
    </w:rPr>
  </w:style>
  <w:style w:type="paragraph" w:styleId="DocumentMap">
    <w:name w:val="Document Map"/>
    <w:basedOn w:val="Normal"/>
    <w:link w:val="DocumentMapChar1"/>
    <w:semiHidden/>
    <w:rsid w:val="00814D1C"/>
    <w:pPr>
      <w:shd w:val="clear" w:color="auto" w:fill="000080"/>
    </w:pPr>
    <w:rPr>
      <w:rFonts w:ascii="Tahoma" w:eastAsia="Calibri" w:hAnsi="Tahoma" w:cs="Tahoma"/>
      <w:sz w:val="20"/>
      <w:szCs w:val="20"/>
      <w:lang w:eastAsia="en-GB"/>
    </w:rPr>
  </w:style>
  <w:style w:type="character" w:customStyle="1" w:styleId="DocumentMapChar1">
    <w:name w:val="Document Map Char1"/>
    <w:basedOn w:val="DefaultParagraphFont"/>
    <w:link w:val="DocumentMap"/>
    <w:semiHidden/>
    <w:rsid w:val="00814D1C"/>
    <w:rPr>
      <w:rFonts w:ascii="Tahoma" w:eastAsia="Calibri" w:hAnsi="Tahoma" w:cs="Tahoma"/>
      <w:sz w:val="20"/>
      <w:szCs w:val="20"/>
      <w:shd w:val="clear" w:color="auto" w:fill="000080"/>
      <w:lang w:eastAsia="en-GB"/>
    </w:rPr>
  </w:style>
  <w:style w:type="character" w:customStyle="1" w:styleId="ec771203918-17032008">
    <w:name w:val="ec_771203918-17032008"/>
    <w:basedOn w:val="DefaultParagraphFont"/>
    <w:rsid w:val="00814D1C"/>
  </w:style>
  <w:style w:type="character" w:customStyle="1" w:styleId="ti">
    <w:name w:val="ti"/>
    <w:basedOn w:val="DefaultParagraphFont"/>
    <w:rsid w:val="00814D1C"/>
  </w:style>
  <w:style w:type="character" w:customStyle="1" w:styleId="article-title1">
    <w:name w:val="article-title1"/>
    <w:rsid w:val="00814D1C"/>
    <w:rPr>
      <w:b/>
      <w:bCs/>
      <w:sz w:val="34"/>
      <w:szCs w:val="34"/>
    </w:rPr>
  </w:style>
  <w:style w:type="character" w:customStyle="1" w:styleId="author1">
    <w:name w:val="author1"/>
    <w:rsid w:val="00814D1C"/>
    <w:rPr>
      <w:sz w:val="20"/>
      <w:szCs w:val="20"/>
    </w:rPr>
  </w:style>
  <w:style w:type="character" w:customStyle="1" w:styleId="ec768224609-05102007">
    <w:name w:val="ec_768224609-05102007"/>
    <w:basedOn w:val="DefaultParagraphFont"/>
    <w:rsid w:val="00814D1C"/>
  </w:style>
  <w:style w:type="character" w:styleId="FootnoteReference">
    <w:name w:val="footnote reference"/>
    <w:semiHidden/>
    <w:rsid w:val="00814D1C"/>
    <w:rPr>
      <w:vertAlign w:val="superscript"/>
    </w:rPr>
  </w:style>
  <w:style w:type="numbering" w:customStyle="1" w:styleId="NoList1">
    <w:name w:val="No List1"/>
    <w:next w:val="NoList"/>
    <w:uiPriority w:val="99"/>
    <w:semiHidden/>
    <w:unhideWhenUsed/>
    <w:rsid w:val="00814D1C"/>
  </w:style>
  <w:style w:type="paragraph" w:styleId="Revision">
    <w:name w:val="Revision"/>
    <w:hidden/>
    <w:uiPriority w:val="99"/>
    <w:semiHidden/>
    <w:rsid w:val="00814D1C"/>
    <w:rPr>
      <w:rFonts w:ascii="Arial" w:eastAsia="Times New Roman" w:hAnsi="Arial" w:cs="Times New Roman"/>
      <w:sz w:val="24"/>
      <w:szCs w:val="24"/>
      <w:lang w:val="en-US"/>
    </w:rPr>
  </w:style>
  <w:style w:type="table" w:styleId="LightList">
    <w:name w:val="Light List"/>
    <w:basedOn w:val="TableNormal"/>
    <w:uiPriority w:val="61"/>
    <w:rsid w:val="00814D1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21">
    <w:name w:val="Grid Table 21"/>
    <w:basedOn w:val="TableNormal"/>
    <w:uiPriority w:val="47"/>
    <w:rsid w:val="00814D1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814D1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jrnl">
    <w:name w:val="jrnl"/>
    <w:basedOn w:val="DefaultParagraphFont"/>
    <w:rsid w:val="005277A3"/>
  </w:style>
  <w:style w:type="character" w:customStyle="1" w:styleId="src">
    <w:name w:val="src"/>
    <w:basedOn w:val="DefaultParagraphFont"/>
    <w:rsid w:val="00527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90504">
      <w:bodyDiv w:val="1"/>
      <w:marLeft w:val="0"/>
      <w:marRight w:val="0"/>
      <w:marTop w:val="0"/>
      <w:marBottom w:val="0"/>
      <w:divBdr>
        <w:top w:val="none" w:sz="0" w:space="0" w:color="auto"/>
        <w:left w:val="none" w:sz="0" w:space="0" w:color="auto"/>
        <w:bottom w:val="none" w:sz="0" w:space="0" w:color="auto"/>
        <w:right w:val="none" w:sz="0" w:space="0" w:color="auto"/>
      </w:divBdr>
      <w:divsChild>
        <w:div w:id="865218167">
          <w:marLeft w:val="0"/>
          <w:marRight w:val="0"/>
          <w:marTop w:val="0"/>
          <w:marBottom w:val="0"/>
          <w:divBdr>
            <w:top w:val="none" w:sz="0" w:space="0" w:color="auto"/>
            <w:left w:val="none" w:sz="0" w:space="0" w:color="auto"/>
            <w:bottom w:val="none" w:sz="0" w:space="0" w:color="auto"/>
            <w:right w:val="none" w:sz="0" w:space="0" w:color="auto"/>
          </w:divBdr>
          <w:divsChild>
            <w:div w:id="928663645">
              <w:marLeft w:val="0"/>
              <w:marRight w:val="0"/>
              <w:marTop w:val="0"/>
              <w:marBottom w:val="0"/>
              <w:divBdr>
                <w:top w:val="none" w:sz="0" w:space="0" w:color="auto"/>
                <w:left w:val="none" w:sz="0" w:space="0" w:color="auto"/>
                <w:bottom w:val="none" w:sz="0" w:space="0" w:color="auto"/>
                <w:right w:val="none" w:sz="0" w:space="0" w:color="auto"/>
              </w:divBdr>
              <w:divsChild>
                <w:div w:id="10499207">
                  <w:marLeft w:val="0"/>
                  <w:marRight w:val="0"/>
                  <w:marTop w:val="0"/>
                  <w:marBottom w:val="0"/>
                  <w:divBdr>
                    <w:top w:val="none" w:sz="0" w:space="0" w:color="auto"/>
                    <w:left w:val="none" w:sz="0" w:space="0" w:color="auto"/>
                    <w:bottom w:val="none" w:sz="0" w:space="0" w:color="auto"/>
                    <w:right w:val="none" w:sz="0" w:space="0" w:color="auto"/>
                  </w:divBdr>
                  <w:divsChild>
                    <w:div w:id="132262128">
                      <w:marLeft w:val="0"/>
                      <w:marRight w:val="0"/>
                      <w:marTop w:val="0"/>
                      <w:marBottom w:val="0"/>
                      <w:divBdr>
                        <w:top w:val="none" w:sz="0" w:space="0" w:color="auto"/>
                        <w:left w:val="none" w:sz="0" w:space="0" w:color="auto"/>
                        <w:bottom w:val="none" w:sz="0" w:space="0" w:color="auto"/>
                        <w:right w:val="none" w:sz="0" w:space="0" w:color="auto"/>
                      </w:divBdr>
                      <w:divsChild>
                        <w:div w:id="230579800">
                          <w:marLeft w:val="0"/>
                          <w:marRight w:val="0"/>
                          <w:marTop w:val="0"/>
                          <w:marBottom w:val="0"/>
                          <w:divBdr>
                            <w:top w:val="none" w:sz="0" w:space="0" w:color="auto"/>
                            <w:left w:val="none" w:sz="0" w:space="0" w:color="auto"/>
                            <w:bottom w:val="none" w:sz="0" w:space="0" w:color="auto"/>
                            <w:right w:val="none" w:sz="0" w:space="0" w:color="auto"/>
                          </w:divBdr>
                          <w:divsChild>
                            <w:div w:id="215243152">
                              <w:marLeft w:val="0"/>
                              <w:marRight w:val="0"/>
                              <w:marTop w:val="0"/>
                              <w:marBottom w:val="0"/>
                              <w:divBdr>
                                <w:top w:val="none" w:sz="0" w:space="0" w:color="auto"/>
                                <w:left w:val="none" w:sz="0" w:space="0" w:color="auto"/>
                                <w:bottom w:val="none" w:sz="0" w:space="0" w:color="auto"/>
                                <w:right w:val="none" w:sz="0" w:space="0" w:color="auto"/>
                              </w:divBdr>
                              <w:divsChild>
                                <w:div w:id="1358039041">
                                  <w:marLeft w:val="0"/>
                                  <w:marRight w:val="0"/>
                                  <w:marTop w:val="0"/>
                                  <w:marBottom w:val="0"/>
                                  <w:divBdr>
                                    <w:top w:val="none" w:sz="0" w:space="0" w:color="auto"/>
                                    <w:left w:val="none" w:sz="0" w:space="0" w:color="auto"/>
                                    <w:bottom w:val="none" w:sz="0" w:space="0" w:color="auto"/>
                                    <w:right w:val="none" w:sz="0" w:space="0" w:color="auto"/>
                                  </w:divBdr>
                                  <w:divsChild>
                                    <w:div w:id="1343165297">
                                      <w:marLeft w:val="0"/>
                                      <w:marRight w:val="0"/>
                                      <w:marTop w:val="0"/>
                                      <w:marBottom w:val="0"/>
                                      <w:divBdr>
                                        <w:top w:val="none" w:sz="0" w:space="0" w:color="auto"/>
                                        <w:left w:val="none" w:sz="0" w:space="0" w:color="auto"/>
                                        <w:bottom w:val="none" w:sz="0" w:space="0" w:color="auto"/>
                                        <w:right w:val="none" w:sz="0" w:space="0" w:color="auto"/>
                                      </w:divBdr>
                                      <w:divsChild>
                                        <w:div w:id="729958784">
                                          <w:marLeft w:val="0"/>
                                          <w:marRight w:val="0"/>
                                          <w:marTop w:val="0"/>
                                          <w:marBottom w:val="0"/>
                                          <w:divBdr>
                                            <w:top w:val="none" w:sz="0" w:space="0" w:color="auto"/>
                                            <w:left w:val="none" w:sz="0" w:space="0" w:color="auto"/>
                                            <w:bottom w:val="none" w:sz="0" w:space="0" w:color="auto"/>
                                            <w:right w:val="none" w:sz="0" w:space="0" w:color="auto"/>
                                          </w:divBdr>
                                          <w:divsChild>
                                            <w:div w:id="1298759156">
                                              <w:marLeft w:val="0"/>
                                              <w:marRight w:val="0"/>
                                              <w:marTop w:val="0"/>
                                              <w:marBottom w:val="0"/>
                                              <w:divBdr>
                                                <w:top w:val="none" w:sz="0" w:space="0" w:color="auto"/>
                                                <w:left w:val="none" w:sz="0" w:space="0" w:color="auto"/>
                                                <w:bottom w:val="none" w:sz="0" w:space="0" w:color="auto"/>
                                                <w:right w:val="none" w:sz="0" w:space="0" w:color="auto"/>
                                              </w:divBdr>
                                              <w:divsChild>
                                                <w:div w:id="904144160">
                                                  <w:marLeft w:val="0"/>
                                                  <w:marRight w:val="0"/>
                                                  <w:marTop w:val="0"/>
                                                  <w:marBottom w:val="0"/>
                                                  <w:divBdr>
                                                    <w:top w:val="none" w:sz="0" w:space="0" w:color="auto"/>
                                                    <w:left w:val="none" w:sz="0" w:space="0" w:color="auto"/>
                                                    <w:bottom w:val="none" w:sz="0" w:space="0" w:color="auto"/>
                                                    <w:right w:val="none" w:sz="0" w:space="0" w:color="auto"/>
                                                  </w:divBdr>
                                                  <w:divsChild>
                                                    <w:div w:id="46651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0839999">
      <w:bodyDiv w:val="1"/>
      <w:marLeft w:val="0"/>
      <w:marRight w:val="0"/>
      <w:marTop w:val="0"/>
      <w:marBottom w:val="0"/>
      <w:divBdr>
        <w:top w:val="none" w:sz="0" w:space="0" w:color="auto"/>
        <w:left w:val="none" w:sz="0" w:space="0" w:color="auto"/>
        <w:bottom w:val="none" w:sz="0" w:space="0" w:color="auto"/>
        <w:right w:val="none" w:sz="0" w:space="0" w:color="auto"/>
      </w:divBdr>
    </w:div>
    <w:div w:id="725837725">
      <w:bodyDiv w:val="1"/>
      <w:marLeft w:val="0"/>
      <w:marRight w:val="0"/>
      <w:marTop w:val="0"/>
      <w:marBottom w:val="0"/>
      <w:divBdr>
        <w:top w:val="none" w:sz="0" w:space="0" w:color="auto"/>
        <w:left w:val="none" w:sz="0" w:space="0" w:color="auto"/>
        <w:bottom w:val="none" w:sz="0" w:space="0" w:color="auto"/>
        <w:right w:val="none" w:sz="0" w:space="0" w:color="auto"/>
      </w:divBdr>
    </w:div>
    <w:div w:id="1298493080">
      <w:bodyDiv w:val="1"/>
      <w:marLeft w:val="0"/>
      <w:marRight w:val="0"/>
      <w:marTop w:val="0"/>
      <w:marBottom w:val="0"/>
      <w:divBdr>
        <w:top w:val="none" w:sz="0" w:space="0" w:color="auto"/>
        <w:left w:val="none" w:sz="0" w:space="0" w:color="auto"/>
        <w:bottom w:val="none" w:sz="0" w:space="0" w:color="auto"/>
        <w:right w:val="none" w:sz="0" w:space="0" w:color="auto"/>
      </w:divBdr>
    </w:div>
    <w:div w:id="1467351705">
      <w:bodyDiv w:val="1"/>
      <w:marLeft w:val="0"/>
      <w:marRight w:val="0"/>
      <w:marTop w:val="0"/>
      <w:marBottom w:val="0"/>
      <w:divBdr>
        <w:top w:val="none" w:sz="0" w:space="0" w:color="auto"/>
        <w:left w:val="none" w:sz="0" w:space="0" w:color="auto"/>
        <w:bottom w:val="none" w:sz="0" w:space="0" w:color="auto"/>
        <w:right w:val="none" w:sz="0" w:space="0" w:color="auto"/>
      </w:divBdr>
      <w:divsChild>
        <w:div w:id="1038357711">
          <w:marLeft w:val="0"/>
          <w:marRight w:val="0"/>
          <w:marTop w:val="0"/>
          <w:marBottom w:val="0"/>
          <w:divBdr>
            <w:top w:val="none" w:sz="0" w:space="0" w:color="auto"/>
            <w:left w:val="none" w:sz="0" w:space="0" w:color="auto"/>
            <w:bottom w:val="none" w:sz="0" w:space="0" w:color="auto"/>
            <w:right w:val="none" w:sz="0" w:space="0" w:color="auto"/>
          </w:divBdr>
          <w:divsChild>
            <w:div w:id="601228360">
              <w:marLeft w:val="0"/>
              <w:marRight w:val="0"/>
              <w:marTop w:val="0"/>
              <w:marBottom w:val="0"/>
              <w:divBdr>
                <w:top w:val="none" w:sz="0" w:space="0" w:color="auto"/>
                <w:left w:val="none" w:sz="0" w:space="0" w:color="auto"/>
                <w:bottom w:val="none" w:sz="0" w:space="0" w:color="auto"/>
                <w:right w:val="none" w:sz="0" w:space="0" w:color="auto"/>
              </w:divBdr>
              <w:divsChild>
                <w:div w:id="1526863985">
                  <w:marLeft w:val="0"/>
                  <w:marRight w:val="0"/>
                  <w:marTop w:val="0"/>
                  <w:marBottom w:val="0"/>
                  <w:divBdr>
                    <w:top w:val="none" w:sz="0" w:space="0" w:color="auto"/>
                    <w:left w:val="none" w:sz="0" w:space="0" w:color="auto"/>
                    <w:bottom w:val="none" w:sz="0" w:space="0" w:color="auto"/>
                    <w:right w:val="none" w:sz="0" w:space="0" w:color="auto"/>
                  </w:divBdr>
                  <w:divsChild>
                    <w:div w:id="1489243499">
                      <w:marLeft w:val="0"/>
                      <w:marRight w:val="0"/>
                      <w:marTop w:val="0"/>
                      <w:marBottom w:val="0"/>
                      <w:divBdr>
                        <w:top w:val="none" w:sz="0" w:space="0" w:color="auto"/>
                        <w:left w:val="none" w:sz="0" w:space="0" w:color="auto"/>
                        <w:bottom w:val="none" w:sz="0" w:space="0" w:color="auto"/>
                        <w:right w:val="none" w:sz="0" w:space="0" w:color="auto"/>
                      </w:divBdr>
                      <w:divsChild>
                        <w:div w:id="1632125151">
                          <w:marLeft w:val="0"/>
                          <w:marRight w:val="0"/>
                          <w:marTop w:val="0"/>
                          <w:marBottom w:val="0"/>
                          <w:divBdr>
                            <w:top w:val="none" w:sz="0" w:space="0" w:color="auto"/>
                            <w:left w:val="none" w:sz="0" w:space="0" w:color="auto"/>
                            <w:bottom w:val="none" w:sz="0" w:space="0" w:color="auto"/>
                            <w:right w:val="none" w:sz="0" w:space="0" w:color="auto"/>
                          </w:divBdr>
                          <w:divsChild>
                            <w:div w:id="764689021">
                              <w:marLeft w:val="0"/>
                              <w:marRight w:val="0"/>
                              <w:marTop w:val="0"/>
                              <w:marBottom w:val="0"/>
                              <w:divBdr>
                                <w:top w:val="none" w:sz="0" w:space="0" w:color="auto"/>
                                <w:left w:val="none" w:sz="0" w:space="0" w:color="auto"/>
                                <w:bottom w:val="none" w:sz="0" w:space="0" w:color="auto"/>
                                <w:right w:val="none" w:sz="0" w:space="0" w:color="auto"/>
                              </w:divBdr>
                              <w:divsChild>
                                <w:div w:id="1778401859">
                                  <w:marLeft w:val="0"/>
                                  <w:marRight w:val="0"/>
                                  <w:marTop w:val="0"/>
                                  <w:marBottom w:val="0"/>
                                  <w:divBdr>
                                    <w:top w:val="none" w:sz="0" w:space="0" w:color="auto"/>
                                    <w:left w:val="none" w:sz="0" w:space="0" w:color="auto"/>
                                    <w:bottom w:val="none" w:sz="0" w:space="0" w:color="auto"/>
                                    <w:right w:val="none" w:sz="0" w:space="0" w:color="auto"/>
                                  </w:divBdr>
                                  <w:divsChild>
                                    <w:div w:id="1575238292">
                                      <w:marLeft w:val="0"/>
                                      <w:marRight w:val="0"/>
                                      <w:marTop w:val="0"/>
                                      <w:marBottom w:val="0"/>
                                      <w:divBdr>
                                        <w:top w:val="none" w:sz="0" w:space="0" w:color="auto"/>
                                        <w:left w:val="none" w:sz="0" w:space="0" w:color="auto"/>
                                        <w:bottom w:val="none" w:sz="0" w:space="0" w:color="auto"/>
                                        <w:right w:val="none" w:sz="0" w:space="0" w:color="auto"/>
                                      </w:divBdr>
                                      <w:divsChild>
                                        <w:div w:id="459225591">
                                          <w:marLeft w:val="0"/>
                                          <w:marRight w:val="0"/>
                                          <w:marTop w:val="0"/>
                                          <w:marBottom w:val="0"/>
                                          <w:divBdr>
                                            <w:top w:val="none" w:sz="0" w:space="0" w:color="auto"/>
                                            <w:left w:val="none" w:sz="0" w:space="0" w:color="auto"/>
                                            <w:bottom w:val="none" w:sz="0" w:space="0" w:color="auto"/>
                                            <w:right w:val="none" w:sz="0" w:space="0" w:color="auto"/>
                                          </w:divBdr>
                                          <w:divsChild>
                                            <w:div w:id="750589787">
                                              <w:marLeft w:val="0"/>
                                              <w:marRight w:val="0"/>
                                              <w:marTop w:val="0"/>
                                              <w:marBottom w:val="0"/>
                                              <w:divBdr>
                                                <w:top w:val="none" w:sz="0" w:space="0" w:color="auto"/>
                                                <w:left w:val="none" w:sz="0" w:space="0" w:color="auto"/>
                                                <w:bottom w:val="none" w:sz="0" w:space="0" w:color="auto"/>
                                                <w:right w:val="none" w:sz="0" w:space="0" w:color="auto"/>
                                              </w:divBdr>
                                              <w:divsChild>
                                                <w:div w:id="1781874647">
                                                  <w:marLeft w:val="0"/>
                                                  <w:marRight w:val="0"/>
                                                  <w:marTop w:val="0"/>
                                                  <w:marBottom w:val="0"/>
                                                  <w:divBdr>
                                                    <w:top w:val="none" w:sz="0" w:space="0" w:color="auto"/>
                                                    <w:left w:val="none" w:sz="0" w:space="0" w:color="auto"/>
                                                    <w:bottom w:val="none" w:sz="0" w:space="0" w:color="auto"/>
                                                    <w:right w:val="none" w:sz="0" w:space="0" w:color="auto"/>
                                                  </w:divBdr>
                                                  <w:divsChild>
                                                    <w:div w:id="13293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145747">
      <w:bodyDiv w:val="1"/>
      <w:marLeft w:val="0"/>
      <w:marRight w:val="0"/>
      <w:marTop w:val="0"/>
      <w:marBottom w:val="0"/>
      <w:divBdr>
        <w:top w:val="none" w:sz="0" w:space="0" w:color="auto"/>
        <w:left w:val="none" w:sz="0" w:space="0" w:color="auto"/>
        <w:bottom w:val="none" w:sz="0" w:space="0" w:color="auto"/>
        <w:right w:val="none" w:sz="0" w:space="0" w:color="auto"/>
      </w:divBdr>
      <w:divsChild>
        <w:div w:id="555431722">
          <w:marLeft w:val="0"/>
          <w:marRight w:val="0"/>
          <w:marTop w:val="0"/>
          <w:marBottom w:val="0"/>
          <w:divBdr>
            <w:top w:val="none" w:sz="0" w:space="0" w:color="auto"/>
            <w:left w:val="none" w:sz="0" w:space="0" w:color="auto"/>
            <w:bottom w:val="none" w:sz="0" w:space="0" w:color="auto"/>
            <w:right w:val="none" w:sz="0" w:space="0" w:color="auto"/>
          </w:divBdr>
          <w:divsChild>
            <w:div w:id="1083725507">
              <w:marLeft w:val="0"/>
              <w:marRight w:val="0"/>
              <w:marTop w:val="0"/>
              <w:marBottom w:val="0"/>
              <w:divBdr>
                <w:top w:val="none" w:sz="0" w:space="0" w:color="auto"/>
                <w:left w:val="none" w:sz="0" w:space="0" w:color="auto"/>
                <w:bottom w:val="none" w:sz="0" w:space="0" w:color="auto"/>
                <w:right w:val="none" w:sz="0" w:space="0" w:color="auto"/>
              </w:divBdr>
              <w:divsChild>
                <w:div w:id="272132378">
                  <w:marLeft w:val="0"/>
                  <w:marRight w:val="0"/>
                  <w:marTop w:val="0"/>
                  <w:marBottom w:val="0"/>
                  <w:divBdr>
                    <w:top w:val="none" w:sz="0" w:space="0" w:color="auto"/>
                    <w:left w:val="none" w:sz="0" w:space="0" w:color="auto"/>
                    <w:bottom w:val="none" w:sz="0" w:space="0" w:color="auto"/>
                    <w:right w:val="none" w:sz="0" w:space="0" w:color="auto"/>
                  </w:divBdr>
                  <w:divsChild>
                    <w:div w:id="366873414">
                      <w:marLeft w:val="0"/>
                      <w:marRight w:val="0"/>
                      <w:marTop w:val="0"/>
                      <w:marBottom w:val="0"/>
                      <w:divBdr>
                        <w:top w:val="none" w:sz="0" w:space="0" w:color="auto"/>
                        <w:left w:val="none" w:sz="0" w:space="0" w:color="auto"/>
                        <w:bottom w:val="none" w:sz="0" w:space="0" w:color="auto"/>
                        <w:right w:val="none" w:sz="0" w:space="0" w:color="auto"/>
                      </w:divBdr>
                      <w:divsChild>
                        <w:div w:id="714622007">
                          <w:marLeft w:val="0"/>
                          <w:marRight w:val="0"/>
                          <w:marTop w:val="0"/>
                          <w:marBottom w:val="0"/>
                          <w:divBdr>
                            <w:top w:val="none" w:sz="0" w:space="0" w:color="auto"/>
                            <w:left w:val="none" w:sz="0" w:space="0" w:color="auto"/>
                            <w:bottom w:val="none" w:sz="0" w:space="0" w:color="auto"/>
                            <w:right w:val="none" w:sz="0" w:space="0" w:color="auto"/>
                          </w:divBdr>
                          <w:divsChild>
                            <w:div w:id="126972176">
                              <w:marLeft w:val="0"/>
                              <w:marRight w:val="0"/>
                              <w:marTop w:val="0"/>
                              <w:marBottom w:val="0"/>
                              <w:divBdr>
                                <w:top w:val="none" w:sz="0" w:space="0" w:color="auto"/>
                                <w:left w:val="none" w:sz="0" w:space="0" w:color="auto"/>
                                <w:bottom w:val="none" w:sz="0" w:space="0" w:color="auto"/>
                                <w:right w:val="none" w:sz="0" w:space="0" w:color="auto"/>
                              </w:divBdr>
                              <w:divsChild>
                                <w:div w:id="1345401272">
                                  <w:marLeft w:val="0"/>
                                  <w:marRight w:val="0"/>
                                  <w:marTop w:val="0"/>
                                  <w:marBottom w:val="0"/>
                                  <w:divBdr>
                                    <w:top w:val="none" w:sz="0" w:space="0" w:color="auto"/>
                                    <w:left w:val="none" w:sz="0" w:space="0" w:color="auto"/>
                                    <w:bottom w:val="none" w:sz="0" w:space="0" w:color="auto"/>
                                    <w:right w:val="none" w:sz="0" w:space="0" w:color="auto"/>
                                  </w:divBdr>
                                  <w:divsChild>
                                    <w:div w:id="1146553513">
                                      <w:marLeft w:val="0"/>
                                      <w:marRight w:val="0"/>
                                      <w:marTop w:val="0"/>
                                      <w:marBottom w:val="0"/>
                                      <w:divBdr>
                                        <w:top w:val="none" w:sz="0" w:space="0" w:color="auto"/>
                                        <w:left w:val="none" w:sz="0" w:space="0" w:color="auto"/>
                                        <w:bottom w:val="none" w:sz="0" w:space="0" w:color="auto"/>
                                        <w:right w:val="none" w:sz="0" w:space="0" w:color="auto"/>
                                      </w:divBdr>
                                      <w:divsChild>
                                        <w:div w:id="1817602227">
                                          <w:marLeft w:val="0"/>
                                          <w:marRight w:val="0"/>
                                          <w:marTop w:val="0"/>
                                          <w:marBottom w:val="0"/>
                                          <w:divBdr>
                                            <w:top w:val="none" w:sz="0" w:space="0" w:color="auto"/>
                                            <w:left w:val="none" w:sz="0" w:space="0" w:color="auto"/>
                                            <w:bottom w:val="none" w:sz="0" w:space="0" w:color="auto"/>
                                            <w:right w:val="none" w:sz="0" w:space="0" w:color="auto"/>
                                          </w:divBdr>
                                          <w:divsChild>
                                            <w:div w:id="564952766">
                                              <w:marLeft w:val="0"/>
                                              <w:marRight w:val="0"/>
                                              <w:marTop w:val="0"/>
                                              <w:marBottom w:val="0"/>
                                              <w:divBdr>
                                                <w:top w:val="none" w:sz="0" w:space="0" w:color="auto"/>
                                                <w:left w:val="none" w:sz="0" w:space="0" w:color="auto"/>
                                                <w:bottom w:val="none" w:sz="0" w:space="0" w:color="auto"/>
                                                <w:right w:val="none" w:sz="0" w:space="0" w:color="auto"/>
                                              </w:divBdr>
                                              <w:divsChild>
                                                <w:div w:id="431898429">
                                                  <w:marLeft w:val="0"/>
                                                  <w:marRight w:val="0"/>
                                                  <w:marTop w:val="0"/>
                                                  <w:marBottom w:val="0"/>
                                                  <w:divBdr>
                                                    <w:top w:val="none" w:sz="0" w:space="0" w:color="auto"/>
                                                    <w:left w:val="none" w:sz="0" w:space="0" w:color="auto"/>
                                                    <w:bottom w:val="none" w:sz="0" w:space="0" w:color="auto"/>
                                                    <w:right w:val="none" w:sz="0" w:space="0" w:color="auto"/>
                                                  </w:divBdr>
                                                  <w:divsChild>
                                                    <w:div w:id="13887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akko.tuomilehto@thl.fi"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lastair.gray@dph.ox.ac.uk" TargetMode="External"/><Relationship Id="rId17" Type="http://schemas.openxmlformats.org/officeDocument/2006/relationships/hyperlink" Target="mailto:lg48@leicester.ac.uk" TargetMode="External"/><Relationship Id="rId2" Type="http://schemas.openxmlformats.org/officeDocument/2006/relationships/numbering" Target="numbering.xml"/><Relationship Id="rId16" Type="http://schemas.openxmlformats.org/officeDocument/2006/relationships/hyperlink" Target="mailto:ty20@le.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cqui.Troughton@uhl-tr.nhs.uk"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kk22@le.ac.uk" TargetMode="External"/><Relationship Id="rId23" Type="http://schemas.microsoft.com/office/2011/relationships/people" Target="people.xml"/><Relationship Id="rId10" Type="http://schemas.openxmlformats.org/officeDocument/2006/relationships/hyperlink" Target="mailto:lg48@le.ac.u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lanie.davies@uhl-tr.nhs.uk" TargetMode="External"/><Relationship Id="rId14" Type="http://schemas.openxmlformats.org/officeDocument/2006/relationships/hyperlink" Target="mailto:azhar_farooqi@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38BAF-6C25-4026-848F-5C12E051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C3A5CE02.dotm</Template>
  <TotalTime>1</TotalTime>
  <Pages>31</Pages>
  <Words>13792</Words>
  <Characters>78620</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92228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lg48</dc:creator>
  <cp:lastModifiedBy>lg48</cp:lastModifiedBy>
  <cp:revision>3</cp:revision>
  <cp:lastPrinted>2015-05-22T09:14:00Z</cp:lastPrinted>
  <dcterms:created xsi:type="dcterms:W3CDTF">2015-11-30T09:09:00Z</dcterms:created>
  <dcterms:modified xsi:type="dcterms:W3CDTF">2015-11-30T09:10:00Z</dcterms:modified>
</cp:coreProperties>
</file>