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ED" w:rsidRDefault="003359C6" w:rsidP="00AA3405">
      <w:pPr>
        <w:pStyle w:val="PlainText"/>
        <w:spacing w:line="480" w:lineRule="auto"/>
        <w:jc w:val="both"/>
        <w:rPr>
          <w:rFonts w:ascii="Arial" w:hAnsi="Arial" w:cs="Arial"/>
          <w:b/>
          <w:sz w:val="20"/>
          <w:szCs w:val="20"/>
        </w:rPr>
      </w:pPr>
      <w:r>
        <w:rPr>
          <w:rFonts w:ascii="Arial" w:hAnsi="Arial" w:cs="Arial"/>
          <w:b/>
          <w:sz w:val="20"/>
          <w:szCs w:val="20"/>
        </w:rPr>
        <w:t>Use of Bayesian multivariate meta-analysis to estimate</w:t>
      </w:r>
      <w:r w:rsidR="00A65AED">
        <w:rPr>
          <w:rFonts w:ascii="Arial" w:hAnsi="Arial" w:cs="Arial"/>
          <w:b/>
          <w:sz w:val="20"/>
          <w:szCs w:val="20"/>
        </w:rPr>
        <w:t xml:space="preserve"> HAQ </w:t>
      </w:r>
      <w:r>
        <w:rPr>
          <w:rFonts w:ascii="Arial" w:hAnsi="Arial" w:cs="Arial"/>
          <w:b/>
          <w:sz w:val="20"/>
          <w:szCs w:val="20"/>
        </w:rPr>
        <w:t xml:space="preserve">for mapping </w:t>
      </w:r>
      <w:r w:rsidR="00A65AED">
        <w:rPr>
          <w:rFonts w:ascii="Arial" w:hAnsi="Arial" w:cs="Arial"/>
          <w:b/>
          <w:sz w:val="20"/>
          <w:szCs w:val="20"/>
        </w:rPr>
        <w:t>onto EQ-5D in rheumatoid arthritis</w:t>
      </w:r>
    </w:p>
    <w:p w:rsidR="004577B4" w:rsidRPr="008D4928" w:rsidRDefault="004577B4" w:rsidP="00AA3405">
      <w:pPr>
        <w:pStyle w:val="PlainText"/>
        <w:spacing w:line="480" w:lineRule="auto"/>
        <w:jc w:val="both"/>
        <w:rPr>
          <w:rFonts w:ascii="Arial" w:hAnsi="Arial" w:cs="Arial"/>
          <w:b/>
          <w:sz w:val="20"/>
          <w:szCs w:val="20"/>
        </w:rPr>
      </w:pPr>
    </w:p>
    <w:p w:rsidR="008272F6" w:rsidRDefault="008272F6" w:rsidP="00AA3405">
      <w:pPr>
        <w:spacing w:line="480" w:lineRule="auto"/>
        <w:jc w:val="both"/>
        <w:rPr>
          <w:rFonts w:ascii="Arial" w:hAnsi="Arial" w:cs="Arial"/>
          <w:sz w:val="20"/>
          <w:szCs w:val="20"/>
        </w:rPr>
      </w:pPr>
      <w:r>
        <w:rPr>
          <w:rFonts w:ascii="Arial" w:hAnsi="Arial" w:cs="Arial"/>
          <w:sz w:val="20"/>
          <w:szCs w:val="20"/>
        </w:rPr>
        <w:br w:type="page"/>
      </w:r>
    </w:p>
    <w:p w:rsidR="00EB3E3F" w:rsidRDefault="00EB3E3F" w:rsidP="00AA3405">
      <w:pPr>
        <w:pStyle w:val="PlainText"/>
        <w:spacing w:line="480" w:lineRule="auto"/>
        <w:jc w:val="both"/>
        <w:rPr>
          <w:rFonts w:ascii="Arial" w:hAnsi="Arial" w:cs="Arial"/>
          <w:b/>
          <w:sz w:val="20"/>
          <w:szCs w:val="20"/>
        </w:rPr>
      </w:pPr>
      <w:r w:rsidRPr="00EB3E3F">
        <w:rPr>
          <w:rFonts w:ascii="Arial" w:hAnsi="Arial" w:cs="Arial"/>
          <w:b/>
          <w:sz w:val="20"/>
          <w:szCs w:val="20"/>
        </w:rPr>
        <w:lastRenderedPageBreak/>
        <w:t>Abstract</w:t>
      </w:r>
    </w:p>
    <w:p w:rsidR="000A2E38" w:rsidRPr="00EB3E3F" w:rsidRDefault="000A2E38" w:rsidP="00AA3405">
      <w:pPr>
        <w:pStyle w:val="PlainText"/>
        <w:spacing w:line="480" w:lineRule="auto"/>
        <w:jc w:val="both"/>
        <w:rPr>
          <w:rFonts w:ascii="Arial" w:hAnsi="Arial" w:cs="Arial"/>
          <w:b/>
          <w:sz w:val="20"/>
          <w:szCs w:val="20"/>
        </w:rPr>
      </w:pPr>
    </w:p>
    <w:p w:rsidR="00306F08" w:rsidRPr="008D4928" w:rsidRDefault="00EB3E3F" w:rsidP="00AA3405">
      <w:pPr>
        <w:pStyle w:val="PlainText"/>
        <w:spacing w:line="480" w:lineRule="auto"/>
        <w:jc w:val="both"/>
        <w:rPr>
          <w:rFonts w:ascii="Arial" w:hAnsi="Arial" w:cs="Arial"/>
          <w:sz w:val="20"/>
          <w:szCs w:val="20"/>
        </w:rPr>
      </w:pPr>
      <w:r w:rsidRPr="00EB3E3F">
        <w:rPr>
          <w:rFonts w:ascii="Arial" w:hAnsi="Arial" w:cs="Arial"/>
          <w:b/>
          <w:sz w:val="20"/>
          <w:szCs w:val="20"/>
        </w:rPr>
        <w:t>Background:</w:t>
      </w:r>
      <w:r>
        <w:rPr>
          <w:rFonts w:ascii="Arial" w:hAnsi="Arial" w:cs="Arial"/>
          <w:sz w:val="20"/>
          <w:szCs w:val="20"/>
        </w:rPr>
        <w:t xml:space="preserve"> </w:t>
      </w:r>
      <w:r w:rsidR="00DB1055">
        <w:rPr>
          <w:rFonts w:ascii="Arial" w:hAnsi="Arial" w:cs="Arial"/>
          <w:sz w:val="20"/>
          <w:szCs w:val="20"/>
        </w:rPr>
        <w:t>In health technology assessment</w:t>
      </w:r>
      <w:r w:rsidR="000146E9">
        <w:rPr>
          <w:rFonts w:ascii="Arial" w:hAnsi="Arial" w:cs="Arial"/>
          <w:sz w:val="20"/>
          <w:szCs w:val="20"/>
        </w:rPr>
        <w:t xml:space="preserve"> (HTA)</w:t>
      </w:r>
      <w:r w:rsidR="00DB1055">
        <w:rPr>
          <w:rFonts w:ascii="Arial" w:hAnsi="Arial" w:cs="Arial"/>
          <w:sz w:val="20"/>
          <w:szCs w:val="20"/>
        </w:rPr>
        <w:t>,</w:t>
      </w:r>
      <w:r w:rsidR="004577B4" w:rsidRPr="008D4928">
        <w:rPr>
          <w:rFonts w:ascii="Arial" w:hAnsi="Arial" w:cs="Arial"/>
          <w:sz w:val="20"/>
          <w:szCs w:val="20"/>
        </w:rPr>
        <w:t xml:space="preserve"> decisions about reimbursement for new </w:t>
      </w:r>
      <w:r w:rsidR="003B5CE1">
        <w:rPr>
          <w:rFonts w:ascii="Arial" w:hAnsi="Arial" w:cs="Arial"/>
          <w:sz w:val="20"/>
          <w:szCs w:val="20"/>
        </w:rPr>
        <w:t>health</w:t>
      </w:r>
      <w:r w:rsidR="004577B4" w:rsidRPr="008D4928">
        <w:rPr>
          <w:rFonts w:ascii="Arial" w:hAnsi="Arial" w:cs="Arial"/>
          <w:sz w:val="20"/>
          <w:szCs w:val="20"/>
        </w:rPr>
        <w:t xml:space="preserve"> technologies are </w:t>
      </w:r>
      <w:r w:rsidR="003C2DE5">
        <w:rPr>
          <w:rFonts w:ascii="Arial" w:hAnsi="Arial" w:cs="Arial"/>
          <w:sz w:val="20"/>
          <w:szCs w:val="20"/>
        </w:rPr>
        <w:t>largely</w:t>
      </w:r>
      <w:r w:rsidR="004577B4" w:rsidRPr="008D4928">
        <w:rPr>
          <w:rFonts w:ascii="Arial" w:hAnsi="Arial" w:cs="Arial"/>
          <w:sz w:val="20"/>
          <w:szCs w:val="20"/>
        </w:rPr>
        <w:t xml:space="preserve"> based on effectiveness estimates. </w:t>
      </w:r>
      <w:r w:rsidR="003C2DE5">
        <w:rPr>
          <w:rFonts w:ascii="Arial" w:hAnsi="Arial" w:cs="Arial"/>
          <w:sz w:val="20"/>
          <w:szCs w:val="20"/>
        </w:rPr>
        <w:t xml:space="preserve">However </w:t>
      </w:r>
      <w:r w:rsidR="00F81A5E">
        <w:rPr>
          <w:rFonts w:ascii="Arial" w:hAnsi="Arial" w:cs="Arial"/>
          <w:sz w:val="20"/>
          <w:szCs w:val="20"/>
        </w:rPr>
        <w:t xml:space="preserve">sometimes </w:t>
      </w:r>
      <w:r w:rsidR="002417C1">
        <w:rPr>
          <w:rFonts w:ascii="Arial" w:hAnsi="Arial" w:cs="Arial"/>
          <w:sz w:val="20"/>
          <w:szCs w:val="20"/>
        </w:rPr>
        <w:t xml:space="preserve">the target </w:t>
      </w:r>
      <w:r w:rsidR="003C2DE5">
        <w:rPr>
          <w:rFonts w:ascii="Arial" w:hAnsi="Arial" w:cs="Arial"/>
          <w:sz w:val="20"/>
          <w:szCs w:val="20"/>
        </w:rPr>
        <w:t xml:space="preserve">effectiveness estimates are not readily available. This may be </w:t>
      </w:r>
      <w:r w:rsidR="00E902AC">
        <w:rPr>
          <w:rFonts w:ascii="Arial" w:hAnsi="Arial" w:cs="Arial"/>
          <w:sz w:val="20"/>
          <w:szCs w:val="20"/>
        </w:rPr>
        <w:t>because</w:t>
      </w:r>
      <w:r w:rsidR="003C2DE5">
        <w:rPr>
          <w:rFonts w:ascii="Arial" w:hAnsi="Arial" w:cs="Arial"/>
          <w:sz w:val="20"/>
          <w:szCs w:val="20"/>
        </w:rPr>
        <w:t xml:space="preserve"> many alternative instruments measuring these outcomes </w:t>
      </w:r>
      <w:r w:rsidR="00E902AC">
        <w:rPr>
          <w:rFonts w:ascii="Arial" w:hAnsi="Arial" w:cs="Arial"/>
          <w:sz w:val="20"/>
          <w:szCs w:val="20"/>
        </w:rPr>
        <w:t xml:space="preserve">are </w:t>
      </w:r>
      <w:r w:rsidR="003C2DE5">
        <w:rPr>
          <w:rFonts w:ascii="Arial" w:hAnsi="Arial" w:cs="Arial"/>
          <w:sz w:val="20"/>
          <w:szCs w:val="20"/>
        </w:rPr>
        <w:t xml:space="preserve">being used </w:t>
      </w:r>
      <w:r w:rsidR="00494F6E">
        <w:rPr>
          <w:rFonts w:ascii="Arial" w:hAnsi="Arial" w:cs="Arial"/>
          <w:sz w:val="20"/>
          <w:szCs w:val="20"/>
        </w:rPr>
        <w:t xml:space="preserve">(and not all always reported) </w:t>
      </w:r>
      <w:r w:rsidR="003C2DE5">
        <w:rPr>
          <w:rFonts w:ascii="Arial" w:hAnsi="Arial" w:cs="Arial"/>
          <w:sz w:val="20"/>
          <w:szCs w:val="20"/>
        </w:rPr>
        <w:t xml:space="preserve">or </w:t>
      </w:r>
      <w:r w:rsidR="00E902AC">
        <w:rPr>
          <w:rFonts w:ascii="Arial" w:hAnsi="Arial" w:cs="Arial"/>
          <w:sz w:val="20"/>
          <w:szCs w:val="20"/>
        </w:rPr>
        <w:t>an</w:t>
      </w:r>
      <w:r w:rsidR="008B5871">
        <w:rPr>
          <w:rFonts w:ascii="Arial" w:hAnsi="Arial" w:cs="Arial"/>
          <w:sz w:val="20"/>
          <w:szCs w:val="20"/>
        </w:rPr>
        <w:t xml:space="preserve"> </w:t>
      </w:r>
      <w:r w:rsidR="003C2DE5">
        <w:rPr>
          <w:rFonts w:ascii="Arial" w:hAnsi="Arial" w:cs="Arial"/>
          <w:sz w:val="20"/>
          <w:szCs w:val="20"/>
        </w:rPr>
        <w:t xml:space="preserve">extended follow-up time </w:t>
      </w:r>
      <w:r w:rsidR="003C2DE5" w:rsidRPr="008D4928">
        <w:rPr>
          <w:rFonts w:ascii="Arial" w:hAnsi="Arial" w:cs="Arial"/>
          <w:sz w:val="20"/>
          <w:szCs w:val="20"/>
        </w:rPr>
        <w:t xml:space="preserve">of clinical trials </w:t>
      </w:r>
      <w:r w:rsidR="00E902AC">
        <w:rPr>
          <w:rFonts w:ascii="Arial" w:hAnsi="Arial" w:cs="Arial"/>
          <w:sz w:val="20"/>
          <w:szCs w:val="20"/>
        </w:rPr>
        <w:t xml:space="preserve">is </w:t>
      </w:r>
      <w:r w:rsidR="003C2DE5" w:rsidRPr="008D4928">
        <w:rPr>
          <w:rFonts w:ascii="Arial" w:hAnsi="Arial" w:cs="Arial"/>
          <w:sz w:val="20"/>
          <w:szCs w:val="20"/>
        </w:rPr>
        <w:t>needed to evaluate long-term endpoints</w:t>
      </w:r>
      <w:r w:rsidR="00DB6B77">
        <w:rPr>
          <w:rFonts w:ascii="Arial" w:hAnsi="Arial" w:cs="Arial"/>
          <w:sz w:val="20"/>
          <w:szCs w:val="20"/>
        </w:rPr>
        <w:t xml:space="preserve"> leading to the limited</w:t>
      </w:r>
      <w:r w:rsidR="00947D11">
        <w:rPr>
          <w:rFonts w:ascii="Arial" w:hAnsi="Arial" w:cs="Arial"/>
          <w:sz w:val="20"/>
          <w:szCs w:val="20"/>
        </w:rPr>
        <w:t xml:space="preserve"> </w:t>
      </w:r>
      <w:r w:rsidR="00DB6B77">
        <w:rPr>
          <w:rFonts w:ascii="Arial" w:hAnsi="Arial" w:cs="Arial"/>
          <w:sz w:val="20"/>
          <w:szCs w:val="20"/>
        </w:rPr>
        <w:t xml:space="preserve">data on </w:t>
      </w:r>
      <w:r w:rsidR="00494F6E">
        <w:rPr>
          <w:rFonts w:ascii="Arial" w:hAnsi="Arial" w:cs="Arial"/>
          <w:sz w:val="20"/>
          <w:szCs w:val="20"/>
        </w:rPr>
        <w:t xml:space="preserve">the </w:t>
      </w:r>
      <w:r w:rsidR="002417C1">
        <w:rPr>
          <w:rFonts w:ascii="Arial" w:hAnsi="Arial" w:cs="Arial"/>
          <w:sz w:val="20"/>
          <w:szCs w:val="20"/>
        </w:rPr>
        <w:t xml:space="preserve">target </w:t>
      </w:r>
      <w:r w:rsidR="00DB6B77">
        <w:rPr>
          <w:rFonts w:ascii="Arial" w:hAnsi="Arial" w:cs="Arial"/>
          <w:sz w:val="20"/>
          <w:szCs w:val="20"/>
        </w:rPr>
        <w:t>clinical outcome</w:t>
      </w:r>
      <w:r w:rsidR="003C2DE5">
        <w:rPr>
          <w:rFonts w:ascii="Arial" w:hAnsi="Arial" w:cs="Arial"/>
          <w:sz w:val="20"/>
          <w:szCs w:val="20"/>
        </w:rPr>
        <w:t xml:space="preserve">. </w:t>
      </w:r>
      <w:r w:rsidR="004577B4" w:rsidRPr="008D4928">
        <w:rPr>
          <w:rFonts w:ascii="Arial" w:hAnsi="Arial" w:cs="Arial"/>
          <w:sz w:val="20"/>
          <w:szCs w:val="20"/>
        </w:rPr>
        <w:t>In the areas of highest priority in healthcare</w:t>
      </w:r>
      <w:r w:rsidR="003C2DE5">
        <w:rPr>
          <w:rFonts w:ascii="Arial" w:hAnsi="Arial" w:cs="Arial"/>
          <w:sz w:val="20"/>
          <w:szCs w:val="20"/>
        </w:rPr>
        <w:t>,</w:t>
      </w:r>
      <w:r w:rsidR="004577B4" w:rsidRPr="008D4928">
        <w:rPr>
          <w:rFonts w:ascii="Arial" w:hAnsi="Arial" w:cs="Arial"/>
          <w:sz w:val="20"/>
          <w:szCs w:val="20"/>
        </w:rPr>
        <w:t xml:space="preserve"> decisions are required to be made on a short time scale. Therefore alternative </w:t>
      </w:r>
      <w:r w:rsidR="00494F6E">
        <w:rPr>
          <w:rFonts w:ascii="Arial" w:hAnsi="Arial" w:cs="Arial"/>
          <w:sz w:val="20"/>
          <w:szCs w:val="20"/>
        </w:rPr>
        <w:t xml:space="preserve">clinical </w:t>
      </w:r>
      <w:r w:rsidR="004577B4" w:rsidRPr="008D4928">
        <w:rPr>
          <w:rFonts w:ascii="Arial" w:hAnsi="Arial" w:cs="Arial"/>
          <w:sz w:val="20"/>
          <w:szCs w:val="20"/>
        </w:rPr>
        <w:t>outcomes</w:t>
      </w:r>
      <w:r w:rsidR="008B5871">
        <w:rPr>
          <w:rFonts w:ascii="Arial" w:hAnsi="Arial" w:cs="Arial"/>
          <w:sz w:val="20"/>
          <w:szCs w:val="20"/>
        </w:rPr>
        <w:t>,</w:t>
      </w:r>
      <w:r w:rsidR="004577B4" w:rsidRPr="008D4928">
        <w:rPr>
          <w:rFonts w:ascii="Arial" w:hAnsi="Arial" w:cs="Arial"/>
          <w:sz w:val="20"/>
          <w:szCs w:val="20"/>
        </w:rPr>
        <w:t xml:space="preserve"> including surrogate endpoints</w:t>
      </w:r>
      <w:r w:rsidR="008B5871">
        <w:rPr>
          <w:rFonts w:ascii="Arial" w:hAnsi="Arial" w:cs="Arial"/>
          <w:sz w:val="20"/>
          <w:szCs w:val="20"/>
        </w:rPr>
        <w:t>,</w:t>
      </w:r>
      <w:r w:rsidR="004577B4" w:rsidRPr="008D4928">
        <w:rPr>
          <w:rFonts w:ascii="Arial" w:hAnsi="Arial" w:cs="Arial"/>
          <w:sz w:val="20"/>
          <w:szCs w:val="20"/>
        </w:rPr>
        <w:t xml:space="preserve"> are increasingly being considered for use in </w:t>
      </w:r>
      <w:r w:rsidR="00494F6E">
        <w:rPr>
          <w:rFonts w:ascii="Arial" w:hAnsi="Arial" w:cs="Arial"/>
          <w:sz w:val="20"/>
          <w:szCs w:val="20"/>
        </w:rPr>
        <w:t xml:space="preserve">evidence synthesis as part of </w:t>
      </w:r>
      <w:r w:rsidR="004577B4" w:rsidRPr="008D4928">
        <w:rPr>
          <w:rFonts w:ascii="Arial" w:hAnsi="Arial" w:cs="Arial"/>
          <w:sz w:val="20"/>
          <w:szCs w:val="20"/>
        </w:rPr>
        <w:t>economic evaluation</w:t>
      </w:r>
      <w:r w:rsidR="003C2DE5">
        <w:rPr>
          <w:rFonts w:ascii="Arial" w:hAnsi="Arial" w:cs="Arial"/>
          <w:sz w:val="20"/>
          <w:szCs w:val="20"/>
        </w:rPr>
        <w:t>.</w:t>
      </w:r>
      <w:r w:rsidR="004577B4" w:rsidRPr="008D4928">
        <w:rPr>
          <w:rFonts w:ascii="Arial" w:hAnsi="Arial" w:cs="Arial"/>
          <w:sz w:val="20"/>
          <w:szCs w:val="20"/>
        </w:rPr>
        <w:t xml:space="preserve"> </w:t>
      </w:r>
      <w:r w:rsidRPr="00EB3E3F">
        <w:rPr>
          <w:rFonts w:ascii="Arial" w:hAnsi="Arial" w:cs="Arial"/>
          <w:b/>
          <w:sz w:val="20"/>
          <w:szCs w:val="20"/>
        </w:rPr>
        <w:t>Methods:</w:t>
      </w:r>
      <w:r>
        <w:rPr>
          <w:rFonts w:ascii="Arial" w:hAnsi="Arial" w:cs="Arial"/>
          <w:sz w:val="20"/>
          <w:szCs w:val="20"/>
        </w:rPr>
        <w:t xml:space="preserve"> </w:t>
      </w:r>
      <w:r w:rsidR="00777C7B">
        <w:rPr>
          <w:rFonts w:ascii="Arial" w:hAnsi="Arial" w:cs="Arial"/>
          <w:sz w:val="20"/>
          <w:szCs w:val="20"/>
        </w:rPr>
        <w:t xml:space="preserve">Bayesian multivariate meta-analysis (MVMA) has been used to synthesize data on correlated outcomes </w:t>
      </w:r>
      <w:r w:rsidR="00736208">
        <w:rPr>
          <w:rFonts w:ascii="Arial" w:hAnsi="Arial" w:cs="Arial"/>
          <w:sz w:val="20"/>
          <w:szCs w:val="20"/>
        </w:rPr>
        <w:t xml:space="preserve">in rheumatoid arthritis (RA) </w:t>
      </w:r>
      <w:r w:rsidR="00777C7B">
        <w:rPr>
          <w:rFonts w:ascii="Arial" w:hAnsi="Arial" w:cs="Arial"/>
          <w:sz w:val="20"/>
          <w:szCs w:val="20"/>
        </w:rPr>
        <w:t>and to incorporate external data in the model in the form of</w:t>
      </w:r>
      <w:r w:rsidR="002307AD">
        <w:rPr>
          <w:rFonts w:ascii="Arial" w:hAnsi="Arial" w:cs="Arial"/>
          <w:sz w:val="20"/>
          <w:szCs w:val="20"/>
        </w:rPr>
        <w:t xml:space="preserve"> informative</w:t>
      </w:r>
      <w:r w:rsidR="00777C7B">
        <w:rPr>
          <w:rFonts w:ascii="Arial" w:hAnsi="Arial" w:cs="Arial"/>
          <w:sz w:val="20"/>
          <w:szCs w:val="20"/>
        </w:rPr>
        <w:t xml:space="preserve"> prior distributions. </w:t>
      </w:r>
      <w:r w:rsidR="00736208">
        <w:rPr>
          <w:rFonts w:ascii="Arial" w:hAnsi="Arial" w:cs="Arial"/>
          <w:sz w:val="20"/>
          <w:szCs w:val="20"/>
        </w:rPr>
        <w:t xml:space="preserve">Estimates of </w:t>
      </w:r>
      <w:r w:rsidR="00294E53">
        <w:rPr>
          <w:rFonts w:ascii="Arial" w:hAnsi="Arial" w:cs="Arial"/>
          <w:sz w:val="20"/>
          <w:szCs w:val="20"/>
        </w:rPr>
        <w:t xml:space="preserve">Health Assessment Questionnaire (HAQ) </w:t>
      </w:r>
      <w:r w:rsidR="00736208">
        <w:rPr>
          <w:rFonts w:ascii="Arial" w:hAnsi="Arial" w:cs="Arial"/>
          <w:sz w:val="20"/>
          <w:szCs w:val="20"/>
        </w:rPr>
        <w:t xml:space="preserve">were then mapped </w:t>
      </w:r>
      <w:r w:rsidR="00294E53">
        <w:rPr>
          <w:rFonts w:ascii="Arial" w:hAnsi="Arial" w:cs="Arial"/>
          <w:sz w:val="20"/>
          <w:szCs w:val="20"/>
        </w:rPr>
        <w:t xml:space="preserve">onto </w:t>
      </w:r>
      <w:r w:rsidR="00D14E25">
        <w:rPr>
          <w:rFonts w:ascii="Arial" w:hAnsi="Arial" w:cs="Arial"/>
          <w:sz w:val="20"/>
          <w:szCs w:val="20"/>
        </w:rPr>
        <w:t xml:space="preserve">the </w:t>
      </w:r>
      <w:r w:rsidR="007A764F">
        <w:rPr>
          <w:rFonts w:ascii="Arial" w:hAnsi="Arial" w:cs="Arial"/>
          <w:sz w:val="20"/>
          <w:szCs w:val="20"/>
        </w:rPr>
        <w:t>health-related quality of life</w:t>
      </w:r>
      <w:r w:rsidR="00294E53">
        <w:rPr>
          <w:rFonts w:ascii="Arial" w:hAnsi="Arial" w:cs="Arial"/>
          <w:sz w:val="20"/>
          <w:szCs w:val="20"/>
        </w:rPr>
        <w:t xml:space="preserve"> measure EQ-5D </w:t>
      </w:r>
      <w:r w:rsidR="00736208">
        <w:rPr>
          <w:rFonts w:ascii="Arial" w:hAnsi="Arial" w:cs="Arial"/>
          <w:sz w:val="20"/>
          <w:szCs w:val="20"/>
        </w:rPr>
        <w:t>and the effect was compared to mapping t</w:t>
      </w:r>
      <w:r w:rsidR="007A0F5C">
        <w:rPr>
          <w:rFonts w:ascii="Arial" w:hAnsi="Arial" w:cs="Arial"/>
          <w:sz w:val="20"/>
          <w:szCs w:val="20"/>
        </w:rPr>
        <w:t>he HAQ obtained from the univar</w:t>
      </w:r>
      <w:r w:rsidR="00736208">
        <w:rPr>
          <w:rFonts w:ascii="Arial" w:hAnsi="Arial" w:cs="Arial"/>
          <w:sz w:val="20"/>
          <w:szCs w:val="20"/>
        </w:rPr>
        <w:t>i</w:t>
      </w:r>
      <w:r w:rsidR="007A0F5C">
        <w:rPr>
          <w:rFonts w:ascii="Arial" w:hAnsi="Arial" w:cs="Arial"/>
          <w:sz w:val="20"/>
          <w:szCs w:val="20"/>
        </w:rPr>
        <w:t>a</w:t>
      </w:r>
      <w:r w:rsidR="00736208">
        <w:rPr>
          <w:rFonts w:ascii="Arial" w:hAnsi="Arial" w:cs="Arial"/>
          <w:sz w:val="20"/>
          <w:szCs w:val="20"/>
        </w:rPr>
        <w:t xml:space="preserve">te approach. </w:t>
      </w:r>
      <w:r w:rsidRPr="00EB3E3F">
        <w:rPr>
          <w:rFonts w:ascii="Arial" w:hAnsi="Arial" w:cs="Arial"/>
          <w:b/>
          <w:sz w:val="20"/>
          <w:szCs w:val="20"/>
        </w:rPr>
        <w:t>Results:</w:t>
      </w:r>
      <w:r>
        <w:rPr>
          <w:rFonts w:ascii="Arial" w:hAnsi="Arial" w:cs="Arial"/>
          <w:sz w:val="20"/>
          <w:szCs w:val="20"/>
        </w:rPr>
        <w:t xml:space="preserve"> </w:t>
      </w:r>
      <w:r w:rsidR="00F81A5E">
        <w:rPr>
          <w:rFonts w:ascii="Arial" w:hAnsi="Arial" w:cs="Arial"/>
          <w:sz w:val="20"/>
          <w:szCs w:val="20"/>
        </w:rPr>
        <w:t>T</w:t>
      </w:r>
      <w:r w:rsidR="004577B4" w:rsidRPr="008D4928">
        <w:rPr>
          <w:rFonts w:ascii="Arial" w:hAnsi="Arial" w:cs="Arial"/>
          <w:sz w:val="20"/>
          <w:szCs w:val="20"/>
        </w:rPr>
        <w:t xml:space="preserve">he use of </w:t>
      </w:r>
      <w:r>
        <w:rPr>
          <w:rFonts w:ascii="Arial" w:hAnsi="Arial" w:cs="Arial"/>
          <w:sz w:val="20"/>
          <w:szCs w:val="20"/>
        </w:rPr>
        <w:t xml:space="preserve">multivariate meta-analysis </w:t>
      </w:r>
      <w:r w:rsidR="004577B4" w:rsidRPr="008D4928">
        <w:rPr>
          <w:rFonts w:ascii="Arial" w:hAnsi="Arial" w:cs="Arial"/>
          <w:sz w:val="20"/>
          <w:szCs w:val="20"/>
        </w:rPr>
        <w:t xml:space="preserve">can lead to </w:t>
      </w:r>
      <w:r w:rsidR="00947D11">
        <w:rPr>
          <w:rFonts w:ascii="Arial" w:hAnsi="Arial" w:cs="Arial"/>
          <w:sz w:val="20"/>
          <w:szCs w:val="20"/>
        </w:rPr>
        <w:t>reduced</w:t>
      </w:r>
      <w:r w:rsidR="004577B4" w:rsidRPr="008D4928">
        <w:rPr>
          <w:rFonts w:ascii="Arial" w:hAnsi="Arial" w:cs="Arial"/>
          <w:sz w:val="20"/>
          <w:szCs w:val="20"/>
        </w:rPr>
        <w:t xml:space="preserve"> uncertainty around the effectiveness parameter </w:t>
      </w:r>
      <w:r w:rsidR="000935BF">
        <w:rPr>
          <w:rFonts w:ascii="Arial" w:hAnsi="Arial" w:cs="Arial"/>
          <w:sz w:val="20"/>
          <w:szCs w:val="20"/>
        </w:rPr>
        <w:t xml:space="preserve">and ultimately </w:t>
      </w:r>
      <w:r w:rsidR="004577B4" w:rsidRPr="008D4928">
        <w:rPr>
          <w:rFonts w:ascii="Arial" w:hAnsi="Arial" w:cs="Arial"/>
          <w:sz w:val="20"/>
          <w:szCs w:val="20"/>
        </w:rPr>
        <w:t xml:space="preserve">uncertainty around </w:t>
      </w:r>
      <w:r w:rsidR="008B5871">
        <w:rPr>
          <w:rFonts w:ascii="Arial" w:hAnsi="Arial" w:cs="Arial"/>
          <w:sz w:val="20"/>
          <w:szCs w:val="20"/>
        </w:rPr>
        <w:t xml:space="preserve">the </w:t>
      </w:r>
      <w:r w:rsidR="004577B4" w:rsidRPr="008D4928">
        <w:rPr>
          <w:rFonts w:ascii="Arial" w:hAnsi="Arial" w:cs="Arial"/>
          <w:sz w:val="20"/>
          <w:szCs w:val="20"/>
        </w:rPr>
        <w:t xml:space="preserve">utility. </w:t>
      </w:r>
      <w:r w:rsidRPr="00EB3E3F">
        <w:rPr>
          <w:rFonts w:ascii="Arial" w:hAnsi="Arial" w:cs="Arial"/>
          <w:b/>
          <w:sz w:val="20"/>
          <w:szCs w:val="20"/>
        </w:rPr>
        <w:t>Conclusions:</w:t>
      </w:r>
      <w:r>
        <w:rPr>
          <w:rFonts w:ascii="Arial" w:hAnsi="Arial" w:cs="Arial"/>
          <w:sz w:val="20"/>
          <w:szCs w:val="20"/>
        </w:rPr>
        <w:t xml:space="preserve"> </w:t>
      </w:r>
      <w:r w:rsidR="004577B4" w:rsidRPr="008D4928">
        <w:rPr>
          <w:rFonts w:ascii="Arial" w:hAnsi="Arial" w:cs="Arial"/>
          <w:sz w:val="20"/>
          <w:szCs w:val="20"/>
        </w:rPr>
        <w:t xml:space="preserve">By allowing all the relevant data to be </w:t>
      </w:r>
      <w:proofErr w:type="gramStart"/>
      <w:r w:rsidR="004577B4" w:rsidRPr="008D4928">
        <w:rPr>
          <w:rFonts w:ascii="Arial" w:hAnsi="Arial" w:cs="Arial"/>
          <w:sz w:val="20"/>
          <w:szCs w:val="20"/>
        </w:rPr>
        <w:t>incorporated</w:t>
      </w:r>
      <w:proofErr w:type="gramEnd"/>
      <w:r w:rsidR="004577B4" w:rsidRPr="008D4928">
        <w:rPr>
          <w:rFonts w:ascii="Arial" w:hAnsi="Arial" w:cs="Arial"/>
          <w:sz w:val="20"/>
          <w:szCs w:val="20"/>
        </w:rPr>
        <w:t xml:space="preserve"> in </w:t>
      </w:r>
      <w:r w:rsidR="009D3E7B">
        <w:rPr>
          <w:rFonts w:ascii="Arial" w:hAnsi="Arial" w:cs="Arial"/>
          <w:sz w:val="20"/>
          <w:szCs w:val="20"/>
        </w:rPr>
        <w:t xml:space="preserve">estimating clinical </w:t>
      </w:r>
      <w:r w:rsidR="00CC30E6">
        <w:rPr>
          <w:rFonts w:ascii="Arial" w:hAnsi="Arial" w:cs="Arial"/>
          <w:sz w:val="20"/>
          <w:szCs w:val="20"/>
        </w:rPr>
        <w:t>effectiveness</w:t>
      </w:r>
      <w:r w:rsidR="009D3E7B">
        <w:rPr>
          <w:rFonts w:ascii="Arial" w:hAnsi="Arial" w:cs="Arial"/>
          <w:sz w:val="20"/>
          <w:szCs w:val="20"/>
        </w:rPr>
        <w:t xml:space="preserve"> outcomes</w:t>
      </w:r>
      <w:r w:rsidR="004577B4" w:rsidRPr="008D4928">
        <w:rPr>
          <w:rFonts w:ascii="Arial" w:hAnsi="Arial" w:cs="Arial"/>
          <w:sz w:val="20"/>
          <w:szCs w:val="20"/>
        </w:rPr>
        <w:t xml:space="preserve">, multivariate </w:t>
      </w:r>
      <w:r w:rsidR="009D3E7B">
        <w:rPr>
          <w:rFonts w:ascii="Arial" w:hAnsi="Arial" w:cs="Arial"/>
          <w:sz w:val="20"/>
          <w:szCs w:val="20"/>
        </w:rPr>
        <w:t xml:space="preserve">meta-analysis improves the estimation of health utilities </w:t>
      </w:r>
      <w:r w:rsidR="00CC30E6">
        <w:rPr>
          <w:rFonts w:ascii="Arial" w:hAnsi="Arial" w:cs="Arial"/>
          <w:sz w:val="20"/>
          <w:szCs w:val="20"/>
        </w:rPr>
        <w:t xml:space="preserve">estimated through mapping methods. While reduced uncertainty may impact on decisions based on economic evaluation of new health technologies, the use of short-term surrogate endpoints can allow for early </w:t>
      </w:r>
      <w:proofErr w:type="gramStart"/>
      <w:r w:rsidR="00CC30E6">
        <w:rPr>
          <w:rFonts w:ascii="Arial" w:hAnsi="Arial" w:cs="Arial"/>
          <w:sz w:val="20"/>
          <w:szCs w:val="20"/>
        </w:rPr>
        <w:t xml:space="preserve">decisions </w:t>
      </w:r>
      <w:r w:rsidR="004577B4" w:rsidRPr="008D4928">
        <w:rPr>
          <w:rFonts w:ascii="Arial" w:hAnsi="Arial" w:cs="Arial"/>
          <w:sz w:val="20"/>
          <w:szCs w:val="20"/>
        </w:rPr>
        <w:t>.</w:t>
      </w:r>
      <w:proofErr w:type="gramEnd"/>
    </w:p>
    <w:p w:rsidR="00306F08" w:rsidRPr="008D4928" w:rsidRDefault="00306F08" w:rsidP="00AA3405">
      <w:pPr>
        <w:pStyle w:val="PlainText"/>
        <w:spacing w:line="480" w:lineRule="auto"/>
        <w:jc w:val="both"/>
        <w:rPr>
          <w:rFonts w:ascii="Arial" w:hAnsi="Arial" w:cs="Arial"/>
          <w:sz w:val="20"/>
          <w:szCs w:val="20"/>
        </w:rPr>
      </w:pPr>
    </w:p>
    <w:p w:rsidR="004577B4" w:rsidRPr="0013791A" w:rsidRDefault="00306F08" w:rsidP="00AA3405">
      <w:pPr>
        <w:pStyle w:val="PlainText"/>
        <w:spacing w:line="480" w:lineRule="auto"/>
        <w:jc w:val="both"/>
        <w:rPr>
          <w:rFonts w:ascii="Arial" w:hAnsi="Arial" w:cs="Arial"/>
          <w:b/>
          <w:sz w:val="20"/>
          <w:szCs w:val="20"/>
        </w:rPr>
      </w:pPr>
      <w:r w:rsidRPr="0013791A">
        <w:rPr>
          <w:rFonts w:ascii="Arial" w:hAnsi="Arial" w:cs="Arial"/>
          <w:b/>
          <w:sz w:val="20"/>
          <w:szCs w:val="20"/>
        </w:rPr>
        <w:t>Introduction</w:t>
      </w:r>
    </w:p>
    <w:p w:rsidR="00306F08" w:rsidRPr="008D4928" w:rsidRDefault="00306F08" w:rsidP="00AA3405">
      <w:pPr>
        <w:pStyle w:val="PlainText"/>
        <w:spacing w:line="480" w:lineRule="auto"/>
        <w:jc w:val="both"/>
        <w:rPr>
          <w:rFonts w:ascii="Arial" w:hAnsi="Arial" w:cs="Arial"/>
          <w:sz w:val="20"/>
          <w:szCs w:val="20"/>
        </w:rPr>
      </w:pPr>
    </w:p>
    <w:p w:rsidR="00A65AED" w:rsidRDefault="00A65AED" w:rsidP="00AA3405">
      <w:pPr>
        <w:pStyle w:val="PlainText"/>
        <w:spacing w:line="480" w:lineRule="auto"/>
        <w:jc w:val="both"/>
        <w:rPr>
          <w:rFonts w:ascii="Arial" w:hAnsi="Arial" w:cs="Arial"/>
          <w:sz w:val="20"/>
          <w:szCs w:val="20"/>
        </w:rPr>
      </w:pPr>
    </w:p>
    <w:p w:rsidR="004577B4" w:rsidRPr="008D4928" w:rsidRDefault="0003219D" w:rsidP="00AA3405">
      <w:pPr>
        <w:pStyle w:val="PlainText"/>
        <w:spacing w:line="480" w:lineRule="auto"/>
        <w:jc w:val="both"/>
        <w:rPr>
          <w:rFonts w:ascii="Arial" w:hAnsi="Arial" w:cs="Arial"/>
          <w:sz w:val="20"/>
          <w:szCs w:val="20"/>
        </w:rPr>
      </w:pPr>
      <w:r>
        <w:rPr>
          <w:rFonts w:ascii="Arial" w:hAnsi="Arial" w:cs="Arial"/>
          <w:sz w:val="20"/>
          <w:szCs w:val="20"/>
        </w:rPr>
        <w:t xml:space="preserve">In health technology assessment (HTA), decisions are made about reimbursement of new health technologies. Such decisions are largely based on effectiveness outcomes, alongside cost and quality of life estimates. </w:t>
      </w:r>
      <w:r w:rsidR="00A65AED">
        <w:rPr>
          <w:rFonts w:ascii="Arial" w:hAnsi="Arial" w:cs="Arial"/>
          <w:sz w:val="20"/>
          <w:szCs w:val="20"/>
        </w:rPr>
        <w:t>E</w:t>
      </w:r>
      <w:r w:rsidR="004577B4" w:rsidRPr="008D4928">
        <w:rPr>
          <w:rFonts w:ascii="Arial" w:hAnsi="Arial" w:cs="Arial"/>
          <w:sz w:val="20"/>
          <w:szCs w:val="20"/>
        </w:rPr>
        <w:t>ffectiveness measures are usually estimated by meta-analysing outcomes from randomized controlled trials</w:t>
      </w:r>
      <w:r w:rsidR="000131F0">
        <w:rPr>
          <w:rFonts w:ascii="Arial" w:hAnsi="Arial" w:cs="Arial"/>
          <w:sz w:val="20"/>
          <w:szCs w:val="20"/>
        </w:rPr>
        <w:t xml:space="preserve"> (RCTs)</w:t>
      </w:r>
      <w:r w:rsidR="004577B4" w:rsidRPr="008D4928">
        <w:rPr>
          <w:rFonts w:ascii="Arial" w:hAnsi="Arial" w:cs="Arial"/>
          <w:sz w:val="20"/>
          <w:szCs w:val="20"/>
        </w:rPr>
        <w:t xml:space="preserve">. However, the outcomes of interest </w:t>
      </w:r>
      <w:r>
        <w:rPr>
          <w:rFonts w:ascii="Arial" w:hAnsi="Arial" w:cs="Arial"/>
          <w:sz w:val="20"/>
          <w:szCs w:val="20"/>
        </w:rPr>
        <w:t xml:space="preserve">(target outcomes) </w:t>
      </w:r>
      <w:r w:rsidR="004577B4" w:rsidRPr="008D4928">
        <w:rPr>
          <w:rFonts w:ascii="Arial" w:hAnsi="Arial" w:cs="Arial"/>
          <w:sz w:val="20"/>
          <w:szCs w:val="20"/>
        </w:rPr>
        <w:t xml:space="preserve">are sometimes </w:t>
      </w:r>
      <w:r w:rsidR="004577B4" w:rsidRPr="008D4928">
        <w:rPr>
          <w:rFonts w:ascii="Arial" w:hAnsi="Arial" w:cs="Arial"/>
          <w:sz w:val="20"/>
          <w:szCs w:val="20"/>
        </w:rPr>
        <w:lastRenderedPageBreak/>
        <w:t xml:space="preserve">not readily available. It may prove too costly to obtain the </w:t>
      </w:r>
      <w:r w:rsidR="001910D4">
        <w:rPr>
          <w:rFonts w:ascii="Arial" w:hAnsi="Arial" w:cs="Arial"/>
          <w:sz w:val="20"/>
          <w:szCs w:val="20"/>
        </w:rPr>
        <w:t>target</w:t>
      </w:r>
      <w:r w:rsidR="001910D4" w:rsidRPr="008D4928">
        <w:rPr>
          <w:rFonts w:ascii="Arial" w:hAnsi="Arial" w:cs="Arial"/>
          <w:sz w:val="20"/>
          <w:szCs w:val="20"/>
        </w:rPr>
        <w:t xml:space="preserve"> </w:t>
      </w:r>
      <w:r w:rsidR="004577B4" w:rsidRPr="008D4928">
        <w:rPr>
          <w:rFonts w:ascii="Arial" w:hAnsi="Arial" w:cs="Arial"/>
          <w:sz w:val="20"/>
          <w:szCs w:val="20"/>
        </w:rPr>
        <w:t>clinical endpoint, or take an extended period of time to measure these outcomes, both of which conflict with the need for efficient and timely assessment of new technologies  especially in areas of healthcare that are considered a priority in society</w:t>
      </w:r>
      <w:r>
        <w:rPr>
          <w:rFonts w:ascii="Arial" w:hAnsi="Arial" w:cs="Arial"/>
          <w:sz w:val="20"/>
          <w:szCs w:val="20"/>
        </w:rPr>
        <w:t xml:space="preserve"> such as for example cancer</w:t>
      </w:r>
      <w:r w:rsidR="004577B4" w:rsidRPr="008D4928">
        <w:rPr>
          <w:rFonts w:ascii="Arial" w:hAnsi="Arial" w:cs="Arial"/>
          <w:sz w:val="20"/>
          <w:szCs w:val="20"/>
        </w:rPr>
        <w:t xml:space="preserve">.  Another reason for the </w:t>
      </w:r>
      <w:r>
        <w:rPr>
          <w:rFonts w:ascii="Arial" w:hAnsi="Arial" w:cs="Arial"/>
          <w:sz w:val="20"/>
          <w:szCs w:val="20"/>
        </w:rPr>
        <w:t>target</w:t>
      </w:r>
      <w:r w:rsidRPr="008D4928">
        <w:rPr>
          <w:rFonts w:ascii="Arial" w:hAnsi="Arial" w:cs="Arial"/>
          <w:sz w:val="20"/>
          <w:szCs w:val="20"/>
        </w:rPr>
        <w:t xml:space="preserve"> </w:t>
      </w:r>
      <w:r w:rsidR="004577B4" w:rsidRPr="008D4928">
        <w:rPr>
          <w:rFonts w:ascii="Arial" w:hAnsi="Arial" w:cs="Arial"/>
          <w:sz w:val="20"/>
          <w:szCs w:val="20"/>
        </w:rPr>
        <w:t xml:space="preserve">outcome not always being readily available is the wide diversity of alternative instruments measuring disease activity or response to treatment, as is the case for example in </w:t>
      </w:r>
      <w:r w:rsidR="0077504F">
        <w:rPr>
          <w:rFonts w:ascii="Arial" w:hAnsi="Arial" w:cs="Arial"/>
          <w:sz w:val="20"/>
          <w:szCs w:val="20"/>
        </w:rPr>
        <w:t>rheumatoid arthritis (</w:t>
      </w:r>
      <w:r w:rsidR="00D2457F">
        <w:rPr>
          <w:rFonts w:ascii="Arial" w:hAnsi="Arial" w:cs="Arial"/>
          <w:sz w:val="20"/>
          <w:szCs w:val="20"/>
        </w:rPr>
        <w:t>RA</w:t>
      </w:r>
      <w:r w:rsidR="0077504F">
        <w:rPr>
          <w:rFonts w:ascii="Arial" w:hAnsi="Arial" w:cs="Arial"/>
          <w:sz w:val="20"/>
          <w:szCs w:val="20"/>
        </w:rPr>
        <w:t>)</w:t>
      </w:r>
      <w:r w:rsidR="004577B4" w:rsidRPr="008D4928">
        <w:rPr>
          <w:rFonts w:ascii="Arial" w:hAnsi="Arial" w:cs="Arial"/>
          <w:sz w:val="20"/>
          <w:szCs w:val="20"/>
        </w:rPr>
        <w:t>,</w:t>
      </w:r>
      <w:r>
        <w:rPr>
          <w:rFonts w:ascii="Arial" w:hAnsi="Arial" w:cs="Arial"/>
          <w:sz w:val="20"/>
          <w:szCs w:val="20"/>
        </w:rPr>
        <w:t xml:space="preserve"> leading </w:t>
      </w:r>
      <w:proofErr w:type="gramStart"/>
      <w:r>
        <w:rPr>
          <w:rFonts w:ascii="Arial" w:hAnsi="Arial" w:cs="Arial"/>
          <w:sz w:val="20"/>
          <w:szCs w:val="20"/>
        </w:rPr>
        <w:t xml:space="preserve">to  </w:t>
      </w:r>
      <w:r w:rsidR="000131F0">
        <w:rPr>
          <w:rFonts w:ascii="Arial" w:hAnsi="Arial" w:cs="Arial"/>
          <w:sz w:val="20"/>
          <w:szCs w:val="20"/>
        </w:rPr>
        <w:t>variation</w:t>
      </w:r>
      <w:proofErr w:type="gramEnd"/>
      <w:r>
        <w:rPr>
          <w:rFonts w:ascii="Arial" w:hAnsi="Arial" w:cs="Arial"/>
          <w:sz w:val="20"/>
          <w:szCs w:val="20"/>
        </w:rPr>
        <w:t xml:space="preserve"> in the choice of </w:t>
      </w:r>
      <w:r w:rsidR="004511E9">
        <w:rPr>
          <w:rFonts w:ascii="Arial" w:hAnsi="Arial" w:cs="Arial"/>
          <w:sz w:val="20"/>
          <w:szCs w:val="20"/>
        </w:rPr>
        <w:t>an endpoint for a</w:t>
      </w:r>
      <w:r>
        <w:rPr>
          <w:rFonts w:ascii="Arial" w:hAnsi="Arial" w:cs="Arial"/>
          <w:sz w:val="20"/>
          <w:szCs w:val="20"/>
        </w:rPr>
        <w:t xml:space="preserve"> primary outcome in </w:t>
      </w:r>
      <w:r w:rsidR="000131F0">
        <w:rPr>
          <w:rFonts w:ascii="Arial" w:hAnsi="Arial" w:cs="Arial"/>
          <w:sz w:val="20"/>
          <w:szCs w:val="20"/>
        </w:rPr>
        <w:t>RCTs</w:t>
      </w:r>
      <w:r>
        <w:rPr>
          <w:rFonts w:ascii="Arial" w:hAnsi="Arial" w:cs="Arial"/>
          <w:sz w:val="20"/>
          <w:szCs w:val="20"/>
        </w:rPr>
        <w:t>.</w:t>
      </w:r>
      <w:r w:rsidR="004577B4" w:rsidRPr="008D4928">
        <w:rPr>
          <w:rFonts w:ascii="Arial" w:hAnsi="Arial" w:cs="Arial"/>
          <w:sz w:val="20"/>
          <w:szCs w:val="20"/>
        </w:rPr>
        <w:t xml:space="preserve"> </w:t>
      </w:r>
      <w:r w:rsidR="004511E9">
        <w:rPr>
          <w:rFonts w:ascii="Arial" w:hAnsi="Arial" w:cs="Arial"/>
          <w:sz w:val="20"/>
          <w:szCs w:val="20"/>
        </w:rPr>
        <w:t>Taking i</w:t>
      </w:r>
      <w:r w:rsidR="001910D4">
        <w:rPr>
          <w:rFonts w:ascii="Arial" w:hAnsi="Arial" w:cs="Arial"/>
          <w:sz w:val="20"/>
          <w:szCs w:val="20"/>
        </w:rPr>
        <w:t xml:space="preserve">nto account only the </w:t>
      </w:r>
      <w:r w:rsidR="004511E9">
        <w:rPr>
          <w:rFonts w:ascii="Arial" w:hAnsi="Arial" w:cs="Arial"/>
          <w:sz w:val="20"/>
          <w:szCs w:val="20"/>
        </w:rPr>
        <w:t>target outcome measure</w:t>
      </w:r>
      <w:r w:rsidR="004511E9" w:rsidRPr="008D4928">
        <w:rPr>
          <w:rFonts w:ascii="Arial" w:hAnsi="Arial" w:cs="Arial"/>
          <w:sz w:val="20"/>
          <w:szCs w:val="20"/>
        </w:rPr>
        <w:t xml:space="preserve"> </w:t>
      </w:r>
      <w:r w:rsidR="004577B4" w:rsidRPr="008D4928">
        <w:rPr>
          <w:rFonts w:ascii="Arial" w:hAnsi="Arial" w:cs="Arial"/>
          <w:sz w:val="20"/>
          <w:szCs w:val="20"/>
        </w:rPr>
        <w:t xml:space="preserve">can lead to the amount of data included in the </w:t>
      </w:r>
      <w:r w:rsidR="00DB6B77">
        <w:rPr>
          <w:rFonts w:ascii="Arial" w:hAnsi="Arial" w:cs="Arial"/>
          <w:sz w:val="20"/>
          <w:szCs w:val="20"/>
        </w:rPr>
        <w:t>meta-</w:t>
      </w:r>
      <w:r w:rsidR="004577B4" w:rsidRPr="008D4928">
        <w:rPr>
          <w:rFonts w:ascii="Arial" w:hAnsi="Arial" w:cs="Arial"/>
          <w:sz w:val="20"/>
          <w:szCs w:val="20"/>
        </w:rPr>
        <w:t>analysis being radically reduced.</w:t>
      </w:r>
      <w:r w:rsidR="00DB6B77">
        <w:rPr>
          <w:rFonts w:ascii="Arial" w:hAnsi="Arial" w:cs="Arial"/>
          <w:sz w:val="20"/>
          <w:szCs w:val="20"/>
        </w:rPr>
        <w:t xml:space="preserve"> In circumstances of absence of data on the primary clinical outcome, </w:t>
      </w:r>
      <w:r w:rsidR="00A2573D">
        <w:rPr>
          <w:rFonts w:ascii="Arial" w:hAnsi="Arial" w:cs="Arial"/>
          <w:sz w:val="20"/>
          <w:szCs w:val="20"/>
        </w:rPr>
        <w:t>surrogate</w:t>
      </w:r>
      <w:r w:rsidR="00DB6B77">
        <w:rPr>
          <w:rFonts w:ascii="Arial" w:hAnsi="Arial" w:cs="Arial"/>
          <w:sz w:val="20"/>
          <w:szCs w:val="20"/>
        </w:rPr>
        <w:t xml:space="preserve"> endpoints are sometimes used in lieu of that outcome</w:t>
      </w:r>
      <w:r w:rsidR="00084929">
        <w:rPr>
          <w:rFonts w:ascii="Arial" w:hAnsi="Arial" w:cs="Arial"/>
          <w:sz w:val="20"/>
          <w:szCs w:val="20"/>
        </w:rPr>
        <w:t xml:space="preserve"> </w:t>
      </w:r>
      <w:sdt>
        <w:sdtPr>
          <w:rPr>
            <w:rFonts w:ascii="Arial" w:hAnsi="Arial" w:cs="Arial"/>
            <w:sz w:val="20"/>
            <w:szCs w:val="20"/>
          </w:rPr>
          <w:id w:val="561021796"/>
          <w:citation/>
        </w:sdtPr>
        <w:sdtEndPr/>
        <w:sdtContent>
          <w:r w:rsidR="00631B86">
            <w:rPr>
              <w:rFonts w:ascii="Arial" w:hAnsi="Arial" w:cs="Arial"/>
              <w:sz w:val="20"/>
              <w:szCs w:val="20"/>
            </w:rPr>
            <w:fldChar w:fldCharType="begin"/>
          </w:r>
          <w:r w:rsidR="00084929">
            <w:rPr>
              <w:rFonts w:ascii="Arial" w:hAnsi="Arial" w:cs="Arial"/>
              <w:sz w:val="20"/>
              <w:szCs w:val="20"/>
            </w:rPr>
            <w:instrText xml:space="preserve"> CITATION Tay09 \l 2057 </w:instrText>
          </w:r>
          <w:r w:rsidR="00631B86">
            <w:rPr>
              <w:rFonts w:ascii="Arial" w:hAnsi="Arial" w:cs="Arial"/>
              <w:sz w:val="20"/>
              <w:szCs w:val="20"/>
            </w:rPr>
            <w:fldChar w:fldCharType="separate"/>
          </w:r>
          <w:r w:rsidR="005F423A" w:rsidRPr="005F423A">
            <w:rPr>
              <w:rFonts w:ascii="Arial" w:hAnsi="Arial" w:cs="Arial"/>
              <w:noProof/>
              <w:sz w:val="20"/>
              <w:szCs w:val="20"/>
            </w:rPr>
            <w:t>(7)</w:t>
          </w:r>
          <w:r w:rsidR="00631B86">
            <w:rPr>
              <w:rFonts w:ascii="Arial" w:hAnsi="Arial" w:cs="Arial"/>
              <w:sz w:val="20"/>
              <w:szCs w:val="20"/>
            </w:rPr>
            <w:fldChar w:fldCharType="end"/>
          </w:r>
        </w:sdtContent>
      </w:sdt>
      <w:r w:rsidR="00DB6B77">
        <w:rPr>
          <w:rFonts w:ascii="Arial" w:hAnsi="Arial" w:cs="Arial"/>
          <w:sz w:val="20"/>
          <w:szCs w:val="20"/>
        </w:rPr>
        <w:t xml:space="preserve">. </w:t>
      </w:r>
      <w:r w:rsidR="003B5CE1">
        <w:rPr>
          <w:rFonts w:ascii="Arial" w:hAnsi="Arial" w:cs="Arial"/>
          <w:sz w:val="20"/>
          <w:szCs w:val="20"/>
        </w:rPr>
        <w:t>Alternatively</w:t>
      </w:r>
      <w:r w:rsidR="001B376B">
        <w:rPr>
          <w:rFonts w:ascii="Arial" w:hAnsi="Arial" w:cs="Arial"/>
          <w:sz w:val="20"/>
          <w:szCs w:val="20"/>
        </w:rPr>
        <w:t xml:space="preserve">, in some circumstances data on </w:t>
      </w:r>
      <w:r w:rsidR="004511E9">
        <w:rPr>
          <w:rFonts w:ascii="Arial" w:hAnsi="Arial" w:cs="Arial"/>
          <w:sz w:val="20"/>
          <w:szCs w:val="20"/>
        </w:rPr>
        <w:t>target endpoint</w:t>
      </w:r>
      <w:r w:rsidR="001B376B">
        <w:rPr>
          <w:rFonts w:ascii="Arial" w:hAnsi="Arial" w:cs="Arial"/>
          <w:sz w:val="20"/>
          <w:szCs w:val="20"/>
        </w:rPr>
        <w:t xml:space="preserve"> may exist but, in addition to the primary outcome, is </w:t>
      </w:r>
      <w:r w:rsidR="00CB2131">
        <w:rPr>
          <w:rFonts w:ascii="Arial" w:hAnsi="Arial" w:cs="Arial"/>
          <w:sz w:val="20"/>
          <w:szCs w:val="20"/>
        </w:rPr>
        <w:t xml:space="preserve">also </w:t>
      </w:r>
      <w:r w:rsidR="001B376B">
        <w:rPr>
          <w:rFonts w:ascii="Arial" w:hAnsi="Arial" w:cs="Arial"/>
          <w:sz w:val="20"/>
          <w:szCs w:val="20"/>
        </w:rPr>
        <w:t>available either on alternative scales or measured by surrogate outcome.</w:t>
      </w:r>
      <w:r w:rsidR="004511E9">
        <w:rPr>
          <w:rFonts w:ascii="Arial" w:hAnsi="Arial" w:cs="Arial"/>
          <w:sz w:val="20"/>
          <w:szCs w:val="20"/>
        </w:rPr>
        <w:t xml:space="preserve"> Some manufacturers may choose a biomarker as a primary outcome, for example when such endpoint can be measured early leading to a shorter time to licensing and hence quicker profit from the new pharmaceutical product. When drug is conditionally licensed based on a biomarker, data needed for HTA, such as overall survival in cancer treatments, is not available from the clinical trial evaluating this product. Multivariate approach to meta-analysis can allow to include the data on biomarker by combining it with</w:t>
      </w:r>
      <w:r w:rsidR="000131F0">
        <w:rPr>
          <w:rFonts w:ascii="Arial" w:hAnsi="Arial" w:cs="Arial"/>
          <w:sz w:val="20"/>
          <w:szCs w:val="20"/>
        </w:rPr>
        <w:t xml:space="preserve"> data on a target outcome from other RCTs.</w:t>
      </w:r>
      <w:r w:rsidR="001B376B">
        <w:rPr>
          <w:rFonts w:ascii="Arial" w:hAnsi="Arial" w:cs="Arial"/>
          <w:sz w:val="20"/>
          <w:szCs w:val="20"/>
        </w:rPr>
        <w:t xml:space="preserve"> Synthesizing the data from all sources of evidence can lead to a reduced bias</w:t>
      </w:r>
      <w:r w:rsidR="00CB2131">
        <w:rPr>
          <w:rFonts w:ascii="Arial" w:hAnsi="Arial" w:cs="Arial"/>
          <w:sz w:val="20"/>
          <w:szCs w:val="20"/>
        </w:rPr>
        <w:t xml:space="preserve"> </w:t>
      </w:r>
      <w:sdt>
        <w:sdtPr>
          <w:rPr>
            <w:rFonts w:ascii="Arial" w:hAnsi="Arial" w:cs="Arial"/>
            <w:sz w:val="20"/>
            <w:szCs w:val="20"/>
          </w:rPr>
          <w:id w:val="347758942"/>
          <w:citation/>
        </w:sdtPr>
        <w:sdtEndPr/>
        <w:sdtContent>
          <w:r w:rsidR="00631B86">
            <w:rPr>
              <w:rFonts w:ascii="Arial" w:hAnsi="Arial" w:cs="Arial"/>
              <w:sz w:val="20"/>
              <w:szCs w:val="20"/>
            </w:rPr>
            <w:fldChar w:fldCharType="begin"/>
          </w:r>
          <w:r w:rsidR="00CB2131">
            <w:rPr>
              <w:rFonts w:ascii="Arial" w:hAnsi="Arial" w:cs="Arial"/>
              <w:sz w:val="20"/>
              <w:szCs w:val="20"/>
            </w:rPr>
            <w:instrText xml:space="preserve"> CITATION Kir12 \l 2057 </w:instrText>
          </w:r>
          <w:r w:rsidR="00631B86">
            <w:rPr>
              <w:rFonts w:ascii="Arial" w:hAnsi="Arial" w:cs="Arial"/>
              <w:sz w:val="20"/>
              <w:szCs w:val="20"/>
            </w:rPr>
            <w:fldChar w:fldCharType="separate"/>
          </w:r>
          <w:r w:rsidR="005F423A" w:rsidRPr="005F423A">
            <w:rPr>
              <w:rFonts w:ascii="Arial" w:hAnsi="Arial" w:cs="Arial"/>
              <w:noProof/>
              <w:sz w:val="20"/>
              <w:szCs w:val="20"/>
            </w:rPr>
            <w:t>(8)</w:t>
          </w:r>
          <w:r w:rsidR="00631B86">
            <w:rPr>
              <w:rFonts w:ascii="Arial" w:hAnsi="Arial" w:cs="Arial"/>
              <w:sz w:val="20"/>
              <w:szCs w:val="20"/>
            </w:rPr>
            <w:fldChar w:fldCharType="end"/>
          </w:r>
        </w:sdtContent>
      </w:sdt>
      <w:r w:rsidR="001B376B">
        <w:rPr>
          <w:rFonts w:ascii="Arial" w:hAnsi="Arial" w:cs="Arial"/>
          <w:sz w:val="20"/>
          <w:szCs w:val="20"/>
        </w:rPr>
        <w:t xml:space="preserve"> and potentially also the uncertainty</w:t>
      </w:r>
      <w:r w:rsidR="00CB2131">
        <w:rPr>
          <w:rFonts w:ascii="Arial" w:hAnsi="Arial" w:cs="Arial"/>
          <w:sz w:val="20"/>
          <w:szCs w:val="20"/>
        </w:rPr>
        <w:t xml:space="preserve"> </w:t>
      </w:r>
      <w:sdt>
        <w:sdtPr>
          <w:rPr>
            <w:rFonts w:ascii="Arial" w:hAnsi="Arial" w:cs="Arial"/>
            <w:sz w:val="20"/>
            <w:szCs w:val="20"/>
          </w:rPr>
          <w:id w:val="347758943"/>
          <w:citation/>
        </w:sdtPr>
        <w:sdtEndPr/>
        <w:sdtContent>
          <w:r w:rsidR="00631B86">
            <w:rPr>
              <w:rFonts w:ascii="Arial" w:hAnsi="Arial" w:cs="Arial"/>
              <w:sz w:val="20"/>
              <w:szCs w:val="20"/>
            </w:rPr>
            <w:fldChar w:fldCharType="begin"/>
          </w:r>
          <w:r w:rsidR="00C06FE8">
            <w:rPr>
              <w:rFonts w:ascii="Arial" w:hAnsi="Arial" w:cs="Arial"/>
              <w:sz w:val="20"/>
              <w:szCs w:val="20"/>
            </w:rPr>
            <w:instrText xml:space="preserve"> CITATION Buj13 \l 2057  </w:instrText>
          </w:r>
          <w:r w:rsidR="00631B86">
            <w:rPr>
              <w:rFonts w:ascii="Arial" w:hAnsi="Arial" w:cs="Arial"/>
              <w:sz w:val="20"/>
              <w:szCs w:val="20"/>
            </w:rPr>
            <w:fldChar w:fldCharType="separate"/>
          </w:r>
          <w:r w:rsidR="005F423A" w:rsidRPr="005F423A">
            <w:rPr>
              <w:rFonts w:ascii="Arial" w:hAnsi="Arial" w:cs="Arial"/>
              <w:noProof/>
              <w:sz w:val="20"/>
              <w:szCs w:val="20"/>
            </w:rPr>
            <w:t>(9)</w:t>
          </w:r>
          <w:r w:rsidR="00631B86">
            <w:rPr>
              <w:rFonts w:ascii="Arial" w:hAnsi="Arial" w:cs="Arial"/>
              <w:sz w:val="20"/>
              <w:szCs w:val="20"/>
            </w:rPr>
            <w:fldChar w:fldCharType="end"/>
          </w:r>
        </w:sdtContent>
      </w:sdt>
      <w:r w:rsidR="001B376B">
        <w:rPr>
          <w:rFonts w:ascii="Arial" w:hAnsi="Arial" w:cs="Arial"/>
          <w:sz w:val="20"/>
          <w:szCs w:val="20"/>
        </w:rPr>
        <w:t>.</w:t>
      </w:r>
    </w:p>
    <w:p w:rsidR="004577B4" w:rsidRPr="008D4928" w:rsidRDefault="004577B4" w:rsidP="00AA3405">
      <w:pPr>
        <w:pStyle w:val="PlainText"/>
        <w:spacing w:line="480" w:lineRule="auto"/>
        <w:jc w:val="both"/>
        <w:rPr>
          <w:rFonts w:ascii="Arial" w:hAnsi="Arial" w:cs="Arial"/>
          <w:sz w:val="20"/>
          <w:szCs w:val="20"/>
        </w:rPr>
      </w:pPr>
    </w:p>
    <w:p w:rsidR="004577B4" w:rsidRPr="008D4928" w:rsidRDefault="007D5296" w:rsidP="00AA3405">
      <w:pPr>
        <w:pStyle w:val="PlainText"/>
        <w:spacing w:line="480" w:lineRule="auto"/>
        <w:jc w:val="both"/>
        <w:rPr>
          <w:rFonts w:ascii="Arial" w:hAnsi="Arial" w:cs="Arial"/>
          <w:sz w:val="20"/>
          <w:szCs w:val="20"/>
        </w:rPr>
      </w:pPr>
      <w:r>
        <w:rPr>
          <w:rFonts w:ascii="Arial" w:hAnsi="Arial" w:cs="Arial"/>
          <w:sz w:val="20"/>
          <w:szCs w:val="20"/>
        </w:rPr>
        <w:t xml:space="preserve">Multivariate meta-analytic methods have already been developed to synthesize simultaneously </w:t>
      </w:r>
      <w:r w:rsidR="007A5A05">
        <w:rPr>
          <w:rFonts w:ascii="Arial" w:hAnsi="Arial" w:cs="Arial"/>
          <w:sz w:val="20"/>
          <w:szCs w:val="20"/>
        </w:rPr>
        <w:t xml:space="preserve">evidence from correlated outcomes </w:t>
      </w:r>
      <w:sdt>
        <w:sdtPr>
          <w:rPr>
            <w:rFonts w:ascii="Arial" w:hAnsi="Arial" w:cs="Arial"/>
            <w:sz w:val="20"/>
            <w:szCs w:val="20"/>
          </w:rPr>
          <w:id w:val="351409419"/>
          <w:citation/>
        </w:sdtPr>
        <w:sdtEndPr/>
        <w:sdtContent>
          <w:r w:rsidR="00631B86">
            <w:rPr>
              <w:rFonts w:ascii="Arial" w:hAnsi="Arial" w:cs="Arial"/>
              <w:sz w:val="20"/>
              <w:szCs w:val="20"/>
            </w:rPr>
            <w:fldChar w:fldCharType="begin"/>
          </w:r>
          <w:r w:rsidR="00460175">
            <w:rPr>
              <w:rFonts w:ascii="Arial" w:hAnsi="Arial" w:cs="Arial"/>
              <w:sz w:val="20"/>
              <w:szCs w:val="20"/>
            </w:rPr>
            <w:instrText xml:space="preserve"> CITATION Nam03 \l 2057  \m Ril07</w:instrText>
          </w:r>
          <w:r w:rsidR="00631B86">
            <w:rPr>
              <w:rFonts w:ascii="Arial" w:hAnsi="Arial" w:cs="Arial"/>
              <w:sz w:val="20"/>
              <w:szCs w:val="20"/>
            </w:rPr>
            <w:fldChar w:fldCharType="separate"/>
          </w:r>
          <w:r w:rsidR="005F423A" w:rsidRPr="005F423A">
            <w:rPr>
              <w:rFonts w:ascii="Arial" w:hAnsi="Arial" w:cs="Arial"/>
              <w:noProof/>
              <w:sz w:val="20"/>
              <w:szCs w:val="20"/>
            </w:rPr>
            <w:t>(10; 11)</w:t>
          </w:r>
          <w:r w:rsidR="00631B86">
            <w:rPr>
              <w:rFonts w:ascii="Arial" w:hAnsi="Arial" w:cs="Arial"/>
              <w:sz w:val="20"/>
              <w:szCs w:val="20"/>
            </w:rPr>
            <w:fldChar w:fldCharType="end"/>
          </w:r>
        </w:sdtContent>
      </w:sdt>
      <w:r w:rsidR="007A5A05">
        <w:rPr>
          <w:rFonts w:ascii="Arial" w:hAnsi="Arial" w:cs="Arial"/>
          <w:sz w:val="20"/>
          <w:szCs w:val="20"/>
        </w:rPr>
        <w:t xml:space="preserve">. </w:t>
      </w:r>
      <w:r w:rsidR="00012C09" w:rsidRPr="008D4928">
        <w:rPr>
          <w:rFonts w:ascii="Arial" w:hAnsi="Arial" w:cs="Arial"/>
          <w:sz w:val="20"/>
          <w:szCs w:val="20"/>
        </w:rPr>
        <w:t xml:space="preserve">In a recent review, </w:t>
      </w:r>
      <w:r w:rsidR="00A07E78">
        <w:rPr>
          <w:rFonts w:ascii="Arial" w:hAnsi="Arial" w:cs="Arial"/>
          <w:sz w:val="20"/>
          <w:szCs w:val="20"/>
        </w:rPr>
        <w:t xml:space="preserve">Jackson et al </w:t>
      </w:r>
      <w:r w:rsidR="00012C09" w:rsidRPr="008D4928">
        <w:rPr>
          <w:rFonts w:ascii="Arial" w:hAnsi="Arial" w:cs="Arial"/>
          <w:sz w:val="20"/>
          <w:szCs w:val="20"/>
        </w:rPr>
        <w:t>describe advances in the development of the methodology of multivariate meta-analysis and discuss the advantages and disadvantages of the use of these methods</w:t>
      </w:r>
      <w:r w:rsidR="00063D8C">
        <w:rPr>
          <w:rFonts w:ascii="Arial" w:hAnsi="Arial" w:cs="Arial"/>
          <w:sz w:val="20"/>
          <w:szCs w:val="20"/>
        </w:rPr>
        <w:t xml:space="preserve"> </w:t>
      </w:r>
      <w:sdt>
        <w:sdtPr>
          <w:rPr>
            <w:rFonts w:ascii="Arial" w:hAnsi="Arial" w:cs="Arial"/>
            <w:sz w:val="20"/>
            <w:szCs w:val="20"/>
          </w:rPr>
          <w:id w:val="351409422"/>
          <w:citation/>
        </w:sdtPr>
        <w:sdtEndPr/>
        <w:sdtContent>
          <w:r w:rsidR="00631B86">
            <w:rPr>
              <w:rFonts w:ascii="Arial" w:hAnsi="Arial" w:cs="Arial"/>
              <w:sz w:val="20"/>
              <w:szCs w:val="20"/>
            </w:rPr>
            <w:fldChar w:fldCharType="begin"/>
          </w:r>
          <w:r w:rsidR="00460175">
            <w:rPr>
              <w:rFonts w:ascii="Arial" w:hAnsi="Arial" w:cs="Arial"/>
              <w:sz w:val="20"/>
              <w:szCs w:val="20"/>
            </w:rPr>
            <w:instrText xml:space="preserve"> CITATION Jac12 \l 2057 </w:instrText>
          </w:r>
          <w:r w:rsidR="00631B86">
            <w:rPr>
              <w:rFonts w:ascii="Arial" w:hAnsi="Arial" w:cs="Arial"/>
              <w:sz w:val="20"/>
              <w:szCs w:val="20"/>
            </w:rPr>
            <w:fldChar w:fldCharType="separate"/>
          </w:r>
          <w:r w:rsidR="005F423A" w:rsidRPr="005F423A">
            <w:rPr>
              <w:rFonts w:ascii="Arial" w:hAnsi="Arial" w:cs="Arial"/>
              <w:noProof/>
              <w:sz w:val="20"/>
              <w:szCs w:val="20"/>
            </w:rPr>
            <w:t>(12)</w:t>
          </w:r>
          <w:r w:rsidR="00631B86">
            <w:rPr>
              <w:rFonts w:ascii="Arial" w:hAnsi="Arial" w:cs="Arial"/>
              <w:sz w:val="20"/>
              <w:szCs w:val="20"/>
            </w:rPr>
            <w:fldChar w:fldCharType="end"/>
          </w:r>
        </w:sdtContent>
      </w:sdt>
      <w:r w:rsidR="00012C09" w:rsidRPr="008D4928">
        <w:rPr>
          <w:rFonts w:ascii="Arial" w:hAnsi="Arial" w:cs="Arial"/>
          <w:sz w:val="20"/>
          <w:szCs w:val="20"/>
        </w:rPr>
        <w:t xml:space="preserve">. </w:t>
      </w:r>
      <w:r w:rsidR="00E46E27" w:rsidRPr="00E46E27">
        <w:rPr>
          <w:rFonts w:ascii="Arial" w:hAnsi="Arial" w:cs="Arial"/>
          <w:b/>
          <w:sz w:val="20"/>
          <w:szCs w:val="20"/>
        </w:rPr>
        <w:t>Bujkiewicz et al.</w:t>
      </w:r>
      <w:r w:rsidR="007A5A05">
        <w:rPr>
          <w:rFonts w:ascii="Arial" w:hAnsi="Arial" w:cs="Arial"/>
          <w:sz w:val="20"/>
          <w:szCs w:val="20"/>
        </w:rPr>
        <w:t xml:space="preserve"> have recently developed a Bayesian multivariate meta-analysis (MVMA) framework for combining data from multiple correlated outcomes </w:t>
      </w:r>
      <w:sdt>
        <w:sdtPr>
          <w:rPr>
            <w:rFonts w:ascii="Arial" w:hAnsi="Arial" w:cs="Arial"/>
            <w:sz w:val="20"/>
            <w:szCs w:val="20"/>
          </w:rPr>
          <w:id w:val="351409423"/>
          <w:citation/>
        </w:sdtPr>
        <w:sdtEndPr/>
        <w:sdtContent>
          <w:r w:rsidR="00631B86">
            <w:rPr>
              <w:rFonts w:ascii="Arial" w:hAnsi="Arial" w:cs="Arial"/>
              <w:sz w:val="20"/>
              <w:szCs w:val="20"/>
            </w:rPr>
            <w:fldChar w:fldCharType="begin"/>
          </w:r>
          <w:r w:rsidR="00C06FE8">
            <w:rPr>
              <w:rFonts w:ascii="Arial" w:hAnsi="Arial" w:cs="Arial"/>
              <w:sz w:val="20"/>
              <w:szCs w:val="20"/>
            </w:rPr>
            <w:instrText xml:space="preserve"> CITATION Buj13 \l 2057  </w:instrText>
          </w:r>
          <w:r w:rsidR="00631B86">
            <w:rPr>
              <w:rFonts w:ascii="Arial" w:hAnsi="Arial" w:cs="Arial"/>
              <w:sz w:val="20"/>
              <w:szCs w:val="20"/>
            </w:rPr>
            <w:fldChar w:fldCharType="separate"/>
          </w:r>
          <w:r w:rsidR="005F423A" w:rsidRPr="005F423A">
            <w:rPr>
              <w:rFonts w:ascii="Arial" w:hAnsi="Arial" w:cs="Arial"/>
              <w:noProof/>
              <w:sz w:val="20"/>
              <w:szCs w:val="20"/>
            </w:rPr>
            <w:t>(9)</w:t>
          </w:r>
          <w:r w:rsidR="00631B86">
            <w:rPr>
              <w:rFonts w:ascii="Arial" w:hAnsi="Arial" w:cs="Arial"/>
              <w:sz w:val="20"/>
              <w:szCs w:val="20"/>
            </w:rPr>
            <w:fldChar w:fldCharType="end"/>
          </w:r>
        </w:sdtContent>
      </w:sdt>
      <w:r w:rsidR="007A5A05">
        <w:rPr>
          <w:rFonts w:ascii="Arial" w:hAnsi="Arial" w:cs="Arial"/>
          <w:sz w:val="20"/>
          <w:szCs w:val="20"/>
        </w:rPr>
        <w:t xml:space="preserve">. </w:t>
      </w:r>
      <w:r w:rsidR="00012C09" w:rsidRPr="008D4928">
        <w:rPr>
          <w:rFonts w:ascii="Arial" w:hAnsi="Arial" w:cs="Arial"/>
          <w:sz w:val="20"/>
          <w:szCs w:val="20"/>
        </w:rPr>
        <w:t xml:space="preserve">One of the advantages of the multivariate approach </w:t>
      </w:r>
      <w:r w:rsidR="00F62694">
        <w:rPr>
          <w:rFonts w:ascii="Arial" w:hAnsi="Arial" w:cs="Arial"/>
          <w:sz w:val="20"/>
          <w:szCs w:val="20"/>
        </w:rPr>
        <w:t>that was</w:t>
      </w:r>
      <w:r w:rsidR="00F62694" w:rsidRPr="008D4928">
        <w:rPr>
          <w:rFonts w:ascii="Arial" w:hAnsi="Arial" w:cs="Arial"/>
          <w:sz w:val="20"/>
          <w:szCs w:val="20"/>
        </w:rPr>
        <w:t xml:space="preserve"> </w:t>
      </w:r>
      <w:r w:rsidR="00012C09" w:rsidRPr="008D4928">
        <w:rPr>
          <w:rFonts w:ascii="Arial" w:hAnsi="Arial" w:cs="Arial"/>
          <w:sz w:val="20"/>
          <w:szCs w:val="20"/>
        </w:rPr>
        <w:t>exploit</w:t>
      </w:r>
      <w:r w:rsidR="00012C09">
        <w:rPr>
          <w:rFonts w:ascii="Arial" w:hAnsi="Arial" w:cs="Arial"/>
          <w:sz w:val="20"/>
          <w:szCs w:val="20"/>
        </w:rPr>
        <w:t xml:space="preserve">ed in </w:t>
      </w:r>
      <w:r w:rsidR="00F62694">
        <w:rPr>
          <w:rFonts w:ascii="Arial" w:hAnsi="Arial" w:cs="Arial"/>
          <w:sz w:val="20"/>
          <w:szCs w:val="20"/>
        </w:rPr>
        <w:t xml:space="preserve">this </w:t>
      </w:r>
      <w:r w:rsidR="00012C09">
        <w:rPr>
          <w:rFonts w:ascii="Arial" w:hAnsi="Arial" w:cs="Arial"/>
          <w:sz w:val="20"/>
          <w:szCs w:val="20"/>
        </w:rPr>
        <w:t>model</w:t>
      </w:r>
      <w:r w:rsidR="00012C09" w:rsidRPr="008D4928">
        <w:rPr>
          <w:rFonts w:ascii="Arial" w:hAnsi="Arial" w:cs="Arial"/>
          <w:sz w:val="20"/>
          <w:szCs w:val="20"/>
        </w:rPr>
        <w:t xml:space="preserve"> </w:t>
      </w:r>
      <w:r w:rsidR="00012C09">
        <w:rPr>
          <w:rFonts w:ascii="Arial" w:hAnsi="Arial" w:cs="Arial"/>
          <w:sz w:val="20"/>
          <w:szCs w:val="20"/>
        </w:rPr>
        <w:t>wa</w:t>
      </w:r>
      <w:r w:rsidR="00012C09" w:rsidRPr="008D4928">
        <w:rPr>
          <w:rFonts w:ascii="Arial" w:hAnsi="Arial" w:cs="Arial"/>
          <w:sz w:val="20"/>
          <w:szCs w:val="20"/>
        </w:rPr>
        <w:t xml:space="preserve">s the incorporation of additional data by the inclusion of studies reporting </w:t>
      </w:r>
      <w:r w:rsidR="00012C09">
        <w:rPr>
          <w:rFonts w:ascii="Arial" w:hAnsi="Arial" w:cs="Arial"/>
          <w:sz w:val="20"/>
          <w:szCs w:val="20"/>
        </w:rPr>
        <w:t>multiple</w:t>
      </w:r>
      <w:r w:rsidR="00012C09" w:rsidRPr="008D4928">
        <w:rPr>
          <w:rFonts w:ascii="Arial" w:hAnsi="Arial" w:cs="Arial"/>
          <w:sz w:val="20"/>
          <w:szCs w:val="20"/>
        </w:rPr>
        <w:t xml:space="preserve"> outcomes.</w:t>
      </w:r>
      <w:r w:rsidR="00012C09">
        <w:rPr>
          <w:rFonts w:ascii="Arial" w:hAnsi="Arial" w:cs="Arial"/>
          <w:sz w:val="20"/>
          <w:szCs w:val="20"/>
        </w:rPr>
        <w:t xml:space="preserve"> In addition to this, t</w:t>
      </w:r>
      <w:r w:rsidR="00D07B8E">
        <w:rPr>
          <w:rFonts w:ascii="Arial" w:hAnsi="Arial" w:cs="Arial"/>
          <w:sz w:val="20"/>
          <w:szCs w:val="20"/>
        </w:rPr>
        <w:t xml:space="preserve">he Bayesian aspect of this approach made it possible to incorporate external data in the MVMA model in the form of </w:t>
      </w:r>
      <w:r w:rsidR="002307AD">
        <w:rPr>
          <w:rFonts w:ascii="Arial" w:hAnsi="Arial" w:cs="Arial"/>
          <w:sz w:val="20"/>
          <w:szCs w:val="20"/>
        </w:rPr>
        <w:t xml:space="preserve">informative </w:t>
      </w:r>
      <w:r w:rsidR="00D07B8E">
        <w:rPr>
          <w:rFonts w:ascii="Arial" w:hAnsi="Arial" w:cs="Arial"/>
          <w:sz w:val="20"/>
          <w:szCs w:val="20"/>
        </w:rPr>
        <w:t>prior distributions</w:t>
      </w:r>
      <w:r w:rsidR="002307AD">
        <w:rPr>
          <w:rFonts w:ascii="Arial" w:hAnsi="Arial" w:cs="Arial"/>
          <w:sz w:val="20"/>
          <w:szCs w:val="20"/>
        </w:rPr>
        <w:t>, especially on correlations</w:t>
      </w:r>
      <w:r w:rsidR="00D07B8E">
        <w:rPr>
          <w:rFonts w:ascii="Arial" w:hAnsi="Arial" w:cs="Arial"/>
          <w:sz w:val="20"/>
          <w:szCs w:val="20"/>
        </w:rPr>
        <w:t xml:space="preserve">. This method, developed </w:t>
      </w:r>
      <w:r w:rsidR="003D24DB">
        <w:rPr>
          <w:rFonts w:ascii="Arial" w:hAnsi="Arial" w:cs="Arial"/>
          <w:sz w:val="20"/>
          <w:szCs w:val="20"/>
        </w:rPr>
        <w:t>using</w:t>
      </w:r>
      <w:r w:rsidR="00D07B8E">
        <w:rPr>
          <w:rFonts w:ascii="Arial" w:hAnsi="Arial" w:cs="Arial"/>
          <w:sz w:val="20"/>
          <w:szCs w:val="20"/>
        </w:rPr>
        <w:t xml:space="preserve"> an example in RA</w:t>
      </w:r>
      <w:r w:rsidR="00727C5F">
        <w:rPr>
          <w:rFonts w:ascii="Arial" w:hAnsi="Arial" w:cs="Arial"/>
          <w:sz w:val="20"/>
          <w:szCs w:val="20"/>
        </w:rPr>
        <w:t xml:space="preserve"> </w:t>
      </w:r>
      <w:r w:rsidR="00727C5F">
        <w:rPr>
          <w:rFonts w:ascii="Arial" w:hAnsi="Arial" w:cs="Arial"/>
          <w:sz w:val="20"/>
          <w:szCs w:val="20"/>
        </w:rPr>
        <w:lastRenderedPageBreak/>
        <w:t xml:space="preserve">for combining data from studies reporting the </w:t>
      </w:r>
      <w:r w:rsidR="0070068E">
        <w:rPr>
          <w:rFonts w:ascii="Arial" w:hAnsi="Arial" w:cs="Arial"/>
          <w:sz w:val="20"/>
          <w:szCs w:val="20"/>
        </w:rPr>
        <w:t>Health Assessment Questionnaire (</w:t>
      </w:r>
      <w:r w:rsidR="00D96EF2">
        <w:rPr>
          <w:rFonts w:ascii="Arial" w:hAnsi="Arial" w:cs="Arial"/>
          <w:sz w:val="20"/>
          <w:szCs w:val="20"/>
        </w:rPr>
        <w:t>HAQ</w:t>
      </w:r>
      <w:r w:rsidR="0070068E">
        <w:rPr>
          <w:rFonts w:ascii="Arial" w:hAnsi="Arial" w:cs="Arial"/>
          <w:sz w:val="20"/>
          <w:szCs w:val="20"/>
        </w:rPr>
        <w:t>)</w:t>
      </w:r>
      <w:r w:rsidR="00D96EF2">
        <w:rPr>
          <w:rFonts w:ascii="Arial" w:hAnsi="Arial" w:cs="Arial"/>
          <w:sz w:val="20"/>
          <w:szCs w:val="20"/>
        </w:rPr>
        <w:t xml:space="preserve"> and</w:t>
      </w:r>
      <w:r w:rsidR="00727C5F">
        <w:rPr>
          <w:rFonts w:ascii="Arial" w:hAnsi="Arial" w:cs="Arial"/>
          <w:sz w:val="20"/>
          <w:szCs w:val="20"/>
        </w:rPr>
        <w:t xml:space="preserve"> </w:t>
      </w:r>
      <w:r w:rsidR="00CB2131">
        <w:rPr>
          <w:rFonts w:ascii="Arial" w:hAnsi="Arial" w:cs="Arial"/>
          <w:sz w:val="20"/>
          <w:szCs w:val="20"/>
        </w:rPr>
        <w:t xml:space="preserve">the </w:t>
      </w:r>
      <w:r w:rsidR="00727C5F" w:rsidRPr="008D4928">
        <w:rPr>
          <w:rFonts w:ascii="Arial" w:hAnsi="Arial" w:cs="Arial"/>
          <w:sz w:val="20"/>
          <w:szCs w:val="20"/>
        </w:rPr>
        <w:t>Disease Activity Score (DAS-28) measures, and the American College of Rheumatology (ACR) response criteria</w:t>
      </w:r>
      <w:r w:rsidR="00424233">
        <w:rPr>
          <w:rFonts w:ascii="Arial" w:hAnsi="Arial" w:cs="Arial"/>
          <w:sz w:val="20"/>
          <w:szCs w:val="20"/>
        </w:rPr>
        <w:t xml:space="preserve">, allowed </w:t>
      </w:r>
      <w:r w:rsidR="00F62694">
        <w:rPr>
          <w:rFonts w:ascii="Arial" w:hAnsi="Arial" w:cs="Arial"/>
          <w:sz w:val="20"/>
          <w:szCs w:val="20"/>
        </w:rPr>
        <w:t>for</w:t>
      </w:r>
      <w:r w:rsidR="00424233">
        <w:rPr>
          <w:rFonts w:ascii="Arial" w:hAnsi="Arial" w:cs="Arial"/>
          <w:sz w:val="20"/>
          <w:szCs w:val="20"/>
        </w:rPr>
        <w:t xml:space="preserve"> extend</w:t>
      </w:r>
      <w:r w:rsidR="00F62694">
        <w:rPr>
          <w:rFonts w:ascii="Arial" w:hAnsi="Arial" w:cs="Arial"/>
          <w:sz w:val="20"/>
          <w:szCs w:val="20"/>
        </w:rPr>
        <w:t>ing</w:t>
      </w:r>
      <w:r w:rsidR="00424233">
        <w:rPr>
          <w:rFonts w:ascii="Arial" w:hAnsi="Arial" w:cs="Arial"/>
          <w:sz w:val="20"/>
          <w:szCs w:val="20"/>
        </w:rPr>
        <w:t xml:space="preserve"> the range of data that could be included in the analysis, thus reducing possible biases </w:t>
      </w:r>
      <w:sdt>
        <w:sdtPr>
          <w:rPr>
            <w:rFonts w:ascii="Arial" w:hAnsi="Arial" w:cs="Arial"/>
            <w:sz w:val="20"/>
            <w:szCs w:val="20"/>
          </w:rPr>
          <w:id w:val="351409424"/>
          <w:citation/>
        </w:sdtPr>
        <w:sdtEndPr/>
        <w:sdtContent>
          <w:r w:rsidR="00631B86">
            <w:rPr>
              <w:rFonts w:ascii="Arial" w:hAnsi="Arial" w:cs="Arial"/>
              <w:sz w:val="20"/>
              <w:szCs w:val="20"/>
            </w:rPr>
            <w:fldChar w:fldCharType="begin"/>
          </w:r>
          <w:r w:rsidR="00460175">
            <w:rPr>
              <w:rFonts w:ascii="Arial" w:hAnsi="Arial" w:cs="Arial"/>
              <w:sz w:val="20"/>
              <w:szCs w:val="20"/>
            </w:rPr>
            <w:instrText xml:space="preserve"> CITATION Kir12 \l 2057 </w:instrText>
          </w:r>
          <w:r w:rsidR="00631B86">
            <w:rPr>
              <w:rFonts w:ascii="Arial" w:hAnsi="Arial" w:cs="Arial"/>
              <w:sz w:val="20"/>
              <w:szCs w:val="20"/>
            </w:rPr>
            <w:fldChar w:fldCharType="separate"/>
          </w:r>
          <w:r w:rsidR="005F423A" w:rsidRPr="005F423A">
            <w:rPr>
              <w:rFonts w:ascii="Arial" w:hAnsi="Arial" w:cs="Arial"/>
              <w:noProof/>
              <w:sz w:val="20"/>
              <w:szCs w:val="20"/>
            </w:rPr>
            <w:t>(8)</w:t>
          </w:r>
          <w:r w:rsidR="00631B86">
            <w:rPr>
              <w:rFonts w:ascii="Arial" w:hAnsi="Arial" w:cs="Arial"/>
              <w:sz w:val="20"/>
              <w:szCs w:val="20"/>
            </w:rPr>
            <w:fldChar w:fldCharType="end"/>
          </w:r>
        </w:sdtContent>
      </w:sdt>
      <w:r w:rsidR="00424233">
        <w:rPr>
          <w:rFonts w:ascii="Arial" w:hAnsi="Arial" w:cs="Arial"/>
          <w:sz w:val="20"/>
          <w:szCs w:val="20"/>
        </w:rPr>
        <w:t xml:space="preserve"> and also led to a reduced</w:t>
      </w:r>
      <w:r w:rsidR="00180004">
        <w:rPr>
          <w:rFonts w:ascii="Arial" w:hAnsi="Arial" w:cs="Arial"/>
          <w:sz w:val="20"/>
          <w:szCs w:val="20"/>
        </w:rPr>
        <w:t xml:space="preserve"> uncertainty around the outcome</w:t>
      </w:r>
      <w:r w:rsidR="00424233">
        <w:rPr>
          <w:rFonts w:ascii="Arial" w:hAnsi="Arial" w:cs="Arial"/>
          <w:sz w:val="20"/>
          <w:szCs w:val="20"/>
        </w:rPr>
        <w:t xml:space="preserve"> of interest (HAQ in this case).</w:t>
      </w:r>
      <w:r w:rsidR="009B2FFA">
        <w:rPr>
          <w:rFonts w:ascii="Arial" w:hAnsi="Arial" w:cs="Arial"/>
          <w:sz w:val="20"/>
          <w:szCs w:val="20"/>
        </w:rPr>
        <w:t xml:space="preserve"> </w:t>
      </w:r>
      <w:r w:rsidR="004577B4" w:rsidRPr="008D4928">
        <w:rPr>
          <w:rFonts w:ascii="Arial" w:hAnsi="Arial" w:cs="Arial"/>
          <w:sz w:val="20"/>
          <w:szCs w:val="20"/>
        </w:rPr>
        <w:t xml:space="preserve">The aim of </w:t>
      </w:r>
      <w:r w:rsidR="00F62694">
        <w:rPr>
          <w:rFonts w:ascii="Arial" w:hAnsi="Arial" w:cs="Arial"/>
          <w:sz w:val="20"/>
          <w:szCs w:val="20"/>
        </w:rPr>
        <w:t>this</w:t>
      </w:r>
      <w:r w:rsidR="00F62694" w:rsidRPr="008D4928">
        <w:rPr>
          <w:rFonts w:ascii="Arial" w:hAnsi="Arial" w:cs="Arial"/>
          <w:sz w:val="20"/>
          <w:szCs w:val="20"/>
        </w:rPr>
        <w:t xml:space="preserve"> </w:t>
      </w:r>
      <w:r w:rsidR="004577B4" w:rsidRPr="008D4928">
        <w:rPr>
          <w:rFonts w:ascii="Arial" w:hAnsi="Arial" w:cs="Arial"/>
          <w:sz w:val="20"/>
          <w:szCs w:val="20"/>
        </w:rPr>
        <w:t xml:space="preserve">work was to </w:t>
      </w:r>
      <w:r w:rsidR="009B2FFA">
        <w:rPr>
          <w:rFonts w:ascii="Arial" w:hAnsi="Arial" w:cs="Arial"/>
          <w:sz w:val="20"/>
          <w:szCs w:val="20"/>
        </w:rPr>
        <w:t>apply such</w:t>
      </w:r>
      <w:r w:rsidR="004577B4" w:rsidRPr="008D4928">
        <w:rPr>
          <w:rFonts w:ascii="Arial" w:hAnsi="Arial" w:cs="Arial"/>
          <w:sz w:val="20"/>
          <w:szCs w:val="20"/>
        </w:rPr>
        <w:t xml:space="preserve"> multivariate meta-analytic framework which allow</w:t>
      </w:r>
      <w:r w:rsidR="009B2FFA">
        <w:rPr>
          <w:rFonts w:ascii="Arial" w:hAnsi="Arial" w:cs="Arial"/>
          <w:sz w:val="20"/>
          <w:szCs w:val="20"/>
        </w:rPr>
        <w:t>s</w:t>
      </w:r>
      <w:r w:rsidR="004577B4" w:rsidRPr="008D4928">
        <w:rPr>
          <w:rFonts w:ascii="Arial" w:hAnsi="Arial" w:cs="Arial"/>
          <w:sz w:val="20"/>
          <w:szCs w:val="20"/>
        </w:rPr>
        <w:t xml:space="preserve"> evidence to be combined from studies that are a mixture of those reporting the </w:t>
      </w:r>
      <w:r w:rsidR="0070068E">
        <w:rPr>
          <w:rFonts w:ascii="Arial" w:hAnsi="Arial" w:cs="Arial"/>
          <w:sz w:val="20"/>
          <w:szCs w:val="20"/>
        </w:rPr>
        <w:t>target</w:t>
      </w:r>
      <w:r w:rsidR="0070068E" w:rsidRPr="008D4928">
        <w:rPr>
          <w:rFonts w:ascii="Arial" w:hAnsi="Arial" w:cs="Arial"/>
          <w:sz w:val="20"/>
          <w:szCs w:val="20"/>
        </w:rPr>
        <w:t xml:space="preserve"> </w:t>
      </w:r>
      <w:r w:rsidR="008130BB">
        <w:rPr>
          <w:rFonts w:ascii="Arial" w:hAnsi="Arial" w:cs="Arial"/>
          <w:sz w:val="20"/>
          <w:szCs w:val="20"/>
        </w:rPr>
        <w:t xml:space="preserve">clinical </w:t>
      </w:r>
      <w:r w:rsidR="004577B4" w:rsidRPr="008D4928">
        <w:rPr>
          <w:rFonts w:ascii="Arial" w:hAnsi="Arial" w:cs="Arial"/>
          <w:sz w:val="20"/>
          <w:szCs w:val="20"/>
        </w:rPr>
        <w:t xml:space="preserve">outcome, an alternative </w:t>
      </w:r>
      <w:r w:rsidR="008130BB">
        <w:rPr>
          <w:rFonts w:ascii="Arial" w:hAnsi="Arial" w:cs="Arial"/>
          <w:sz w:val="20"/>
          <w:szCs w:val="20"/>
        </w:rPr>
        <w:t xml:space="preserve">clinical </w:t>
      </w:r>
      <w:r w:rsidR="004577B4" w:rsidRPr="008D4928">
        <w:rPr>
          <w:rFonts w:ascii="Arial" w:hAnsi="Arial" w:cs="Arial"/>
          <w:sz w:val="20"/>
          <w:szCs w:val="20"/>
        </w:rPr>
        <w:t>endpoint or both (rather than reducing the number of studies to those reporting the clinical outcome of interest or including the surrogate endpoint alone in the economic model)</w:t>
      </w:r>
      <w:r w:rsidR="008130BB">
        <w:rPr>
          <w:rFonts w:ascii="Arial" w:hAnsi="Arial" w:cs="Arial"/>
          <w:sz w:val="20"/>
          <w:szCs w:val="20"/>
        </w:rPr>
        <w:t xml:space="preserve"> to jointly estimate effect of treatment on HAQ</w:t>
      </w:r>
      <w:r w:rsidR="004577B4" w:rsidRPr="008D4928">
        <w:rPr>
          <w:rFonts w:ascii="Arial" w:hAnsi="Arial" w:cs="Arial"/>
          <w:sz w:val="20"/>
          <w:szCs w:val="20"/>
        </w:rPr>
        <w:t>. This is a flexible approach which permits the use of multiple outcomes</w:t>
      </w:r>
      <w:r w:rsidR="009B2FFA">
        <w:rPr>
          <w:rFonts w:ascii="Arial" w:hAnsi="Arial" w:cs="Arial"/>
          <w:sz w:val="20"/>
          <w:szCs w:val="20"/>
        </w:rPr>
        <w:t xml:space="preserve"> </w:t>
      </w:r>
      <w:r w:rsidR="004577B4" w:rsidRPr="008D4928">
        <w:rPr>
          <w:rFonts w:ascii="Arial" w:hAnsi="Arial" w:cs="Arial"/>
          <w:sz w:val="20"/>
          <w:szCs w:val="20"/>
        </w:rPr>
        <w:t xml:space="preserve">and </w:t>
      </w:r>
      <w:r w:rsidR="009B2FFA">
        <w:rPr>
          <w:rFonts w:ascii="Arial" w:hAnsi="Arial" w:cs="Arial"/>
          <w:sz w:val="20"/>
          <w:szCs w:val="20"/>
        </w:rPr>
        <w:t>hence</w:t>
      </w:r>
      <w:r w:rsidR="004577B4" w:rsidRPr="008D4928">
        <w:rPr>
          <w:rFonts w:ascii="Arial" w:hAnsi="Arial" w:cs="Arial"/>
          <w:sz w:val="20"/>
          <w:szCs w:val="20"/>
        </w:rPr>
        <w:t xml:space="preserve"> prevent</w:t>
      </w:r>
      <w:r w:rsidR="009B2FFA">
        <w:rPr>
          <w:rFonts w:ascii="Arial" w:hAnsi="Arial" w:cs="Arial"/>
          <w:sz w:val="20"/>
          <w:szCs w:val="20"/>
        </w:rPr>
        <w:t>s</w:t>
      </w:r>
      <w:r w:rsidR="004577B4" w:rsidRPr="008D4928">
        <w:rPr>
          <w:rFonts w:ascii="Arial" w:hAnsi="Arial" w:cs="Arial"/>
          <w:sz w:val="20"/>
          <w:szCs w:val="20"/>
        </w:rPr>
        <w:t xml:space="preserve"> valuable data from clinical trials from being discarded and potentially </w:t>
      </w:r>
      <w:r w:rsidR="00063D8C">
        <w:rPr>
          <w:rFonts w:ascii="Arial" w:hAnsi="Arial" w:cs="Arial"/>
          <w:sz w:val="20"/>
          <w:szCs w:val="20"/>
        </w:rPr>
        <w:t xml:space="preserve">can </w:t>
      </w:r>
      <w:r w:rsidR="004577B4" w:rsidRPr="008D4928">
        <w:rPr>
          <w:rFonts w:ascii="Arial" w:hAnsi="Arial" w:cs="Arial"/>
          <w:sz w:val="20"/>
          <w:szCs w:val="20"/>
        </w:rPr>
        <w:t>lead to reduced uncertainty around the clinical outcome of interest.</w:t>
      </w:r>
    </w:p>
    <w:p w:rsidR="004577B4" w:rsidRPr="008D4928" w:rsidRDefault="004577B4" w:rsidP="00AA3405">
      <w:pPr>
        <w:pStyle w:val="PlainText"/>
        <w:spacing w:line="480" w:lineRule="auto"/>
        <w:jc w:val="both"/>
        <w:rPr>
          <w:rFonts w:ascii="Arial" w:hAnsi="Arial" w:cs="Arial"/>
          <w:sz w:val="20"/>
          <w:szCs w:val="20"/>
        </w:rPr>
      </w:pPr>
    </w:p>
    <w:p w:rsidR="0003219D" w:rsidRDefault="003A6918" w:rsidP="0003219D">
      <w:pPr>
        <w:pStyle w:val="PlainText"/>
        <w:spacing w:line="480" w:lineRule="auto"/>
        <w:jc w:val="both"/>
        <w:rPr>
          <w:rFonts w:ascii="Arial" w:hAnsi="Arial" w:cs="Arial"/>
          <w:sz w:val="20"/>
          <w:szCs w:val="20"/>
        </w:rPr>
      </w:pPr>
      <w:r w:rsidDel="00CA17B3">
        <w:rPr>
          <w:rFonts w:ascii="Arial" w:hAnsi="Arial" w:cs="Arial"/>
          <w:sz w:val="20"/>
          <w:szCs w:val="20"/>
        </w:rPr>
        <w:t xml:space="preserve"> </w:t>
      </w:r>
      <w:r w:rsidR="00F62694">
        <w:rPr>
          <w:rFonts w:ascii="Arial" w:hAnsi="Arial" w:cs="Arial"/>
          <w:sz w:val="20"/>
          <w:szCs w:val="20"/>
        </w:rPr>
        <w:t>C</w:t>
      </w:r>
      <w:r w:rsidR="0003219D" w:rsidRPr="008D4928">
        <w:rPr>
          <w:rFonts w:ascii="Arial" w:hAnsi="Arial" w:cs="Arial"/>
          <w:sz w:val="20"/>
          <w:szCs w:val="20"/>
        </w:rPr>
        <w:t xml:space="preserve">linical effectiveness outcomes are </w:t>
      </w:r>
      <w:r w:rsidR="0003219D">
        <w:rPr>
          <w:rFonts w:ascii="Arial" w:hAnsi="Arial" w:cs="Arial"/>
          <w:sz w:val="20"/>
          <w:szCs w:val="20"/>
        </w:rPr>
        <w:t xml:space="preserve">often </w:t>
      </w:r>
      <w:r w:rsidR="0003219D" w:rsidRPr="008D4928">
        <w:rPr>
          <w:rFonts w:ascii="Arial" w:hAnsi="Arial" w:cs="Arial"/>
          <w:sz w:val="20"/>
          <w:szCs w:val="20"/>
        </w:rPr>
        <w:t xml:space="preserve">used to derive </w:t>
      </w:r>
      <w:r w:rsidR="0003219D">
        <w:rPr>
          <w:rFonts w:ascii="Arial" w:hAnsi="Arial" w:cs="Arial"/>
          <w:sz w:val="20"/>
          <w:szCs w:val="20"/>
        </w:rPr>
        <w:t>health-related quality of life</w:t>
      </w:r>
      <w:r w:rsidR="0003219D" w:rsidRPr="008D4928">
        <w:rPr>
          <w:rFonts w:ascii="Arial" w:hAnsi="Arial" w:cs="Arial"/>
          <w:sz w:val="20"/>
          <w:szCs w:val="20"/>
        </w:rPr>
        <w:t xml:space="preserve"> or utility estimates, as part of the economic evaluation of the new </w:t>
      </w:r>
      <w:r w:rsidR="0003219D">
        <w:rPr>
          <w:rFonts w:ascii="Arial" w:hAnsi="Arial" w:cs="Arial"/>
          <w:sz w:val="20"/>
          <w:szCs w:val="20"/>
        </w:rPr>
        <w:t>health</w:t>
      </w:r>
      <w:r w:rsidR="0003219D" w:rsidRPr="008D4928">
        <w:rPr>
          <w:rFonts w:ascii="Arial" w:hAnsi="Arial" w:cs="Arial"/>
          <w:sz w:val="20"/>
          <w:szCs w:val="20"/>
        </w:rPr>
        <w:t xml:space="preserve"> technologies. </w:t>
      </w:r>
      <w:r w:rsidR="0003219D">
        <w:rPr>
          <w:rFonts w:ascii="Arial" w:hAnsi="Arial" w:cs="Arial"/>
          <w:sz w:val="20"/>
          <w:szCs w:val="20"/>
        </w:rPr>
        <w:t xml:space="preserve">Increasingly, mapping methods are being developed to predict health state utility values from preference-based measures, such as </w:t>
      </w:r>
      <w:proofErr w:type="spellStart"/>
      <w:r w:rsidR="00E44273">
        <w:rPr>
          <w:rFonts w:ascii="Arial" w:hAnsi="Arial" w:cs="Arial"/>
          <w:sz w:val="20"/>
          <w:szCs w:val="20"/>
        </w:rPr>
        <w:t>EuroQoL</w:t>
      </w:r>
      <w:proofErr w:type="spellEnd"/>
      <w:r w:rsidR="00E44273">
        <w:rPr>
          <w:rFonts w:ascii="Arial" w:hAnsi="Arial" w:cs="Arial"/>
          <w:sz w:val="20"/>
          <w:szCs w:val="20"/>
        </w:rPr>
        <w:t xml:space="preserve"> (</w:t>
      </w:r>
      <w:r w:rsidR="0003219D">
        <w:rPr>
          <w:rFonts w:ascii="Arial" w:hAnsi="Arial" w:cs="Arial"/>
          <w:sz w:val="20"/>
          <w:szCs w:val="20"/>
        </w:rPr>
        <w:t>EQ-5D</w:t>
      </w:r>
      <w:proofErr w:type="gramStart"/>
      <w:r w:rsidR="00E44273">
        <w:rPr>
          <w:rFonts w:ascii="Arial" w:hAnsi="Arial" w:cs="Arial"/>
          <w:sz w:val="20"/>
          <w:szCs w:val="20"/>
        </w:rPr>
        <w:t xml:space="preserve">) </w:t>
      </w:r>
      <w:r w:rsidR="0003219D">
        <w:rPr>
          <w:rFonts w:ascii="Arial" w:hAnsi="Arial" w:cs="Arial"/>
          <w:sz w:val="20"/>
          <w:szCs w:val="20"/>
        </w:rPr>
        <w:t xml:space="preserve"> values</w:t>
      </w:r>
      <w:proofErr w:type="gramEnd"/>
      <w:r w:rsidR="0003219D">
        <w:rPr>
          <w:rFonts w:ascii="Arial" w:hAnsi="Arial" w:cs="Arial"/>
          <w:sz w:val="20"/>
          <w:szCs w:val="20"/>
        </w:rPr>
        <w:t xml:space="preserve">, using disease-specific outcomes. </w:t>
      </w:r>
      <w:r w:rsidR="0070068E">
        <w:rPr>
          <w:rFonts w:ascii="Arial" w:hAnsi="Arial" w:cs="Arial"/>
          <w:sz w:val="20"/>
          <w:szCs w:val="20"/>
        </w:rPr>
        <w:t>For e</w:t>
      </w:r>
      <w:r w:rsidR="008A34A7" w:rsidRPr="0070068E">
        <w:rPr>
          <w:rFonts w:ascii="Arial" w:hAnsi="Arial" w:cs="Arial"/>
          <w:sz w:val="20"/>
          <w:szCs w:val="20"/>
        </w:rPr>
        <w:t>xample</w:t>
      </w:r>
      <w:r w:rsidR="00C8553E">
        <w:rPr>
          <w:rFonts w:ascii="Arial" w:hAnsi="Arial" w:cs="Arial"/>
          <w:sz w:val="20"/>
          <w:szCs w:val="20"/>
        </w:rPr>
        <w:t>,</w:t>
      </w:r>
      <w:r w:rsidR="008A34A7" w:rsidRPr="0070068E">
        <w:rPr>
          <w:rFonts w:ascii="Arial" w:hAnsi="Arial" w:cs="Arial"/>
          <w:sz w:val="20"/>
          <w:szCs w:val="20"/>
        </w:rPr>
        <w:t xml:space="preserve"> mapping </w:t>
      </w:r>
      <w:r w:rsidR="00C8553E">
        <w:rPr>
          <w:rFonts w:ascii="Arial" w:hAnsi="Arial" w:cs="Arial"/>
          <w:sz w:val="20"/>
          <w:szCs w:val="20"/>
        </w:rPr>
        <w:t>methods have been applied</w:t>
      </w:r>
      <w:r w:rsidR="008A34A7" w:rsidRPr="0070068E">
        <w:rPr>
          <w:rFonts w:ascii="Arial" w:hAnsi="Arial" w:cs="Arial"/>
          <w:sz w:val="20"/>
          <w:szCs w:val="20"/>
        </w:rPr>
        <w:t xml:space="preserve"> </w:t>
      </w:r>
      <w:r w:rsidR="00C8553E">
        <w:rPr>
          <w:rFonts w:ascii="Arial" w:hAnsi="Arial" w:cs="Arial"/>
          <w:sz w:val="20"/>
          <w:szCs w:val="20"/>
        </w:rPr>
        <w:t xml:space="preserve">to </w:t>
      </w:r>
      <w:r w:rsidR="008A34A7" w:rsidRPr="0070068E">
        <w:rPr>
          <w:rFonts w:ascii="Arial" w:hAnsi="Arial" w:cs="Arial"/>
          <w:sz w:val="20"/>
          <w:szCs w:val="20"/>
        </w:rPr>
        <w:t>predict EQ-5D</w:t>
      </w:r>
      <w:r w:rsidR="00C8553E">
        <w:rPr>
          <w:rFonts w:ascii="Arial" w:hAnsi="Arial" w:cs="Arial"/>
          <w:sz w:val="20"/>
          <w:szCs w:val="20"/>
        </w:rPr>
        <w:t xml:space="preserve"> values</w:t>
      </w:r>
      <w:r w:rsidR="008A34A7" w:rsidRPr="0070068E">
        <w:rPr>
          <w:rFonts w:ascii="Arial" w:hAnsi="Arial" w:cs="Arial"/>
          <w:sz w:val="20"/>
          <w:szCs w:val="20"/>
        </w:rPr>
        <w:t xml:space="preserve"> from </w:t>
      </w:r>
      <w:r w:rsidR="00C8553E">
        <w:rPr>
          <w:rFonts w:ascii="Arial" w:hAnsi="Arial" w:cs="Arial"/>
          <w:sz w:val="20"/>
          <w:szCs w:val="20"/>
        </w:rPr>
        <w:t xml:space="preserve">(i) </w:t>
      </w:r>
      <w:r w:rsidR="008A34A7" w:rsidRPr="0070068E">
        <w:rPr>
          <w:rFonts w:ascii="Arial" w:hAnsi="Arial" w:cs="Arial"/>
          <w:sz w:val="20"/>
          <w:szCs w:val="20"/>
        </w:rPr>
        <w:t xml:space="preserve">the St. George’s Respiratory Questionnaire in patients with chronic obstructive pulmonary disease </w:t>
      </w:r>
      <w:sdt>
        <w:sdtPr>
          <w:rPr>
            <w:rFonts w:ascii="Arial" w:hAnsi="Arial" w:cs="Arial"/>
            <w:sz w:val="20"/>
            <w:szCs w:val="20"/>
          </w:rPr>
          <w:id w:val="2095237876"/>
          <w:citation/>
        </w:sdtPr>
        <w:sdtEndPr/>
        <w:sdtContent>
          <w:r w:rsidR="00631B86" w:rsidRPr="0070068E">
            <w:rPr>
              <w:rFonts w:ascii="Arial" w:hAnsi="Arial" w:cs="Arial"/>
              <w:sz w:val="20"/>
              <w:szCs w:val="20"/>
            </w:rPr>
            <w:fldChar w:fldCharType="begin"/>
          </w:r>
          <w:r w:rsidR="00631B86">
            <w:rPr>
              <w:rFonts w:ascii="Arial" w:hAnsi="Arial" w:cs="Arial"/>
              <w:sz w:val="20"/>
              <w:szCs w:val="20"/>
            </w:rPr>
            <w:instrText xml:space="preserve"> CITATION Sta11 \l 2057 </w:instrText>
          </w:r>
          <w:r w:rsidR="00631B86" w:rsidRPr="00921FC6">
            <w:rPr>
              <w:rFonts w:ascii="Arial" w:hAnsi="Arial" w:cs="Arial"/>
              <w:sz w:val="20"/>
              <w:szCs w:val="20"/>
            </w:rPr>
            <w:fldChar w:fldCharType="separate"/>
          </w:r>
          <w:r w:rsidR="00631B86">
            <w:rPr>
              <w:rFonts w:ascii="Arial" w:hAnsi="Arial" w:cs="Arial"/>
              <w:noProof/>
              <w:sz w:val="20"/>
              <w:szCs w:val="20"/>
            </w:rPr>
            <w:t>(1)</w:t>
          </w:r>
          <w:r w:rsidR="00631B86" w:rsidRPr="0070068E">
            <w:rPr>
              <w:rFonts w:ascii="Arial" w:hAnsi="Arial" w:cs="Arial"/>
              <w:sz w:val="20"/>
              <w:szCs w:val="20"/>
            </w:rPr>
            <w:fldChar w:fldCharType="end"/>
          </w:r>
        </w:sdtContent>
      </w:sdt>
      <w:r w:rsidR="008A34A7" w:rsidRPr="0070068E">
        <w:rPr>
          <w:rFonts w:ascii="Arial" w:hAnsi="Arial" w:cs="Arial"/>
          <w:sz w:val="20"/>
          <w:szCs w:val="20"/>
        </w:rPr>
        <w:t xml:space="preserve">, </w:t>
      </w:r>
      <w:r w:rsidR="00C8553E">
        <w:rPr>
          <w:rFonts w:ascii="Arial" w:hAnsi="Arial" w:cs="Arial"/>
          <w:sz w:val="20"/>
          <w:szCs w:val="20"/>
        </w:rPr>
        <w:t xml:space="preserve">(ii) </w:t>
      </w:r>
      <w:r w:rsidR="008A34A7" w:rsidRPr="0070068E">
        <w:rPr>
          <w:rFonts w:ascii="Arial" w:hAnsi="Arial" w:cs="Arial"/>
          <w:sz w:val="20"/>
          <w:szCs w:val="20"/>
        </w:rPr>
        <w:t xml:space="preserve">functional assessment of cancer therapy-melanoma </w:t>
      </w:r>
      <w:sdt>
        <w:sdtPr>
          <w:rPr>
            <w:rFonts w:ascii="Arial" w:hAnsi="Arial" w:cs="Arial"/>
            <w:sz w:val="20"/>
            <w:szCs w:val="20"/>
          </w:rPr>
          <w:id w:val="2095237877"/>
          <w:citation/>
        </w:sdtPr>
        <w:sdtEndPr/>
        <w:sdtContent>
          <w:r w:rsidR="00631B86" w:rsidRPr="0070068E">
            <w:rPr>
              <w:rFonts w:ascii="Arial" w:hAnsi="Arial" w:cs="Arial"/>
              <w:sz w:val="20"/>
              <w:szCs w:val="20"/>
            </w:rPr>
            <w:fldChar w:fldCharType="begin"/>
          </w:r>
          <w:r w:rsidR="00631B86">
            <w:rPr>
              <w:rFonts w:ascii="Arial" w:hAnsi="Arial" w:cs="Arial"/>
              <w:sz w:val="20"/>
              <w:szCs w:val="20"/>
            </w:rPr>
            <w:instrText xml:space="preserve"> CITATION Ask11 \l 2057 </w:instrText>
          </w:r>
          <w:r w:rsidR="00631B86" w:rsidRPr="00921FC6">
            <w:rPr>
              <w:rFonts w:ascii="Arial" w:hAnsi="Arial" w:cs="Arial"/>
              <w:sz w:val="20"/>
              <w:szCs w:val="20"/>
            </w:rPr>
            <w:fldChar w:fldCharType="separate"/>
          </w:r>
          <w:r w:rsidR="00631B86">
            <w:rPr>
              <w:rFonts w:ascii="Arial" w:hAnsi="Arial" w:cs="Arial"/>
              <w:noProof/>
              <w:sz w:val="20"/>
              <w:szCs w:val="20"/>
            </w:rPr>
            <w:t>(2)</w:t>
          </w:r>
          <w:r w:rsidR="00631B86" w:rsidRPr="0070068E">
            <w:rPr>
              <w:rFonts w:ascii="Arial" w:hAnsi="Arial" w:cs="Arial"/>
              <w:sz w:val="20"/>
              <w:szCs w:val="20"/>
            </w:rPr>
            <w:fldChar w:fldCharType="end"/>
          </w:r>
        </w:sdtContent>
      </w:sdt>
      <w:r w:rsidR="008A34A7" w:rsidRPr="0070068E">
        <w:rPr>
          <w:rFonts w:ascii="Arial" w:hAnsi="Arial" w:cs="Arial"/>
          <w:sz w:val="20"/>
          <w:szCs w:val="20"/>
        </w:rPr>
        <w:t xml:space="preserve">, </w:t>
      </w:r>
      <w:r w:rsidR="00C8553E">
        <w:rPr>
          <w:rFonts w:ascii="Arial" w:hAnsi="Arial" w:cs="Arial"/>
          <w:sz w:val="20"/>
          <w:szCs w:val="20"/>
        </w:rPr>
        <w:t xml:space="preserve">(iii) </w:t>
      </w:r>
      <w:r w:rsidR="008A34A7" w:rsidRPr="0070068E">
        <w:rPr>
          <w:rFonts w:ascii="Arial" w:hAnsi="Arial" w:cs="Arial"/>
          <w:sz w:val="20"/>
          <w:szCs w:val="20"/>
        </w:rPr>
        <w:t xml:space="preserve">disease-specific quality-of-life scores in patients with migraine </w:t>
      </w:r>
      <w:sdt>
        <w:sdtPr>
          <w:rPr>
            <w:rFonts w:ascii="Arial" w:hAnsi="Arial" w:cs="Arial"/>
            <w:sz w:val="20"/>
            <w:szCs w:val="20"/>
          </w:rPr>
          <w:id w:val="2095237878"/>
          <w:citation/>
        </w:sdtPr>
        <w:sdtEndPr/>
        <w:sdtContent>
          <w:r w:rsidR="00631B86" w:rsidRPr="0070068E">
            <w:rPr>
              <w:rFonts w:ascii="Arial" w:hAnsi="Arial" w:cs="Arial"/>
              <w:sz w:val="20"/>
              <w:szCs w:val="20"/>
            </w:rPr>
            <w:fldChar w:fldCharType="begin"/>
          </w:r>
          <w:r w:rsidR="00631B86">
            <w:rPr>
              <w:rFonts w:ascii="Arial" w:hAnsi="Arial" w:cs="Arial"/>
              <w:sz w:val="20"/>
              <w:szCs w:val="20"/>
            </w:rPr>
            <w:instrText xml:space="preserve"> CITATION Gil12 \l 2057 </w:instrText>
          </w:r>
          <w:r w:rsidR="00631B86" w:rsidRPr="00921FC6">
            <w:rPr>
              <w:rFonts w:ascii="Arial" w:hAnsi="Arial" w:cs="Arial"/>
              <w:sz w:val="20"/>
              <w:szCs w:val="20"/>
            </w:rPr>
            <w:fldChar w:fldCharType="separate"/>
          </w:r>
          <w:r w:rsidR="00631B86">
            <w:rPr>
              <w:rFonts w:ascii="Arial" w:hAnsi="Arial" w:cs="Arial"/>
              <w:noProof/>
              <w:sz w:val="20"/>
              <w:szCs w:val="20"/>
            </w:rPr>
            <w:t>(3)</w:t>
          </w:r>
          <w:r w:rsidR="00631B86" w:rsidRPr="0070068E">
            <w:rPr>
              <w:rFonts w:ascii="Arial" w:hAnsi="Arial" w:cs="Arial"/>
              <w:sz w:val="20"/>
              <w:szCs w:val="20"/>
            </w:rPr>
            <w:fldChar w:fldCharType="end"/>
          </w:r>
        </w:sdtContent>
      </w:sdt>
      <w:r w:rsidR="008A34A7" w:rsidRPr="0070068E">
        <w:rPr>
          <w:rFonts w:ascii="Arial" w:hAnsi="Arial" w:cs="Arial"/>
          <w:sz w:val="20"/>
          <w:szCs w:val="20"/>
        </w:rPr>
        <w:t xml:space="preserve">, </w:t>
      </w:r>
      <w:r w:rsidR="00C8553E">
        <w:rPr>
          <w:rFonts w:ascii="Arial" w:hAnsi="Arial" w:cs="Arial"/>
          <w:sz w:val="20"/>
          <w:szCs w:val="20"/>
        </w:rPr>
        <w:t xml:space="preserve">(iv) </w:t>
      </w:r>
      <w:r w:rsidR="008A34A7" w:rsidRPr="0070068E">
        <w:rPr>
          <w:rFonts w:ascii="Arial" w:hAnsi="Arial" w:cs="Arial"/>
          <w:sz w:val="20"/>
          <w:szCs w:val="20"/>
        </w:rPr>
        <w:t xml:space="preserve">the Western Ontario and McMaster Universities Osteoarthritis Index in patients with knee osteoarthritis </w:t>
      </w:r>
      <w:sdt>
        <w:sdtPr>
          <w:rPr>
            <w:rFonts w:ascii="Arial" w:hAnsi="Arial" w:cs="Arial"/>
            <w:sz w:val="20"/>
            <w:szCs w:val="20"/>
          </w:rPr>
          <w:id w:val="2095237879"/>
          <w:citation/>
        </w:sdtPr>
        <w:sdtEndPr/>
        <w:sdtContent>
          <w:r w:rsidR="00631B86" w:rsidRPr="0070068E">
            <w:rPr>
              <w:rFonts w:ascii="Arial" w:hAnsi="Arial" w:cs="Arial"/>
              <w:sz w:val="20"/>
              <w:szCs w:val="20"/>
            </w:rPr>
            <w:fldChar w:fldCharType="begin"/>
          </w:r>
          <w:r w:rsidR="00631B86">
            <w:rPr>
              <w:rFonts w:ascii="Arial" w:hAnsi="Arial" w:cs="Arial"/>
              <w:sz w:val="20"/>
              <w:szCs w:val="20"/>
            </w:rPr>
            <w:instrText xml:space="preserve"> CITATION Xie10 \l 2057 </w:instrText>
          </w:r>
          <w:r w:rsidR="00631B86" w:rsidRPr="00921FC6">
            <w:rPr>
              <w:rFonts w:ascii="Arial" w:hAnsi="Arial" w:cs="Arial"/>
              <w:sz w:val="20"/>
              <w:szCs w:val="20"/>
            </w:rPr>
            <w:fldChar w:fldCharType="separate"/>
          </w:r>
          <w:r w:rsidR="00631B86">
            <w:rPr>
              <w:rFonts w:ascii="Arial" w:hAnsi="Arial" w:cs="Arial"/>
              <w:noProof/>
              <w:sz w:val="20"/>
              <w:szCs w:val="20"/>
            </w:rPr>
            <w:t>(4)</w:t>
          </w:r>
          <w:r w:rsidR="00631B86" w:rsidRPr="0070068E">
            <w:rPr>
              <w:rFonts w:ascii="Arial" w:hAnsi="Arial" w:cs="Arial"/>
              <w:sz w:val="20"/>
              <w:szCs w:val="20"/>
            </w:rPr>
            <w:fldChar w:fldCharType="end"/>
          </w:r>
        </w:sdtContent>
      </w:sdt>
      <w:r w:rsidR="008A34A7" w:rsidRPr="0070068E">
        <w:rPr>
          <w:rFonts w:ascii="Arial" w:hAnsi="Arial" w:cs="Arial"/>
          <w:sz w:val="20"/>
          <w:szCs w:val="20"/>
        </w:rPr>
        <w:t xml:space="preserve"> and</w:t>
      </w:r>
      <w:r w:rsidR="00C8553E">
        <w:rPr>
          <w:rFonts w:ascii="Arial" w:hAnsi="Arial" w:cs="Arial"/>
          <w:sz w:val="20"/>
          <w:szCs w:val="20"/>
        </w:rPr>
        <w:t>,</w:t>
      </w:r>
      <w:r w:rsidR="008A34A7" w:rsidRPr="0070068E">
        <w:rPr>
          <w:rFonts w:ascii="Arial" w:hAnsi="Arial" w:cs="Arial"/>
          <w:sz w:val="20"/>
          <w:szCs w:val="20"/>
        </w:rPr>
        <w:t xml:space="preserve"> finally</w:t>
      </w:r>
      <w:r w:rsidR="00C8553E">
        <w:rPr>
          <w:rFonts w:ascii="Arial" w:hAnsi="Arial" w:cs="Arial"/>
          <w:sz w:val="20"/>
          <w:szCs w:val="20"/>
        </w:rPr>
        <w:t>,</w:t>
      </w:r>
      <w:r w:rsidR="008A34A7" w:rsidRPr="0070068E">
        <w:rPr>
          <w:rFonts w:ascii="Arial" w:hAnsi="Arial" w:cs="Arial"/>
          <w:sz w:val="20"/>
          <w:szCs w:val="20"/>
        </w:rPr>
        <w:t xml:space="preserve"> </w:t>
      </w:r>
      <w:r w:rsidR="00C8553E">
        <w:rPr>
          <w:rFonts w:ascii="Arial" w:hAnsi="Arial" w:cs="Arial"/>
          <w:sz w:val="20"/>
          <w:szCs w:val="20"/>
        </w:rPr>
        <w:t xml:space="preserve">(v) </w:t>
      </w:r>
      <w:r w:rsidR="008A34A7" w:rsidRPr="0070068E">
        <w:rPr>
          <w:rFonts w:ascii="Arial" w:hAnsi="Arial" w:cs="Arial"/>
          <w:sz w:val="20"/>
          <w:szCs w:val="20"/>
        </w:rPr>
        <w:t xml:space="preserve">using HAQ in rheumatoid arthritis (RA) </w:t>
      </w:r>
      <w:sdt>
        <w:sdtPr>
          <w:rPr>
            <w:rFonts w:ascii="Arial" w:hAnsi="Arial" w:cs="Arial"/>
            <w:sz w:val="20"/>
            <w:szCs w:val="20"/>
          </w:rPr>
          <w:id w:val="2095237880"/>
          <w:citation/>
        </w:sdtPr>
        <w:sdtEndPr/>
        <w:sdtContent>
          <w:r w:rsidR="00631B86" w:rsidRPr="0070068E">
            <w:rPr>
              <w:rFonts w:ascii="Arial" w:hAnsi="Arial" w:cs="Arial"/>
              <w:sz w:val="20"/>
              <w:szCs w:val="20"/>
            </w:rPr>
            <w:fldChar w:fldCharType="begin"/>
          </w:r>
          <w:r w:rsidR="00631B86">
            <w:rPr>
              <w:rFonts w:ascii="Arial" w:hAnsi="Arial" w:cs="Arial"/>
              <w:sz w:val="20"/>
              <w:szCs w:val="20"/>
            </w:rPr>
            <w:instrText xml:space="preserve"> CITATION Ban05 \l 2057  \m 6Ha</w:instrText>
          </w:r>
          <w:r w:rsidR="00631B86" w:rsidRPr="00921FC6">
            <w:rPr>
              <w:rFonts w:ascii="Arial" w:hAnsi="Arial" w:cs="Arial"/>
              <w:sz w:val="20"/>
              <w:szCs w:val="20"/>
            </w:rPr>
            <w:fldChar w:fldCharType="separate"/>
          </w:r>
          <w:r w:rsidR="00631B86">
            <w:rPr>
              <w:rFonts w:ascii="Arial" w:hAnsi="Arial" w:cs="Arial"/>
              <w:noProof/>
              <w:sz w:val="20"/>
              <w:szCs w:val="20"/>
            </w:rPr>
            <w:t>(5; 6)</w:t>
          </w:r>
          <w:r w:rsidR="00631B86" w:rsidRPr="0070068E">
            <w:rPr>
              <w:rFonts w:ascii="Arial" w:hAnsi="Arial" w:cs="Arial"/>
              <w:sz w:val="20"/>
              <w:szCs w:val="20"/>
            </w:rPr>
            <w:fldChar w:fldCharType="end"/>
          </w:r>
        </w:sdtContent>
      </w:sdt>
      <w:r w:rsidR="008A34A7" w:rsidRPr="0070068E">
        <w:rPr>
          <w:rFonts w:ascii="Arial" w:hAnsi="Arial" w:cs="Arial"/>
          <w:sz w:val="20"/>
          <w:szCs w:val="20"/>
        </w:rPr>
        <w:t>.</w:t>
      </w:r>
      <w:r w:rsidR="0003219D">
        <w:rPr>
          <w:rFonts w:ascii="Arial" w:hAnsi="Arial" w:cs="Arial"/>
          <w:sz w:val="20"/>
          <w:szCs w:val="20"/>
        </w:rPr>
        <w:t xml:space="preserve"> </w:t>
      </w:r>
      <w:r w:rsidR="00F62694">
        <w:rPr>
          <w:rFonts w:ascii="Arial" w:hAnsi="Arial" w:cs="Arial"/>
          <w:sz w:val="20"/>
          <w:szCs w:val="20"/>
        </w:rPr>
        <w:t>In this article we explore how reducing uncertainty around the target clinical outcome, in this case HAQ, by the use of multivariate meta-analysis can ultimately lead to better estimation of health utility such as EQ-5D obtained by a mapping technique.</w:t>
      </w:r>
    </w:p>
    <w:p w:rsidR="007C4151" w:rsidRDefault="007C4151" w:rsidP="00AA3405">
      <w:pPr>
        <w:pStyle w:val="PlainText"/>
        <w:spacing w:line="480" w:lineRule="auto"/>
        <w:jc w:val="both"/>
        <w:rPr>
          <w:rFonts w:ascii="Arial" w:hAnsi="Arial" w:cs="Arial"/>
          <w:sz w:val="20"/>
          <w:szCs w:val="20"/>
        </w:rPr>
      </w:pPr>
    </w:p>
    <w:p w:rsidR="00AA6FC0" w:rsidRDefault="00AA6FC0" w:rsidP="00AA3405">
      <w:pPr>
        <w:pStyle w:val="PlainText"/>
        <w:spacing w:line="480" w:lineRule="auto"/>
        <w:jc w:val="both"/>
        <w:rPr>
          <w:rFonts w:ascii="Arial" w:hAnsi="Arial" w:cs="Arial"/>
          <w:b/>
          <w:sz w:val="20"/>
          <w:szCs w:val="20"/>
        </w:rPr>
      </w:pPr>
    </w:p>
    <w:p w:rsidR="00306F08" w:rsidRDefault="00306F08" w:rsidP="00AA3405">
      <w:pPr>
        <w:pStyle w:val="PlainText"/>
        <w:spacing w:line="480" w:lineRule="auto"/>
        <w:jc w:val="both"/>
        <w:rPr>
          <w:rFonts w:ascii="Arial" w:hAnsi="Arial" w:cs="Arial"/>
          <w:b/>
          <w:sz w:val="20"/>
          <w:szCs w:val="20"/>
        </w:rPr>
      </w:pPr>
      <w:r w:rsidRPr="0013791A">
        <w:rPr>
          <w:rFonts w:ascii="Arial" w:hAnsi="Arial" w:cs="Arial"/>
          <w:b/>
          <w:sz w:val="20"/>
          <w:szCs w:val="20"/>
        </w:rPr>
        <w:t>M</w:t>
      </w:r>
      <w:r w:rsidR="00FB6AB0" w:rsidRPr="0013791A">
        <w:rPr>
          <w:rFonts w:ascii="Arial" w:hAnsi="Arial" w:cs="Arial"/>
          <w:b/>
          <w:sz w:val="20"/>
          <w:szCs w:val="20"/>
        </w:rPr>
        <w:t>ethods</w:t>
      </w:r>
    </w:p>
    <w:p w:rsidR="000A2E38" w:rsidRPr="0013791A" w:rsidRDefault="000A2E38" w:rsidP="00AA3405">
      <w:pPr>
        <w:pStyle w:val="PlainText"/>
        <w:spacing w:line="480" w:lineRule="auto"/>
        <w:jc w:val="both"/>
        <w:rPr>
          <w:rFonts w:ascii="Arial" w:hAnsi="Arial" w:cs="Arial"/>
          <w:b/>
          <w:sz w:val="20"/>
          <w:szCs w:val="20"/>
        </w:rPr>
      </w:pPr>
    </w:p>
    <w:p w:rsidR="004577B4" w:rsidRDefault="0012697E" w:rsidP="00AA3405">
      <w:pPr>
        <w:pStyle w:val="PlainText"/>
        <w:spacing w:line="480" w:lineRule="auto"/>
        <w:jc w:val="both"/>
        <w:rPr>
          <w:rFonts w:ascii="Arial" w:hAnsi="Arial" w:cs="Arial"/>
          <w:i/>
          <w:sz w:val="20"/>
          <w:szCs w:val="20"/>
        </w:rPr>
      </w:pPr>
      <w:r>
        <w:rPr>
          <w:rFonts w:ascii="Arial" w:hAnsi="Arial" w:cs="Arial"/>
          <w:i/>
          <w:sz w:val="20"/>
          <w:szCs w:val="20"/>
        </w:rPr>
        <w:t>Sources of evidence</w:t>
      </w:r>
    </w:p>
    <w:p w:rsidR="000A2E38" w:rsidRPr="008D4928" w:rsidRDefault="000A2E38" w:rsidP="00AA3405">
      <w:pPr>
        <w:pStyle w:val="PlainText"/>
        <w:spacing w:line="480" w:lineRule="auto"/>
        <w:jc w:val="both"/>
        <w:rPr>
          <w:rFonts w:ascii="Arial" w:hAnsi="Arial" w:cs="Arial"/>
          <w:i/>
          <w:sz w:val="20"/>
          <w:szCs w:val="20"/>
        </w:rPr>
      </w:pPr>
    </w:p>
    <w:p w:rsidR="004577B4" w:rsidRDefault="004577B4" w:rsidP="00AA3405">
      <w:pPr>
        <w:pStyle w:val="PlainText"/>
        <w:spacing w:line="480" w:lineRule="auto"/>
        <w:jc w:val="both"/>
        <w:rPr>
          <w:rFonts w:ascii="Arial" w:hAnsi="Arial" w:cs="Arial"/>
          <w:sz w:val="20"/>
          <w:szCs w:val="20"/>
        </w:rPr>
      </w:pPr>
      <w:r w:rsidRPr="008D4928">
        <w:rPr>
          <w:rFonts w:ascii="Arial" w:hAnsi="Arial" w:cs="Arial"/>
          <w:sz w:val="20"/>
          <w:szCs w:val="20"/>
        </w:rPr>
        <w:t>A</w:t>
      </w:r>
      <w:r w:rsidR="003B0B93">
        <w:rPr>
          <w:rFonts w:ascii="Arial" w:hAnsi="Arial" w:cs="Arial"/>
          <w:sz w:val="20"/>
          <w:szCs w:val="20"/>
        </w:rPr>
        <w:t xml:space="preserve">s our motivating example, we used a </w:t>
      </w:r>
      <w:r w:rsidRPr="008D4928">
        <w:rPr>
          <w:rFonts w:ascii="Arial" w:hAnsi="Arial" w:cs="Arial"/>
          <w:sz w:val="20"/>
          <w:szCs w:val="20"/>
        </w:rPr>
        <w:t xml:space="preserve">systematic review and meta-analysis </w:t>
      </w:r>
      <w:r w:rsidR="003B0B93">
        <w:rPr>
          <w:rFonts w:ascii="Arial" w:hAnsi="Arial" w:cs="Arial"/>
          <w:sz w:val="20"/>
          <w:szCs w:val="20"/>
        </w:rPr>
        <w:t xml:space="preserve">which </w:t>
      </w:r>
      <w:r w:rsidRPr="008D4928">
        <w:rPr>
          <w:rFonts w:ascii="Arial" w:hAnsi="Arial" w:cs="Arial"/>
          <w:sz w:val="20"/>
          <w:szCs w:val="20"/>
        </w:rPr>
        <w:t xml:space="preserve">was carried out </w:t>
      </w:r>
      <w:r w:rsidR="00B745E0">
        <w:rPr>
          <w:rFonts w:ascii="Arial" w:hAnsi="Arial" w:cs="Arial"/>
          <w:sz w:val="20"/>
          <w:szCs w:val="20"/>
        </w:rPr>
        <w:t xml:space="preserve">by Lloyd et al </w:t>
      </w:r>
      <w:sdt>
        <w:sdtPr>
          <w:rPr>
            <w:rFonts w:ascii="Arial" w:hAnsi="Arial" w:cs="Arial"/>
            <w:sz w:val="20"/>
            <w:szCs w:val="20"/>
          </w:rPr>
          <w:id w:val="347759050"/>
          <w:citation/>
        </w:sdtPr>
        <w:sdtEndPr/>
        <w:sdtContent>
          <w:r w:rsidR="00631B86">
            <w:rPr>
              <w:rFonts w:ascii="Arial" w:hAnsi="Arial" w:cs="Arial"/>
              <w:sz w:val="20"/>
              <w:szCs w:val="20"/>
            </w:rPr>
            <w:fldChar w:fldCharType="begin"/>
          </w:r>
          <w:r w:rsidR="00B745E0">
            <w:rPr>
              <w:rFonts w:ascii="Arial" w:hAnsi="Arial" w:cs="Arial"/>
              <w:sz w:val="20"/>
              <w:szCs w:val="20"/>
            </w:rPr>
            <w:instrText xml:space="preserve"> CITATION Llo10 \l 2057 </w:instrText>
          </w:r>
          <w:r w:rsidR="00631B86">
            <w:rPr>
              <w:rFonts w:ascii="Arial" w:hAnsi="Arial" w:cs="Arial"/>
              <w:sz w:val="20"/>
              <w:szCs w:val="20"/>
            </w:rPr>
            <w:fldChar w:fldCharType="separate"/>
          </w:r>
          <w:r w:rsidR="005F423A" w:rsidRPr="005F423A">
            <w:rPr>
              <w:rFonts w:ascii="Arial" w:hAnsi="Arial" w:cs="Arial"/>
              <w:noProof/>
              <w:sz w:val="20"/>
              <w:szCs w:val="20"/>
            </w:rPr>
            <w:t>(14)</w:t>
          </w:r>
          <w:r w:rsidR="00631B86">
            <w:rPr>
              <w:rFonts w:ascii="Arial" w:hAnsi="Arial" w:cs="Arial"/>
              <w:sz w:val="20"/>
              <w:szCs w:val="20"/>
            </w:rPr>
            <w:fldChar w:fldCharType="end"/>
          </w:r>
        </w:sdtContent>
      </w:sdt>
      <w:r w:rsidR="00B745E0">
        <w:rPr>
          <w:rFonts w:ascii="Arial" w:hAnsi="Arial" w:cs="Arial"/>
          <w:sz w:val="20"/>
          <w:szCs w:val="20"/>
        </w:rPr>
        <w:t xml:space="preserve"> </w:t>
      </w:r>
      <w:r w:rsidRPr="008D4928">
        <w:rPr>
          <w:rFonts w:ascii="Arial" w:hAnsi="Arial" w:cs="Arial"/>
          <w:sz w:val="20"/>
          <w:szCs w:val="20"/>
        </w:rPr>
        <w:t xml:space="preserve">to investigate the effectiveness of </w:t>
      </w:r>
      <w:r w:rsidR="00C35E5B">
        <w:rPr>
          <w:rFonts w:ascii="Arial" w:hAnsi="Arial" w:cs="Arial"/>
          <w:sz w:val="20"/>
          <w:szCs w:val="20"/>
        </w:rPr>
        <w:t xml:space="preserve">the </w:t>
      </w:r>
      <w:r w:rsidRPr="008D4928">
        <w:rPr>
          <w:rFonts w:ascii="Arial" w:hAnsi="Arial" w:cs="Arial"/>
          <w:sz w:val="20"/>
          <w:szCs w:val="20"/>
        </w:rPr>
        <w:t>TNF-</w:t>
      </w:r>
      <w:r w:rsidR="003B0B93">
        <w:rPr>
          <w:rFonts w:ascii="Arial" w:hAnsi="Arial" w:cs="Arial"/>
          <w:sz w:val="20"/>
          <w:szCs w:val="20"/>
        </w:rPr>
        <w:t>α</w:t>
      </w:r>
      <w:r w:rsidRPr="008D4928">
        <w:rPr>
          <w:rFonts w:ascii="Arial" w:hAnsi="Arial" w:cs="Arial"/>
          <w:sz w:val="20"/>
          <w:szCs w:val="20"/>
        </w:rPr>
        <w:t xml:space="preserve"> inhibitors</w:t>
      </w:r>
      <w:r w:rsidR="00C35E5B">
        <w:rPr>
          <w:rFonts w:ascii="Arial" w:hAnsi="Arial" w:cs="Arial"/>
          <w:sz w:val="20"/>
          <w:szCs w:val="20"/>
        </w:rPr>
        <w:t>,</w:t>
      </w:r>
      <w:r w:rsidRPr="008D4928">
        <w:rPr>
          <w:rFonts w:ascii="Arial" w:hAnsi="Arial" w:cs="Arial"/>
          <w:sz w:val="20"/>
          <w:szCs w:val="20"/>
        </w:rPr>
        <w:t xml:space="preserve"> </w:t>
      </w:r>
      <w:proofErr w:type="spellStart"/>
      <w:r w:rsidRPr="008D4928">
        <w:rPr>
          <w:rFonts w:ascii="Arial" w:hAnsi="Arial" w:cs="Arial"/>
          <w:sz w:val="20"/>
          <w:szCs w:val="20"/>
        </w:rPr>
        <w:t>etanercept</w:t>
      </w:r>
      <w:proofErr w:type="spellEnd"/>
      <w:r w:rsidRPr="008D4928">
        <w:rPr>
          <w:rFonts w:ascii="Arial" w:hAnsi="Arial" w:cs="Arial"/>
          <w:sz w:val="20"/>
          <w:szCs w:val="20"/>
        </w:rPr>
        <w:t xml:space="preserve">, infliximab and </w:t>
      </w:r>
      <w:proofErr w:type="spellStart"/>
      <w:r w:rsidRPr="008D4928">
        <w:rPr>
          <w:rFonts w:ascii="Arial" w:hAnsi="Arial" w:cs="Arial"/>
          <w:sz w:val="20"/>
          <w:szCs w:val="20"/>
        </w:rPr>
        <w:t>adalimumab</w:t>
      </w:r>
      <w:proofErr w:type="spellEnd"/>
      <w:r w:rsidRPr="008D4928">
        <w:rPr>
          <w:rFonts w:ascii="Arial" w:hAnsi="Arial" w:cs="Arial"/>
          <w:sz w:val="20"/>
          <w:szCs w:val="20"/>
        </w:rPr>
        <w:t xml:space="preserve"> used sequentially</w:t>
      </w:r>
      <w:r w:rsidR="00826D71">
        <w:rPr>
          <w:rFonts w:ascii="Arial" w:hAnsi="Arial" w:cs="Arial"/>
          <w:sz w:val="20"/>
          <w:szCs w:val="20"/>
        </w:rPr>
        <w:t xml:space="preserve"> (a</w:t>
      </w:r>
      <w:r w:rsidR="00826D71" w:rsidRPr="00826D71">
        <w:rPr>
          <w:rFonts w:ascii="Arial" w:hAnsi="Arial" w:cs="Arial"/>
          <w:sz w:val="20"/>
          <w:szCs w:val="20"/>
        </w:rPr>
        <w:t>s a second line treatment</w:t>
      </w:r>
      <w:r w:rsidR="00826D71">
        <w:rPr>
          <w:rFonts w:ascii="Arial" w:hAnsi="Arial" w:cs="Arial"/>
          <w:b/>
          <w:sz w:val="20"/>
          <w:szCs w:val="20"/>
        </w:rPr>
        <w:t xml:space="preserve"> </w:t>
      </w:r>
      <w:r w:rsidR="00826D71" w:rsidRPr="008D4928">
        <w:rPr>
          <w:rFonts w:ascii="Arial" w:hAnsi="Arial" w:cs="Arial"/>
          <w:sz w:val="20"/>
          <w:szCs w:val="20"/>
        </w:rPr>
        <w:t>used sequentially in patients who switched from one anti-TNF to another due to lack of response or adverse effects on the first</w:t>
      </w:r>
      <w:r w:rsidR="00826D71">
        <w:rPr>
          <w:rFonts w:ascii="Arial" w:hAnsi="Arial" w:cs="Arial"/>
          <w:sz w:val="20"/>
          <w:szCs w:val="20"/>
        </w:rPr>
        <w:t>)</w:t>
      </w:r>
      <w:r w:rsidRPr="008D4928">
        <w:rPr>
          <w:rFonts w:ascii="Arial" w:hAnsi="Arial" w:cs="Arial"/>
          <w:sz w:val="20"/>
          <w:szCs w:val="20"/>
        </w:rPr>
        <w:t xml:space="preserve"> in the treatment of RA. </w:t>
      </w:r>
      <w:r w:rsidR="00C35E5B">
        <w:rPr>
          <w:rFonts w:ascii="Arial" w:hAnsi="Arial" w:cs="Arial"/>
          <w:sz w:val="20"/>
          <w:szCs w:val="20"/>
        </w:rPr>
        <w:t>The data from this systematic review is single arm (i.e. uncontrolled)</w:t>
      </w:r>
      <w:r w:rsidR="00B55F87" w:rsidRPr="00B55F87">
        <w:rPr>
          <w:rFonts w:ascii="Arial" w:hAnsi="Arial" w:cs="Arial"/>
          <w:sz w:val="20"/>
          <w:szCs w:val="20"/>
        </w:rPr>
        <w:t xml:space="preserve"> due to the lack of comparative studies such as randomised controlled trials evaluating </w:t>
      </w:r>
      <w:proofErr w:type="gramStart"/>
      <w:r w:rsidR="00B55F87" w:rsidRPr="00B55F87">
        <w:rPr>
          <w:rFonts w:ascii="Arial" w:hAnsi="Arial" w:cs="Arial"/>
          <w:sz w:val="20"/>
          <w:szCs w:val="20"/>
        </w:rPr>
        <w:t>these treatment</w:t>
      </w:r>
      <w:proofErr w:type="gramEnd"/>
      <w:r w:rsidR="00B55F87" w:rsidRPr="00B55F87">
        <w:rPr>
          <w:rFonts w:ascii="Arial" w:hAnsi="Arial" w:cs="Arial"/>
          <w:sz w:val="20"/>
          <w:szCs w:val="20"/>
        </w:rPr>
        <w:t xml:space="preserve"> as second line</w:t>
      </w:r>
      <w:r w:rsidR="00C35E5B">
        <w:rPr>
          <w:rFonts w:ascii="Arial" w:hAnsi="Arial" w:cs="Arial"/>
          <w:sz w:val="20"/>
          <w:szCs w:val="20"/>
        </w:rPr>
        <w:t xml:space="preserve">. </w:t>
      </w:r>
      <w:r w:rsidR="003B0B93">
        <w:rPr>
          <w:rFonts w:ascii="Arial" w:hAnsi="Arial" w:cs="Arial"/>
          <w:sz w:val="20"/>
          <w:szCs w:val="20"/>
        </w:rPr>
        <w:t>Outcome measures included in the analysis in this paper were amongst the s</w:t>
      </w:r>
      <w:r w:rsidRPr="008D4928">
        <w:rPr>
          <w:rFonts w:ascii="Arial" w:hAnsi="Arial" w:cs="Arial"/>
          <w:sz w:val="20"/>
          <w:szCs w:val="20"/>
        </w:rPr>
        <w:t xml:space="preserve">tandard instruments for measuring response to treatment in RA: </w:t>
      </w:r>
      <w:r w:rsidR="00381D43">
        <w:rPr>
          <w:rFonts w:ascii="Arial" w:hAnsi="Arial" w:cs="Arial"/>
          <w:sz w:val="20"/>
          <w:szCs w:val="20"/>
        </w:rPr>
        <w:t xml:space="preserve">changes from baseline in </w:t>
      </w:r>
      <w:r w:rsidRPr="008D4928">
        <w:rPr>
          <w:rFonts w:ascii="Arial" w:hAnsi="Arial" w:cs="Arial"/>
          <w:sz w:val="20"/>
          <w:szCs w:val="20"/>
        </w:rPr>
        <w:t xml:space="preserve">the </w:t>
      </w:r>
      <w:r w:rsidR="00290B10">
        <w:rPr>
          <w:rFonts w:ascii="Arial" w:hAnsi="Arial" w:cs="Arial"/>
          <w:sz w:val="20"/>
          <w:szCs w:val="20"/>
        </w:rPr>
        <w:t>HAQ</w:t>
      </w:r>
      <w:r w:rsidRPr="008D4928">
        <w:rPr>
          <w:rFonts w:ascii="Arial" w:hAnsi="Arial" w:cs="Arial"/>
          <w:sz w:val="20"/>
          <w:szCs w:val="20"/>
        </w:rPr>
        <w:t xml:space="preserve"> (</w:t>
      </w:r>
      <w:r w:rsidR="00381D43">
        <w:rPr>
          <w:rFonts w:ascii="Arial" w:hAnsi="Arial" w:cs="Arial"/>
          <w:sz w:val="20"/>
          <w:szCs w:val="20"/>
        </w:rPr>
        <w:t>Δ</w:t>
      </w:r>
      <w:r w:rsidRPr="008D4928">
        <w:rPr>
          <w:rFonts w:ascii="Arial" w:hAnsi="Arial" w:cs="Arial"/>
          <w:sz w:val="20"/>
          <w:szCs w:val="20"/>
        </w:rPr>
        <w:t xml:space="preserve">HAQ) and </w:t>
      </w:r>
      <w:r w:rsidR="00381D43">
        <w:rPr>
          <w:rFonts w:ascii="Arial" w:hAnsi="Arial" w:cs="Arial"/>
          <w:sz w:val="20"/>
          <w:szCs w:val="20"/>
        </w:rPr>
        <w:t xml:space="preserve">in the </w:t>
      </w:r>
      <w:r w:rsidR="003C560C">
        <w:rPr>
          <w:rFonts w:ascii="Arial" w:hAnsi="Arial" w:cs="Arial"/>
          <w:sz w:val="20"/>
          <w:szCs w:val="20"/>
        </w:rPr>
        <w:t>DAS</w:t>
      </w:r>
      <w:r w:rsidR="00B745E0">
        <w:rPr>
          <w:rFonts w:ascii="Arial" w:hAnsi="Arial" w:cs="Arial"/>
          <w:sz w:val="20"/>
          <w:szCs w:val="20"/>
        </w:rPr>
        <w:t>-28</w:t>
      </w:r>
      <w:r w:rsidRPr="008D4928">
        <w:rPr>
          <w:rFonts w:ascii="Arial" w:hAnsi="Arial" w:cs="Arial"/>
          <w:sz w:val="20"/>
          <w:szCs w:val="20"/>
        </w:rPr>
        <w:t xml:space="preserve"> (</w:t>
      </w:r>
      <w:r w:rsidR="00381D43">
        <w:rPr>
          <w:rFonts w:ascii="Arial" w:hAnsi="Arial" w:cs="Arial"/>
          <w:sz w:val="20"/>
          <w:szCs w:val="20"/>
        </w:rPr>
        <w:t>Δ</w:t>
      </w:r>
      <w:r w:rsidRPr="008D4928">
        <w:rPr>
          <w:rFonts w:ascii="Arial" w:hAnsi="Arial" w:cs="Arial"/>
          <w:sz w:val="20"/>
          <w:szCs w:val="20"/>
        </w:rPr>
        <w:t xml:space="preserve">DAS-28) measures, and </w:t>
      </w:r>
      <w:r w:rsidR="00381D43">
        <w:rPr>
          <w:rFonts w:ascii="Arial" w:hAnsi="Arial" w:cs="Arial"/>
          <w:sz w:val="20"/>
          <w:szCs w:val="20"/>
        </w:rPr>
        <w:t xml:space="preserve">20% response to treatment measured by </w:t>
      </w:r>
      <w:r w:rsidRPr="008D4928">
        <w:rPr>
          <w:rFonts w:ascii="Arial" w:hAnsi="Arial" w:cs="Arial"/>
          <w:sz w:val="20"/>
          <w:szCs w:val="20"/>
        </w:rPr>
        <w:t xml:space="preserve">the </w:t>
      </w:r>
      <w:r w:rsidR="003C560C">
        <w:rPr>
          <w:rFonts w:ascii="Arial" w:hAnsi="Arial" w:cs="Arial"/>
          <w:sz w:val="20"/>
          <w:szCs w:val="20"/>
        </w:rPr>
        <w:t>ACR</w:t>
      </w:r>
      <w:r w:rsidRPr="008D4928">
        <w:rPr>
          <w:rFonts w:ascii="Arial" w:hAnsi="Arial" w:cs="Arial"/>
          <w:sz w:val="20"/>
          <w:szCs w:val="20"/>
        </w:rPr>
        <w:t xml:space="preserve"> criteria</w:t>
      </w:r>
      <w:r w:rsidR="00381D43" w:rsidRPr="008D4928">
        <w:rPr>
          <w:rFonts w:ascii="Arial" w:hAnsi="Arial" w:cs="Arial"/>
          <w:sz w:val="20"/>
          <w:szCs w:val="20"/>
        </w:rPr>
        <w:t xml:space="preserve"> (ACR</w:t>
      </w:r>
      <w:r w:rsidR="00381D43">
        <w:rPr>
          <w:rFonts w:ascii="Arial" w:hAnsi="Arial" w:cs="Arial"/>
          <w:sz w:val="20"/>
          <w:szCs w:val="20"/>
        </w:rPr>
        <w:t>20</w:t>
      </w:r>
      <w:r w:rsidR="00381D43" w:rsidRPr="008D4928">
        <w:rPr>
          <w:rFonts w:ascii="Arial" w:hAnsi="Arial" w:cs="Arial"/>
          <w:sz w:val="20"/>
          <w:szCs w:val="20"/>
        </w:rPr>
        <w:t>)</w:t>
      </w:r>
      <w:r w:rsidRPr="008D4928">
        <w:rPr>
          <w:rFonts w:ascii="Arial" w:hAnsi="Arial" w:cs="Arial"/>
          <w:sz w:val="20"/>
          <w:szCs w:val="20"/>
        </w:rPr>
        <w:t xml:space="preserve">. Data collected in this systematic review </w:t>
      </w:r>
      <w:r w:rsidR="00CC1EC7">
        <w:rPr>
          <w:rFonts w:ascii="Arial" w:hAnsi="Arial" w:cs="Arial"/>
          <w:sz w:val="20"/>
          <w:szCs w:val="20"/>
        </w:rPr>
        <w:t>is</w:t>
      </w:r>
      <w:r w:rsidR="00CC1EC7" w:rsidRPr="008D4928">
        <w:rPr>
          <w:rFonts w:ascii="Arial" w:hAnsi="Arial" w:cs="Arial"/>
          <w:sz w:val="20"/>
          <w:szCs w:val="20"/>
        </w:rPr>
        <w:t xml:space="preserve"> </w:t>
      </w:r>
      <w:r w:rsidRPr="008D4928">
        <w:rPr>
          <w:rFonts w:ascii="Arial" w:hAnsi="Arial" w:cs="Arial"/>
          <w:sz w:val="20"/>
          <w:szCs w:val="20"/>
        </w:rPr>
        <w:t xml:space="preserve">used </w:t>
      </w:r>
      <w:r w:rsidR="00CC1EC7">
        <w:rPr>
          <w:rFonts w:ascii="Arial" w:hAnsi="Arial" w:cs="Arial"/>
          <w:sz w:val="20"/>
          <w:szCs w:val="20"/>
        </w:rPr>
        <w:t>to</w:t>
      </w:r>
      <w:r w:rsidR="003124C6">
        <w:rPr>
          <w:rFonts w:ascii="Arial" w:hAnsi="Arial" w:cs="Arial"/>
          <w:sz w:val="20"/>
          <w:szCs w:val="20"/>
        </w:rPr>
        <w:t xml:space="preserve"> </w:t>
      </w:r>
      <w:r w:rsidR="00CC1EC7">
        <w:rPr>
          <w:rFonts w:ascii="Arial" w:hAnsi="Arial" w:cs="Arial"/>
          <w:sz w:val="20"/>
          <w:szCs w:val="20"/>
        </w:rPr>
        <w:t>investigate</w:t>
      </w:r>
      <w:r w:rsidR="00CC1EC7" w:rsidRPr="008D4928">
        <w:rPr>
          <w:rFonts w:ascii="Arial" w:hAnsi="Arial" w:cs="Arial"/>
          <w:sz w:val="20"/>
          <w:szCs w:val="20"/>
        </w:rPr>
        <w:t xml:space="preserve"> </w:t>
      </w:r>
      <w:r w:rsidRPr="008D4928">
        <w:rPr>
          <w:rFonts w:ascii="Arial" w:hAnsi="Arial" w:cs="Arial"/>
          <w:sz w:val="20"/>
          <w:szCs w:val="20"/>
        </w:rPr>
        <w:t>how multivariate meta-analysis can be applied to incorporate multiple outcomes</w:t>
      </w:r>
      <w:r w:rsidR="00CE575C">
        <w:rPr>
          <w:rFonts w:ascii="Arial" w:hAnsi="Arial" w:cs="Arial"/>
          <w:sz w:val="20"/>
          <w:szCs w:val="20"/>
        </w:rPr>
        <w:t xml:space="preserve"> </w:t>
      </w:r>
      <w:r w:rsidR="003124C6">
        <w:rPr>
          <w:rFonts w:ascii="Arial" w:hAnsi="Arial" w:cs="Arial"/>
          <w:sz w:val="20"/>
          <w:szCs w:val="20"/>
        </w:rPr>
        <w:t xml:space="preserve">of effectiveness </w:t>
      </w:r>
      <w:r w:rsidR="003B0B93">
        <w:rPr>
          <w:rFonts w:ascii="Arial" w:hAnsi="Arial" w:cs="Arial"/>
          <w:sz w:val="20"/>
          <w:szCs w:val="20"/>
        </w:rPr>
        <w:t>simultaneously in evidence synthesis</w:t>
      </w:r>
      <w:r w:rsidR="003124C6">
        <w:rPr>
          <w:rFonts w:ascii="Arial" w:hAnsi="Arial" w:cs="Arial"/>
          <w:sz w:val="20"/>
          <w:szCs w:val="20"/>
        </w:rPr>
        <w:t>.</w:t>
      </w:r>
      <w:r w:rsidR="003B0B93">
        <w:rPr>
          <w:rFonts w:ascii="Arial" w:hAnsi="Arial" w:cs="Arial"/>
          <w:sz w:val="20"/>
          <w:szCs w:val="20"/>
        </w:rPr>
        <w:t xml:space="preserve"> </w:t>
      </w:r>
      <w:r w:rsidRPr="008D4928">
        <w:rPr>
          <w:rFonts w:ascii="Arial" w:hAnsi="Arial" w:cs="Arial"/>
          <w:sz w:val="20"/>
          <w:szCs w:val="20"/>
        </w:rPr>
        <w:t xml:space="preserve">Table </w:t>
      </w:r>
      <w:r w:rsidR="00643872">
        <w:rPr>
          <w:rFonts w:ascii="Arial" w:hAnsi="Arial" w:cs="Arial"/>
          <w:sz w:val="20"/>
          <w:szCs w:val="20"/>
        </w:rPr>
        <w:t>2</w:t>
      </w:r>
      <w:r w:rsidRPr="008D4928">
        <w:rPr>
          <w:rFonts w:ascii="Arial" w:hAnsi="Arial" w:cs="Arial"/>
          <w:sz w:val="20"/>
          <w:szCs w:val="20"/>
        </w:rPr>
        <w:t xml:space="preserve"> gives details of the three outcomes which were reported in each of the studies within the systematic review. We will refer to these data as the ``Lloyd data'' throughout this paper.</w:t>
      </w:r>
    </w:p>
    <w:p w:rsidR="006C7964" w:rsidRDefault="006C7964" w:rsidP="00AA3405">
      <w:pPr>
        <w:pStyle w:val="PlainText"/>
        <w:spacing w:line="480" w:lineRule="auto"/>
        <w:jc w:val="both"/>
        <w:rPr>
          <w:rFonts w:ascii="Arial" w:hAnsi="Arial" w:cs="Arial"/>
          <w:sz w:val="20"/>
          <w:szCs w:val="20"/>
        </w:rPr>
      </w:pPr>
    </w:p>
    <w:p w:rsidR="006C7964" w:rsidRDefault="00AA6FC0" w:rsidP="00AA3405">
      <w:pPr>
        <w:pStyle w:val="PlainText"/>
        <w:spacing w:line="480" w:lineRule="auto"/>
        <w:jc w:val="both"/>
        <w:rPr>
          <w:rFonts w:ascii="Arial" w:hAnsi="Arial" w:cs="Arial"/>
          <w:sz w:val="20"/>
          <w:szCs w:val="20"/>
        </w:rPr>
      </w:pPr>
      <w:r>
        <w:rPr>
          <w:rFonts w:ascii="Arial" w:hAnsi="Arial" w:cs="Arial"/>
          <w:sz w:val="20"/>
          <w:szCs w:val="20"/>
        </w:rPr>
        <w:t xml:space="preserve">Additional sources of evidence were used to construct prior distributions for some of the parameters of the Bayesian evidence synthesis model. </w:t>
      </w:r>
      <w:r w:rsidRPr="008D4928">
        <w:rPr>
          <w:rFonts w:ascii="Arial" w:hAnsi="Arial" w:cs="Arial"/>
          <w:sz w:val="20"/>
          <w:szCs w:val="20"/>
        </w:rPr>
        <w:t>External individual patient data (IPD)</w:t>
      </w:r>
      <w:r>
        <w:rPr>
          <w:rFonts w:ascii="Arial" w:hAnsi="Arial" w:cs="Arial"/>
          <w:sz w:val="20"/>
          <w:szCs w:val="20"/>
        </w:rPr>
        <w:t xml:space="preserve"> </w:t>
      </w:r>
      <w:r w:rsidRPr="008D4928">
        <w:rPr>
          <w:rFonts w:ascii="Arial" w:hAnsi="Arial" w:cs="Arial"/>
          <w:sz w:val="20"/>
          <w:szCs w:val="20"/>
        </w:rPr>
        <w:t>was obtained from the British Rheumatoid Outcome Study Group (BROSG) trial which was designed to assess the benefit of aggressive disease-modifying anti-rheumatic drug treatments in patients with established RA</w:t>
      </w:r>
      <w:r>
        <w:rPr>
          <w:rFonts w:ascii="Arial" w:hAnsi="Arial" w:cs="Arial"/>
          <w:sz w:val="20"/>
          <w:szCs w:val="20"/>
        </w:rPr>
        <w:t xml:space="preserve"> </w:t>
      </w:r>
      <w:sdt>
        <w:sdtPr>
          <w:rPr>
            <w:rFonts w:ascii="Arial" w:hAnsi="Arial" w:cs="Arial"/>
            <w:sz w:val="20"/>
            <w:szCs w:val="20"/>
          </w:rPr>
          <w:id w:val="351409434"/>
          <w:citation/>
        </w:sdtPr>
        <w:sdtEndPr/>
        <w:sdtContent>
          <w:r w:rsidR="00631B86">
            <w:rPr>
              <w:rFonts w:ascii="Arial" w:hAnsi="Arial" w:cs="Arial"/>
              <w:sz w:val="20"/>
              <w:szCs w:val="20"/>
            </w:rPr>
            <w:fldChar w:fldCharType="begin"/>
          </w:r>
          <w:r w:rsidR="00151121">
            <w:rPr>
              <w:rFonts w:ascii="Arial" w:hAnsi="Arial" w:cs="Arial"/>
              <w:sz w:val="20"/>
              <w:szCs w:val="20"/>
            </w:rPr>
            <w:instrText xml:space="preserve"> CITATION 21S \l 2057 </w:instrText>
          </w:r>
          <w:r w:rsidR="00631B86">
            <w:rPr>
              <w:rFonts w:ascii="Arial" w:hAnsi="Arial" w:cs="Arial"/>
              <w:sz w:val="20"/>
              <w:szCs w:val="20"/>
            </w:rPr>
            <w:fldChar w:fldCharType="separate"/>
          </w:r>
          <w:r w:rsidR="005F423A" w:rsidRPr="005F423A">
            <w:rPr>
              <w:rFonts w:ascii="Arial" w:hAnsi="Arial" w:cs="Arial"/>
              <w:noProof/>
              <w:sz w:val="20"/>
              <w:szCs w:val="20"/>
            </w:rPr>
            <w:t>(15)</w:t>
          </w:r>
          <w:r w:rsidR="00631B86">
            <w:rPr>
              <w:rFonts w:ascii="Arial" w:hAnsi="Arial" w:cs="Arial"/>
              <w:sz w:val="20"/>
              <w:szCs w:val="20"/>
            </w:rPr>
            <w:fldChar w:fldCharType="end"/>
          </w:r>
        </w:sdtContent>
      </w:sdt>
      <w:r w:rsidRPr="008D4928">
        <w:rPr>
          <w:rFonts w:ascii="Arial" w:hAnsi="Arial" w:cs="Arial"/>
          <w:sz w:val="20"/>
          <w:szCs w:val="20"/>
        </w:rPr>
        <w:t>. The trial, which recruited 466 patients with stable RA, assessed clinical outcomes (i.e. HAQ, DAS-28 and ACR20) in two cohorts of patients managed using either a regi</w:t>
      </w:r>
      <w:r w:rsidR="00151121">
        <w:rPr>
          <w:rFonts w:ascii="Arial" w:hAnsi="Arial" w:cs="Arial"/>
          <w:sz w:val="20"/>
          <w:szCs w:val="20"/>
        </w:rPr>
        <w:t>me focussed on (i</w:t>
      </w:r>
      <w:r w:rsidRPr="008D4928">
        <w:rPr>
          <w:rFonts w:ascii="Arial" w:hAnsi="Arial" w:cs="Arial"/>
          <w:sz w:val="20"/>
          <w:szCs w:val="20"/>
        </w:rPr>
        <w:t>) symptomatic control of pain and stiffness i</w:t>
      </w:r>
      <w:r w:rsidR="00151121">
        <w:rPr>
          <w:rFonts w:ascii="Arial" w:hAnsi="Arial" w:cs="Arial"/>
          <w:sz w:val="20"/>
          <w:szCs w:val="20"/>
        </w:rPr>
        <w:t>n the shared care setting, or (ii</w:t>
      </w:r>
      <w:r w:rsidRPr="008D4928">
        <w:rPr>
          <w:rFonts w:ascii="Arial" w:hAnsi="Arial" w:cs="Arial"/>
          <w:sz w:val="20"/>
          <w:szCs w:val="20"/>
        </w:rPr>
        <w:t>) a more aggressive regime focussing on control of symptoms and joint inflammation in the hospital setting.</w:t>
      </w:r>
      <w:r>
        <w:rPr>
          <w:rFonts w:ascii="Arial" w:hAnsi="Arial" w:cs="Arial"/>
          <w:sz w:val="20"/>
          <w:szCs w:val="20"/>
        </w:rPr>
        <w:t xml:space="preserve"> </w:t>
      </w:r>
      <w:r w:rsidR="00503B10">
        <w:rPr>
          <w:rFonts w:ascii="Arial" w:hAnsi="Arial" w:cs="Arial"/>
          <w:sz w:val="20"/>
          <w:szCs w:val="20"/>
        </w:rPr>
        <w:t>(</w:t>
      </w:r>
      <w:r w:rsidRPr="008D4928">
        <w:rPr>
          <w:rFonts w:ascii="Arial" w:hAnsi="Arial" w:cs="Arial"/>
          <w:sz w:val="20"/>
          <w:szCs w:val="20"/>
        </w:rPr>
        <w:t xml:space="preserve">The BROSG trial found no difference between the aggressive versus symptomatic treatment </w:t>
      </w:r>
      <w:proofErr w:type="gramStart"/>
      <w:r w:rsidRPr="008D4928">
        <w:rPr>
          <w:rFonts w:ascii="Arial" w:hAnsi="Arial" w:cs="Arial"/>
          <w:sz w:val="20"/>
          <w:szCs w:val="20"/>
        </w:rPr>
        <w:t>arms</w:t>
      </w:r>
      <w:r>
        <w:rPr>
          <w:rFonts w:ascii="Arial" w:hAnsi="Arial" w:cs="Arial"/>
          <w:sz w:val="20"/>
          <w:szCs w:val="20"/>
        </w:rPr>
        <w:t>,</w:t>
      </w:r>
      <w:proofErr w:type="gramEnd"/>
      <w:r>
        <w:rPr>
          <w:rFonts w:ascii="Arial" w:hAnsi="Arial" w:cs="Arial"/>
          <w:sz w:val="20"/>
          <w:szCs w:val="20"/>
        </w:rPr>
        <w:t xml:space="preserve"> therefore</w:t>
      </w:r>
      <w:r w:rsidRPr="008D4928">
        <w:rPr>
          <w:rFonts w:ascii="Arial" w:hAnsi="Arial" w:cs="Arial"/>
          <w:sz w:val="20"/>
          <w:szCs w:val="20"/>
        </w:rPr>
        <w:t xml:space="preserve"> this data set </w:t>
      </w:r>
      <w:r>
        <w:rPr>
          <w:rFonts w:ascii="Arial" w:hAnsi="Arial" w:cs="Arial"/>
          <w:sz w:val="20"/>
          <w:szCs w:val="20"/>
        </w:rPr>
        <w:t>was</w:t>
      </w:r>
      <w:r w:rsidRPr="008D4928">
        <w:rPr>
          <w:rFonts w:ascii="Arial" w:hAnsi="Arial" w:cs="Arial"/>
          <w:sz w:val="20"/>
          <w:szCs w:val="20"/>
        </w:rPr>
        <w:t xml:space="preserve"> used as a </w:t>
      </w:r>
      <w:r w:rsidR="003124C6">
        <w:rPr>
          <w:rFonts w:ascii="Arial" w:hAnsi="Arial" w:cs="Arial"/>
          <w:sz w:val="20"/>
          <w:szCs w:val="20"/>
        </w:rPr>
        <w:t xml:space="preserve">single </w:t>
      </w:r>
      <w:r w:rsidRPr="008D4928">
        <w:rPr>
          <w:rFonts w:ascii="Arial" w:hAnsi="Arial" w:cs="Arial"/>
          <w:sz w:val="20"/>
          <w:szCs w:val="20"/>
        </w:rPr>
        <w:t>cohort of 466 patients with established</w:t>
      </w:r>
      <w:r>
        <w:rPr>
          <w:rFonts w:ascii="Arial" w:hAnsi="Arial" w:cs="Arial"/>
          <w:sz w:val="20"/>
          <w:szCs w:val="20"/>
        </w:rPr>
        <w:t xml:space="preserve"> RA</w:t>
      </w:r>
      <w:r w:rsidRPr="008D4928">
        <w:rPr>
          <w:rFonts w:ascii="Arial" w:hAnsi="Arial" w:cs="Arial"/>
          <w:sz w:val="20"/>
          <w:szCs w:val="20"/>
        </w:rPr>
        <w:t>.</w:t>
      </w:r>
      <w:r w:rsidR="00503B10">
        <w:rPr>
          <w:rFonts w:ascii="Arial" w:hAnsi="Arial" w:cs="Arial"/>
          <w:sz w:val="20"/>
          <w:szCs w:val="20"/>
        </w:rPr>
        <w:t>)</w:t>
      </w:r>
      <w:r w:rsidRPr="008D4928">
        <w:rPr>
          <w:rFonts w:ascii="Arial" w:hAnsi="Arial" w:cs="Arial"/>
          <w:sz w:val="20"/>
          <w:szCs w:val="20"/>
        </w:rPr>
        <w:t xml:space="preserve"> </w:t>
      </w:r>
      <w:r>
        <w:rPr>
          <w:rFonts w:ascii="Arial" w:hAnsi="Arial" w:cs="Arial"/>
          <w:sz w:val="20"/>
          <w:szCs w:val="20"/>
        </w:rPr>
        <w:t>Another source of evidence, e</w:t>
      </w:r>
      <w:r w:rsidRPr="008D4928">
        <w:rPr>
          <w:rFonts w:ascii="Arial" w:hAnsi="Arial" w:cs="Arial"/>
          <w:sz w:val="20"/>
          <w:szCs w:val="20"/>
        </w:rPr>
        <w:t>xternal summary data (ESD)</w:t>
      </w:r>
      <w:r w:rsidR="00503B10">
        <w:rPr>
          <w:rFonts w:ascii="Arial" w:hAnsi="Arial" w:cs="Arial"/>
          <w:sz w:val="20"/>
          <w:szCs w:val="20"/>
        </w:rPr>
        <w:t>,</w:t>
      </w:r>
      <w:r>
        <w:rPr>
          <w:rFonts w:ascii="Arial" w:hAnsi="Arial" w:cs="Arial"/>
          <w:sz w:val="20"/>
          <w:szCs w:val="20"/>
        </w:rPr>
        <w:t xml:space="preserve"> was obtained from a systematic review of the anti TNF-α inhibitors in biologically naïve patients</w:t>
      </w:r>
      <w:r w:rsidR="00151121">
        <w:rPr>
          <w:rFonts w:ascii="Arial" w:hAnsi="Arial" w:cs="Arial"/>
          <w:sz w:val="20"/>
          <w:szCs w:val="20"/>
        </w:rPr>
        <w:t xml:space="preserve"> </w:t>
      </w:r>
      <w:sdt>
        <w:sdtPr>
          <w:rPr>
            <w:rFonts w:ascii="Arial" w:hAnsi="Arial" w:cs="Arial"/>
            <w:sz w:val="20"/>
            <w:szCs w:val="20"/>
          </w:rPr>
          <w:id w:val="351409435"/>
          <w:citation/>
        </w:sdtPr>
        <w:sdtEndPr/>
        <w:sdtContent>
          <w:r w:rsidR="00631B86">
            <w:rPr>
              <w:rFonts w:ascii="Arial" w:hAnsi="Arial" w:cs="Arial"/>
              <w:sz w:val="20"/>
              <w:szCs w:val="20"/>
            </w:rPr>
            <w:fldChar w:fldCharType="begin"/>
          </w:r>
          <w:r w:rsidR="00151121">
            <w:rPr>
              <w:rFonts w:ascii="Arial" w:hAnsi="Arial" w:cs="Arial"/>
              <w:sz w:val="20"/>
              <w:szCs w:val="20"/>
            </w:rPr>
            <w:instrText xml:space="preserve"> CITATION Che06 \l 2057 </w:instrText>
          </w:r>
          <w:r w:rsidR="00631B86">
            <w:rPr>
              <w:rFonts w:ascii="Arial" w:hAnsi="Arial" w:cs="Arial"/>
              <w:sz w:val="20"/>
              <w:szCs w:val="20"/>
            </w:rPr>
            <w:fldChar w:fldCharType="separate"/>
          </w:r>
          <w:r w:rsidR="005F423A" w:rsidRPr="005F423A">
            <w:rPr>
              <w:rFonts w:ascii="Arial" w:hAnsi="Arial" w:cs="Arial"/>
              <w:noProof/>
              <w:sz w:val="20"/>
              <w:szCs w:val="20"/>
            </w:rPr>
            <w:t>(16)</w:t>
          </w:r>
          <w:r w:rsidR="00631B86">
            <w:rPr>
              <w:rFonts w:ascii="Arial" w:hAnsi="Arial" w:cs="Arial"/>
              <w:sz w:val="20"/>
              <w:szCs w:val="20"/>
            </w:rPr>
            <w:fldChar w:fldCharType="end"/>
          </w:r>
        </w:sdtContent>
      </w:sdt>
      <w:r>
        <w:rPr>
          <w:rFonts w:ascii="Arial" w:hAnsi="Arial" w:cs="Arial"/>
          <w:sz w:val="20"/>
          <w:szCs w:val="20"/>
        </w:rPr>
        <w:t>.</w:t>
      </w:r>
      <w:r w:rsidRPr="008D4928">
        <w:rPr>
          <w:rFonts w:ascii="Arial" w:hAnsi="Arial" w:cs="Arial"/>
          <w:sz w:val="20"/>
          <w:szCs w:val="20"/>
        </w:rPr>
        <w:t xml:space="preserve"> </w:t>
      </w:r>
      <w:r w:rsidR="006C7964">
        <w:rPr>
          <w:rFonts w:ascii="Arial" w:hAnsi="Arial" w:cs="Arial"/>
          <w:sz w:val="20"/>
          <w:szCs w:val="20"/>
        </w:rPr>
        <w:t>Both e</w:t>
      </w:r>
      <w:r w:rsidR="00A860D2">
        <w:rPr>
          <w:rFonts w:ascii="Arial" w:hAnsi="Arial" w:cs="Arial"/>
          <w:sz w:val="20"/>
          <w:szCs w:val="20"/>
        </w:rPr>
        <w:t>x</w:t>
      </w:r>
      <w:r w:rsidR="006C7964">
        <w:rPr>
          <w:rFonts w:ascii="Arial" w:hAnsi="Arial" w:cs="Arial"/>
          <w:sz w:val="20"/>
          <w:szCs w:val="20"/>
        </w:rPr>
        <w:t>ternal sources of evidence (IPD and ESD) were used to construct prior distributions for correlations between outcomes as described below.</w:t>
      </w:r>
    </w:p>
    <w:p w:rsidR="006C7964" w:rsidRDefault="006C7964" w:rsidP="00AA3405">
      <w:pPr>
        <w:pStyle w:val="PlainText"/>
        <w:spacing w:line="480" w:lineRule="auto"/>
        <w:jc w:val="both"/>
        <w:rPr>
          <w:rFonts w:ascii="Arial" w:hAnsi="Arial" w:cs="Arial"/>
          <w:sz w:val="20"/>
          <w:szCs w:val="20"/>
        </w:rPr>
      </w:pPr>
    </w:p>
    <w:p w:rsidR="006F46DF" w:rsidRPr="00FB6AB0" w:rsidRDefault="006F46DF" w:rsidP="00AA3405">
      <w:pPr>
        <w:pStyle w:val="PlainText"/>
        <w:spacing w:line="480" w:lineRule="auto"/>
        <w:jc w:val="both"/>
        <w:rPr>
          <w:rFonts w:ascii="Arial" w:hAnsi="Arial" w:cs="Arial"/>
          <w:i/>
          <w:sz w:val="20"/>
          <w:szCs w:val="20"/>
        </w:rPr>
      </w:pPr>
      <w:r>
        <w:rPr>
          <w:rFonts w:ascii="Arial" w:hAnsi="Arial" w:cs="Arial"/>
          <w:i/>
          <w:sz w:val="20"/>
          <w:szCs w:val="20"/>
        </w:rPr>
        <w:t>Evidence synthe</w:t>
      </w:r>
      <w:r w:rsidRPr="00FB6AB0">
        <w:rPr>
          <w:rFonts w:ascii="Arial" w:hAnsi="Arial" w:cs="Arial"/>
          <w:i/>
          <w:sz w:val="20"/>
          <w:szCs w:val="20"/>
        </w:rPr>
        <w:t>sis</w:t>
      </w:r>
      <w:r>
        <w:rPr>
          <w:rFonts w:ascii="Arial" w:hAnsi="Arial" w:cs="Arial"/>
          <w:i/>
          <w:sz w:val="20"/>
          <w:szCs w:val="20"/>
        </w:rPr>
        <w:t>: statistical methods</w:t>
      </w:r>
      <w:r w:rsidRPr="00FB6AB0">
        <w:rPr>
          <w:rFonts w:ascii="Arial" w:hAnsi="Arial" w:cs="Arial"/>
          <w:i/>
          <w:sz w:val="20"/>
          <w:szCs w:val="20"/>
        </w:rPr>
        <w:t xml:space="preserve"> </w:t>
      </w:r>
    </w:p>
    <w:p w:rsidR="006F46DF" w:rsidRPr="008D4928" w:rsidRDefault="006F46DF" w:rsidP="00AA3405">
      <w:pPr>
        <w:pStyle w:val="PlainText"/>
        <w:spacing w:line="480" w:lineRule="auto"/>
        <w:jc w:val="both"/>
        <w:rPr>
          <w:rFonts w:ascii="Arial" w:hAnsi="Arial" w:cs="Arial"/>
          <w:sz w:val="20"/>
          <w:szCs w:val="20"/>
        </w:rPr>
      </w:pPr>
    </w:p>
    <w:p w:rsidR="00E87362" w:rsidRPr="00E87362" w:rsidRDefault="006F46DF" w:rsidP="00AA3405">
      <w:pPr>
        <w:pStyle w:val="PlainText"/>
        <w:spacing w:line="480" w:lineRule="auto"/>
        <w:jc w:val="both"/>
        <w:rPr>
          <w:rFonts w:ascii="Arial" w:hAnsi="Arial" w:cs="Arial"/>
          <w:sz w:val="20"/>
          <w:szCs w:val="20"/>
        </w:rPr>
      </w:pPr>
      <w:r w:rsidRPr="008D4928">
        <w:rPr>
          <w:rFonts w:ascii="Arial" w:hAnsi="Arial" w:cs="Arial"/>
          <w:sz w:val="20"/>
          <w:szCs w:val="20"/>
        </w:rPr>
        <w:t>In our motivating example, we aim</w:t>
      </w:r>
      <w:r w:rsidR="00CF7942">
        <w:rPr>
          <w:rFonts w:ascii="Arial" w:hAnsi="Arial" w:cs="Arial"/>
          <w:sz w:val="20"/>
          <w:szCs w:val="20"/>
        </w:rPr>
        <w:t>ed</w:t>
      </w:r>
      <w:r w:rsidRPr="008D4928">
        <w:rPr>
          <w:rFonts w:ascii="Arial" w:hAnsi="Arial" w:cs="Arial"/>
          <w:sz w:val="20"/>
          <w:szCs w:val="20"/>
        </w:rPr>
        <w:t xml:space="preserve"> to model the summary data of the correlated outcomes from the </w:t>
      </w:r>
      <w:r w:rsidR="00B96E1D">
        <w:rPr>
          <w:rFonts w:ascii="Arial" w:hAnsi="Arial" w:cs="Arial"/>
          <w:sz w:val="20"/>
          <w:szCs w:val="20"/>
        </w:rPr>
        <w:t>“</w:t>
      </w:r>
      <w:r w:rsidRPr="008D4928">
        <w:rPr>
          <w:rFonts w:ascii="Arial" w:hAnsi="Arial" w:cs="Arial"/>
          <w:sz w:val="20"/>
          <w:szCs w:val="20"/>
        </w:rPr>
        <w:t>Lloyd data</w:t>
      </w:r>
      <w:r w:rsidR="00B96E1D">
        <w:rPr>
          <w:rFonts w:ascii="Arial" w:hAnsi="Arial" w:cs="Arial"/>
          <w:sz w:val="20"/>
          <w:szCs w:val="20"/>
        </w:rPr>
        <w:t>”</w:t>
      </w:r>
      <w:r w:rsidRPr="008D4928">
        <w:rPr>
          <w:rFonts w:ascii="Arial" w:hAnsi="Arial" w:cs="Arial"/>
          <w:sz w:val="20"/>
          <w:szCs w:val="20"/>
        </w:rPr>
        <w:t xml:space="preserve"> using a </w:t>
      </w:r>
      <w:r w:rsidR="00C91E84">
        <w:rPr>
          <w:rFonts w:ascii="Arial" w:hAnsi="Arial" w:cs="Arial"/>
          <w:sz w:val="20"/>
          <w:szCs w:val="20"/>
        </w:rPr>
        <w:t>MVMA</w:t>
      </w:r>
      <w:r w:rsidRPr="008D4928">
        <w:rPr>
          <w:rFonts w:ascii="Arial" w:hAnsi="Arial" w:cs="Arial"/>
          <w:sz w:val="20"/>
          <w:szCs w:val="20"/>
        </w:rPr>
        <w:t xml:space="preserve"> in a Bayesian form.</w:t>
      </w:r>
      <w:r w:rsidR="00766B1E">
        <w:rPr>
          <w:rFonts w:ascii="Arial" w:hAnsi="Arial" w:cs="Arial"/>
          <w:sz w:val="20"/>
          <w:szCs w:val="20"/>
        </w:rPr>
        <w:t xml:space="preserve"> We use</w:t>
      </w:r>
      <w:r w:rsidR="00BF0BC3">
        <w:rPr>
          <w:rFonts w:ascii="Arial" w:hAnsi="Arial" w:cs="Arial"/>
          <w:sz w:val="20"/>
          <w:szCs w:val="20"/>
        </w:rPr>
        <w:t>d</w:t>
      </w:r>
      <w:r w:rsidR="00766B1E">
        <w:rPr>
          <w:rFonts w:ascii="Arial" w:hAnsi="Arial" w:cs="Arial"/>
          <w:sz w:val="20"/>
          <w:szCs w:val="20"/>
        </w:rPr>
        <w:t xml:space="preserve"> a </w:t>
      </w:r>
      <w:proofErr w:type="spellStart"/>
      <w:r w:rsidR="00D5413E">
        <w:rPr>
          <w:rFonts w:ascii="Arial" w:hAnsi="Arial" w:cs="Arial"/>
          <w:sz w:val="20"/>
          <w:szCs w:val="20"/>
        </w:rPr>
        <w:t>trivariate</w:t>
      </w:r>
      <w:proofErr w:type="spellEnd"/>
      <w:r w:rsidR="00D5413E">
        <w:rPr>
          <w:rFonts w:ascii="Arial" w:hAnsi="Arial" w:cs="Arial"/>
          <w:sz w:val="20"/>
          <w:szCs w:val="20"/>
        </w:rPr>
        <w:t xml:space="preserve"> </w:t>
      </w:r>
      <w:r w:rsidR="00766B1E">
        <w:rPr>
          <w:rFonts w:ascii="Arial" w:hAnsi="Arial" w:cs="Arial"/>
          <w:sz w:val="20"/>
          <w:szCs w:val="20"/>
        </w:rPr>
        <w:t>random effects meta-analysis</w:t>
      </w:r>
      <w:r w:rsidR="002213D5">
        <w:rPr>
          <w:rFonts w:ascii="Arial" w:hAnsi="Arial" w:cs="Arial"/>
          <w:sz w:val="20"/>
          <w:szCs w:val="20"/>
        </w:rPr>
        <w:t xml:space="preserve"> (TRMA)</w:t>
      </w:r>
      <w:r w:rsidR="006B7633">
        <w:rPr>
          <w:rFonts w:ascii="Arial" w:hAnsi="Arial" w:cs="Arial"/>
          <w:sz w:val="20"/>
          <w:szCs w:val="20"/>
        </w:rPr>
        <w:t>, describe</w:t>
      </w:r>
      <w:r w:rsidR="00CC1EC7">
        <w:rPr>
          <w:rFonts w:ascii="Arial" w:hAnsi="Arial" w:cs="Arial"/>
          <w:sz w:val="20"/>
          <w:szCs w:val="20"/>
        </w:rPr>
        <w:t>d</w:t>
      </w:r>
      <w:r w:rsidR="006B7633">
        <w:rPr>
          <w:rFonts w:ascii="Arial" w:hAnsi="Arial" w:cs="Arial"/>
          <w:sz w:val="20"/>
          <w:szCs w:val="20"/>
        </w:rPr>
        <w:t xml:space="preserve"> in much more detail elsewhere</w:t>
      </w:r>
      <w:r w:rsidR="00D5413E">
        <w:rPr>
          <w:rFonts w:ascii="Arial" w:hAnsi="Arial" w:cs="Arial"/>
          <w:sz w:val="20"/>
          <w:szCs w:val="20"/>
        </w:rPr>
        <w:t xml:space="preserve"> </w:t>
      </w:r>
      <w:sdt>
        <w:sdtPr>
          <w:rPr>
            <w:rFonts w:ascii="Arial" w:hAnsi="Arial" w:cs="Arial"/>
            <w:sz w:val="20"/>
            <w:szCs w:val="20"/>
          </w:rPr>
          <w:id w:val="-1558010827"/>
          <w:citation/>
        </w:sdtPr>
        <w:sdtEndPr/>
        <w:sdtContent>
          <w:r w:rsidR="00631B86">
            <w:rPr>
              <w:rFonts w:ascii="Arial" w:hAnsi="Arial" w:cs="Arial"/>
              <w:sz w:val="20"/>
              <w:szCs w:val="20"/>
            </w:rPr>
            <w:fldChar w:fldCharType="begin"/>
          </w:r>
          <w:r w:rsidR="00A52623">
            <w:rPr>
              <w:rFonts w:ascii="Arial" w:hAnsi="Arial" w:cs="Arial"/>
              <w:sz w:val="20"/>
              <w:szCs w:val="20"/>
            </w:rPr>
            <w:instrText xml:space="preserve"> CITATION Buj13 \l 2057 </w:instrText>
          </w:r>
          <w:r w:rsidR="00631B86">
            <w:rPr>
              <w:rFonts w:ascii="Arial" w:hAnsi="Arial" w:cs="Arial"/>
              <w:sz w:val="20"/>
              <w:szCs w:val="20"/>
            </w:rPr>
            <w:fldChar w:fldCharType="separate"/>
          </w:r>
          <w:r w:rsidR="005F423A" w:rsidRPr="005F423A">
            <w:rPr>
              <w:rFonts w:ascii="Arial" w:hAnsi="Arial" w:cs="Arial"/>
              <w:noProof/>
              <w:sz w:val="20"/>
              <w:szCs w:val="20"/>
            </w:rPr>
            <w:t>(9)</w:t>
          </w:r>
          <w:r w:rsidR="00631B86">
            <w:rPr>
              <w:rFonts w:ascii="Arial" w:hAnsi="Arial" w:cs="Arial"/>
              <w:sz w:val="20"/>
              <w:szCs w:val="20"/>
            </w:rPr>
            <w:fldChar w:fldCharType="end"/>
          </w:r>
        </w:sdtContent>
      </w:sdt>
      <w:r w:rsidR="006B7633">
        <w:rPr>
          <w:rFonts w:ascii="Arial" w:hAnsi="Arial" w:cs="Arial"/>
          <w:sz w:val="20"/>
          <w:szCs w:val="20"/>
        </w:rPr>
        <w:t>,</w:t>
      </w:r>
      <w:r w:rsidR="00A52623">
        <w:rPr>
          <w:rFonts w:ascii="Arial" w:hAnsi="Arial" w:cs="Arial"/>
          <w:sz w:val="20"/>
          <w:szCs w:val="20"/>
        </w:rPr>
        <w:t xml:space="preserve"> </w:t>
      </w:r>
      <w:r w:rsidR="00D5413E">
        <w:rPr>
          <w:rFonts w:ascii="Arial" w:hAnsi="Arial" w:cs="Arial"/>
          <w:sz w:val="20"/>
          <w:szCs w:val="20"/>
        </w:rPr>
        <w:t>in the following form</w:t>
      </w:r>
    </w:p>
    <w:p w:rsidR="00E87362" w:rsidRDefault="00921FC6" w:rsidP="00AA3405">
      <w:pPr>
        <w:pStyle w:val="PlainText"/>
        <w:spacing w:line="480" w:lineRule="auto"/>
        <w:jc w:val="center"/>
        <w:rPr>
          <w:rFonts w:ascii="Arial" w:eastAsiaTheme="minorEastAsia" w:hAnsi="Arial" w:cs="Arial"/>
          <w:sz w:val="20"/>
          <w:szCs w:val="20"/>
        </w:rPr>
      </w:pPr>
      <m:oMath>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r>
                    <w:rPr>
                      <w:rFonts w:ascii="Cambria Math" w:hAnsi="Cambria Math" w:cs="Arial"/>
                      <w:sz w:val="20"/>
                      <w:szCs w:val="20"/>
                    </w:rPr>
                    <m:t>∆H</m:t>
                  </m:r>
                  <m:sSub>
                    <m:sSubPr>
                      <m:ctrlPr>
                        <w:rPr>
                          <w:rFonts w:ascii="Cambria Math" w:hAnsi="Cambria Math" w:cs="Arial"/>
                          <w:i/>
                          <w:sz w:val="20"/>
                          <w:szCs w:val="20"/>
                        </w:rPr>
                      </m:ctrlPr>
                    </m:sSubPr>
                    <m:e>
                      <m:r>
                        <w:rPr>
                          <w:rFonts w:ascii="Cambria Math" w:hAnsi="Cambria Math" w:cs="Arial"/>
                          <w:sz w:val="20"/>
                          <w:szCs w:val="20"/>
                        </w:rPr>
                        <m:t>AQ</m:t>
                      </m:r>
                    </m:e>
                    <m:sub>
                      <m:r>
                        <w:rPr>
                          <w:rFonts w:ascii="Cambria Math" w:hAnsi="Cambria Math" w:cs="Arial"/>
                          <w:sz w:val="20"/>
                          <w:szCs w:val="20"/>
                        </w:rPr>
                        <m:t>i</m:t>
                      </m:r>
                    </m:sub>
                  </m:sSub>
                </m:e>
              </m:mr>
              <m:mr>
                <m:e>
                  <m:sSub>
                    <m:sSubPr>
                      <m:ctrlPr>
                        <w:rPr>
                          <w:rFonts w:ascii="Cambria Math" w:hAnsi="Cambria Math" w:cs="Arial"/>
                          <w:i/>
                          <w:sz w:val="20"/>
                          <w:szCs w:val="20"/>
                        </w:rPr>
                      </m:ctrlPr>
                    </m:sSubPr>
                    <m:e>
                      <m:r>
                        <w:rPr>
                          <w:rFonts w:ascii="Cambria Math" w:hAnsi="Cambria Math" w:cs="Arial"/>
                          <w:sz w:val="20"/>
                          <w:szCs w:val="20"/>
                        </w:rPr>
                        <m:t>∆DAS</m:t>
                      </m:r>
                    </m:e>
                    <m:sub>
                      <m:r>
                        <w:rPr>
                          <w:rFonts w:ascii="Cambria Math" w:hAnsi="Cambria Math" w:cs="Arial"/>
                          <w:sz w:val="20"/>
                          <w:szCs w:val="20"/>
                        </w:rPr>
                        <m:t>i</m:t>
                      </m:r>
                    </m:sub>
                  </m:sSub>
                  <m:ctrlPr>
                    <w:rPr>
                      <w:rFonts w:ascii="Cambria Math" w:eastAsia="Cambria Math" w:hAnsi="Cambria Math" w:cs="Cambria Math"/>
                      <w:i/>
                      <w:sz w:val="20"/>
                      <w:szCs w:val="20"/>
                    </w:rPr>
                  </m:ctrlPr>
                </m:e>
              </m:mr>
              <m:mr>
                <m:e>
                  <m:sSub>
                    <m:sSubPr>
                      <m:ctrlPr>
                        <w:rPr>
                          <w:rFonts w:ascii="Cambria Math" w:hAnsi="Cambria Math" w:cs="Arial"/>
                          <w:i/>
                          <w:sz w:val="20"/>
                          <w:szCs w:val="20"/>
                        </w:rPr>
                      </m:ctrlPr>
                    </m:sSubPr>
                    <m:e>
                      <m:r>
                        <w:rPr>
                          <w:rFonts w:ascii="Cambria Math" w:hAnsi="Cambria Math" w:cs="Arial"/>
                          <w:sz w:val="20"/>
                          <w:szCs w:val="20"/>
                        </w:rPr>
                        <m:t>ACR20</m:t>
                      </m:r>
                    </m:e>
                    <m:sub>
                      <m:r>
                        <w:rPr>
                          <w:rFonts w:ascii="Cambria Math" w:hAnsi="Cambria Math" w:cs="Arial"/>
                          <w:sz w:val="20"/>
                          <w:szCs w:val="20"/>
                        </w:rPr>
                        <m:t>i</m:t>
                      </m:r>
                    </m:sub>
                  </m:sSub>
                </m:e>
              </m:mr>
            </m:m>
          </m:e>
        </m:d>
        <m:r>
          <w:rPr>
            <w:rFonts w:ascii="Cambria Math" w:hAnsi="Cambria Math" w:cs="Arial"/>
            <w:sz w:val="20"/>
            <w:szCs w:val="20"/>
          </w:rPr>
          <m:t>~N</m:t>
        </m:r>
        <m:d>
          <m:dPr>
            <m:ctrlPr>
              <w:rPr>
                <w:rFonts w:ascii="Cambria Math" w:hAnsi="Cambria Math" w:cs="Arial"/>
                <w:i/>
                <w:sz w:val="20"/>
                <w:szCs w:val="20"/>
              </w:rPr>
            </m:ctrlPr>
          </m:dPr>
          <m:e>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Hi</m:t>
                          </m:r>
                        </m:sub>
                      </m:sSub>
                      <m:ctrlPr>
                        <w:rPr>
                          <w:rFonts w:ascii="Cambria Math" w:eastAsia="Cambria Math" w:hAnsi="Cambria Math" w:cs="Cambria Math"/>
                          <w:i/>
                          <w:sz w:val="20"/>
                          <w:szCs w:val="20"/>
                        </w:rPr>
                      </m:ctrlPr>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Di</m:t>
                          </m:r>
                        </m:sub>
                      </m:sSub>
                    </m:e>
                  </m:m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Ai</m:t>
                          </m:r>
                        </m:sub>
                      </m:sSub>
                    </m:e>
                  </m:mr>
                </m:m>
              </m:e>
            </m:d>
            <m:r>
              <w:rPr>
                <w:rFonts w:ascii="Cambria Math" w:hAnsi="Cambria Math" w:cs="Arial"/>
                <w:sz w:val="20"/>
                <w:szCs w:val="20"/>
              </w:rPr>
              <m:t>,</m:t>
            </m:r>
            <m:d>
              <m:dPr>
                <m:ctrlPr>
                  <w:rPr>
                    <w:rFonts w:ascii="Cambria Math" w:hAnsi="Cambria Math" w:cs="Arial"/>
                    <w:i/>
                    <w:sz w:val="20"/>
                    <w:szCs w:val="20"/>
                  </w:rPr>
                </m:ctrlPr>
              </m:dPr>
              <m:e>
                <m:m>
                  <m:mPr>
                    <m:mcs>
                      <m:mc>
                        <m:mcPr>
                          <m:count m:val="3"/>
                          <m:mcJc m:val="center"/>
                        </m:mcPr>
                      </m:mc>
                    </m:mcs>
                    <m:ctrlPr>
                      <w:rPr>
                        <w:rFonts w:ascii="Cambria Math" w:hAnsi="Cambria Math" w:cs="Arial"/>
                        <w:i/>
                        <w:sz w:val="20"/>
                        <w:szCs w:val="20"/>
                      </w:rPr>
                    </m:ctrlPr>
                  </m:mPr>
                  <m:mr>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Hi</m:t>
                          </m:r>
                        </m:sub>
                        <m:sup>
                          <m:r>
                            <w:rPr>
                              <w:rFonts w:ascii="Cambria Math" w:hAnsi="Cambria Math" w:cs="Arial"/>
                              <w:sz w:val="20"/>
                              <w:szCs w:val="20"/>
                            </w:rPr>
                            <m:t>2</m:t>
                          </m:r>
                        </m:sup>
                      </m:sSubSup>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Hi</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Di</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HD</m:t>
                          </m:r>
                        </m:sup>
                      </m:sSubSup>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Hi</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Ai</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HA</m:t>
                          </m:r>
                        </m:sup>
                      </m:sSubSup>
                      <m:ctrlPr>
                        <w:rPr>
                          <w:rFonts w:ascii="Cambria Math" w:eastAsia="Cambria Math" w:hAnsi="Cambria Math" w:cs="Cambria Math"/>
                          <w:i/>
                          <w:sz w:val="20"/>
                          <w:szCs w:val="20"/>
                        </w:rPr>
                      </m:ctrlPr>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Hi</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Di</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HD</m:t>
                          </m:r>
                        </m:sup>
                      </m:sSubSup>
                      <m:ctrlPr>
                        <w:rPr>
                          <w:rFonts w:ascii="Cambria Math" w:eastAsia="Cambria Math" w:hAnsi="Cambria Math" w:cs="Cambria Math"/>
                          <w:i/>
                          <w:sz w:val="20"/>
                          <w:szCs w:val="20"/>
                        </w:rPr>
                      </m:ctrlPr>
                    </m:e>
                    <m:e>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σ</m:t>
                          </m:r>
                        </m:e>
                        <m:sub>
                          <m:r>
                            <w:rPr>
                              <w:rFonts w:ascii="Cambria Math" w:eastAsia="Cambria Math" w:hAnsi="Cambria Math" w:cs="Cambria Math"/>
                              <w:sz w:val="20"/>
                              <w:szCs w:val="20"/>
                            </w:rPr>
                            <m:t>Di</m:t>
                          </m:r>
                        </m:sub>
                        <m:sup>
                          <m:r>
                            <w:rPr>
                              <w:rFonts w:ascii="Cambria Math" w:eastAsia="Cambria Math" w:hAnsi="Cambria Math" w:cs="Cambria Math"/>
                              <w:sz w:val="20"/>
                              <w:szCs w:val="20"/>
                            </w:rPr>
                            <m:t>2</m:t>
                          </m:r>
                        </m:sup>
                      </m:sSubSup>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Di</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Ai</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DA</m:t>
                          </m:r>
                        </m:sup>
                      </m:sSubSup>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Hi</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Ai</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HA</m:t>
                          </m:r>
                        </m:sup>
                      </m:sSubSup>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Di</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σ</m:t>
                          </m:r>
                        </m:e>
                        <m:sub>
                          <m:r>
                            <w:rPr>
                              <w:rFonts w:ascii="Cambria Math" w:eastAsia="Cambria Math" w:hAnsi="Cambria Math" w:cs="Cambria Math"/>
                              <w:sz w:val="20"/>
                              <w:szCs w:val="20"/>
                            </w:rPr>
                            <m:t>Ai</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DA</m:t>
                          </m:r>
                        </m:sup>
                      </m:sSubSup>
                    </m:e>
                    <m:e>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Ai</m:t>
                          </m:r>
                        </m:sub>
                        <m:sup>
                          <m:r>
                            <w:rPr>
                              <w:rFonts w:ascii="Cambria Math" w:hAnsi="Cambria Math" w:cs="Arial"/>
                              <w:sz w:val="20"/>
                              <w:szCs w:val="20"/>
                            </w:rPr>
                            <m:t>2</m:t>
                          </m:r>
                        </m:sup>
                      </m:sSubSup>
                    </m:e>
                  </m:mr>
                </m:m>
              </m:e>
            </m:d>
          </m:e>
        </m:d>
      </m:oMath>
      <w:r w:rsidR="00E87362">
        <w:rPr>
          <w:rFonts w:ascii="Arial" w:eastAsiaTheme="minorEastAsia" w:hAnsi="Arial" w:cs="Arial"/>
          <w:sz w:val="20"/>
          <w:szCs w:val="20"/>
        </w:rPr>
        <w:tab/>
      </w:r>
      <w:r w:rsidR="00F93BAA">
        <w:rPr>
          <w:rFonts w:ascii="Arial" w:eastAsiaTheme="minorEastAsia" w:hAnsi="Arial" w:cs="Arial"/>
          <w:sz w:val="20"/>
          <w:szCs w:val="20"/>
        </w:rPr>
        <w:t>[</w:t>
      </w:r>
      <w:r w:rsidR="00E87362">
        <w:rPr>
          <w:rFonts w:ascii="Arial" w:eastAsiaTheme="minorEastAsia" w:hAnsi="Arial" w:cs="Arial"/>
          <w:sz w:val="20"/>
          <w:szCs w:val="20"/>
        </w:rPr>
        <w:t>1</w:t>
      </w:r>
      <w:r w:rsidR="00F93BAA">
        <w:rPr>
          <w:rFonts w:ascii="Arial" w:eastAsiaTheme="minorEastAsia" w:hAnsi="Arial" w:cs="Arial"/>
          <w:sz w:val="20"/>
          <w:szCs w:val="20"/>
        </w:rPr>
        <w:t>]</w:t>
      </w:r>
    </w:p>
    <w:p w:rsidR="00E20CA2" w:rsidRDefault="00921FC6" w:rsidP="00AA3405">
      <w:pPr>
        <w:pStyle w:val="PlainText"/>
        <w:spacing w:line="480" w:lineRule="auto"/>
        <w:jc w:val="center"/>
        <w:rPr>
          <w:rFonts w:ascii="Arial" w:eastAsiaTheme="minorEastAsia" w:hAnsi="Arial" w:cs="Arial"/>
          <w:sz w:val="20"/>
          <w:szCs w:val="20"/>
        </w:rPr>
      </w:pPr>
      <m:oMath>
        <m:d>
          <m:dPr>
            <m:ctrlPr>
              <w:rPr>
                <w:rFonts w:ascii="Cambria Math" w:hAnsi="Cambria Math" w:cs="Arial"/>
                <w:i/>
                <w:sz w:val="20"/>
                <w:szCs w:val="20"/>
              </w:rPr>
            </m:ctrlPr>
          </m:dPr>
          <m:e>
            <m:m>
              <m:mPr>
                <m:mcs>
                  <m:mc>
                    <m:mcPr>
                      <m:count m:val="1"/>
                      <m:mcJc m:val="center"/>
                    </m:mcPr>
                  </m:mc>
                </m:mcs>
                <m:ctrlPr>
                  <w:rPr>
                    <w:rFonts w:ascii="Cambria Math" w:hAnsi="Cambria Math" w:cs="Arial"/>
                    <w:i/>
                    <w:sz w:val="20"/>
                    <w:szCs w:val="20"/>
                  </w:rPr>
                </m:ctrlPr>
              </m:mP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Hi</m:t>
                      </m:r>
                    </m:sub>
                  </m:sSub>
                  <m:ctrlPr>
                    <w:rPr>
                      <w:rFonts w:ascii="Cambria Math" w:eastAsia="Cambria Math" w:hAnsi="Cambria Math" w:cs="Cambria Math"/>
                      <w:i/>
                      <w:sz w:val="20"/>
                      <w:szCs w:val="20"/>
                    </w:rPr>
                  </m:ctrlPr>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Di</m:t>
                      </m:r>
                    </m:sub>
                  </m:sSub>
                </m:e>
              </m:mr>
              <m:mr>
                <m:e>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Ai</m:t>
                      </m:r>
                    </m:sub>
                  </m:sSub>
                </m:e>
              </m:mr>
            </m:m>
          </m:e>
        </m:d>
        <m:r>
          <w:rPr>
            <w:rFonts w:ascii="Cambria Math" w:eastAsiaTheme="minorEastAsia" w:hAnsi="Cambria Math" w:cs="Arial"/>
            <w:sz w:val="20"/>
            <w:szCs w:val="20"/>
          </w:rPr>
          <m:t>~N</m:t>
        </m:r>
        <m:d>
          <m:dPr>
            <m:ctrlPr>
              <w:rPr>
                <w:rFonts w:ascii="Cambria Math" w:eastAsiaTheme="minorEastAsia" w:hAnsi="Cambria Math" w:cs="Arial"/>
                <w:i/>
                <w:sz w:val="20"/>
                <w:szCs w:val="20"/>
              </w:rPr>
            </m:ctrlPr>
          </m:dPr>
          <m:e>
            <m:d>
              <m:dPr>
                <m:ctrlPr>
                  <w:rPr>
                    <w:rFonts w:ascii="Cambria Math" w:eastAsiaTheme="minorEastAsia" w:hAnsi="Cambria Math" w:cs="Arial"/>
                    <w:i/>
                    <w:sz w:val="20"/>
                    <w:szCs w:val="20"/>
                  </w:rPr>
                </m:ctrlPr>
              </m:dPr>
              <m:e>
                <m:m>
                  <m:mPr>
                    <m:mcs>
                      <m:mc>
                        <m:mcPr>
                          <m:count m:val="1"/>
                          <m:mcJc m:val="center"/>
                        </m:mcPr>
                      </m:mc>
                    </m:mcs>
                    <m:ctrlPr>
                      <w:rPr>
                        <w:rFonts w:ascii="Cambria Math" w:eastAsiaTheme="minorEastAsia" w:hAnsi="Cambria Math" w:cs="Arial"/>
                        <w:i/>
                        <w:sz w:val="20"/>
                        <w:szCs w:val="20"/>
                      </w:rPr>
                    </m:ctrlPr>
                  </m:mPr>
                  <m:m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β</m:t>
                          </m:r>
                        </m:e>
                        <m:sub>
                          <m:r>
                            <w:rPr>
                              <w:rFonts w:ascii="Cambria Math" w:eastAsiaTheme="minorEastAsia" w:hAnsi="Cambria Math" w:cs="Arial"/>
                              <w:sz w:val="20"/>
                              <w:szCs w:val="20"/>
                            </w:rPr>
                            <m:t>H</m:t>
                          </m:r>
                        </m:sub>
                      </m:sSub>
                      <m:ctrlPr>
                        <w:rPr>
                          <w:rFonts w:ascii="Cambria Math" w:eastAsia="Cambria Math" w:hAnsi="Cambria Math" w:cs="Cambria Math"/>
                          <w:i/>
                          <w:sz w:val="20"/>
                          <w:szCs w:val="20"/>
                        </w:rPr>
                      </m:ctrlPr>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β</m:t>
                          </m:r>
                        </m:e>
                        <m:sub>
                          <m:r>
                            <w:rPr>
                              <w:rFonts w:ascii="Cambria Math" w:eastAsia="Cambria Math" w:hAnsi="Cambria Math" w:cs="Cambria Math"/>
                              <w:sz w:val="20"/>
                              <w:szCs w:val="20"/>
                            </w:rPr>
                            <m:t>D</m:t>
                          </m:r>
                        </m:sub>
                      </m:sSub>
                    </m:e>
                  </m:mr>
                  <m:m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β</m:t>
                          </m:r>
                        </m:e>
                        <m:sub>
                          <m:r>
                            <w:rPr>
                              <w:rFonts w:ascii="Cambria Math" w:eastAsiaTheme="minorEastAsia" w:hAnsi="Cambria Math" w:cs="Arial"/>
                              <w:sz w:val="20"/>
                              <w:szCs w:val="20"/>
                            </w:rPr>
                            <m:t>A</m:t>
                          </m:r>
                        </m:sub>
                      </m:sSub>
                    </m:e>
                  </m:mr>
                </m:m>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m>
                  <m:mPr>
                    <m:mcs>
                      <m:mc>
                        <m:mcPr>
                          <m:count m:val="3"/>
                          <m:mcJc m:val="center"/>
                        </m:mcPr>
                      </m:mc>
                    </m:mcs>
                    <m:ctrlPr>
                      <w:rPr>
                        <w:rFonts w:ascii="Cambria Math" w:eastAsiaTheme="minorEastAsia" w:hAnsi="Cambria Math" w:cs="Arial"/>
                        <w:i/>
                        <w:sz w:val="20"/>
                        <w:szCs w:val="20"/>
                      </w:rPr>
                    </m:ctrlPr>
                  </m:mPr>
                  <m:mr>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τ</m:t>
                          </m:r>
                        </m:e>
                        <m:sub>
                          <m:r>
                            <w:rPr>
                              <w:rFonts w:ascii="Cambria Math" w:eastAsiaTheme="minorEastAsia" w:hAnsi="Cambria Math" w:cs="Arial"/>
                              <w:sz w:val="20"/>
                              <w:szCs w:val="20"/>
                            </w:rPr>
                            <m:t>H</m:t>
                          </m:r>
                        </m:sub>
                        <m:sup>
                          <m:r>
                            <w:rPr>
                              <w:rFonts w:ascii="Cambria Math" w:eastAsiaTheme="minorEastAsia" w:hAnsi="Cambria Math" w:cs="Arial"/>
                              <w:sz w:val="20"/>
                              <w:szCs w:val="20"/>
                            </w:rPr>
                            <m:t>2</m:t>
                          </m:r>
                        </m:sup>
                      </m:sSubSup>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H</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D</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HD</m:t>
                          </m:r>
                        </m:sup>
                      </m:sSubSup>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H</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A</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HA</m:t>
                          </m:r>
                        </m:sup>
                      </m:sSubSup>
                      <m:ctrlPr>
                        <w:rPr>
                          <w:rFonts w:ascii="Cambria Math" w:eastAsia="Cambria Math" w:hAnsi="Cambria Math" w:cs="Cambria Math"/>
                          <w:i/>
                          <w:sz w:val="20"/>
                          <w:szCs w:val="20"/>
                        </w:rPr>
                      </m:ctrlPr>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H</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D</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HD</m:t>
                          </m:r>
                        </m:sup>
                      </m:sSubSup>
                      <m:ctrlPr>
                        <w:rPr>
                          <w:rFonts w:ascii="Cambria Math" w:eastAsia="Cambria Math" w:hAnsi="Cambria Math" w:cs="Cambria Math"/>
                          <w:i/>
                          <w:sz w:val="20"/>
                          <w:szCs w:val="20"/>
                        </w:rPr>
                      </m:ctrlPr>
                    </m:e>
                    <m:e>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τ</m:t>
                          </m:r>
                        </m:e>
                        <m:sub>
                          <m:r>
                            <w:rPr>
                              <w:rFonts w:ascii="Cambria Math" w:eastAsia="Cambria Math" w:hAnsi="Cambria Math" w:cs="Cambria Math"/>
                              <w:sz w:val="20"/>
                              <w:szCs w:val="20"/>
                            </w:rPr>
                            <m:t>D</m:t>
                          </m:r>
                        </m:sub>
                        <m:sup>
                          <m:r>
                            <w:rPr>
                              <w:rFonts w:ascii="Cambria Math" w:eastAsia="Cambria Math" w:hAnsi="Cambria Math" w:cs="Cambria Math"/>
                              <w:sz w:val="20"/>
                              <w:szCs w:val="20"/>
                            </w:rPr>
                            <m:t>2</m:t>
                          </m:r>
                        </m:sup>
                      </m:sSubSup>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D</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A</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DA</m:t>
                          </m:r>
                        </m:sup>
                      </m:sSubSup>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H</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A</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HA</m:t>
                          </m:r>
                        </m:sup>
                      </m:sSubSup>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D</m:t>
                          </m:r>
                        </m:sub>
                      </m:s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A</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DA</m:t>
                          </m:r>
                        </m:sup>
                      </m:sSubSup>
                    </m:e>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τ</m:t>
                          </m:r>
                        </m:e>
                        <m:sub>
                          <m:r>
                            <w:rPr>
                              <w:rFonts w:ascii="Cambria Math" w:eastAsiaTheme="minorEastAsia" w:hAnsi="Cambria Math" w:cs="Arial"/>
                              <w:sz w:val="20"/>
                              <w:szCs w:val="20"/>
                            </w:rPr>
                            <m:t>A</m:t>
                          </m:r>
                        </m:sub>
                        <m:sup>
                          <m:r>
                            <w:rPr>
                              <w:rFonts w:ascii="Cambria Math" w:eastAsiaTheme="minorEastAsia" w:hAnsi="Cambria Math" w:cs="Arial"/>
                              <w:sz w:val="20"/>
                              <w:szCs w:val="20"/>
                            </w:rPr>
                            <m:t>2</m:t>
                          </m:r>
                        </m:sup>
                      </m:sSubSup>
                    </m:e>
                  </m:mr>
                </m:m>
              </m:e>
            </m:d>
          </m:e>
        </m:d>
      </m:oMath>
      <w:r w:rsidR="00150577">
        <w:rPr>
          <w:rFonts w:ascii="Arial" w:eastAsiaTheme="minorEastAsia" w:hAnsi="Arial" w:cs="Arial"/>
          <w:sz w:val="20"/>
          <w:szCs w:val="20"/>
        </w:rPr>
        <w:tab/>
      </w:r>
      <w:r w:rsidR="00F93BAA">
        <w:rPr>
          <w:rFonts w:ascii="Arial" w:eastAsiaTheme="minorEastAsia" w:hAnsi="Arial" w:cs="Arial"/>
          <w:sz w:val="20"/>
          <w:szCs w:val="20"/>
        </w:rPr>
        <w:t>[</w:t>
      </w:r>
      <w:r w:rsidR="00150577">
        <w:rPr>
          <w:rFonts w:ascii="Arial" w:eastAsiaTheme="minorEastAsia" w:hAnsi="Arial" w:cs="Arial"/>
          <w:sz w:val="20"/>
          <w:szCs w:val="20"/>
        </w:rPr>
        <w:t>2</w:t>
      </w:r>
      <w:r w:rsidR="00F93BAA">
        <w:rPr>
          <w:rFonts w:ascii="Arial" w:eastAsiaTheme="minorEastAsia" w:hAnsi="Arial" w:cs="Arial"/>
          <w:sz w:val="20"/>
          <w:szCs w:val="20"/>
        </w:rPr>
        <w:t>]</w:t>
      </w:r>
    </w:p>
    <w:p w:rsidR="00E20CA2" w:rsidRDefault="00E20CA2" w:rsidP="00AA3405">
      <w:pPr>
        <w:pStyle w:val="PlainText"/>
        <w:spacing w:line="480" w:lineRule="auto"/>
        <w:jc w:val="both"/>
        <w:rPr>
          <w:rFonts w:ascii="Arial" w:eastAsiaTheme="minorEastAsia" w:hAnsi="Arial" w:cs="Arial"/>
          <w:sz w:val="20"/>
          <w:szCs w:val="20"/>
        </w:rPr>
      </w:pPr>
    </w:p>
    <w:p w:rsidR="00B347A8" w:rsidRPr="008D4928" w:rsidRDefault="00766B1E" w:rsidP="00AA3405">
      <w:pPr>
        <w:pStyle w:val="PlainText"/>
        <w:spacing w:line="480" w:lineRule="auto"/>
        <w:jc w:val="both"/>
        <w:rPr>
          <w:rFonts w:ascii="Arial" w:hAnsi="Arial" w:cs="Arial"/>
          <w:sz w:val="20"/>
          <w:szCs w:val="20"/>
        </w:rPr>
      </w:pPr>
      <w:proofErr w:type="gramStart"/>
      <w:r>
        <w:rPr>
          <w:rFonts w:ascii="Arial" w:hAnsi="Arial" w:cs="Arial"/>
          <w:sz w:val="20"/>
          <w:szCs w:val="20"/>
        </w:rPr>
        <w:t>which</w:t>
      </w:r>
      <w:proofErr w:type="gramEnd"/>
      <w:r>
        <w:rPr>
          <w:rFonts w:ascii="Arial" w:hAnsi="Arial" w:cs="Arial"/>
          <w:sz w:val="20"/>
          <w:szCs w:val="20"/>
        </w:rPr>
        <w:t xml:space="preserve"> has a hierarchical structure: the </w:t>
      </w:r>
      <w:r w:rsidR="003E7B3C">
        <w:rPr>
          <w:rFonts w:ascii="Arial" w:hAnsi="Arial" w:cs="Arial"/>
          <w:sz w:val="20"/>
          <w:szCs w:val="20"/>
        </w:rPr>
        <w:t xml:space="preserve">correlated </w:t>
      </w:r>
      <w:r>
        <w:rPr>
          <w:rFonts w:ascii="Arial" w:hAnsi="Arial" w:cs="Arial"/>
          <w:sz w:val="20"/>
          <w:szCs w:val="20"/>
        </w:rPr>
        <w:t xml:space="preserve">outcomes </w:t>
      </w:r>
      <w:r w:rsidR="0072539C">
        <w:rPr>
          <w:rFonts w:ascii="Arial" w:hAnsi="Arial" w:cs="Arial"/>
          <w:sz w:val="20"/>
          <w:szCs w:val="20"/>
        </w:rPr>
        <w:t>(</w:t>
      </w:r>
      <m:oMath>
        <m:r>
          <m:rPr>
            <m:sty m:val="p"/>
          </m:rPr>
          <w:rPr>
            <w:rFonts w:ascii="Cambria Math" w:hAnsi="Cambria Math" w:cs="Arial"/>
            <w:sz w:val="20"/>
            <w:szCs w:val="20"/>
          </w:rPr>
          <m:t>ΔHAQ, ΔDAS and ACR20</m:t>
        </m:r>
      </m:oMath>
      <w:r w:rsidR="0072539C">
        <w:rPr>
          <w:rFonts w:ascii="Arial" w:hAnsi="Arial" w:cs="Arial"/>
          <w:sz w:val="20"/>
          <w:szCs w:val="20"/>
        </w:rPr>
        <w:t xml:space="preserve">) </w:t>
      </w:r>
      <w:r w:rsidR="003E7B3C">
        <w:rPr>
          <w:rFonts w:ascii="Arial" w:hAnsi="Arial" w:cs="Arial"/>
          <w:sz w:val="20"/>
          <w:szCs w:val="20"/>
        </w:rPr>
        <w:t>in each study</w:t>
      </w:r>
      <w:r w:rsidR="0072539C">
        <w:rPr>
          <w:rFonts w:ascii="Arial" w:hAnsi="Arial" w:cs="Arial"/>
          <w:sz w:val="20"/>
          <w:szCs w:val="20"/>
        </w:rPr>
        <w:t xml:space="preserve"> </w:t>
      </w:r>
      <m:oMath>
        <m:r>
          <w:rPr>
            <w:rFonts w:ascii="Cambria Math" w:hAnsi="Cambria Math" w:cs="Arial"/>
            <w:sz w:val="20"/>
            <w:szCs w:val="20"/>
          </w:rPr>
          <m:t>i</m:t>
        </m:r>
      </m:oMath>
      <w:r w:rsidR="0072539C">
        <w:rPr>
          <w:rFonts w:ascii="Arial" w:hAnsi="Arial" w:cs="Arial"/>
          <w:sz w:val="20"/>
          <w:szCs w:val="20"/>
        </w:rPr>
        <w:t xml:space="preserve"> </w:t>
      </w:r>
      <w:r w:rsidR="003E7B3C">
        <w:rPr>
          <w:rFonts w:ascii="Arial" w:hAnsi="Arial" w:cs="Arial"/>
          <w:sz w:val="20"/>
          <w:szCs w:val="20"/>
        </w:rPr>
        <w:t xml:space="preserve">follow a multivariate normal distribution and they </w:t>
      </w:r>
      <w:r>
        <w:rPr>
          <w:rFonts w:ascii="Arial" w:hAnsi="Arial" w:cs="Arial"/>
          <w:sz w:val="20"/>
          <w:szCs w:val="20"/>
        </w:rPr>
        <w:t xml:space="preserve">are </w:t>
      </w:r>
      <w:r w:rsidR="003E7B3C">
        <w:rPr>
          <w:rFonts w:ascii="Arial" w:hAnsi="Arial" w:cs="Arial"/>
          <w:sz w:val="20"/>
          <w:szCs w:val="20"/>
        </w:rPr>
        <w:t xml:space="preserve">assumed to be the </w:t>
      </w:r>
      <w:r>
        <w:rPr>
          <w:rFonts w:ascii="Arial" w:hAnsi="Arial" w:cs="Arial"/>
          <w:sz w:val="20"/>
          <w:szCs w:val="20"/>
        </w:rPr>
        <w:t xml:space="preserve">estimates of underlying </w:t>
      </w:r>
      <w:r w:rsidR="003E7B3C">
        <w:rPr>
          <w:rFonts w:ascii="Arial" w:hAnsi="Arial" w:cs="Arial"/>
          <w:sz w:val="20"/>
          <w:szCs w:val="20"/>
        </w:rPr>
        <w:t xml:space="preserve">correlated </w:t>
      </w:r>
      <w:r>
        <w:rPr>
          <w:rFonts w:ascii="Arial" w:hAnsi="Arial" w:cs="Arial"/>
          <w:sz w:val="20"/>
          <w:szCs w:val="20"/>
        </w:rPr>
        <w:t xml:space="preserve">effects </w:t>
      </w:r>
      <w:r w:rsidR="0072539C">
        <w:rPr>
          <w:rFonts w:ascii="Arial" w:hAnsi="Arial" w:cs="Arial"/>
          <w:sz w:val="20"/>
          <w:szCs w:val="20"/>
        </w:rPr>
        <w:t>(</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Hi</m:t>
            </m:r>
          </m:sub>
        </m:sSub>
        <m:r>
          <w:rPr>
            <w:rFonts w:ascii="Cambria Math" w:hAnsi="Cambria Math" w:cs="Arial"/>
            <w:sz w:val="20"/>
            <w:szCs w:val="20"/>
          </w:rPr>
          <m:t xml:space="preserve">, </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Di</m:t>
            </m:r>
          </m:sub>
        </m:sSub>
        <m:r>
          <w:rPr>
            <w:rFonts w:ascii="Cambria Math" w:eastAsia="Cambria Math" w:hAnsi="Cambria Math" w:cs="Cambria Math"/>
            <w:sz w:val="20"/>
            <w:szCs w:val="20"/>
          </w:rPr>
          <m:t xml:space="preserve">, </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Ai</m:t>
            </m:r>
          </m:sub>
        </m:sSub>
      </m:oMath>
      <w:r w:rsidR="0072539C">
        <w:rPr>
          <w:rFonts w:ascii="Arial" w:hAnsi="Arial" w:cs="Arial"/>
          <w:sz w:val="20"/>
          <w:szCs w:val="20"/>
        </w:rPr>
        <w:t xml:space="preserve">) </w:t>
      </w:r>
      <w:r>
        <w:rPr>
          <w:rFonts w:ascii="Arial" w:hAnsi="Arial" w:cs="Arial"/>
          <w:sz w:val="20"/>
          <w:szCs w:val="20"/>
        </w:rPr>
        <w:t>for the individual studies (the within</w:t>
      </w:r>
      <w:r w:rsidR="003B5CE1">
        <w:rPr>
          <w:rFonts w:ascii="Arial" w:hAnsi="Arial" w:cs="Arial"/>
          <w:sz w:val="20"/>
          <w:szCs w:val="20"/>
        </w:rPr>
        <w:t>-</w:t>
      </w:r>
      <w:r>
        <w:rPr>
          <w:rFonts w:ascii="Arial" w:hAnsi="Arial" w:cs="Arial"/>
          <w:sz w:val="20"/>
          <w:szCs w:val="20"/>
        </w:rPr>
        <w:t>study</w:t>
      </w:r>
      <w:r w:rsidR="003B5CE1">
        <w:rPr>
          <w:rFonts w:ascii="Arial" w:hAnsi="Arial" w:cs="Arial"/>
          <w:sz w:val="20"/>
          <w:szCs w:val="20"/>
        </w:rPr>
        <w:t xml:space="preserve"> </w:t>
      </w:r>
      <w:r>
        <w:rPr>
          <w:rFonts w:ascii="Arial" w:hAnsi="Arial" w:cs="Arial"/>
          <w:sz w:val="20"/>
          <w:szCs w:val="20"/>
        </w:rPr>
        <w:t>models</w:t>
      </w:r>
      <w:r w:rsidR="0072539C">
        <w:rPr>
          <w:rFonts w:ascii="Arial" w:hAnsi="Arial" w:cs="Arial"/>
          <w:sz w:val="20"/>
          <w:szCs w:val="20"/>
        </w:rPr>
        <w:t xml:space="preserve"> in </w:t>
      </w:r>
      <w:r w:rsidR="00F93BAA">
        <w:rPr>
          <w:rFonts w:ascii="Arial" w:hAnsi="Arial" w:cs="Arial"/>
          <w:sz w:val="20"/>
          <w:szCs w:val="20"/>
        </w:rPr>
        <w:t xml:space="preserve">equation </w:t>
      </w:r>
      <w:r w:rsidR="003C4875">
        <w:rPr>
          <w:rFonts w:ascii="Arial" w:hAnsi="Arial" w:cs="Arial"/>
          <w:sz w:val="20"/>
          <w:szCs w:val="20"/>
        </w:rPr>
        <w:t>[</w:t>
      </w:r>
      <w:r w:rsidR="0072539C">
        <w:rPr>
          <w:rFonts w:ascii="Arial" w:hAnsi="Arial" w:cs="Arial"/>
          <w:sz w:val="20"/>
          <w:szCs w:val="20"/>
        </w:rPr>
        <w:t>1</w:t>
      </w:r>
      <w:r w:rsidR="003C4875">
        <w:rPr>
          <w:rFonts w:ascii="Arial" w:hAnsi="Arial" w:cs="Arial"/>
          <w:sz w:val="20"/>
          <w:szCs w:val="20"/>
        </w:rPr>
        <w:t>]</w:t>
      </w:r>
      <w:r>
        <w:rPr>
          <w:rFonts w:ascii="Arial" w:hAnsi="Arial" w:cs="Arial"/>
          <w:sz w:val="20"/>
          <w:szCs w:val="20"/>
        </w:rPr>
        <w:t>)</w:t>
      </w:r>
      <w:r w:rsidR="002213D5">
        <w:rPr>
          <w:rFonts w:ascii="Arial" w:hAnsi="Arial" w:cs="Arial"/>
          <w:sz w:val="20"/>
          <w:szCs w:val="20"/>
        </w:rPr>
        <w:t>.</w:t>
      </w:r>
      <w:r>
        <w:rPr>
          <w:rFonts w:ascii="Arial" w:hAnsi="Arial" w:cs="Arial"/>
          <w:sz w:val="20"/>
          <w:szCs w:val="20"/>
        </w:rPr>
        <w:t xml:space="preserve"> </w:t>
      </w:r>
      <w:r w:rsidR="002213D5">
        <w:rPr>
          <w:rFonts w:ascii="Arial" w:hAnsi="Arial" w:cs="Arial"/>
          <w:sz w:val="20"/>
          <w:szCs w:val="20"/>
        </w:rPr>
        <w:t>T</w:t>
      </w:r>
      <w:r>
        <w:rPr>
          <w:rFonts w:ascii="Arial" w:hAnsi="Arial" w:cs="Arial"/>
          <w:sz w:val="20"/>
          <w:szCs w:val="20"/>
        </w:rPr>
        <w:t xml:space="preserve">hese </w:t>
      </w:r>
      <w:r w:rsidR="003E7B3C">
        <w:rPr>
          <w:rFonts w:ascii="Arial" w:hAnsi="Arial" w:cs="Arial"/>
          <w:sz w:val="20"/>
          <w:szCs w:val="20"/>
        </w:rPr>
        <w:t xml:space="preserve">study-level </w:t>
      </w:r>
      <w:r>
        <w:rPr>
          <w:rFonts w:ascii="Arial" w:hAnsi="Arial" w:cs="Arial"/>
          <w:sz w:val="20"/>
          <w:szCs w:val="20"/>
        </w:rPr>
        <w:t xml:space="preserve">effects </w:t>
      </w:r>
      <w:r w:rsidR="003E7B3C">
        <w:rPr>
          <w:rFonts w:ascii="Arial" w:hAnsi="Arial" w:cs="Arial"/>
          <w:sz w:val="20"/>
          <w:szCs w:val="20"/>
        </w:rPr>
        <w:t>are assumed to follow</w:t>
      </w:r>
      <w:r>
        <w:rPr>
          <w:rFonts w:ascii="Arial" w:hAnsi="Arial" w:cs="Arial"/>
          <w:sz w:val="20"/>
          <w:szCs w:val="20"/>
        </w:rPr>
        <w:t xml:space="preserve"> a common distribution (the between-study model</w:t>
      </w:r>
      <w:r w:rsidR="0072539C">
        <w:rPr>
          <w:rFonts w:ascii="Arial" w:hAnsi="Arial" w:cs="Arial"/>
          <w:sz w:val="20"/>
          <w:szCs w:val="20"/>
        </w:rPr>
        <w:t xml:space="preserve"> in </w:t>
      </w:r>
      <w:r w:rsidR="00F93BAA">
        <w:rPr>
          <w:rFonts w:ascii="Arial" w:hAnsi="Arial" w:cs="Arial"/>
          <w:sz w:val="20"/>
          <w:szCs w:val="20"/>
        </w:rPr>
        <w:t>equation</w:t>
      </w:r>
      <w:r w:rsidR="0072539C">
        <w:rPr>
          <w:rFonts w:ascii="Arial" w:hAnsi="Arial" w:cs="Arial"/>
          <w:sz w:val="20"/>
          <w:szCs w:val="20"/>
        </w:rPr>
        <w:t xml:space="preserve"> </w:t>
      </w:r>
      <w:r w:rsidR="003C4875">
        <w:rPr>
          <w:rFonts w:ascii="Arial" w:hAnsi="Arial" w:cs="Arial"/>
          <w:sz w:val="20"/>
          <w:szCs w:val="20"/>
        </w:rPr>
        <w:t>[</w:t>
      </w:r>
      <w:r w:rsidR="0072539C">
        <w:rPr>
          <w:rFonts w:ascii="Arial" w:hAnsi="Arial" w:cs="Arial"/>
          <w:sz w:val="20"/>
          <w:szCs w:val="20"/>
        </w:rPr>
        <w:t>2</w:t>
      </w:r>
      <w:r w:rsidR="003C4875">
        <w:rPr>
          <w:rFonts w:ascii="Arial" w:hAnsi="Arial" w:cs="Arial"/>
          <w:sz w:val="20"/>
          <w:szCs w:val="20"/>
        </w:rPr>
        <w:t>]</w:t>
      </w:r>
      <w:r w:rsidR="00B347A8">
        <w:rPr>
          <w:rFonts w:ascii="Arial" w:hAnsi="Arial" w:cs="Arial"/>
          <w:sz w:val="20"/>
          <w:szCs w:val="20"/>
        </w:rPr>
        <w:t>)</w:t>
      </w:r>
      <w:r>
        <w:rPr>
          <w:rFonts w:ascii="Arial" w:hAnsi="Arial" w:cs="Arial"/>
          <w:sz w:val="20"/>
          <w:szCs w:val="20"/>
        </w:rPr>
        <w:t xml:space="preserve">. </w:t>
      </w:r>
      <w:r w:rsidR="002213D5">
        <w:rPr>
          <w:rFonts w:ascii="Arial" w:hAnsi="Arial" w:cs="Arial"/>
          <w:sz w:val="20"/>
          <w:szCs w:val="20"/>
        </w:rPr>
        <w:t xml:space="preserve">This meta-analytic model can be used for a bivariate and univariate analyses by reducing the size of the matrices in the equations. </w:t>
      </w:r>
      <w:r>
        <w:rPr>
          <w:rFonts w:ascii="Arial" w:hAnsi="Arial" w:cs="Arial"/>
          <w:sz w:val="20"/>
          <w:szCs w:val="20"/>
        </w:rPr>
        <w:t xml:space="preserve">The within-study variances </w:t>
      </w:r>
      <w:r w:rsidR="00F21663">
        <w:rPr>
          <w:rFonts w:ascii="Arial" w:hAnsi="Arial" w:cs="Arial"/>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Hi</m:t>
            </m:r>
          </m:sub>
          <m:sup>
            <m:r>
              <w:rPr>
                <w:rFonts w:ascii="Cambria Math" w:hAnsi="Cambria Math" w:cs="Arial"/>
                <w:sz w:val="20"/>
                <w:szCs w:val="20"/>
              </w:rPr>
              <m:t>2</m:t>
            </m:r>
          </m:sup>
        </m:sSubSup>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Di</m:t>
            </m:r>
          </m:sub>
          <m:sup>
            <m:r>
              <w:rPr>
                <w:rFonts w:ascii="Cambria Math" w:hAnsi="Cambria Math" w:cs="Arial"/>
                <w:sz w:val="20"/>
                <w:szCs w:val="20"/>
              </w:rPr>
              <m:t>2</m:t>
            </m:r>
          </m:sup>
        </m:sSubSup>
      </m:oMath>
      <w:r w:rsidR="00F21663">
        <w:rPr>
          <w:rFonts w:ascii="Arial" w:eastAsiaTheme="minorEastAsia" w:hAnsi="Arial" w:cs="Arial"/>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Ai</m:t>
            </m:r>
          </m:sub>
          <m:sup>
            <m:r>
              <w:rPr>
                <w:rFonts w:ascii="Cambria Math" w:hAnsi="Cambria Math" w:cs="Arial"/>
                <w:sz w:val="20"/>
                <w:szCs w:val="20"/>
              </w:rPr>
              <m:t>2</m:t>
            </m:r>
          </m:sup>
        </m:sSubSup>
      </m:oMath>
      <w:r w:rsidR="00F21663">
        <w:rPr>
          <w:rFonts w:ascii="Arial" w:hAnsi="Arial" w:cs="Arial"/>
          <w:sz w:val="20"/>
          <w:szCs w:val="20"/>
        </w:rPr>
        <w:t xml:space="preserve">) </w:t>
      </w:r>
      <w:r>
        <w:rPr>
          <w:rFonts w:ascii="Arial" w:hAnsi="Arial" w:cs="Arial"/>
          <w:sz w:val="20"/>
          <w:szCs w:val="20"/>
        </w:rPr>
        <w:t>are assumed to be known</w:t>
      </w:r>
      <w:r w:rsidR="00BF0BC3">
        <w:rPr>
          <w:rFonts w:ascii="Arial" w:hAnsi="Arial" w:cs="Arial"/>
          <w:sz w:val="20"/>
          <w:szCs w:val="20"/>
        </w:rPr>
        <w:t xml:space="preserve"> (for studies reporting the relevant outcomes)</w:t>
      </w:r>
      <w:r>
        <w:rPr>
          <w:rFonts w:ascii="Arial" w:hAnsi="Arial" w:cs="Arial"/>
          <w:sz w:val="20"/>
          <w:szCs w:val="20"/>
        </w:rPr>
        <w:t xml:space="preserve"> but </w:t>
      </w:r>
      <w:r w:rsidR="00D305AC">
        <w:rPr>
          <w:rFonts w:ascii="Arial" w:hAnsi="Arial" w:cs="Arial"/>
          <w:sz w:val="20"/>
          <w:szCs w:val="20"/>
        </w:rPr>
        <w:t xml:space="preserve">prior distributions need to be specified for </w:t>
      </w:r>
      <w:r>
        <w:rPr>
          <w:rFonts w:ascii="Arial" w:hAnsi="Arial" w:cs="Arial"/>
          <w:sz w:val="20"/>
          <w:szCs w:val="20"/>
        </w:rPr>
        <w:t xml:space="preserve">the </w:t>
      </w:r>
      <w:r w:rsidR="00F21663">
        <w:rPr>
          <w:rFonts w:ascii="Arial" w:hAnsi="Arial" w:cs="Arial"/>
          <w:sz w:val="20"/>
          <w:szCs w:val="20"/>
        </w:rPr>
        <w:t xml:space="preserve">within-study </w:t>
      </w:r>
      <w:r>
        <w:rPr>
          <w:rFonts w:ascii="Arial" w:hAnsi="Arial" w:cs="Arial"/>
          <w:sz w:val="20"/>
          <w:szCs w:val="20"/>
        </w:rPr>
        <w:t>correlations</w:t>
      </w:r>
      <w:r w:rsidR="00F21663">
        <w:rPr>
          <w:rFonts w:ascii="Arial" w:hAnsi="Arial" w:cs="Arial"/>
          <w:sz w:val="20"/>
          <w:szCs w:val="20"/>
        </w:rPr>
        <w:t xml:space="preserve"> (</w:t>
      </w:r>
      <m:oMath>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HD</m:t>
            </m:r>
          </m:sup>
        </m:sSubSup>
        <m:r>
          <w:rPr>
            <w:rFonts w:ascii="Cambria Math" w:eastAsia="Cambria Math" w:hAnsi="Cambria Math" w:cs="Cambria Math"/>
            <w:sz w:val="20"/>
            <w:szCs w:val="20"/>
          </w:rPr>
          <m:t>,</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HA</m:t>
            </m:r>
          </m:sup>
        </m:sSubSup>
        <m:r>
          <w:rPr>
            <w:rFonts w:ascii="Cambria Math" w:eastAsia="Cambria Math" w:hAnsi="Cambria Math" w:cs="Cambria Math"/>
            <w:sz w:val="20"/>
            <w:szCs w:val="20"/>
          </w:rPr>
          <m:t>,</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wi</m:t>
            </m:r>
          </m:sub>
          <m:sup>
            <m:r>
              <w:rPr>
                <w:rFonts w:ascii="Cambria Math" w:eastAsia="Cambria Math" w:hAnsi="Cambria Math" w:cs="Cambria Math"/>
                <w:sz w:val="20"/>
                <w:szCs w:val="20"/>
              </w:rPr>
              <m:t>DA</m:t>
            </m:r>
          </m:sup>
        </m:sSubSup>
        <m:r>
          <w:rPr>
            <w:rFonts w:ascii="Cambria Math" w:eastAsia="Cambria Math" w:hAnsi="Cambria Math" w:cs="Cambria Math"/>
            <w:sz w:val="20"/>
            <w:szCs w:val="20"/>
          </w:rPr>
          <m:t>)</m:t>
        </m:r>
      </m:oMath>
      <w:r w:rsidR="00BF0BC3">
        <w:rPr>
          <w:rFonts w:ascii="Arial" w:hAnsi="Arial" w:cs="Arial"/>
          <w:sz w:val="20"/>
          <w:szCs w:val="20"/>
        </w:rPr>
        <w:t xml:space="preserve"> as none of the studies in the “Lloyd data” reported them</w:t>
      </w:r>
      <w:r w:rsidR="00D305AC">
        <w:rPr>
          <w:rFonts w:ascii="Arial" w:hAnsi="Arial" w:cs="Arial"/>
          <w:sz w:val="20"/>
          <w:szCs w:val="20"/>
        </w:rPr>
        <w:t xml:space="preserve">. </w:t>
      </w:r>
      <w:r w:rsidR="00660D2D">
        <w:rPr>
          <w:rFonts w:ascii="Arial" w:hAnsi="Arial" w:cs="Arial"/>
          <w:sz w:val="20"/>
          <w:szCs w:val="20"/>
        </w:rPr>
        <w:t xml:space="preserve">Prior distributions for the within-study correlations were constructed using the external IPD described above. </w:t>
      </w:r>
      <w:r w:rsidR="00D305AC">
        <w:rPr>
          <w:rFonts w:ascii="Arial" w:hAnsi="Arial" w:cs="Arial"/>
          <w:sz w:val="20"/>
          <w:szCs w:val="20"/>
        </w:rPr>
        <w:t xml:space="preserve">The elements of the covariance matrix of the between-study model </w:t>
      </w:r>
      <w:r w:rsidR="007A7B94">
        <w:rPr>
          <w:rFonts w:ascii="Arial" w:hAnsi="Arial" w:cs="Arial"/>
          <w:sz w:val="20"/>
          <w:szCs w:val="20"/>
        </w:rPr>
        <w:t>(the between-study variances (</w:t>
      </w:r>
      <m:oMath>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τ</m:t>
            </m:r>
          </m:e>
          <m:sub>
            <m:r>
              <w:rPr>
                <w:rFonts w:ascii="Cambria Math" w:eastAsiaTheme="minorEastAsia" w:hAnsi="Cambria Math" w:cs="Arial"/>
                <w:sz w:val="20"/>
                <w:szCs w:val="20"/>
              </w:rPr>
              <m:t>H</m:t>
            </m:r>
          </m:sub>
          <m:sup>
            <m:r>
              <w:rPr>
                <w:rFonts w:ascii="Cambria Math" w:eastAsiaTheme="minorEastAsia" w:hAnsi="Cambria Math" w:cs="Arial"/>
                <w:sz w:val="20"/>
                <w:szCs w:val="20"/>
              </w:rPr>
              <m:t>2</m:t>
            </m:r>
          </m:sup>
        </m:sSubSup>
        <m:r>
          <w:rPr>
            <w:rFonts w:ascii="Cambria Math" w:eastAsiaTheme="minorEastAsia" w:hAnsi="Cambria Math" w:cs="Arial"/>
            <w:sz w:val="20"/>
            <w:szCs w:val="20"/>
          </w:rPr>
          <m:t xml:space="preserve">, </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τ</m:t>
            </m:r>
          </m:e>
          <m:sub>
            <m:r>
              <w:rPr>
                <w:rFonts w:ascii="Cambria Math" w:eastAsia="Cambria Math" w:hAnsi="Cambria Math" w:cs="Cambria Math"/>
                <w:sz w:val="20"/>
                <w:szCs w:val="20"/>
              </w:rPr>
              <m:t>D</m:t>
            </m:r>
          </m:sub>
          <m:sup>
            <m:r>
              <w:rPr>
                <w:rFonts w:ascii="Cambria Math" w:eastAsia="Cambria Math" w:hAnsi="Cambria Math" w:cs="Cambria Math"/>
                <w:sz w:val="20"/>
                <w:szCs w:val="20"/>
              </w:rPr>
              <m:t>2</m:t>
            </m:r>
          </m:sup>
        </m:sSubSup>
        <m:r>
          <w:rPr>
            <w:rFonts w:ascii="Cambria Math" w:eastAsia="Cambria Math" w:hAnsi="Cambria Math" w:cs="Cambria Math"/>
            <w:sz w:val="20"/>
            <w:szCs w:val="20"/>
          </w:rPr>
          <m:t>,</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τ</m:t>
            </m:r>
          </m:e>
          <m:sub>
            <m:r>
              <w:rPr>
                <w:rFonts w:ascii="Cambria Math" w:eastAsiaTheme="minorEastAsia" w:hAnsi="Cambria Math" w:cs="Arial"/>
                <w:sz w:val="20"/>
                <w:szCs w:val="20"/>
              </w:rPr>
              <m:t>A</m:t>
            </m:r>
          </m:sub>
          <m:sup>
            <m:r>
              <w:rPr>
                <w:rFonts w:ascii="Cambria Math" w:eastAsiaTheme="minorEastAsia" w:hAnsi="Cambria Math" w:cs="Arial"/>
                <w:sz w:val="20"/>
                <w:szCs w:val="20"/>
              </w:rPr>
              <m:t>2</m:t>
            </m:r>
          </m:sup>
        </m:sSubSup>
      </m:oMath>
      <w:r w:rsidR="007A7B94">
        <w:rPr>
          <w:rFonts w:ascii="Arial" w:eastAsiaTheme="minorEastAsia" w:hAnsi="Arial" w:cs="Arial"/>
          <w:sz w:val="20"/>
          <w:szCs w:val="20"/>
        </w:rPr>
        <w:t>) and the between-study correlations (</w:t>
      </w:r>
      <m:oMath>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HD</m:t>
            </m:r>
          </m:sup>
        </m:sSubSup>
        <m:r>
          <w:rPr>
            <w:rFonts w:ascii="Cambria Math" w:eastAsia="Cambria Math" w:hAnsi="Cambria Math" w:cs="Cambria Math"/>
            <w:sz w:val="20"/>
            <w:szCs w:val="20"/>
          </w:rPr>
          <m:t xml:space="preserve">, </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HA</m:t>
            </m:r>
          </m:sup>
        </m:sSubSup>
        <m:r>
          <w:rPr>
            <w:rFonts w:ascii="Cambria Math" w:eastAsia="Cambria Math" w:hAnsi="Cambria Math" w:cs="Cambria Math"/>
            <w:sz w:val="20"/>
            <w:szCs w:val="20"/>
          </w:rPr>
          <m:t>,</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ρ</m:t>
            </m:r>
          </m:e>
          <m:sub>
            <m:r>
              <w:rPr>
                <w:rFonts w:ascii="Cambria Math" w:eastAsia="Cambria Math" w:hAnsi="Cambria Math" w:cs="Cambria Math"/>
                <w:sz w:val="20"/>
                <w:szCs w:val="20"/>
              </w:rPr>
              <m:t>b</m:t>
            </m:r>
          </m:sub>
          <m:sup>
            <m:r>
              <w:rPr>
                <w:rFonts w:ascii="Cambria Math" w:eastAsia="Cambria Math" w:hAnsi="Cambria Math" w:cs="Cambria Math"/>
                <w:sz w:val="20"/>
                <w:szCs w:val="20"/>
              </w:rPr>
              <m:t>DA</m:t>
            </m:r>
          </m:sup>
        </m:sSubSup>
      </m:oMath>
      <w:r w:rsidR="007A7B94">
        <w:rPr>
          <w:rFonts w:ascii="Arial" w:eastAsiaTheme="minorEastAsia" w:hAnsi="Arial" w:cs="Arial"/>
          <w:sz w:val="20"/>
          <w:szCs w:val="20"/>
        </w:rPr>
        <w:t xml:space="preserve">)) </w:t>
      </w:r>
      <w:r w:rsidR="00D305AC">
        <w:rPr>
          <w:rFonts w:ascii="Arial" w:hAnsi="Arial" w:cs="Arial"/>
          <w:sz w:val="20"/>
          <w:szCs w:val="20"/>
        </w:rPr>
        <w:t>also need prior distributions to be placed on them</w:t>
      </w:r>
      <w:r w:rsidR="007A7B94">
        <w:rPr>
          <w:rFonts w:ascii="Arial" w:hAnsi="Arial" w:cs="Arial"/>
          <w:sz w:val="20"/>
          <w:szCs w:val="20"/>
        </w:rPr>
        <w:t>.</w:t>
      </w:r>
      <w:r w:rsidR="00D305AC">
        <w:rPr>
          <w:rFonts w:ascii="Arial" w:hAnsi="Arial" w:cs="Arial"/>
          <w:sz w:val="20"/>
          <w:szCs w:val="20"/>
        </w:rPr>
        <w:t xml:space="preserve"> </w:t>
      </w:r>
      <w:r w:rsidR="007A7B94">
        <w:rPr>
          <w:rFonts w:ascii="Arial" w:hAnsi="Arial" w:cs="Arial"/>
          <w:sz w:val="20"/>
          <w:szCs w:val="20"/>
        </w:rPr>
        <w:t>I</w:t>
      </w:r>
      <w:r w:rsidR="00D305AC">
        <w:rPr>
          <w:rFonts w:ascii="Arial" w:hAnsi="Arial" w:cs="Arial"/>
          <w:sz w:val="20"/>
          <w:szCs w:val="20"/>
        </w:rPr>
        <w:t xml:space="preserve">n our model, </w:t>
      </w:r>
      <w:r w:rsidR="00E50394">
        <w:rPr>
          <w:rFonts w:ascii="Arial" w:hAnsi="Arial" w:cs="Arial"/>
          <w:sz w:val="20"/>
          <w:szCs w:val="20"/>
        </w:rPr>
        <w:t>p</w:t>
      </w:r>
      <w:r w:rsidR="006F46DF" w:rsidRPr="008D4928">
        <w:rPr>
          <w:rFonts w:ascii="Arial" w:hAnsi="Arial" w:cs="Arial"/>
          <w:sz w:val="20"/>
          <w:szCs w:val="20"/>
        </w:rPr>
        <w:t xml:space="preserve">rior distributions on the between-study correlations </w:t>
      </w:r>
      <w:r w:rsidR="00FF5E80">
        <w:rPr>
          <w:rFonts w:ascii="Arial" w:hAnsi="Arial" w:cs="Arial"/>
          <w:sz w:val="20"/>
          <w:szCs w:val="20"/>
        </w:rPr>
        <w:t xml:space="preserve">were constructed </w:t>
      </w:r>
      <w:r w:rsidR="00660D2D">
        <w:rPr>
          <w:rFonts w:ascii="Arial" w:hAnsi="Arial" w:cs="Arial"/>
          <w:sz w:val="20"/>
          <w:szCs w:val="20"/>
        </w:rPr>
        <w:t>by meta-analysing</w:t>
      </w:r>
      <w:r w:rsidR="00FF5E80">
        <w:rPr>
          <w:rFonts w:ascii="Arial" w:hAnsi="Arial" w:cs="Arial"/>
          <w:sz w:val="20"/>
          <w:szCs w:val="20"/>
        </w:rPr>
        <w:t xml:space="preserve"> ESD </w:t>
      </w:r>
      <w:r w:rsidR="00660D2D">
        <w:rPr>
          <w:rFonts w:ascii="Arial" w:hAnsi="Arial" w:cs="Arial"/>
          <w:sz w:val="20"/>
          <w:szCs w:val="20"/>
        </w:rPr>
        <w:t xml:space="preserve">using the </w:t>
      </w:r>
      <w:proofErr w:type="spellStart"/>
      <w:r w:rsidR="00660D2D">
        <w:rPr>
          <w:rFonts w:ascii="Arial" w:hAnsi="Arial" w:cs="Arial"/>
          <w:sz w:val="20"/>
          <w:szCs w:val="20"/>
        </w:rPr>
        <w:t>trivariate</w:t>
      </w:r>
      <w:proofErr w:type="spellEnd"/>
      <w:r w:rsidR="00660D2D">
        <w:rPr>
          <w:rFonts w:ascii="Arial" w:hAnsi="Arial" w:cs="Arial"/>
          <w:sz w:val="20"/>
          <w:szCs w:val="20"/>
        </w:rPr>
        <w:t xml:space="preserve"> mode</w:t>
      </w:r>
      <w:r w:rsidR="002213D5">
        <w:rPr>
          <w:rFonts w:ascii="Arial" w:hAnsi="Arial" w:cs="Arial"/>
          <w:sz w:val="20"/>
          <w:szCs w:val="20"/>
        </w:rPr>
        <w:t xml:space="preserve">l </w:t>
      </w:r>
      <w:r w:rsidR="003C4875">
        <w:rPr>
          <w:rFonts w:ascii="Arial" w:hAnsi="Arial" w:cs="Arial"/>
          <w:sz w:val="20"/>
          <w:szCs w:val="20"/>
        </w:rPr>
        <w:t>[</w:t>
      </w:r>
      <w:r w:rsidR="002213D5">
        <w:rPr>
          <w:rFonts w:ascii="Arial" w:hAnsi="Arial" w:cs="Arial"/>
          <w:sz w:val="20"/>
          <w:szCs w:val="20"/>
        </w:rPr>
        <w:t>1</w:t>
      </w:r>
      <w:r w:rsidR="003C4875">
        <w:rPr>
          <w:rFonts w:ascii="Arial" w:hAnsi="Arial" w:cs="Arial"/>
          <w:sz w:val="20"/>
          <w:szCs w:val="20"/>
        </w:rPr>
        <w:t>]-[</w:t>
      </w:r>
      <w:r w:rsidR="002213D5">
        <w:rPr>
          <w:rFonts w:ascii="Arial" w:hAnsi="Arial" w:cs="Arial"/>
          <w:sz w:val="20"/>
          <w:szCs w:val="20"/>
        </w:rPr>
        <w:t>2</w:t>
      </w:r>
      <w:r w:rsidR="003C4875">
        <w:rPr>
          <w:rFonts w:ascii="Arial" w:hAnsi="Arial" w:cs="Arial"/>
          <w:sz w:val="20"/>
          <w:szCs w:val="20"/>
        </w:rPr>
        <w:t xml:space="preserve">] </w:t>
      </w:r>
      <w:r w:rsidR="002213D5">
        <w:rPr>
          <w:rFonts w:ascii="Arial" w:hAnsi="Arial" w:cs="Arial"/>
          <w:sz w:val="20"/>
          <w:szCs w:val="20"/>
        </w:rPr>
        <w:t>but this time with non-</w:t>
      </w:r>
      <w:r w:rsidR="00660D2D">
        <w:rPr>
          <w:rFonts w:ascii="Arial" w:hAnsi="Arial" w:cs="Arial"/>
          <w:sz w:val="20"/>
          <w:szCs w:val="20"/>
        </w:rPr>
        <w:t>informative prior distributions</w:t>
      </w:r>
      <w:r w:rsidR="00FF5E80">
        <w:rPr>
          <w:rFonts w:ascii="Arial" w:hAnsi="Arial" w:cs="Arial"/>
          <w:sz w:val="20"/>
          <w:szCs w:val="20"/>
        </w:rPr>
        <w:t>.</w:t>
      </w:r>
      <w:r w:rsidR="00660D2D">
        <w:rPr>
          <w:rFonts w:ascii="Arial" w:hAnsi="Arial" w:cs="Arial"/>
          <w:sz w:val="20"/>
          <w:szCs w:val="20"/>
        </w:rPr>
        <w:t xml:space="preserve"> Resulting posterior between-study correlations were </w:t>
      </w:r>
      <w:r w:rsidR="003B5CE1">
        <w:rPr>
          <w:rFonts w:ascii="Arial" w:hAnsi="Arial" w:cs="Arial"/>
          <w:sz w:val="20"/>
          <w:szCs w:val="20"/>
        </w:rPr>
        <w:t xml:space="preserve">then </w:t>
      </w:r>
      <w:r w:rsidR="00660D2D">
        <w:rPr>
          <w:rFonts w:ascii="Arial" w:hAnsi="Arial" w:cs="Arial"/>
          <w:sz w:val="20"/>
          <w:szCs w:val="20"/>
        </w:rPr>
        <w:t>used as prior distributions to the between-study correlations in me</w:t>
      </w:r>
      <w:r w:rsidR="008D1E93">
        <w:rPr>
          <w:rFonts w:ascii="Arial" w:hAnsi="Arial" w:cs="Arial"/>
          <w:sz w:val="20"/>
          <w:szCs w:val="20"/>
        </w:rPr>
        <w:t>t</w:t>
      </w:r>
      <w:r w:rsidR="00660D2D">
        <w:rPr>
          <w:rFonts w:ascii="Arial" w:hAnsi="Arial" w:cs="Arial"/>
          <w:sz w:val="20"/>
          <w:szCs w:val="20"/>
        </w:rPr>
        <w:t>a-analysis of the “Lloyd data”.</w:t>
      </w:r>
      <w:r w:rsidR="00FF5E80">
        <w:rPr>
          <w:rFonts w:ascii="Arial" w:hAnsi="Arial" w:cs="Arial"/>
          <w:sz w:val="20"/>
          <w:szCs w:val="20"/>
        </w:rPr>
        <w:t xml:space="preserve"> In order to inform the between-study correlation by the ESD directly, we parameterised the between-study model in the form of the product of univariate conditional distributions (in contrast to </w:t>
      </w:r>
      <w:r w:rsidR="00FF5E80">
        <w:rPr>
          <w:rFonts w:ascii="Arial" w:hAnsi="Arial" w:cs="Arial"/>
          <w:sz w:val="20"/>
          <w:szCs w:val="20"/>
        </w:rPr>
        <w:lastRenderedPageBreak/>
        <w:t xml:space="preserve">using </w:t>
      </w:r>
      <w:r w:rsidR="003B5CE1">
        <w:rPr>
          <w:rFonts w:ascii="Arial" w:hAnsi="Arial" w:cs="Arial"/>
          <w:sz w:val="20"/>
          <w:szCs w:val="20"/>
        </w:rPr>
        <w:t>a multivariate Normal distribution and a</w:t>
      </w:r>
      <w:r w:rsidR="00E50394">
        <w:rPr>
          <w:rFonts w:ascii="Arial" w:hAnsi="Arial" w:cs="Arial"/>
          <w:sz w:val="20"/>
          <w:szCs w:val="20"/>
        </w:rPr>
        <w:t xml:space="preserve"> </w:t>
      </w:r>
      <w:r w:rsidR="00FF5E80">
        <w:rPr>
          <w:rFonts w:ascii="Arial" w:hAnsi="Arial" w:cs="Arial"/>
          <w:sz w:val="20"/>
          <w:szCs w:val="20"/>
        </w:rPr>
        <w:t>prior</w:t>
      </w:r>
      <w:r w:rsidR="003B5CE1">
        <w:rPr>
          <w:rFonts w:ascii="Arial" w:hAnsi="Arial" w:cs="Arial"/>
          <w:sz w:val="20"/>
          <w:szCs w:val="20"/>
        </w:rPr>
        <w:t xml:space="preserve"> distribution on the precision matrix</w:t>
      </w:r>
      <w:r w:rsidR="003A6918">
        <w:rPr>
          <w:rFonts w:ascii="Arial" w:hAnsi="Arial" w:cs="Arial"/>
          <w:sz w:val="20"/>
          <w:szCs w:val="20"/>
        </w:rPr>
        <w:t xml:space="preserve">, such as </w:t>
      </w:r>
      <w:proofErr w:type="spellStart"/>
      <w:r w:rsidR="003A6918">
        <w:rPr>
          <w:rFonts w:ascii="Arial" w:hAnsi="Arial" w:cs="Arial"/>
          <w:sz w:val="20"/>
          <w:szCs w:val="20"/>
        </w:rPr>
        <w:t>Wishart</w:t>
      </w:r>
      <w:proofErr w:type="spellEnd"/>
      <w:r w:rsidR="003A6918">
        <w:rPr>
          <w:rFonts w:ascii="Arial" w:hAnsi="Arial" w:cs="Arial"/>
          <w:sz w:val="20"/>
          <w:szCs w:val="20"/>
        </w:rPr>
        <w:t xml:space="preserve"> distribution </w:t>
      </w:r>
      <w:sdt>
        <w:sdtPr>
          <w:rPr>
            <w:rFonts w:ascii="Arial" w:hAnsi="Arial" w:cs="Arial"/>
            <w:sz w:val="20"/>
            <w:szCs w:val="20"/>
          </w:rPr>
          <w:id w:val="2095237911"/>
          <w:citation/>
        </w:sdtPr>
        <w:sdtEndPr/>
        <w:sdtContent>
          <w:r w:rsidR="00631B86">
            <w:rPr>
              <w:rFonts w:ascii="Arial" w:hAnsi="Arial" w:cs="Arial"/>
              <w:sz w:val="20"/>
              <w:szCs w:val="20"/>
            </w:rPr>
            <w:fldChar w:fldCharType="begin"/>
          </w:r>
          <w:r w:rsidR="003A6918">
            <w:rPr>
              <w:rFonts w:ascii="Arial" w:hAnsi="Arial" w:cs="Arial"/>
              <w:sz w:val="20"/>
              <w:szCs w:val="20"/>
            </w:rPr>
            <w:instrText xml:space="preserve"> CITATION Spi03 \l 2057 </w:instrText>
          </w:r>
          <w:r w:rsidR="00631B86">
            <w:rPr>
              <w:rFonts w:ascii="Arial" w:hAnsi="Arial" w:cs="Arial"/>
              <w:sz w:val="20"/>
              <w:szCs w:val="20"/>
            </w:rPr>
            <w:fldChar w:fldCharType="separate"/>
          </w:r>
          <w:r w:rsidR="005F423A" w:rsidRPr="005F423A">
            <w:rPr>
              <w:rFonts w:ascii="Arial" w:hAnsi="Arial" w:cs="Arial"/>
              <w:noProof/>
              <w:sz w:val="20"/>
              <w:szCs w:val="20"/>
            </w:rPr>
            <w:t>(17)</w:t>
          </w:r>
          <w:r w:rsidR="00631B86">
            <w:rPr>
              <w:rFonts w:ascii="Arial" w:hAnsi="Arial" w:cs="Arial"/>
              <w:sz w:val="20"/>
              <w:szCs w:val="20"/>
            </w:rPr>
            <w:fldChar w:fldCharType="end"/>
          </w:r>
        </w:sdtContent>
      </w:sdt>
      <w:r w:rsidR="003A6918">
        <w:rPr>
          <w:rFonts w:ascii="Arial" w:hAnsi="Arial" w:cs="Arial"/>
          <w:sz w:val="20"/>
          <w:szCs w:val="20"/>
        </w:rPr>
        <w:t xml:space="preserve"> or using a spherical parameterisation of the between-study correlation matrix </w:t>
      </w:r>
      <w:sdt>
        <w:sdtPr>
          <w:rPr>
            <w:rFonts w:ascii="Arial" w:hAnsi="Arial" w:cs="Arial"/>
            <w:sz w:val="20"/>
            <w:szCs w:val="20"/>
          </w:rPr>
          <w:id w:val="2095237916"/>
          <w:citation/>
        </w:sdtPr>
        <w:sdtEndPr/>
        <w:sdtContent>
          <w:r w:rsidR="00631B86">
            <w:rPr>
              <w:rFonts w:ascii="Arial" w:hAnsi="Arial" w:cs="Arial"/>
              <w:sz w:val="20"/>
              <w:szCs w:val="20"/>
            </w:rPr>
            <w:fldChar w:fldCharType="begin"/>
          </w:r>
          <w:r w:rsidR="005F423A">
            <w:rPr>
              <w:rFonts w:ascii="Arial" w:hAnsi="Arial" w:cs="Arial"/>
              <w:sz w:val="20"/>
              <w:szCs w:val="20"/>
            </w:rPr>
            <w:instrText xml:space="preserve"> CITATION LuG09 \l 2057 </w:instrText>
          </w:r>
          <w:r w:rsidR="00631B86">
            <w:rPr>
              <w:rFonts w:ascii="Arial" w:hAnsi="Arial" w:cs="Arial"/>
              <w:sz w:val="20"/>
              <w:szCs w:val="20"/>
            </w:rPr>
            <w:fldChar w:fldCharType="separate"/>
          </w:r>
          <w:r w:rsidR="005F423A" w:rsidRPr="005F423A">
            <w:rPr>
              <w:rFonts w:ascii="Arial" w:hAnsi="Arial" w:cs="Arial"/>
              <w:noProof/>
              <w:sz w:val="20"/>
              <w:szCs w:val="20"/>
            </w:rPr>
            <w:t>(18)</w:t>
          </w:r>
          <w:r w:rsidR="00631B86">
            <w:rPr>
              <w:rFonts w:ascii="Arial" w:hAnsi="Arial" w:cs="Arial"/>
              <w:sz w:val="20"/>
              <w:szCs w:val="20"/>
            </w:rPr>
            <w:fldChar w:fldCharType="end"/>
          </w:r>
        </w:sdtContent>
      </w:sdt>
      <w:sdt>
        <w:sdtPr>
          <w:rPr>
            <w:rFonts w:ascii="Arial" w:hAnsi="Arial" w:cs="Arial"/>
            <w:sz w:val="20"/>
            <w:szCs w:val="20"/>
          </w:rPr>
          <w:id w:val="2095237912"/>
          <w:citation/>
        </w:sdtPr>
        <w:sdtEndPr/>
        <w:sdtContent>
          <w:r w:rsidR="00631B86">
            <w:rPr>
              <w:rFonts w:ascii="Arial" w:hAnsi="Arial" w:cs="Arial"/>
              <w:sz w:val="20"/>
              <w:szCs w:val="20"/>
            </w:rPr>
            <w:fldChar w:fldCharType="begin"/>
          </w:r>
          <w:r w:rsidR="003A6918">
            <w:rPr>
              <w:rFonts w:ascii="Arial" w:hAnsi="Arial" w:cs="Arial"/>
              <w:sz w:val="20"/>
              <w:szCs w:val="20"/>
            </w:rPr>
            <w:instrText xml:space="preserve"> CITATION Wei13 \l 2057 </w:instrText>
          </w:r>
          <w:r w:rsidR="00631B86">
            <w:rPr>
              <w:rFonts w:ascii="Arial" w:hAnsi="Arial" w:cs="Arial"/>
              <w:sz w:val="20"/>
              <w:szCs w:val="20"/>
            </w:rPr>
            <w:fldChar w:fldCharType="separate"/>
          </w:r>
          <w:r w:rsidR="005F423A">
            <w:rPr>
              <w:rFonts w:ascii="Arial" w:hAnsi="Arial" w:cs="Arial"/>
              <w:noProof/>
              <w:sz w:val="20"/>
              <w:szCs w:val="20"/>
            </w:rPr>
            <w:t xml:space="preserve"> </w:t>
          </w:r>
          <w:r w:rsidR="005F423A" w:rsidRPr="005F423A">
            <w:rPr>
              <w:rFonts w:ascii="Arial" w:hAnsi="Arial" w:cs="Arial"/>
              <w:noProof/>
              <w:sz w:val="20"/>
              <w:szCs w:val="20"/>
            </w:rPr>
            <w:t>(19)</w:t>
          </w:r>
          <w:r w:rsidR="00631B86">
            <w:rPr>
              <w:rFonts w:ascii="Arial" w:hAnsi="Arial" w:cs="Arial"/>
              <w:sz w:val="20"/>
              <w:szCs w:val="20"/>
            </w:rPr>
            <w:fldChar w:fldCharType="end"/>
          </w:r>
        </w:sdtContent>
      </w:sdt>
      <w:r w:rsidR="00FF5E80">
        <w:rPr>
          <w:rFonts w:ascii="Arial" w:hAnsi="Arial" w:cs="Arial"/>
          <w:sz w:val="20"/>
          <w:szCs w:val="20"/>
        </w:rPr>
        <w:t xml:space="preserve">). </w:t>
      </w:r>
      <w:r w:rsidR="00E50394">
        <w:rPr>
          <w:rFonts w:ascii="Arial" w:hAnsi="Arial" w:cs="Arial"/>
          <w:sz w:val="20"/>
          <w:szCs w:val="20"/>
        </w:rPr>
        <w:t>Non-informative (half-normal) prior distributions are placed on the standard deviations of these conditional distributions</w:t>
      </w:r>
      <w:r w:rsidR="00E50394">
        <w:rPr>
          <w:rFonts w:ascii="Arial" w:eastAsiaTheme="minorEastAsia" w:hAnsi="Arial" w:cs="Arial"/>
          <w:sz w:val="20"/>
          <w:szCs w:val="20"/>
        </w:rPr>
        <w:t>.</w:t>
      </w:r>
      <w:r w:rsidR="00E50394" w:rsidRPr="008D4928">
        <w:rPr>
          <w:rFonts w:ascii="Arial" w:hAnsi="Arial" w:cs="Arial"/>
          <w:sz w:val="20"/>
          <w:szCs w:val="20"/>
        </w:rPr>
        <w:t xml:space="preserve"> </w:t>
      </w:r>
      <w:r w:rsidR="00BF0BC3">
        <w:rPr>
          <w:rFonts w:ascii="Arial" w:hAnsi="Arial" w:cs="Arial"/>
          <w:sz w:val="20"/>
          <w:szCs w:val="20"/>
        </w:rPr>
        <w:t xml:space="preserve">ΔDAS-28 and ACR20 are both conditional on ΔHAQ in this model. </w:t>
      </w:r>
      <w:r w:rsidR="00265A31">
        <w:rPr>
          <w:rFonts w:ascii="Arial" w:hAnsi="Arial" w:cs="Arial"/>
          <w:sz w:val="20"/>
          <w:szCs w:val="20"/>
        </w:rPr>
        <w:t>This parameterisation assumes a conditional independence between ΔDAS-28 and ACR20. This assumption may not always be valid, especially in the circumstance</w:t>
      </w:r>
      <w:r w:rsidR="00B347A8">
        <w:rPr>
          <w:rFonts w:ascii="Arial" w:hAnsi="Arial" w:cs="Arial"/>
          <w:sz w:val="20"/>
          <w:szCs w:val="20"/>
        </w:rPr>
        <w:t>s</w:t>
      </w:r>
      <w:r w:rsidR="00265A31">
        <w:rPr>
          <w:rFonts w:ascii="Arial" w:hAnsi="Arial" w:cs="Arial"/>
          <w:sz w:val="20"/>
          <w:szCs w:val="20"/>
        </w:rPr>
        <w:t xml:space="preserve"> when the two variables are strongly correlated. We have carried out a sensitivity analysis on the external data to investigate the impact of the choice of such parameterisation on estimates and in particular the resulting prior distributions for the between-study correlation. Details of this sensitivity analys</w:t>
      </w:r>
      <w:r w:rsidR="005F423A">
        <w:rPr>
          <w:rFonts w:ascii="Arial" w:hAnsi="Arial" w:cs="Arial"/>
          <w:sz w:val="20"/>
          <w:szCs w:val="20"/>
        </w:rPr>
        <w:t>i</w:t>
      </w:r>
      <w:r w:rsidR="00265A31">
        <w:rPr>
          <w:rFonts w:ascii="Arial" w:hAnsi="Arial" w:cs="Arial"/>
          <w:sz w:val="20"/>
          <w:szCs w:val="20"/>
        </w:rPr>
        <w:t xml:space="preserve">s are included in the Web Appendix. </w:t>
      </w:r>
      <w:r w:rsidR="00FF5E80">
        <w:rPr>
          <w:rFonts w:ascii="Arial" w:hAnsi="Arial" w:cs="Arial"/>
          <w:sz w:val="20"/>
          <w:szCs w:val="20"/>
        </w:rPr>
        <w:t>The advantages of this approach</w:t>
      </w:r>
      <w:r w:rsidR="006F46DF" w:rsidRPr="008D4928">
        <w:rPr>
          <w:rFonts w:ascii="Arial" w:hAnsi="Arial" w:cs="Arial"/>
          <w:sz w:val="20"/>
          <w:szCs w:val="20"/>
        </w:rPr>
        <w:t xml:space="preserve"> </w:t>
      </w:r>
      <w:r w:rsidR="00FF5E80">
        <w:rPr>
          <w:rFonts w:ascii="Arial" w:hAnsi="Arial" w:cs="Arial"/>
          <w:sz w:val="20"/>
          <w:szCs w:val="20"/>
        </w:rPr>
        <w:t xml:space="preserve">along with all the details of the statistical modelling </w:t>
      </w:r>
      <w:r w:rsidR="00D53273">
        <w:rPr>
          <w:rFonts w:ascii="Arial" w:hAnsi="Arial" w:cs="Arial"/>
          <w:sz w:val="20"/>
          <w:szCs w:val="20"/>
        </w:rPr>
        <w:t xml:space="preserve">(including models in different number of outcomes) </w:t>
      </w:r>
      <w:r w:rsidR="00FF5E80">
        <w:rPr>
          <w:rFonts w:ascii="Arial" w:hAnsi="Arial" w:cs="Arial"/>
          <w:sz w:val="20"/>
          <w:szCs w:val="20"/>
        </w:rPr>
        <w:t xml:space="preserve">are reported elsewhere </w:t>
      </w:r>
      <w:sdt>
        <w:sdtPr>
          <w:rPr>
            <w:rFonts w:ascii="Arial" w:hAnsi="Arial" w:cs="Arial"/>
            <w:sz w:val="20"/>
            <w:szCs w:val="20"/>
          </w:rPr>
          <w:id w:val="351409505"/>
          <w:citation/>
        </w:sdtPr>
        <w:sdtEndPr/>
        <w:sdtContent>
          <w:r w:rsidR="00631B86">
            <w:rPr>
              <w:rFonts w:ascii="Arial" w:hAnsi="Arial" w:cs="Arial"/>
              <w:sz w:val="20"/>
              <w:szCs w:val="20"/>
            </w:rPr>
            <w:fldChar w:fldCharType="begin"/>
          </w:r>
          <w:r w:rsidR="00C06FE8">
            <w:rPr>
              <w:rFonts w:ascii="Arial" w:hAnsi="Arial" w:cs="Arial"/>
              <w:sz w:val="20"/>
              <w:szCs w:val="20"/>
            </w:rPr>
            <w:instrText xml:space="preserve"> CITATION Buj13 \l 2057  </w:instrText>
          </w:r>
          <w:r w:rsidR="00631B86">
            <w:rPr>
              <w:rFonts w:ascii="Arial" w:hAnsi="Arial" w:cs="Arial"/>
              <w:sz w:val="20"/>
              <w:szCs w:val="20"/>
            </w:rPr>
            <w:fldChar w:fldCharType="separate"/>
          </w:r>
          <w:r w:rsidR="005F423A" w:rsidRPr="005F423A">
            <w:rPr>
              <w:rFonts w:ascii="Arial" w:hAnsi="Arial" w:cs="Arial"/>
              <w:noProof/>
              <w:sz w:val="20"/>
              <w:szCs w:val="20"/>
            </w:rPr>
            <w:t>(9)</w:t>
          </w:r>
          <w:r w:rsidR="00631B86">
            <w:rPr>
              <w:rFonts w:ascii="Arial" w:hAnsi="Arial" w:cs="Arial"/>
              <w:sz w:val="20"/>
              <w:szCs w:val="20"/>
            </w:rPr>
            <w:fldChar w:fldCharType="end"/>
          </w:r>
        </w:sdtContent>
      </w:sdt>
      <w:r w:rsidR="00FF5E80">
        <w:rPr>
          <w:rFonts w:ascii="Arial" w:hAnsi="Arial" w:cs="Arial"/>
          <w:sz w:val="20"/>
          <w:szCs w:val="20"/>
        </w:rPr>
        <w:t>.</w:t>
      </w:r>
      <w:r w:rsidR="007D1A6A" w:rsidRPr="008D4928">
        <w:rPr>
          <w:rFonts w:ascii="Arial" w:hAnsi="Arial" w:cs="Arial"/>
          <w:sz w:val="20"/>
          <w:szCs w:val="20"/>
        </w:rPr>
        <w:t xml:space="preserve"> </w:t>
      </w:r>
    </w:p>
    <w:p w:rsidR="004577B4" w:rsidRPr="008D4928" w:rsidRDefault="004577B4" w:rsidP="00AA3405">
      <w:pPr>
        <w:pStyle w:val="PlainText"/>
        <w:spacing w:line="480" w:lineRule="auto"/>
        <w:jc w:val="both"/>
        <w:rPr>
          <w:rFonts w:ascii="Arial" w:hAnsi="Arial" w:cs="Arial"/>
          <w:sz w:val="20"/>
          <w:szCs w:val="20"/>
        </w:rPr>
      </w:pPr>
    </w:p>
    <w:p w:rsidR="004577B4" w:rsidRPr="00FB6AB0" w:rsidRDefault="00306F08" w:rsidP="00AA3405">
      <w:pPr>
        <w:pStyle w:val="PlainText"/>
        <w:spacing w:line="480" w:lineRule="auto"/>
        <w:jc w:val="both"/>
        <w:rPr>
          <w:rFonts w:ascii="Arial" w:hAnsi="Arial" w:cs="Arial"/>
          <w:i/>
          <w:sz w:val="20"/>
          <w:szCs w:val="20"/>
        </w:rPr>
      </w:pPr>
      <w:r w:rsidRPr="00FB6AB0">
        <w:rPr>
          <w:rFonts w:ascii="Arial" w:hAnsi="Arial" w:cs="Arial"/>
          <w:i/>
          <w:sz w:val="20"/>
          <w:szCs w:val="20"/>
        </w:rPr>
        <w:t>Mapping the HAQ onto EQ-5D</w:t>
      </w:r>
    </w:p>
    <w:p w:rsidR="004577B4" w:rsidRPr="008D4928" w:rsidRDefault="004577B4" w:rsidP="00AA3405">
      <w:pPr>
        <w:pStyle w:val="PlainText"/>
        <w:spacing w:line="480" w:lineRule="auto"/>
        <w:jc w:val="both"/>
        <w:rPr>
          <w:rFonts w:ascii="Arial" w:hAnsi="Arial" w:cs="Arial"/>
          <w:sz w:val="20"/>
          <w:szCs w:val="20"/>
        </w:rPr>
      </w:pPr>
    </w:p>
    <w:p w:rsidR="00C7408F" w:rsidRPr="008D4928" w:rsidRDefault="004577B4" w:rsidP="00AA3405">
      <w:pPr>
        <w:pStyle w:val="PlainText"/>
        <w:spacing w:line="480" w:lineRule="auto"/>
        <w:jc w:val="both"/>
        <w:rPr>
          <w:rFonts w:ascii="Arial" w:hAnsi="Arial" w:cs="Arial"/>
          <w:sz w:val="20"/>
          <w:szCs w:val="20"/>
        </w:rPr>
      </w:pPr>
      <w:r w:rsidRPr="008D4928">
        <w:rPr>
          <w:rFonts w:ascii="Arial" w:hAnsi="Arial" w:cs="Arial"/>
          <w:sz w:val="20"/>
          <w:szCs w:val="20"/>
        </w:rPr>
        <w:t xml:space="preserve">A number of methodological approaches to </w:t>
      </w:r>
      <w:r w:rsidR="00CA5EBC" w:rsidRPr="008D4928">
        <w:rPr>
          <w:rFonts w:ascii="Arial" w:hAnsi="Arial" w:cs="Arial"/>
          <w:sz w:val="20"/>
          <w:szCs w:val="20"/>
        </w:rPr>
        <w:t>modelling</w:t>
      </w:r>
      <w:r w:rsidRPr="008D4928">
        <w:rPr>
          <w:rFonts w:ascii="Arial" w:hAnsi="Arial" w:cs="Arial"/>
          <w:sz w:val="20"/>
          <w:szCs w:val="20"/>
        </w:rPr>
        <w:t xml:space="preserve"> utility estimates in RA for the purpose of economic evaluation have been developed. </w:t>
      </w:r>
      <w:r w:rsidR="00CC1EC7" w:rsidRPr="008D4928">
        <w:rPr>
          <w:rFonts w:ascii="Arial" w:hAnsi="Arial" w:cs="Arial"/>
          <w:sz w:val="20"/>
          <w:szCs w:val="20"/>
        </w:rPr>
        <w:t>The es</w:t>
      </w:r>
      <w:r w:rsidR="00CC1EC7">
        <w:rPr>
          <w:rFonts w:ascii="Arial" w:hAnsi="Arial" w:cs="Arial"/>
          <w:sz w:val="20"/>
          <w:szCs w:val="20"/>
        </w:rPr>
        <w:t>timate of the HAQ</w:t>
      </w:r>
      <w:r w:rsidR="00CC1EC7" w:rsidRPr="008D4928">
        <w:rPr>
          <w:rFonts w:ascii="Arial" w:hAnsi="Arial" w:cs="Arial"/>
          <w:sz w:val="20"/>
          <w:szCs w:val="20"/>
        </w:rPr>
        <w:t>, a self-reported mea</w:t>
      </w:r>
      <w:r w:rsidR="00CC1EC7">
        <w:rPr>
          <w:rFonts w:ascii="Arial" w:hAnsi="Arial" w:cs="Arial"/>
          <w:sz w:val="20"/>
          <w:szCs w:val="20"/>
        </w:rPr>
        <w:t>sure of physical function, is often used</w:t>
      </w:r>
      <w:r w:rsidR="00CC1EC7" w:rsidRPr="008D4928">
        <w:rPr>
          <w:rFonts w:ascii="Arial" w:hAnsi="Arial" w:cs="Arial"/>
          <w:sz w:val="20"/>
          <w:szCs w:val="20"/>
        </w:rPr>
        <w:t xml:space="preserve"> to </w:t>
      </w:r>
      <w:r w:rsidR="00CC1EC7">
        <w:rPr>
          <w:rFonts w:ascii="Arial" w:hAnsi="Arial" w:cs="Arial"/>
          <w:sz w:val="20"/>
          <w:szCs w:val="20"/>
        </w:rPr>
        <w:t>predict</w:t>
      </w:r>
      <w:r w:rsidR="00CC1EC7" w:rsidRPr="008D4928">
        <w:rPr>
          <w:rFonts w:ascii="Arial" w:hAnsi="Arial" w:cs="Arial"/>
          <w:sz w:val="20"/>
          <w:szCs w:val="20"/>
        </w:rPr>
        <w:t xml:space="preserve"> EQ-5D, an estimate of </w:t>
      </w:r>
      <w:r w:rsidR="00CC1EC7">
        <w:rPr>
          <w:rFonts w:ascii="Arial" w:hAnsi="Arial" w:cs="Arial"/>
          <w:sz w:val="20"/>
          <w:szCs w:val="20"/>
        </w:rPr>
        <w:t xml:space="preserve">health-related quality of </w:t>
      </w:r>
      <w:proofErr w:type="spellStart"/>
      <w:r w:rsidR="00CC1EC7">
        <w:rPr>
          <w:rFonts w:ascii="Arial" w:hAnsi="Arial" w:cs="Arial"/>
          <w:sz w:val="20"/>
          <w:szCs w:val="20"/>
        </w:rPr>
        <w:t>lifeby</w:t>
      </w:r>
      <w:proofErr w:type="spellEnd"/>
      <w:r w:rsidR="00CC1EC7">
        <w:rPr>
          <w:rFonts w:ascii="Arial" w:hAnsi="Arial" w:cs="Arial"/>
          <w:sz w:val="20"/>
          <w:szCs w:val="20"/>
        </w:rPr>
        <w:t xml:space="preserve"> mapping</w:t>
      </w:r>
      <w:r w:rsidR="00CC1EC7" w:rsidRPr="008D4928">
        <w:rPr>
          <w:rFonts w:ascii="Arial" w:hAnsi="Arial" w:cs="Arial"/>
          <w:sz w:val="20"/>
          <w:szCs w:val="20"/>
        </w:rPr>
        <w:t xml:space="preserve"> the HAQ score onto EQ-5D</w:t>
      </w:r>
      <w:sdt>
        <w:sdtPr>
          <w:rPr>
            <w:rFonts w:ascii="Arial" w:hAnsi="Arial" w:cs="Arial"/>
            <w:sz w:val="20"/>
            <w:szCs w:val="20"/>
          </w:rPr>
          <w:id w:val="2095237888"/>
          <w:citation/>
        </w:sdtPr>
        <w:sdtEndPr/>
        <w:sdtContent>
          <w:r w:rsidR="00631B86">
            <w:rPr>
              <w:rFonts w:ascii="Arial" w:hAnsi="Arial" w:cs="Arial"/>
              <w:sz w:val="20"/>
              <w:szCs w:val="20"/>
            </w:rPr>
            <w:fldChar w:fldCharType="begin"/>
          </w:r>
          <w:r w:rsidR="00CC1EC7">
            <w:rPr>
              <w:rFonts w:ascii="Arial" w:hAnsi="Arial" w:cs="Arial"/>
              <w:sz w:val="20"/>
              <w:szCs w:val="20"/>
            </w:rPr>
            <w:instrText xml:space="preserve"> CITATION Ban05 \l 2057  \m 6Ha</w:instrText>
          </w:r>
          <w:r w:rsidR="00631B86">
            <w:rPr>
              <w:rFonts w:ascii="Arial" w:hAnsi="Arial" w:cs="Arial"/>
              <w:sz w:val="20"/>
              <w:szCs w:val="20"/>
            </w:rPr>
            <w:fldChar w:fldCharType="separate"/>
          </w:r>
          <w:r w:rsidR="00CC1EC7">
            <w:rPr>
              <w:rFonts w:ascii="Arial" w:hAnsi="Arial" w:cs="Arial"/>
              <w:noProof/>
              <w:sz w:val="20"/>
              <w:szCs w:val="20"/>
            </w:rPr>
            <w:t xml:space="preserve"> </w:t>
          </w:r>
          <w:r w:rsidR="00CC1EC7" w:rsidRPr="005F423A">
            <w:rPr>
              <w:rFonts w:ascii="Arial" w:hAnsi="Arial" w:cs="Arial"/>
              <w:noProof/>
              <w:sz w:val="20"/>
              <w:szCs w:val="20"/>
            </w:rPr>
            <w:t>(5; 6)</w:t>
          </w:r>
          <w:r w:rsidR="00631B86">
            <w:rPr>
              <w:rFonts w:ascii="Arial" w:hAnsi="Arial" w:cs="Arial"/>
              <w:sz w:val="20"/>
              <w:szCs w:val="20"/>
            </w:rPr>
            <w:fldChar w:fldCharType="end"/>
          </w:r>
        </w:sdtContent>
      </w:sdt>
      <w:r w:rsidR="00CC1EC7" w:rsidRPr="008D4928">
        <w:rPr>
          <w:rFonts w:ascii="Arial" w:hAnsi="Arial" w:cs="Arial"/>
          <w:sz w:val="20"/>
          <w:szCs w:val="20"/>
        </w:rPr>
        <w:t xml:space="preserve">. </w:t>
      </w:r>
      <w:r w:rsidRPr="008D4928">
        <w:rPr>
          <w:rFonts w:ascii="Arial" w:hAnsi="Arial" w:cs="Arial"/>
          <w:sz w:val="20"/>
          <w:szCs w:val="20"/>
        </w:rPr>
        <w:t>These methods often focus on the relationship between EQ-5D and HAQ scores, usually expressed in a linear form</w:t>
      </w:r>
      <w:r w:rsidR="00AA2C2C">
        <w:rPr>
          <w:rFonts w:ascii="Arial" w:hAnsi="Arial" w:cs="Arial"/>
          <w:sz w:val="20"/>
          <w:szCs w:val="20"/>
        </w:rPr>
        <w:t xml:space="preserve"> </w:t>
      </w:r>
      <w:sdt>
        <w:sdtPr>
          <w:rPr>
            <w:rFonts w:ascii="Arial" w:hAnsi="Arial" w:cs="Arial"/>
            <w:sz w:val="20"/>
            <w:szCs w:val="20"/>
          </w:rPr>
          <w:id w:val="351409507"/>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Ban05 \l 2057 </w:instrText>
          </w:r>
          <w:r w:rsidR="00631B86">
            <w:rPr>
              <w:rFonts w:ascii="Arial" w:hAnsi="Arial" w:cs="Arial"/>
              <w:sz w:val="20"/>
              <w:szCs w:val="20"/>
            </w:rPr>
            <w:fldChar w:fldCharType="separate"/>
          </w:r>
          <w:r w:rsidR="005F423A" w:rsidRPr="005F423A">
            <w:rPr>
              <w:rFonts w:ascii="Arial" w:hAnsi="Arial" w:cs="Arial"/>
              <w:noProof/>
              <w:sz w:val="20"/>
              <w:szCs w:val="20"/>
            </w:rPr>
            <w:t>(5)</w:t>
          </w:r>
          <w:r w:rsidR="00631B86">
            <w:rPr>
              <w:rFonts w:ascii="Arial" w:hAnsi="Arial" w:cs="Arial"/>
              <w:sz w:val="20"/>
              <w:szCs w:val="20"/>
            </w:rPr>
            <w:fldChar w:fldCharType="end"/>
          </w:r>
        </w:sdtContent>
      </w:sdt>
      <w:r w:rsidRPr="008D4928">
        <w:rPr>
          <w:rFonts w:ascii="Arial" w:hAnsi="Arial" w:cs="Arial"/>
          <w:sz w:val="20"/>
          <w:szCs w:val="20"/>
        </w:rPr>
        <w:t>, and have been compared with EQ-5D values based on patient responses in a number of datasets in RA</w:t>
      </w:r>
      <w:r w:rsidR="00AA2C2C">
        <w:rPr>
          <w:rFonts w:ascii="Arial" w:hAnsi="Arial" w:cs="Arial"/>
          <w:sz w:val="20"/>
          <w:szCs w:val="20"/>
        </w:rPr>
        <w:t xml:space="preserve"> </w:t>
      </w:r>
      <w:sdt>
        <w:sdtPr>
          <w:rPr>
            <w:rFonts w:ascii="Arial" w:hAnsi="Arial" w:cs="Arial"/>
            <w:sz w:val="20"/>
            <w:szCs w:val="20"/>
          </w:rPr>
          <w:id w:val="351409508"/>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6Ha \l 2057 </w:instrText>
          </w:r>
          <w:r w:rsidR="00631B86">
            <w:rPr>
              <w:rFonts w:ascii="Arial" w:hAnsi="Arial" w:cs="Arial"/>
              <w:sz w:val="20"/>
              <w:szCs w:val="20"/>
            </w:rPr>
            <w:fldChar w:fldCharType="separate"/>
          </w:r>
          <w:r w:rsidR="005F423A" w:rsidRPr="005F423A">
            <w:rPr>
              <w:rFonts w:ascii="Arial" w:hAnsi="Arial" w:cs="Arial"/>
              <w:noProof/>
              <w:sz w:val="20"/>
              <w:szCs w:val="20"/>
            </w:rPr>
            <w:t>(6)</w:t>
          </w:r>
          <w:r w:rsidR="00631B86">
            <w:rPr>
              <w:rFonts w:ascii="Arial" w:hAnsi="Arial" w:cs="Arial"/>
              <w:sz w:val="20"/>
              <w:szCs w:val="20"/>
            </w:rPr>
            <w:fldChar w:fldCharType="end"/>
          </w:r>
        </w:sdtContent>
      </w:sdt>
      <w:r w:rsidRPr="008D4928">
        <w:rPr>
          <w:rFonts w:ascii="Arial" w:hAnsi="Arial" w:cs="Arial"/>
          <w:sz w:val="20"/>
          <w:szCs w:val="20"/>
        </w:rPr>
        <w:t xml:space="preserve">. </w:t>
      </w:r>
      <w:r w:rsidR="00736F10">
        <w:rPr>
          <w:rFonts w:ascii="Arial" w:hAnsi="Arial" w:cs="Arial"/>
          <w:sz w:val="20"/>
          <w:szCs w:val="20"/>
        </w:rPr>
        <w:t>T</w:t>
      </w:r>
      <w:r w:rsidRPr="008D4928">
        <w:rPr>
          <w:rFonts w:ascii="Arial" w:hAnsi="Arial" w:cs="Arial"/>
          <w:sz w:val="20"/>
          <w:szCs w:val="20"/>
        </w:rPr>
        <w:t xml:space="preserve">he purpose of </w:t>
      </w:r>
      <w:r w:rsidR="00736F10">
        <w:rPr>
          <w:rFonts w:ascii="Arial" w:hAnsi="Arial" w:cs="Arial"/>
          <w:sz w:val="20"/>
          <w:szCs w:val="20"/>
        </w:rPr>
        <w:t xml:space="preserve">this paper was to </w:t>
      </w:r>
      <w:r w:rsidRPr="008D4928">
        <w:rPr>
          <w:rFonts w:ascii="Arial" w:hAnsi="Arial" w:cs="Arial"/>
          <w:sz w:val="20"/>
          <w:szCs w:val="20"/>
        </w:rPr>
        <w:t>illustrat</w:t>
      </w:r>
      <w:r w:rsidR="00736F10">
        <w:rPr>
          <w:rFonts w:ascii="Arial" w:hAnsi="Arial" w:cs="Arial"/>
          <w:sz w:val="20"/>
          <w:szCs w:val="20"/>
        </w:rPr>
        <w:t>e</w:t>
      </w:r>
      <w:r w:rsidRPr="008D4928">
        <w:rPr>
          <w:rFonts w:ascii="Arial" w:hAnsi="Arial" w:cs="Arial"/>
          <w:sz w:val="20"/>
          <w:szCs w:val="20"/>
        </w:rPr>
        <w:t xml:space="preserve"> the potential impact of reduced uncertainty around the clinical outcome </w:t>
      </w:r>
      <w:r w:rsidR="00736F10">
        <w:rPr>
          <w:rFonts w:ascii="Arial" w:hAnsi="Arial" w:cs="Arial"/>
          <w:sz w:val="20"/>
          <w:szCs w:val="20"/>
        </w:rPr>
        <w:t xml:space="preserve">on the utility </w:t>
      </w:r>
      <w:r w:rsidRPr="008D4928">
        <w:rPr>
          <w:rFonts w:ascii="Arial" w:hAnsi="Arial" w:cs="Arial"/>
          <w:sz w:val="20"/>
          <w:szCs w:val="20"/>
        </w:rPr>
        <w:t>when estimating it from a multivariate meta-analysis</w:t>
      </w:r>
      <w:r w:rsidR="00736F10">
        <w:rPr>
          <w:rFonts w:ascii="Arial" w:hAnsi="Arial" w:cs="Arial"/>
          <w:sz w:val="20"/>
          <w:szCs w:val="20"/>
        </w:rPr>
        <w:t>. To do this</w:t>
      </w:r>
      <w:r w:rsidRPr="008D4928">
        <w:rPr>
          <w:rFonts w:ascii="Arial" w:hAnsi="Arial" w:cs="Arial"/>
          <w:sz w:val="20"/>
          <w:szCs w:val="20"/>
        </w:rPr>
        <w:t xml:space="preserve">, we </w:t>
      </w:r>
      <w:r w:rsidR="00FF3BDA" w:rsidRPr="008D4928">
        <w:rPr>
          <w:rFonts w:ascii="Arial" w:hAnsi="Arial" w:cs="Arial"/>
          <w:sz w:val="20"/>
          <w:szCs w:val="20"/>
        </w:rPr>
        <w:t>model</w:t>
      </w:r>
      <w:r w:rsidR="00FF3BDA">
        <w:rPr>
          <w:rFonts w:ascii="Arial" w:hAnsi="Arial" w:cs="Arial"/>
          <w:sz w:val="20"/>
          <w:szCs w:val="20"/>
        </w:rPr>
        <w:t>led</w:t>
      </w:r>
      <w:r w:rsidRPr="008D4928">
        <w:rPr>
          <w:rFonts w:ascii="Arial" w:hAnsi="Arial" w:cs="Arial"/>
          <w:sz w:val="20"/>
          <w:szCs w:val="20"/>
        </w:rPr>
        <w:t xml:space="preserve"> the relationship between the HAQ and the </w:t>
      </w:r>
      <w:r w:rsidR="007A764F">
        <w:rPr>
          <w:rFonts w:ascii="Arial" w:hAnsi="Arial" w:cs="Arial"/>
          <w:sz w:val="20"/>
          <w:szCs w:val="20"/>
        </w:rPr>
        <w:t>health-related quality of life</w:t>
      </w:r>
      <w:r w:rsidRPr="008D4928">
        <w:rPr>
          <w:rFonts w:ascii="Arial" w:hAnsi="Arial" w:cs="Arial"/>
          <w:sz w:val="20"/>
          <w:szCs w:val="20"/>
        </w:rPr>
        <w:t xml:space="preserve"> measure, EQ-5D, in a linear form</w:t>
      </w:r>
      <w:r w:rsidR="006700DC">
        <w:rPr>
          <w:rFonts w:ascii="Arial" w:hAnsi="Arial" w:cs="Arial"/>
          <w:sz w:val="20"/>
          <w:szCs w:val="20"/>
        </w:rPr>
        <w:t xml:space="preserve"> estimated by Chen et al </w:t>
      </w:r>
      <w:sdt>
        <w:sdtPr>
          <w:rPr>
            <w:rFonts w:ascii="Arial" w:hAnsi="Arial" w:cs="Arial"/>
            <w:sz w:val="20"/>
            <w:szCs w:val="20"/>
          </w:rPr>
          <w:id w:val="351409509"/>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Che06 \l 2057 </w:instrText>
          </w:r>
          <w:r w:rsidR="00631B86">
            <w:rPr>
              <w:rFonts w:ascii="Arial" w:hAnsi="Arial" w:cs="Arial"/>
              <w:sz w:val="20"/>
              <w:szCs w:val="20"/>
            </w:rPr>
            <w:fldChar w:fldCharType="separate"/>
          </w:r>
          <w:r w:rsidR="005F423A" w:rsidRPr="005F423A">
            <w:rPr>
              <w:rFonts w:ascii="Arial" w:hAnsi="Arial" w:cs="Arial"/>
              <w:noProof/>
              <w:sz w:val="20"/>
              <w:szCs w:val="20"/>
            </w:rPr>
            <w:t>(16)</w:t>
          </w:r>
          <w:r w:rsidR="00631B86">
            <w:rPr>
              <w:rFonts w:ascii="Arial" w:hAnsi="Arial" w:cs="Arial"/>
              <w:sz w:val="20"/>
              <w:szCs w:val="20"/>
            </w:rPr>
            <w:fldChar w:fldCharType="end"/>
          </w:r>
        </w:sdtContent>
      </w:sdt>
      <w:r w:rsidR="00FC7E58">
        <w:rPr>
          <w:rFonts w:ascii="Arial" w:hAnsi="Arial" w:cs="Arial"/>
          <w:sz w:val="20"/>
          <w:szCs w:val="20"/>
        </w:rPr>
        <w:t xml:space="preserve"> from data reported in a study by H</w:t>
      </w:r>
      <w:r w:rsidR="006700DC">
        <w:rPr>
          <w:rFonts w:ascii="Arial" w:hAnsi="Arial" w:cs="Arial"/>
          <w:sz w:val="20"/>
          <w:szCs w:val="20"/>
        </w:rPr>
        <w:t xml:space="preserve">urst </w:t>
      </w:r>
      <w:sdt>
        <w:sdtPr>
          <w:rPr>
            <w:rFonts w:ascii="Arial" w:hAnsi="Arial" w:cs="Arial"/>
            <w:sz w:val="20"/>
            <w:szCs w:val="20"/>
          </w:rPr>
          <w:id w:val="351409935"/>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Hur97 \l 2057 </w:instrText>
          </w:r>
          <w:r w:rsidR="00631B86">
            <w:rPr>
              <w:rFonts w:ascii="Arial" w:hAnsi="Arial" w:cs="Arial"/>
              <w:sz w:val="20"/>
              <w:szCs w:val="20"/>
            </w:rPr>
            <w:fldChar w:fldCharType="separate"/>
          </w:r>
          <w:r w:rsidR="005F423A" w:rsidRPr="005F423A">
            <w:rPr>
              <w:rFonts w:ascii="Arial" w:hAnsi="Arial" w:cs="Arial"/>
              <w:noProof/>
              <w:sz w:val="20"/>
              <w:szCs w:val="20"/>
            </w:rPr>
            <w:t>(20)</w:t>
          </w:r>
          <w:r w:rsidR="00631B86">
            <w:rPr>
              <w:rFonts w:ascii="Arial" w:hAnsi="Arial" w:cs="Arial"/>
              <w:sz w:val="20"/>
              <w:szCs w:val="20"/>
            </w:rPr>
            <w:fldChar w:fldCharType="end"/>
          </w:r>
        </w:sdtContent>
      </w:sdt>
      <w:r w:rsidR="006700DC">
        <w:rPr>
          <w:rFonts w:ascii="Arial" w:hAnsi="Arial" w:cs="Arial"/>
          <w:sz w:val="20"/>
          <w:szCs w:val="20"/>
        </w:rPr>
        <w:t>:</w:t>
      </w:r>
      <w:r w:rsidR="00114DFF">
        <w:rPr>
          <w:rFonts w:ascii="Arial" w:hAnsi="Arial" w:cs="Arial"/>
          <w:sz w:val="20"/>
          <w:szCs w:val="20"/>
        </w:rPr>
        <w:t xml:space="preserve"> </w:t>
      </w:r>
      <m:oMath>
        <m:r>
          <w:rPr>
            <w:rFonts w:ascii="Cambria Math" w:hAnsi="Cambria Math" w:cs="Arial"/>
            <w:sz w:val="20"/>
            <w:szCs w:val="20"/>
          </w:rPr>
          <m:t>EQ-5D=a+b×HAQ</m:t>
        </m:r>
      </m:oMath>
      <w:r w:rsidR="00415CF8">
        <w:rPr>
          <w:rFonts w:ascii="Arial" w:eastAsiaTheme="minorEastAsia" w:hAnsi="Arial" w:cs="Arial"/>
          <w:sz w:val="20"/>
          <w:szCs w:val="20"/>
        </w:rPr>
        <w:t>, where</w:t>
      </w:r>
      <w:r w:rsidR="00C367E5">
        <w:rPr>
          <w:rFonts w:ascii="Arial" w:eastAsiaTheme="minorEastAsia" w:hAnsi="Arial" w:cs="Arial"/>
          <w:sz w:val="20"/>
          <w:szCs w:val="20"/>
        </w:rPr>
        <w:t xml:space="preserve"> the interce</w:t>
      </w:r>
      <w:r w:rsidR="00736F10">
        <w:rPr>
          <w:rFonts w:ascii="Arial" w:eastAsiaTheme="minorEastAsia" w:hAnsi="Arial" w:cs="Arial"/>
          <w:sz w:val="20"/>
          <w:szCs w:val="20"/>
        </w:rPr>
        <w:t>pt</w:t>
      </w:r>
      <w:r w:rsidR="00415CF8">
        <w:rPr>
          <w:rFonts w:ascii="Arial" w:eastAsiaTheme="minorEastAsia" w:hAnsi="Arial" w:cs="Arial"/>
          <w:sz w:val="20"/>
          <w:szCs w:val="20"/>
        </w:rPr>
        <w:t xml:space="preserve"> </w:t>
      </w:r>
      <m:oMath>
        <m:r>
          <w:rPr>
            <w:rFonts w:ascii="Cambria Math" w:eastAsiaTheme="minorEastAsia" w:hAnsi="Cambria Math" w:cs="Arial"/>
            <w:sz w:val="20"/>
            <w:szCs w:val="20"/>
          </w:rPr>
          <m:t>a ~N(</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μ</m:t>
            </m:r>
          </m:e>
          <m:sub>
            <m:r>
              <w:rPr>
                <w:rFonts w:ascii="Cambria Math" w:eastAsiaTheme="minorEastAsia" w:hAnsi="Cambria Math" w:cs="Arial"/>
                <w:sz w:val="20"/>
                <w:szCs w:val="20"/>
              </w:rPr>
              <m:t>a</m:t>
            </m:r>
          </m:sub>
        </m:sSub>
        <m:r>
          <w:rPr>
            <w:rFonts w:ascii="Cambria Math" w:eastAsiaTheme="minorEastAsia" w:hAnsi="Cambria Math" w:cs="Arial"/>
            <w:sz w:val="20"/>
            <w:szCs w:val="20"/>
          </w:rPr>
          <m:t>,</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s</m:t>
            </m:r>
          </m:e>
          <m:sub>
            <m:r>
              <w:rPr>
                <w:rFonts w:ascii="Cambria Math" w:eastAsiaTheme="minorEastAsia" w:hAnsi="Cambria Math" w:cs="Arial"/>
                <w:sz w:val="20"/>
                <w:szCs w:val="20"/>
              </w:rPr>
              <m:t>a</m:t>
            </m:r>
          </m:sub>
          <m:sup>
            <m:r>
              <w:rPr>
                <w:rFonts w:ascii="Cambria Math" w:eastAsiaTheme="minorEastAsia" w:hAnsi="Cambria Math" w:cs="Arial"/>
                <w:sz w:val="20"/>
                <w:szCs w:val="20"/>
              </w:rPr>
              <m:t>2</m:t>
            </m:r>
          </m:sup>
        </m:sSubSup>
        <m:r>
          <w:rPr>
            <w:rFonts w:ascii="Cambria Math" w:eastAsiaTheme="minorEastAsia" w:hAnsi="Cambria Math" w:cs="Arial"/>
            <w:sz w:val="20"/>
            <w:szCs w:val="20"/>
          </w:rPr>
          <m:t>)</m:t>
        </m:r>
      </m:oMath>
      <w:r w:rsidR="00415CF8">
        <w:rPr>
          <w:rFonts w:ascii="Arial" w:eastAsiaTheme="minorEastAsia" w:hAnsi="Arial" w:cs="Arial"/>
          <w:sz w:val="20"/>
          <w:szCs w:val="20"/>
        </w:rPr>
        <w:t xml:space="preserve"> and</w:t>
      </w:r>
      <w:r w:rsidR="00736F10">
        <w:rPr>
          <w:rFonts w:ascii="Arial" w:eastAsiaTheme="minorEastAsia" w:hAnsi="Arial" w:cs="Arial"/>
          <w:sz w:val="20"/>
          <w:szCs w:val="20"/>
        </w:rPr>
        <w:t xml:space="preserve"> slope</w:t>
      </w:r>
      <w:r w:rsidR="00415CF8">
        <w:rPr>
          <w:rFonts w:ascii="Arial" w:eastAsiaTheme="minorEastAsia" w:hAnsi="Arial" w:cs="Arial"/>
          <w:sz w:val="20"/>
          <w:szCs w:val="20"/>
        </w:rPr>
        <w:t xml:space="preserve"> </w:t>
      </w:r>
      <m:oMath>
        <m:r>
          <w:rPr>
            <w:rFonts w:ascii="Cambria Math" w:eastAsiaTheme="minorEastAsia" w:hAnsi="Cambria Math" w:cs="Arial"/>
            <w:sz w:val="20"/>
            <w:szCs w:val="20"/>
          </w:rPr>
          <m:t>b ~N</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μ</m:t>
                </m:r>
              </m:e>
              <m:sub>
                <m:r>
                  <w:rPr>
                    <w:rFonts w:ascii="Cambria Math" w:eastAsiaTheme="minorEastAsia" w:hAnsi="Cambria Math" w:cs="Arial"/>
                    <w:sz w:val="20"/>
                    <w:szCs w:val="20"/>
                  </w:rPr>
                  <m:t>b</m:t>
                </m:r>
              </m:sub>
            </m:sSub>
            <m:r>
              <w:rPr>
                <w:rFonts w:ascii="Cambria Math" w:eastAsiaTheme="minorEastAsia" w:hAnsi="Cambria Math" w:cs="Arial"/>
                <w:sz w:val="20"/>
                <w:szCs w:val="20"/>
              </w:rPr>
              <m:t>,</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s</m:t>
                </m:r>
              </m:e>
              <m:sub>
                <m:r>
                  <w:rPr>
                    <w:rFonts w:ascii="Cambria Math" w:eastAsiaTheme="minorEastAsia" w:hAnsi="Cambria Math" w:cs="Arial"/>
                    <w:sz w:val="20"/>
                    <w:szCs w:val="20"/>
                  </w:rPr>
                  <m:t>b</m:t>
                </m:r>
              </m:sub>
              <m:sup>
                <m:r>
                  <w:rPr>
                    <w:rFonts w:ascii="Cambria Math" w:eastAsiaTheme="minorEastAsia" w:hAnsi="Cambria Math" w:cs="Arial"/>
                    <w:sz w:val="20"/>
                    <w:szCs w:val="20"/>
                  </w:rPr>
                  <m:t>2</m:t>
                </m:r>
              </m:sup>
            </m:sSubSup>
          </m:e>
        </m:d>
        <m:r>
          <w:rPr>
            <w:rFonts w:ascii="Cambria Math" w:eastAsiaTheme="minorEastAsia" w:hAnsi="Cambria Math" w:cs="Arial"/>
            <w:sz w:val="20"/>
            <w:szCs w:val="20"/>
          </w:rPr>
          <m:t>,</m:t>
        </m:r>
      </m:oMath>
      <w:r w:rsidR="00415CF8">
        <w:rPr>
          <w:rFonts w:ascii="Arial" w:eastAsiaTheme="minorEastAsia" w:hAnsi="Arial" w:cs="Arial"/>
          <w:sz w:val="20"/>
          <w:szCs w:val="20"/>
        </w:rPr>
        <w:t xml:space="preserve"> </w:t>
      </w:r>
      <w:r w:rsidR="00736F10">
        <w:rPr>
          <w:rFonts w:ascii="Arial" w:eastAsiaTheme="minorEastAsia" w:hAnsi="Arial" w:cs="Arial"/>
          <w:sz w:val="20"/>
          <w:szCs w:val="20"/>
        </w:rPr>
        <w:t>with means</w:t>
      </w:r>
      <w:r w:rsidR="00FC7E58">
        <w:rPr>
          <w:rFonts w:ascii="Arial" w:hAnsi="Arial" w:cs="Arial"/>
          <w:sz w:val="20"/>
          <w:szCs w:val="20"/>
        </w:rPr>
        <w:t xml:space="preserve"> </w:t>
      </w:r>
      <w:proofErr w:type="spellStart"/>
      <w:r w:rsidR="003B38BB">
        <w:rPr>
          <w:rFonts w:ascii="Arial" w:hAnsi="Arial" w:cs="Arial"/>
          <w:sz w:val="20"/>
          <w:szCs w:val="20"/>
        </w:rPr>
        <w:t>μ</w:t>
      </w:r>
      <w:r w:rsidR="003B38BB" w:rsidRPr="009723FB">
        <w:rPr>
          <w:rFonts w:ascii="Comic Sans MS" w:hAnsi="Comic Sans MS" w:cs="Arial"/>
          <w:sz w:val="20"/>
          <w:szCs w:val="20"/>
          <w:vertAlign w:val="subscript"/>
        </w:rPr>
        <w:t>a</w:t>
      </w:r>
      <w:proofErr w:type="spellEnd"/>
      <w:r w:rsidR="003B38BB">
        <w:rPr>
          <w:rFonts w:ascii="Arial" w:hAnsi="Arial" w:cs="Arial"/>
          <w:sz w:val="20"/>
          <w:szCs w:val="20"/>
        </w:rPr>
        <w:t>=</w:t>
      </w:r>
      <w:r w:rsidR="00C367E5">
        <w:rPr>
          <w:rFonts w:ascii="Arial" w:hAnsi="Arial" w:cs="Arial"/>
          <w:sz w:val="20"/>
          <w:szCs w:val="20"/>
        </w:rPr>
        <w:t>0.</w:t>
      </w:r>
      <w:r w:rsidR="003B38BB">
        <w:rPr>
          <w:rFonts w:ascii="Arial" w:hAnsi="Arial" w:cs="Arial"/>
          <w:sz w:val="20"/>
          <w:szCs w:val="20"/>
        </w:rPr>
        <w:t>62</w:t>
      </w:r>
      <w:r w:rsidR="003B38BB" w:rsidRPr="008D4928">
        <w:rPr>
          <w:rFonts w:ascii="Arial" w:hAnsi="Arial" w:cs="Arial"/>
          <w:sz w:val="20"/>
          <w:szCs w:val="20"/>
        </w:rPr>
        <w:t>8</w:t>
      </w:r>
      <w:r w:rsidR="00736F10">
        <w:rPr>
          <w:rFonts w:ascii="Arial" w:hAnsi="Arial" w:cs="Arial"/>
          <w:sz w:val="20"/>
          <w:szCs w:val="20"/>
        </w:rPr>
        <w:t xml:space="preserve"> and</w:t>
      </w:r>
      <w:r w:rsidR="00FC7E58" w:rsidRPr="008D4928">
        <w:rPr>
          <w:rFonts w:ascii="Arial" w:hAnsi="Arial" w:cs="Arial"/>
          <w:sz w:val="20"/>
          <w:szCs w:val="20"/>
        </w:rPr>
        <w:t xml:space="preserve"> </w:t>
      </w:r>
      <w:proofErr w:type="spellStart"/>
      <w:r w:rsidR="00FC7E58">
        <w:rPr>
          <w:rFonts w:ascii="Arial" w:hAnsi="Arial" w:cs="Arial"/>
          <w:sz w:val="20"/>
          <w:szCs w:val="20"/>
        </w:rPr>
        <w:t>μ</w:t>
      </w:r>
      <w:r w:rsidR="00FC7E58" w:rsidRPr="009723FB">
        <w:rPr>
          <w:rFonts w:ascii="Comic Sans MS" w:hAnsi="Comic Sans MS" w:cs="Arial"/>
          <w:sz w:val="20"/>
          <w:szCs w:val="20"/>
          <w:vertAlign w:val="subscript"/>
        </w:rPr>
        <w:t>b</w:t>
      </w:r>
      <w:proofErr w:type="spellEnd"/>
      <w:r w:rsidR="00FC7E58" w:rsidRPr="008D4928">
        <w:rPr>
          <w:rFonts w:ascii="Arial" w:hAnsi="Arial" w:cs="Arial"/>
          <w:sz w:val="20"/>
          <w:szCs w:val="20"/>
        </w:rPr>
        <w:t>=-0.</w:t>
      </w:r>
      <w:r w:rsidR="00FC7E58">
        <w:rPr>
          <w:rFonts w:ascii="Arial" w:hAnsi="Arial" w:cs="Arial"/>
          <w:sz w:val="20"/>
          <w:szCs w:val="20"/>
        </w:rPr>
        <w:t>327</w:t>
      </w:r>
      <w:r w:rsidR="00FC7E58" w:rsidRPr="008D4928">
        <w:rPr>
          <w:rFonts w:ascii="Arial" w:hAnsi="Arial" w:cs="Arial"/>
          <w:sz w:val="20"/>
          <w:szCs w:val="20"/>
        </w:rPr>
        <w:t>,</w:t>
      </w:r>
      <w:r w:rsidR="00736F10">
        <w:rPr>
          <w:rFonts w:ascii="Arial" w:hAnsi="Arial" w:cs="Arial"/>
          <w:sz w:val="20"/>
          <w:szCs w:val="20"/>
        </w:rPr>
        <w:t xml:space="preserve"> and standard deviations</w:t>
      </w:r>
      <w:r w:rsidR="00FC7E58" w:rsidRPr="008D4928">
        <w:rPr>
          <w:rFonts w:ascii="Arial" w:hAnsi="Arial" w:cs="Arial"/>
          <w:sz w:val="20"/>
          <w:szCs w:val="20"/>
        </w:rPr>
        <w:t xml:space="preserve"> </w:t>
      </w:r>
      <w:proofErr w:type="spellStart"/>
      <w:r w:rsidR="00FC7E58" w:rsidRPr="008D4928">
        <w:rPr>
          <w:rFonts w:ascii="Arial" w:hAnsi="Arial" w:cs="Arial"/>
          <w:sz w:val="20"/>
          <w:szCs w:val="20"/>
        </w:rPr>
        <w:t>s</w:t>
      </w:r>
      <w:r w:rsidR="00FC7E58" w:rsidRPr="009723FB">
        <w:rPr>
          <w:rFonts w:ascii="Comic Sans MS" w:hAnsi="Comic Sans MS" w:cs="Arial"/>
          <w:sz w:val="20"/>
          <w:szCs w:val="20"/>
          <w:vertAlign w:val="subscript"/>
        </w:rPr>
        <w:t>a</w:t>
      </w:r>
      <w:proofErr w:type="spellEnd"/>
      <w:r w:rsidR="00FC7E58" w:rsidRPr="008D4928">
        <w:rPr>
          <w:rFonts w:ascii="Arial" w:hAnsi="Arial" w:cs="Arial"/>
          <w:sz w:val="20"/>
          <w:szCs w:val="20"/>
        </w:rPr>
        <w:t>=0.0</w:t>
      </w:r>
      <w:r w:rsidR="00FC7E58">
        <w:rPr>
          <w:rFonts w:ascii="Arial" w:hAnsi="Arial" w:cs="Arial"/>
          <w:sz w:val="20"/>
          <w:szCs w:val="20"/>
        </w:rPr>
        <w:t>34</w:t>
      </w:r>
      <w:r w:rsidR="00736F10">
        <w:rPr>
          <w:rFonts w:ascii="Arial" w:hAnsi="Arial" w:cs="Arial"/>
          <w:sz w:val="20"/>
          <w:szCs w:val="20"/>
        </w:rPr>
        <w:t xml:space="preserve"> and</w:t>
      </w:r>
      <w:r w:rsidR="00FC7E58" w:rsidRPr="008D4928">
        <w:rPr>
          <w:rFonts w:ascii="Arial" w:hAnsi="Arial" w:cs="Arial"/>
          <w:sz w:val="20"/>
          <w:szCs w:val="20"/>
        </w:rPr>
        <w:t xml:space="preserve"> </w:t>
      </w:r>
      <w:proofErr w:type="spellStart"/>
      <w:r w:rsidR="00FC7E58" w:rsidRPr="008D4928">
        <w:rPr>
          <w:rFonts w:ascii="Arial" w:hAnsi="Arial" w:cs="Arial"/>
          <w:sz w:val="20"/>
          <w:szCs w:val="20"/>
        </w:rPr>
        <w:t>s</w:t>
      </w:r>
      <w:r w:rsidR="00FC7E58" w:rsidRPr="009723FB">
        <w:rPr>
          <w:rFonts w:ascii="Comic Sans MS" w:hAnsi="Comic Sans MS" w:cs="Arial"/>
          <w:sz w:val="20"/>
          <w:szCs w:val="20"/>
          <w:vertAlign w:val="subscript"/>
        </w:rPr>
        <w:t>b</w:t>
      </w:r>
      <w:proofErr w:type="spellEnd"/>
      <w:r w:rsidR="00FC7E58" w:rsidRPr="008D4928">
        <w:rPr>
          <w:rFonts w:ascii="Arial" w:hAnsi="Arial" w:cs="Arial"/>
          <w:sz w:val="20"/>
          <w:szCs w:val="20"/>
        </w:rPr>
        <w:t>=0.02</w:t>
      </w:r>
      <w:r w:rsidR="00FC7E58">
        <w:rPr>
          <w:rFonts w:ascii="Arial" w:hAnsi="Arial" w:cs="Arial"/>
          <w:sz w:val="20"/>
          <w:szCs w:val="20"/>
        </w:rPr>
        <w:t>1</w:t>
      </w:r>
      <w:r w:rsidR="006B7633">
        <w:rPr>
          <w:rFonts w:ascii="Arial" w:hAnsi="Arial" w:cs="Arial"/>
          <w:sz w:val="20"/>
          <w:szCs w:val="20"/>
        </w:rPr>
        <w:t xml:space="preserve"> (note that this approach assumed independence of intercept and slope)</w:t>
      </w:r>
      <w:r w:rsidR="00FC7E58" w:rsidRPr="008D4928">
        <w:rPr>
          <w:rFonts w:ascii="Arial" w:hAnsi="Arial" w:cs="Arial"/>
          <w:sz w:val="20"/>
          <w:szCs w:val="20"/>
        </w:rPr>
        <w:t>.</w:t>
      </w:r>
      <w:r w:rsidR="00007356">
        <w:rPr>
          <w:rFonts w:ascii="Arial" w:hAnsi="Arial" w:cs="Arial"/>
          <w:sz w:val="20"/>
          <w:szCs w:val="20"/>
        </w:rPr>
        <w:t>This relationship can be assumed to remain the same a</w:t>
      </w:r>
      <w:r w:rsidR="00C7408F">
        <w:rPr>
          <w:rFonts w:ascii="Arial" w:hAnsi="Arial" w:cs="Arial"/>
          <w:sz w:val="20"/>
          <w:szCs w:val="20"/>
        </w:rPr>
        <w:t>t any time point</w:t>
      </w:r>
      <w:r w:rsidR="00007356">
        <w:rPr>
          <w:rFonts w:ascii="Arial" w:hAnsi="Arial" w:cs="Arial"/>
          <w:sz w:val="20"/>
          <w:szCs w:val="20"/>
        </w:rPr>
        <w:t>,</w:t>
      </w:r>
      <w:r w:rsidR="00C7408F">
        <w:rPr>
          <w:rFonts w:ascii="Arial" w:hAnsi="Arial" w:cs="Arial"/>
          <w:sz w:val="20"/>
          <w:szCs w:val="20"/>
        </w:rPr>
        <w:t xml:space="preserve"> hence the relationship between the change from baseline of EQ-5D and the change from baseline of HAQ can be modelled as</w:t>
      </w:r>
      <w:r w:rsidR="001E72E4">
        <w:rPr>
          <w:rFonts w:ascii="Arial" w:hAnsi="Arial" w:cs="Arial"/>
          <w:sz w:val="20"/>
          <w:szCs w:val="20"/>
        </w:rPr>
        <w:t xml:space="preserve"> </w:t>
      </w:r>
      <m:oMath>
        <m:r>
          <w:rPr>
            <w:rFonts w:ascii="Cambria Math" w:hAnsi="Cambria Math" w:cs="Arial"/>
            <w:sz w:val="20"/>
            <w:szCs w:val="20"/>
          </w:rPr>
          <m:t>∆EQ-5D=b×∆HAQ</m:t>
        </m:r>
      </m:oMath>
      <w:r w:rsidR="00FC7E58">
        <w:rPr>
          <w:rFonts w:ascii="Arial" w:eastAsiaTheme="minorEastAsia" w:hAnsi="Arial" w:cs="Arial"/>
          <w:sz w:val="20"/>
          <w:szCs w:val="20"/>
        </w:rPr>
        <w:t>.</w:t>
      </w:r>
    </w:p>
    <w:p w:rsidR="004577B4" w:rsidRPr="008D4928" w:rsidRDefault="004577B4" w:rsidP="00AA3405">
      <w:pPr>
        <w:pStyle w:val="PlainText"/>
        <w:spacing w:line="480" w:lineRule="auto"/>
        <w:jc w:val="both"/>
        <w:rPr>
          <w:rFonts w:ascii="Arial" w:hAnsi="Arial" w:cs="Arial"/>
          <w:sz w:val="20"/>
          <w:szCs w:val="20"/>
        </w:rPr>
      </w:pPr>
    </w:p>
    <w:p w:rsidR="004577B4" w:rsidRDefault="004577B4" w:rsidP="00AA3405">
      <w:pPr>
        <w:pStyle w:val="PlainText"/>
        <w:spacing w:line="480" w:lineRule="auto"/>
        <w:jc w:val="both"/>
        <w:rPr>
          <w:rFonts w:ascii="Arial" w:hAnsi="Arial" w:cs="Arial"/>
          <w:sz w:val="20"/>
          <w:szCs w:val="20"/>
        </w:rPr>
      </w:pPr>
      <w:r w:rsidRPr="008D4928">
        <w:rPr>
          <w:rFonts w:ascii="Arial" w:hAnsi="Arial" w:cs="Arial"/>
          <w:sz w:val="20"/>
          <w:szCs w:val="20"/>
        </w:rPr>
        <w:t xml:space="preserve">The </w:t>
      </w:r>
      <w:r w:rsidR="00FC7E58">
        <w:rPr>
          <w:rFonts w:ascii="Arial" w:hAnsi="Arial" w:cs="Arial"/>
          <w:sz w:val="20"/>
          <w:szCs w:val="20"/>
        </w:rPr>
        <w:t xml:space="preserve">change from baseline in </w:t>
      </w:r>
      <w:r w:rsidRPr="008D4928">
        <w:rPr>
          <w:rFonts w:ascii="Arial" w:hAnsi="Arial" w:cs="Arial"/>
          <w:sz w:val="20"/>
          <w:szCs w:val="20"/>
        </w:rPr>
        <w:t>HAQ estimate</w:t>
      </w:r>
      <w:proofErr w:type="gramStart"/>
      <w:r w:rsidR="00FC7E58">
        <w:rPr>
          <w:rFonts w:ascii="Arial" w:hAnsi="Arial" w:cs="Arial"/>
          <w:sz w:val="20"/>
          <w:szCs w:val="20"/>
        </w:rPr>
        <w:t xml:space="preserve">, </w:t>
      </w:r>
      <w:proofErr w:type="gramEnd"/>
      <m:oMath>
        <m:r>
          <w:rPr>
            <w:rFonts w:ascii="Cambria Math" w:hAnsi="Cambria Math" w:cs="Arial"/>
            <w:sz w:val="20"/>
            <w:szCs w:val="20"/>
          </w:rPr>
          <m:t>∆HAQ</m:t>
        </m:r>
      </m:oMath>
      <w:r w:rsidR="00AC5AB3">
        <w:rPr>
          <w:rFonts w:ascii="Arial" w:hAnsi="Arial" w:cs="Arial"/>
          <w:sz w:val="20"/>
          <w:szCs w:val="20"/>
        </w:rPr>
        <w:t>,</w:t>
      </w:r>
      <w:r w:rsidRPr="008D4928">
        <w:rPr>
          <w:rFonts w:ascii="Arial" w:hAnsi="Arial" w:cs="Arial"/>
          <w:sz w:val="20"/>
          <w:szCs w:val="20"/>
        </w:rPr>
        <w:t xml:space="preserve"> used in </w:t>
      </w:r>
      <w:r w:rsidR="00AC5AB3">
        <w:rPr>
          <w:rFonts w:ascii="Arial" w:hAnsi="Arial" w:cs="Arial"/>
          <w:sz w:val="20"/>
          <w:szCs w:val="20"/>
        </w:rPr>
        <w:t xml:space="preserve">the above mapping equation, </w:t>
      </w:r>
      <w:r w:rsidRPr="008D4928">
        <w:rPr>
          <w:rFonts w:ascii="Arial" w:hAnsi="Arial" w:cs="Arial"/>
          <w:sz w:val="20"/>
          <w:szCs w:val="20"/>
        </w:rPr>
        <w:t xml:space="preserve">typically comes from a meta-analysis. As can be seen in Table </w:t>
      </w:r>
      <w:r w:rsidR="00C367E5">
        <w:rPr>
          <w:rFonts w:ascii="Arial" w:hAnsi="Arial" w:cs="Arial"/>
          <w:sz w:val="20"/>
          <w:szCs w:val="20"/>
        </w:rPr>
        <w:t>2</w:t>
      </w:r>
      <w:r w:rsidRPr="008D4928">
        <w:rPr>
          <w:rFonts w:ascii="Arial" w:hAnsi="Arial" w:cs="Arial"/>
          <w:sz w:val="20"/>
          <w:szCs w:val="20"/>
        </w:rPr>
        <w:t xml:space="preserve">, there are only 8 studies reporting the HAQ in the ``Lloyd data'', while there were many more studies investigating effectiveness of the same treatment in the same type of patients but reporting DAS-28 and/or ACR20. To be able to include all outcome data from all studies we </w:t>
      </w:r>
      <w:r w:rsidR="00A33E16">
        <w:rPr>
          <w:rFonts w:ascii="Arial" w:hAnsi="Arial" w:cs="Arial"/>
          <w:sz w:val="20"/>
          <w:szCs w:val="20"/>
        </w:rPr>
        <w:t>have</w:t>
      </w:r>
      <w:r w:rsidRPr="008D4928">
        <w:rPr>
          <w:rFonts w:ascii="Arial" w:hAnsi="Arial" w:cs="Arial"/>
          <w:sz w:val="20"/>
          <w:szCs w:val="20"/>
        </w:rPr>
        <w:t xml:space="preserve"> use</w:t>
      </w:r>
      <w:r w:rsidR="00A33E16">
        <w:rPr>
          <w:rFonts w:ascii="Arial" w:hAnsi="Arial" w:cs="Arial"/>
          <w:sz w:val="20"/>
          <w:szCs w:val="20"/>
        </w:rPr>
        <w:t>d</w:t>
      </w:r>
      <w:r w:rsidRPr="008D4928">
        <w:rPr>
          <w:rFonts w:ascii="Arial" w:hAnsi="Arial" w:cs="Arial"/>
          <w:sz w:val="20"/>
          <w:szCs w:val="20"/>
        </w:rPr>
        <w:t xml:space="preserve"> </w:t>
      </w:r>
      <w:r w:rsidR="00C367E5">
        <w:rPr>
          <w:rFonts w:ascii="Arial" w:hAnsi="Arial" w:cs="Arial"/>
          <w:sz w:val="20"/>
          <w:szCs w:val="20"/>
        </w:rPr>
        <w:t>the</w:t>
      </w:r>
      <w:r w:rsidRPr="008D4928">
        <w:rPr>
          <w:rFonts w:ascii="Arial" w:hAnsi="Arial" w:cs="Arial"/>
          <w:sz w:val="20"/>
          <w:szCs w:val="20"/>
        </w:rPr>
        <w:t xml:space="preserve"> multivariate approach to meta-analysis as described </w:t>
      </w:r>
      <w:r w:rsidR="000F1E15">
        <w:rPr>
          <w:rFonts w:ascii="Arial" w:hAnsi="Arial" w:cs="Arial"/>
          <w:sz w:val="20"/>
          <w:szCs w:val="20"/>
        </w:rPr>
        <w:t>above</w:t>
      </w:r>
      <w:r w:rsidRPr="008D4928">
        <w:rPr>
          <w:rFonts w:ascii="Arial" w:hAnsi="Arial" w:cs="Arial"/>
          <w:sz w:val="20"/>
          <w:szCs w:val="20"/>
        </w:rPr>
        <w:t>.</w:t>
      </w:r>
    </w:p>
    <w:p w:rsidR="002D617C" w:rsidRPr="00921FC6" w:rsidRDefault="002D617C" w:rsidP="00AA3405">
      <w:pPr>
        <w:pStyle w:val="PlainText"/>
        <w:spacing w:line="480" w:lineRule="auto"/>
        <w:jc w:val="both"/>
        <w:rPr>
          <w:rFonts w:ascii="Arial" w:hAnsi="Arial" w:cs="Arial"/>
          <w:i/>
          <w:sz w:val="20"/>
          <w:szCs w:val="20"/>
        </w:rPr>
      </w:pPr>
    </w:p>
    <w:p w:rsidR="00B347A8" w:rsidRPr="00921FC6" w:rsidRDefault="00631B86" w:rsidP="00AA3405">
      <w:pPr>
        <w:pStyle w:val="PlainText"/>
        <w:spacing w:line="480" w:lineRule="auto"/>
        <w:jc w:val="both"/>
        <w:rPr>
          <w:rFonts w:ascii="Arial" w:hAnsi="Arial" w:cs="Arial"/>
          <w:i/>
          <w:sz w:val="20"/>
          <w:szCs w:val="20"/>
        </w:rPr>
      </w:pPr>
      <w:r w:rsidRPr="00921FC6">
        <w:rPr>
          <w:rFonts w:ascii="Arial" w:hAnsi="Arial" w:cs="Arial"/>
          <w:i/>
          <w:sz w:val="20"/>
          <w:szCs w:val="20"/>
        </w:rPr>
        <w:t>Software implementation</w:t>
      </w:r>
    </w:p>
    <w:p w:rsidR="002D617C" w:rsidRPr="008D4928" w:rsidRDefault="002D617C" w:rsidP="00AA3405">
      <w:pPr>
        <w:pStyle w:val="PlainText"/>
        <w:spacing w:line="480" w:lineRule="auto"/>
        <w:jc w:val="both"/>
        <w:rPr>
          <w:rFonts w:ascii="Arial" w:hAnsi="Arial" w:cs="Arial"/>
          <w:sz w:val="20"/>
          <w:szCs w:val="20"/>
        </w:rPr>
      </w:pPr>
      <w:r w:rsidRPr="008D4928">
        <w:rPr>
          <w:rFonts w:ascii="Arial" w:hAnsi="Arial" w:cs="Arial"/>
          <w:sz w:val="20"/>
          <w:szCs w:val="20"/>
        </w:rPr>
        <w:t xml:space="preserve">All models were implemented in </w:t>
      </w:r>
      <w:proofErr w:type="spellStart"/>
      <w:r w:rsidRPr="008D4928">
        <w:rPr>
          <w:rFonts w:ascii="Arial" w:hAnsi="Arial" w:cs="Arial"/>
          <w:sz w:val="20"/>
          <w:szCs w:val="20"/>
        </w:rPr>
        <w:t>WinBUGS</w:t>
      </w:r>
      <w:proofErr w:type="spellEnd"/>
      <w:r w:rsidRPr="008D4928">
        <w:rPr>
          <w:rFonts w:ascii="Arial" w:hAnsi="Arial" w:cs="Arial"/>
          <w:sz w:val="20"/>
          <w:szCs w:val="20"/>
        </w:rPr>
        <w:t xml:space="preserve"> </w:t>
      </w:r>
      <w:sdt>
        <w:sdtPr>
          <w:rPr>
            <w:rFonts w:ascii="Arial" w:hAnsi="Arial" w:cs="Arial"/>
            <w:sz w:val="20"/>
            <w:szCs w:val="20"/>
          </w:rPr>
          <w:id w:val="351409516"/>
          <w:citation/>
        </w:sdtPr>
        <w:sdtEndPr/>
        <w:sdtContent>
          <w:r w:rsidR="00631B86">
            <w:rPr>
              <w:rFonts w:ascii="Arial" w:hAnsi="Arial" w:cs="Arial"/>
              <w:sz w:val="20"/>
              <w:szCs w:val="20"/>
            </w:rPr>
            <w:fldChar w:fldCharType="begin"/>
          </w:r>
          <w:r>
            <w:rPr>
              <w:rFonts w:ascii="Arial" w:hAnsi="Arial" w:cs="Arial"/>
              <w:sz w:val="20"/>
              <w:szCs w:val="20"/>
            </w:rPr>
            <w:instrText xml:space="preserve"> CITATION Spi03 \l 2057 </w:instrText>
          </w:r>
          <w:r w:rsidR="00631B86">
            <w:rPr>
              <w:rFonts w:ascii="Arial" w:hAnsi="Arial" w:cs="Arial"/>
              <w:sz w:val="20"/>
              <w:szCs w:val="20"/>
            </w:rPr>
            <w:fldChar w:fldCharType="separate"/>
          </w:r>
          <w:r w:rsidR="005F423A" w:rsidRPr="005F423A">
            <w:rPr>
              <w:rFonts w:ascii="Arial" w:hAnsi="Arial" w:cs="Arial"/>
              <w:noProof/>
              <w:sz w:val="20"/>
              <w:szCs w:val="20"/>
            </w:rPr>
            <w:t>(17)</w:t>
          </w:r>
          <w:r w:rsidR="00631B86">
            <w:rPr>
              <w:rFonts w:ascii="Arial" w:hAnsi="Arial" w:cs="Arial"/>
              <w:sz w:val="20"/>
              <w:szCs w:val="20"/>
            </w:rPr>
            <w:fldChar w:fldCharType="end"/>
          </w:r>
        </w:sdtContent>
      </w:sdt>
      <w:r w:rsidRPr="008D4928">
        <w:rPr>
          <w:rFonts w:ascii="Arial" w:hAnsi="Arial" w:cs="Arial"/>
          <w:sz w:val="20"/>
          <w:szCs w:val="20"/>
        </w:rPr>
        <w:t xml:space="preserve"> where the estimates were obtained using MCMC simulation using 100</w:t>
      </w:r>
      <w:r w:rsidR="003B5CE1">
        <w:rPr>
          <w:rFonts w:ascii="Arial" w:hAnsi="Arial" w:cs="Arial"/>
          <w:sz w:val="20"/>
          <w:szCs w:val="20"/>
        </w:rPr>
        <w:t>,</w:t>
      </w:r>
      <w:r w:rsidRPr="008D4928">
        <w:rPr>
          <w:rFonts w:ascii="Arial" w:hAnsi="Arial" w:cs="Arial"/>
          <w:sz w:val="20"/>
          <w:szCs w:val="20"/>
        </w:rPr>
        <w:t xml:space="preserve">000 iterations (including </w:t>
      </w:r>
      <w:proofErr w:type="gramStart"/>
      <w:r w:rsidRPr="008D4928">
        <w:rPr>
          <w:rFonts w:ascii="Arial" w:hAnsi="Arial" w:cs="Arial"/>
          <w:sz w:val="20"/>
          <w:szCs w:val="20"/>
        </w:rPr>
        <w:t>50</w:t>
      </w:r>
      <w:r w:rsidR="003B5CE1">
        <w:rPr>
          <w:rFonts w:ascii="Arial" w:hAnsi="Arial" w:cs="Arial"/>
          <w:sz w:val="20"/>
          <w:szCs w:val="20"/>
        </w:rPr>
        <w:t>,</w:t>
      </w:r>
      <w:r w:rsidRPr="008D4928">
        <w:rPr>
          <w:rFonts w:ascii="Arial" w:hAnsi="Arial" w:cs="Arial"/>
          <w:sz w:val="20"/>
          <w:szCs w:val="20"/>
        </w:rPr>
        <w:t>000 burn-in</w:t>
      </w:r>
      <w:proofErr w:type="gramEnd"/>
      <w:r w:rsidRPr="008D4928">
        <w:rPr>
          <w:rFonts w:ascii="Arial" w:hAnsi="Arial" w:cs="Arial"/>
          <w:sz w:val="20"/>
          <w:szCs w:val="20"/>
        </w:rPr>
        <w:t>). All posterior estimates are</w:t>
      </w:r>
      <w:r>
        <w:rPr>
          <w:rFonts w:ascii="Arial" w:hAnsi="Arial" w:cs="Arial"/>
          <w:sz w:val="20"/>
          <w:szCs w:val="20"/>
        </w:rPr>
        <w:t xml:space="preserve"> presented as means with the 95</w:t>
      </w:r>
      <w:r w:rsidRPr="008D4928">
        <w:rPr>
          <w:rFonts w:ascii="Arial" w:hAnsi="Arial" w:cs="Arial"/>
          <w:sz w:val="20"/>
          <w:szCs w:val="20"/>
        </w:rPr>
        <w:t>% highest probability density intervals (HPDI)</w:t>
      </w:r>
      <w:r>
        <w:rPr>
          <w:rFonts w:ascii="Arial" w:hAnsi="Arial" w:cs="Arial"/>
          <w:sz w:val="20"/>
          <w:szCs w:val="20"/>
        </w:rPr>
        <w:t xml:space="preserve"> </w:t>
      </w:r>
      <w:sdt>
        <w:sdtPr>
          <w:rPr>
            <w:rFonts w:ascii="Arial" w:hAnsi="Arial" w:cs="Arial"/>
            <w:sz w:val="20"/>
            <w:szCs w:val="20"/>
          </w:rPr>
          <w:id w:val="561021816"/>
          <w:citation/>
        </w:sdtPr>
        <w:sdtEndPr/>
        <w:sdtContent>
          <w:r w:rsidR="00631B86">
            <w:rPr>
              <w:rFonts w:ascii="Arial" w:hAnsi="Arial" w:cs="Arial"/>
              <w:sz w:val="20"/>
              <w:szCs w:val="20"/>
            </w:rPr>
            <w:fldChar w:fldCharType="begin"/>
          </w:r>
          <w:r>
            <w:rPr>
              <w:rFonts w:ascii="Arial" w:hAnsi="Arial" w:cs="Arial"/>
              <w:sz w:val="20"/>
              <w:szCs w:val="20"/>
            </w:rPr>
            <w:instrText xml:space="preserve"> CITATION Spi04 \l 2057 </w:instrText>
          </w:r>
          <w:r w:rsidR="00631B86">
            <w:rPr>
              <w:rFonts w:ascii="Arial" w:hAnsi="Arial" w:cs="Arial"/>
              <w:sz w:val="20"/>
              <w:szCs w:val="20"/>
            </w:rPr>
            <w:fldChar w:fldCharType="separate"/>
          </w:r>
          <w:r w:rsidR="005F423A" w:rsidRPr="005F423A">
            <w:rPr>
              <w:rFonts w:ascii="Arial" w:hAnsi="Arial" w:cs="Arial"/>
              <w:noProof/>
              <w:sz w:val="20"/>
              <w:szCs w:val="20"/>
            </w:rPr>
            <w:t>(21)</w:t>
          </w:r>
          <w:r w:rsidR="00631B86">
            <w:rPr>
              <w:rFonts w:ascii="Arial" w:hAnsi="Arial" w:cs="Arial"/>
              <w:sz w:val="20"/>
              <w:szCs w:val="20"/>
            </w:rPr>
            <w:fldChar w:fldCharType="end"/>
          </w:r>
        </w:sdtContent>
      </w:sdt>
      <w:r>
        <w:rPr>
          <w:rFonts w:ascii="Arial" w:hAnsi="Arial" w:cs="Arial"/>
          <w:sz w:val="20"/>
          <w:szCs w:val="20"/>
        </w:rPr>
        <w:t xml:space="preserve"> obtained using </w:t>
      </w:r>
      <w:r w:rsidRPr="008D4928">
        <w:rPr>
          <w:rFonts w:ascii="Arial" w:hAnsi="Arial" w:cs="Arial"/>
          <w:sz w:val="20"/>
          <w:szCs w:val="20"/>
        </w:rPr>
        <w:t>the BOA package</w:t>
      </w:r>
      <w:sdt>
        <w:sdtPr>
          <w:rPr>
            <w:rFonts w:ascii="Arial" w:hAnsi="Arial" w:cs="Arial"/>
            <w:sz w:val="20"/>
            <w:szCs w:val="20"/>
          </w:rPr>
          <w:id w:val="351409506"/>
          <w:citation/>
        </w:sdtPr>
        <w:sdtEndPr/>
        <w:sdtContent>
          <w:r w:rsidR="00631B86">
            <w:rPr>
              <w:rFonts w:ascii="Arial" w:hAnsi="Arial" w:cs="Arial"/>
              <w:sz w:val="20"/>
              <w:szCs w:val="20"/>
            </w:rPr>
            <w:fldChar w:fldCharType="begin"/>
          </w:r>
          <w:r>
            <w:rPr>
              <w:rFonts w:ascii="Arial" w:hAnsi="Arial" w:cs="Arial"/>
              <w:sz w:val="20"/>
              <w:szCs w:val="20"/>
            </w:rPr>
            <w:instrText xml:space="preserve"> CITATION BJS07 \l 2057 </w:instrText>
          </w:r>
          <w:r w:rsidR="00631B86">
            <w:rPr>
              <w:rFonts w:ascii="Arial" w:hAnsi="Arial" w:cs="Arial"/>
              <w:sz w:val="20"/>
              <w:szCs w:val="20"/>
            </w:rPr>
            <w:fldChar w:fldCharType="separate"/>
          </w:r>
          <w:r w:rsidR="005F423A">
            <w:rPr>
              <w:rFonts w:ascii="Arial" w:hAnsi="Arial" w:cs="Arial"/>
              <w:noProof/>
              <w:sz w:val="20"/>
              <w:szCs w:val="20"/>
            </w:rPr>
            <w:t xml:space="preserve"> </w:t>
          </w:r>
          <w:r w:rsidR="005F423A" w:rsidRPr="005F423A">
            <w:rPr>
              <w:rFonts w:ascii="Arial" w:hAnsi="Arial" w:cs="Arial"/>
              <w:noProof/>
              <w:sz w:val="20"/>
              <w:szCs w:val="20"/>
            </w:rPr>
            <w:t>(22)</w:t>
          </w:r>
          <w:r w:rsidR="00631B86">
            <w:rPr>
              <w:rFonts w:ascii="Arial" w:hAnsi="Arial" w:cs="Arial"/>
              <w:sz w:val="20"/>
              <w:szCs w:val="20"/>
            </w:rPr>
            <w:fldChar w:fldCharType="end"/>
          </w:r>
        </w:sdtContent>
      </w:sdt>
      <w:r w:rsidRPr="008D4928">
        <w:rPr>
          <w:rFonts w:ascii="Arial" w:hAnsi="Arial" w:cs="Arial"/>
          <w:sz w:val="20"/>
          <w:szCs w:val="20"/>
        </w:rPr>
        <w:t>.</w:t>
      </w:r>
      <w:r>
        <w:rPr>
          <w:rFonts w:ascii="Arial" w:hAnsi="Arial" w:cs="Arial"/>
          <w:sz w:val="20"/>
          <w:szCs w:val="20"/>
        </w:rPr>
        <w:t xml:space="preserve"> This evidence synthesis aimed to give an estimate of ΔHAQ from all available sources of evidence of the effectiveness (of studies reporting a variety of outcomes) which can then be used to estimate ΔEQ-5D.</w:t>
      </w:r>
    </w:p>
    <w:p w:rsidR="004577B4" w:rsidRDefault="00FD75DF" w:rsidP="00AA3405">
      <w:pPr>
        <w:pStyle w:val="PlainText"/>
        <w:spacing w:line="480" w:lineRule="auto"/>
        <w:jc w:val="both"/>
        <w:rPr>
          <w:rFonts w:ascii="Arial" w:hAnsi="Arial" w:cs="Arial"/>
          <w:b/>
          <w:sz w:val="20"/>
          <w:szCs w:val="20"/>
        </w:rPr>
      </w:pPr>
      <w:r>
        <w:rPr>
          <w:rFonts w:ascii="Arial" w:hAnsi="Arial" w:cs="Arial"/>
          <w:b/>
          <w:sz w:val="20"/>
          <w:szCs w:val="20"/>
        </w:rPr>
        <w:br/>
      </w:r>
      <w:r w:rsidR="00306F08" w:rsidRPr="008D4928">
        <w:rPr>
          <w:rFonts w:ascii="Arial" w:hAnsi="Arial" w:cs="Arial"/>
          <w:b/>
          <w:sz w:val="20"/>
          <w:szCs w:val="20"/>
        </w:rPr>
        <w:t>Results</w:t>
      </w:r>
    </w:p>
    <w:p w:rsidR="000A2E38" w:rsidRDefault="000A2E38" w:rsidP="00AA3405">
      <w:pPr>
        <w:pStyle w:val="PlainText"/>
        <w:spacing w:line="480" w:lineRule="auto"/>
        <w:jc w:val="both"/>
        <w:rPr>
          <w:rFonts w:ascii="Arial" w:hAnsi="Arial" w:cs="Arial"/>
          <w:b/>
          <w:sz w:val="20"/>
          <w:szCs w:val="20"/>
        </w:rPr>
      </w:pPr>
    </w:p>
    <w:p w:rsidR="00955FC6" w:rsidRDefault="00D27D05" w:rsidP="00AA3405">
      <w:pPr>
        <w:pStyle w:val="PlainText"/>
        <w:spacing w:line="480" w:lineRule="auto"/>
        <w:jc w:val="both"/>
        <w:rPr>
          <w:rFonts w:ascii="Arial" w:hAnsi="Arial" w:cs="Arial"/>
          <w:sz w:val="20"/>
          <w:szCs w:val="20"/>
        </w:rPr>
      </w:pPr>
      <w:r w:rsidRPr="008D4928">
        <w:rPr>
          <w:rFonts w:ascii="Arial" w:hAnsi="Arial" w:cs="Arial"/>
          <w:sz w:val="20"/>
          <w:szCs w:val="20"/>
        </w:rPr>
        <w:t xml:space="preserve">We have applied the </w:t>
      </w:r>
      <w:r>
        <w:rPr>
          <w:rFonts w:ascii="Arial" w:hAnsi="Arial" w:cs="Arial"/>
          <w:sz w:val="20"/>
          <w:szCs w:val="20"/>
        </w:rPr>
        <w:t>MV</w:t>
      </w:r>
      <w:r w:rsidRPr="008D4928">
        <w:rPr>
          <w:rFonts w:ascii="Arial" w:hAnsi="Arial" w:cs="Arial"/>
          <w:sz w:val="20"/>
          <w:szCs w:val="20"/>
        </w:rPr>
        <w:t xml:space="preserve">MA model to the ``Lloyd data'' in order to model simultaneously data on the HAQ, DAS-28 and ACR20. To investigate the impact of including more data in the analysis on uncertainty around the HAQ estimate and </w:t>
      </w:r>
      <w:r>
        <w:rPr>
          <w:rFonts w:ascii="Arial" w:hAnsi="Arial" w:cs="Arial"/>
          <w:sz w:val="20"/>
          <w:szCs w:val="20"/>
        </w:rPr>
        <w:t>consequently the EQ-5D</w:t>
      </w:r>
      <w:r w:rsidRPr="008D4928">
        <w:rPr>
          <w:rFonts w:ascii="Arial" w:hAnsi="Arial" w:cs="Arial"/>
          <w:sz w:val="20"/>
          <w:szCs w:val="20"/>
        </w:rPr>
        <w:t xml:space="preserve">, we explored results of the meta-analyses on three levels: using </w:t>
      </w:r>
      <w:r>
        <w:rPr>
          <w:rFonts w:ascii="Arial" w:hAnsi="Arial" w:cs="Arial"/>
          <w:sz w:val="20"/>
          <w:szCs w:val="20"/>
        </w:rPr>
        <w:t>univariate random effects meta-analysis (</w:t>
      </w:r>
      <w:r w:rsidRPr="008D4928">
        <w:rPr>
          <w:rFonts w:ascii="Arial" w:hAnsi="Arial" w:cs="Arial"/>
          <w:sz w:val="20"/>
          <w:szCs w:val="20"/>
        </w:rPr>
        <w:t>URMA</w:t>
      </w:r>
      <w:r>
        <w:rPr>
          <w:rFonts w:ascii="Arial" w:hAnsi="Arial" w:cs="Arial"/>
          <w:sz w:val="20"/>
          <w:szCs w:val="20"/>
        </w:rPr>
        <w:t xml:space="preserve">) of </w:t>
      </w:r>
      <w:r w:rsidR="00DE67B4">
        <w:rPr>
          <w:rFonts w:ascii="Arial" w:hAnsi="Arial" w:cs="Arial"/>
          <w:sz w:val="20"/>
          <w:szCs w:val="20"/>
        </w:rPr>
        <w:t>Δ</w:t>
      </w:r>
      <w:r>
        <w:rPr>
          <w:rFonts w:ascii="Arial" w:hAnsi="Arial" w:cs="Arial"/>
          <w:sz w:val="20"/>
          <w:szCs w:val="20"/>
        </w:rPr>
        <w:t>HAQ</w:t>
      </w:r>
      <w:r w:rsidRPr="008D4928">
        <w:rPr>
          <w:rFonts w:ascii="Arial" w:hAnsi="Arial" w:cs="Arial"/>
          <w:sz w:val="20"/>
          <w:szCs w:val="20"/>
        </w:rPr>
        <w:t xml:space="preserve">, bivariate random-effects meta-analysis (BRMA) combining the </w:t>
      </w:r>
      <w:r w:rsidR="00DE67B4">
        <w:rPr>
          <w:rFonts w:ascii="Arial" w:hAnsi="Arial" w:cs="Arial"/>
          <w:sz w:val="20"/>
          <w:szCs w:val="20"/>
        </w:rPr>
        <w:t>Δ</w:t>
      </w:r>
      <w:r w:rsidRPr="008D4928">
        <w:rPr>
          <w:rFonts w:ascii="Arial" w:hAnsi="Arial" w:cs="Arial"/>
          <w:sz w:val="20"/>
          <w:szCs w:val="20"/>
        </w:rPr>
        <w:t xml:space="preserve">HAQ and the </w:t>
      </w:r>
      <w:r w:rsidR="00DE67B4">
        <w:rPr>
          <w:rFonts w:ascii="Arial" w:hAnsi="Arial" w:cs="Arial"/>
          <w:sz w:val="20"/>
          <w:szCs w:val="20"/>
        </w:rPr>
        <w:t>Δ</w:t>
      </w:r>
      <w:r w:rsidRPr="008D4928">
        <w:rPr>
          <w:rFonts w:ascii="Arial" w:hAnsi="Arial" w:cs="Arial"/>
          <w:sz w:val="20"/>
          <w:szCs w:val="20"/>
        </w:rPr>
        <w:t xml:space="preserve">DAS-28 and finally </w:t>
      </w:r>
      <w:proofErr w:type="spellStart"/>
      <w:r>
        <w:rPr>
          <w:rFonts w:ascii="Arial" w:hAnsi="Arial" w:cs="Arial"/>
          <w:sz w:val="20"/>
          <w:szCs w:val="20"/>
        </w:rPr>
        <w:t>trivariate</w:t>
      </w:r>
      <w:proofErr w:type="spellEnd"/>
      <w:r>
        <w:rPr>
          <w:rFonts w:ascii="Arial" w:hAnsi="Arial" w:cs="Arial"/>
          <w:sz w:val="20"/>
          <w:szCs w:val="20"/>
        </w:rPr>
        <w:t xml:space="preserve"> random-effects meta-analysis (</w:t>
      </w:r>
      <w:r w:rsidRPr="008D4928">
        <w:rPr>
          <w:rFonts w:ascii="Arial" w:hAnsi="Arial" w:cs="Arial"/>
          <w:sz w:val="20"/>
          <w:szCs w:val="20"/>
        </w:rPr>
        <w:t>TRMA</w:t>
      </w:r>
      <w:r>
        <w:rPr>
          <w:rFonts w:ascii="Arial" w:hAnsi="Arial" w:cs="Arial"/>
          <w:sz w:val="20"/>
          <w:szCs w:val="20"/>
        </w:rPr>
        <w:t>)</w:t>
      </w:r>
      <w:r w:rsidRPr="008D4928">
        <w:rPr>
          <w:rFonts w:ascii="Arial" w:hAnsi="Arial" w:cs="Arial"/>
          <w:sz w:val="20"/>
          <w:szCs w:val="20"/>
        </w:rPr>
        <w:t xml:space="preserve"> by extending the data by </w:t>
      </w:r>
      <w:r w:rsidR="002D617C">
        <w:rPr>
          <w:rFonts w:ascii="Arial" w:hAnsi="Arial" w:cs="Arial"/>
          <w:sz w:val="20"/>
          <w:szCs w:val="20"/>
        </w:rPr>
        <w:t xml:space="preserve">including </w:t>
      </w:r>
      <w:r w:rsidRPr="008D4928">
        <w:rPr>
          <w:rFonts w:ascii="Arial" w:hAnsi="Arial" w:cs="Arial"/>
          <w:sz w:val="20"/>
          <w:szCs w:val="20"/>
        </w:rPr>
        <w:t>ACR20.</w:t>
      </w:r>
      <w:r>
        <w:rPr>
          <w:rFonts w:ascii="Arial" w:hAnsi="Arial" w:cs="Arial"/>
          <w:sz w:val="20"/>
          <w:szCs w:val="20"/>
        </w:rPr>
        <w:t xml:space="preserve"> </w:t>
      </w:r>
      <w:r w:rsidR="00FF3BDA" w:rsidRPr="00955FC6">
        <w:rPr>
          <w:rFonts w:ascii="Arial" w:hAnsi="Arial" w:cs="Arial"/>
          <w:sz w:val="20"/>
          <w:szCs w:val="20"/>
        </w:rPr>
        <w:t xml:space="preserve">The prior correlations </w:t>
      </w:r>
      <w:r w:rsidR="00254BEB" w:rsidRPr="00955FC6">
        <w:rPr>
          <w:rFonts w:ascii="Arial" w:hAnsi="Arial" w:cs="Arial"/>
          <w:sz w:val="20"/>
          <w:szCs w:val="20"/>
        </w:rPr>
        <w:t xml:space="preserve">between DAS-28 and HAQ </w:t>
      </w:r>
      <w:r w:rsidR="00FF3BDA" w:rsidRPr="00955FC6">
        <w:rPr>
          <w:rFonts w:ascii="Arial" w:hAnsi="Arial" w:cs="Arial"/>
          <w:sz w:val="20"/>
          <w:szCs w:val="20"/>
        </w:rPr>
        <w:t>obtained from the external data were</w:t>
      </w:r>
      <w:r w:rsidR="00955FC6">
        <w:rPr>
          <w:rFonts w:ascii="Arial" w:hAnsi="Arial" w:cs="Arial"/>
          <w:sz w:val="20"/>
          <w:szCs w:val="20"/>
        </w:rPr>
        <w:t xml:space="preserve">: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wi</m:t>
            </m:r>
          </m:sub>
          <m:sup>
            <m:r>
              <m:rPr>
                <m:sty m:val="p"/>
              </m:rPr>
              <w:rPr>
                <w:rFonts w:ascii="Cambria Math" w:eastAsia="Cambria Math" w:hAnsi="Cambria Math" w:cs="Cambria Math"/>
                <w:sz w:val="20"/>
                <w:szCs w:val="20"/>
              </w:rPr>
              <m:t>HD</m:t>
            </m:r>
          </m:sup>
        </m:sSubSup>
      </m:oMath>
      <w:r w:rsidR="00254BEB" w:rsidRPr="00955FC6">
        <w:rPr>
          <w:rFonts w:ascii="Arial" w:hAnsi="Arial" w:cs="Arial"/>
          <w:sz w:val="20"/>
          <w:szCs w:val="20"/>
        </w:rPr>
        <w:t>= 0:24 (95% HPDI</w:t>
      </w:r>
      <w:r w:rsidR="002B591C">
        <w:rPr>
          <w:rFonts w:ascii="Arial" w:hAnsi="Arial" w:cs="Arial"/>
          <w:sz w:val="20"/>
          <w:szCs w:val="20"/>
        </w:rPr>
        <w:t>:</w:t>
      </w:r>
      <w:r w:rsidR="002B591C" w:rsidRPr="00955FC6">
        <w:rPr>
          <w:rFonts w:ascii="Arial" w:hAnsi="Arial" w:cs="Arial"/>
          <w:sz w:val="20"/>
          <w:szCs w:val="20"/>
        </w:rPr>
        <w:t xml:space="preserve"> 0.13</w:t>
      </w:r>
      <w:r w:rsidR="003B5CE1">
        <w:rPr>
          <w:rFonts w:ascii="Arial" w:hAnsi="Arial" w:cs="Arial"/>
          <w:sz w:val="20"/>
          <w:szCs w:val="20"/>
        </w:rPr>
        <w:t xml:space="preserve"> to </w:t>
      </w:r>
      <w:r w:rsidR="00254BEB" w:rsidRPr="00955FC6">
        <w:rPr>
          <w:rFonts w:ascii="Arial" w:hAnsi="Arial" w:cs="Arial"/>
          <w:sz w:val="20"/>
          <w:szCs w:val="20"/>
        </w:rPr>
        <w:t>0.35)</w:t>
      </w:r>
      <w:r w:rsidR="00254BEB">
        <w:rPr>
          <w:rFonts w:ascii="Arial" w:hAnsi="Arial" w:cs="Arial"/>
          <w:sz w:val="20"/>
          <w:szCs w:val="20"/>
        </w:rPr>
        <w:t xml:space="preserve"> </w:t>
      </w:r>
      <w:r w:rsidR="00955FC6" w:rsidRPr="00955FC6">
        <w:rPr>
          <w:rFonts w:ascii="Arial" w:hAnsi="Arial" w:cs="Arial"/>
          <w:sz w:val="20"/>
          <w:szCs w:val="20"/>
        </w:rPr>
        <w:t xml:space="preserve">obtained from the IPD </w:t>
      </w:r>
      <w:r w:rsidR="00254BEB">
        <w:rPr>
          <w:rFonts w:ascii="Arial" w:hAnsi="Arial" w:cs="Arial"/>
          <w:sz w:val="20"/>
          <w:szCs w:val="20"/>
        </w:rPr>
        <w:t xml:space="preserve">and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b</m:t>
            </m:r>
          </m:sub>
          <m:sup>
            <m:r>
              <m:rPr>
                <m:sty m:val="p"/>
              </m:rPr>
              <w:rPr>
                <w:rFonts w:ascii="Cambria Math" w:eastAsia="Cambria Math" w:hAnsi="Cambria Math" w:cs="Cambria Math"/>
                <w:sz w:val="20"/>
                <w:szCs w:val="20"/>
              </w:rPr>
              <m:t>HD</m:t>
            </m:r>
          </m:sup>
        </m:sSubSup>
      </m:oMath>
      <w:r w:rsidR="00254BEB" w:rsidRPr="008D69DC">
        <w:rPr>
          <w:rFonts w:ascii="Arial" w:hAnsi="Arial" w:cs="Arial"/>
          <w:sz w:val="20"/>
          <w:szCs w:val="20"/>
        </w:rPr>
        <w:t xml:space="preserve"> = 0:86 (95% HPD</w:t>
      </w:r>
      <w:r w:rsidR="003B5CE1">
        <w:rPr>
          <w:rFonts w:ascii="Arial" w:hAnsi="Arial" w:cs="Arial"/>
          <w:sz w:val="20"/>
          <w:szCs w:val="20"/>
        </w:rPr>
        <w:t>I</w:t>
      </w:r>
      <w:r w:rsidR="002B591C">
        <w:rPr>
          <w:rFonts w:ascii="Arial" w:hAnsi="Arial" w:cs="Arial"/>
          <w:sz w:val="20"/>
          <w:szCs w:val="20"/>
        </w:rPr>
        <w:t>:</w:t>
      </w:r>
      <w:r w:rsidR="002B591C" w:rsidRPr="008D69DC">
        <w:rPr>
          <w:rFonts w:ascii="Arial" w:hAnsi="Arial" w:cs="Arial"/>
          <w:sz w:val="20"/>
          <w:szCs w:val="20"/>
        </w:rPr>
        <w:t xml:space="preserve"> 0.46</w:t>
      </w:r>
      <w:r w:rsidR="003B5CE1">
        <w:rPr>
          <w:rFonts w:ascii="Arial" w:hAnsi="Arial" w:cs="Arial"/>
          <w:sz w:val="20"/>
          <w:szCs w:val="20"/>
        </w:rPr>
        <w:t xml:space="preserve"> to </w:t>
      </w:r>
      <w:r w:rsidR="00254BEB" w:rsidRPr="008D69DC">
        <w:rPr>
          <w:rFonts w:ascii="Arial" w:hAnsi="Arial" w:cs="Arial"/>
          <w:sz w:val="20"/>
          <w:szCs w:val="20"/>
        </w:rPr>
        <w:t>0.999)</w:t>
      </w:r>
      <w:r w:rsidR="00254BEB">
        <w:rPr>
          <w:rFonts w:ascii="Arial" w:hAnsi="Arial" w:cs="Arial"/>
          <w:sz w:val="20"/>
          <w:szCs w:val="20"/>
        </w:rPr>
        <w:t xml:space="preserve"> </w:t>
      </w:r>
      <w:r w:rsidR="00955FC6" w:rsidRPr="00955FC6">
        <w:rPr>
          <w:rFonts w:ascii="Arial" w:hAnsi="Arial" w:cs="Arial"/>
          <w:sz w:val="20"/>
          <w:szCs w:val="20"/>
        </w:rPr>
        <w:t xml:space="preserve">obtained from </w:t>
      </w:r>
      <w:r w:rsidR="00955FC6">
        <w:rPr>
          <w:rFonts w:ascii="Arial" w:hAnsi="Arial" w:cs="Arial"/>
          <w:sz w:val="20"/>
          <w:szCs w:val="20"/>
        </w:rPr>
        <w:t>bivariate meta-analysis</w:t>
      </w:r>
      <w:r w:rsidR="00955FC6" w:rsidRPr="00955FC6">
        <w:rPr>
          <w:rFonts w:ascii="Arial" w:hAnsi="Arial" w:cs="Arial"/>
          <w:sz w:val="20"/>
          <w:szCs w:val="20"/>
        </w:rPr>
        <w:t xml:space="preserve"> of the ESD</w:t>
      </w:r>
      <w:r w:rsidR="00955FC6" w:rsidRPr="008D69DC">
        <w:rPr>
          <w:rFonts w:ascii="Arial" w:hAnsi="Arial" w:cs="Arial"/>
          <w:sz w:val="20"/>
          <w:szCs w:val="20"/>
        </w:rPr>
        <w:t>.</w:t>
      </w:r>
      <w:r w:rsidR="00FF3BDA">
        <w:rPr>
          <w:rFonts w:ascii="Arial" w:hAnsi="Arial" w:cs="Arial"/>
          <w:sz w:val="20"/>
          <w:szCs w:val="20"/>
        </w:rPr>
        <w:t xml:space="preserve">  </w:t>
      </w:r>
      <w:r w:rsidR="00955FC6">
        <w:rPr>
          <w:rFonts w:ascii="Arial" w:hAnsi="Arial" w:cs="Arial"/>
          <w:sz w:val="20"/>
          <w:szCs w:val="20"/>
        </w:rPr>
        <w:t xml:space="preserve">For the </w:t>
      </w:r>
      <w:proofErr w:type="spellStart"/>
      <w:r w:rsidR="00955FC6">
        <w:rPr>
          <w:rFonts w:ascii="Arial" w:hAnsi="Arial" w:cs="Arial"/>
          <w:sz w:val="20"/>
          <w:szCs w:val="20"/>
        </w:rPr>
        <w:t>trivariate</w:t>
      </w:r>
      <w:proofErr w:type="spellEnd"/>
      <w:r w:rsidR="00955FC6">
        <w:rPr>
          <w:rFonts w:ascii="Arial" w:hAnsi="Arial" w:cs="Arial"/>
          <w:sz w:val="20"/>
          <w:szCs w:val="20"/>
        </w:rPr>
        <w:t xml:space="preserve"> case, the prior within-study correlations, constructed using the IPD, were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wi</m:t>
            </m:r>
          </m:sub>
          <m:sup>
            <m:r>
              <m:rPr>
                <m:sty m:val="p"/>
              </m:rPr>
              <w:rPr>
                <w:rFonts w:ascii="Cambria Math" w:eastAsia="Cambria Math" w:hAnsi="Cambria Math" w:cs="Cambria Math"/>
                <w:sz w:val="20"/>
                <w:szCs w:val="20"/>
              </w:rPr>
              <m:t>HD</m:t>
            </m:r>
          </m:sup>
        </m:sSubSup>
        <m:r>
          <m:rPr>
            <m:sty m:val="p"/>
          </m:rPr>
          <w:rPr>
            <w:rFonts w:ascii="Cambria Math" w:eastAsia="Cambria Math" w:hAnsi="Cambria Math" w:cs="Cambria Math"/>
            <w:sz w:val="20"/>
            <w:szCs w:val="20"/>
          </w:rPr>
          <m:t xml:space="preserve"> </m:t>
        </m:r>
      </m:oMath>
      <w:r w:rsidR="00955FC6" w:rsidRPr="008D69DC">
        <w:rPr>
          <w:rFonts w:ascii="Arial" w:hAnsi="Arial" w:cs="Arial"/>
          <w:sz w:val="20"/>
          <w:szCs w:val="20"/>
        </w:rPr>
        <w:t>=</w:t>
      </w:r>
      <w:r w:rsidR="00254BEB">
        <w:rPr>
          <w:rFonts w:ascii="Arial" w:hAnsi="Arial" w:cs="Arial"/>
          <w:sz w:val="20"/>
          <w:szCs w:val="20"/>
        </w:rPr>
        <w:t xml:space="preserve"> </w:t>
      </w:r>
      <w:r w:rsidR="008D69DC">
        <w:rPr>
          <w:rFonts w:ascii="Arial" w:hAnsi="Arial" w:cs="Arial"/>
          <w:sz w:val="20"/>
          <w:szCs w:val="20"/>
        </w:rPr>
        <w:t>0.24 (95% HPDI: 0.10</w:t>
      </w:r>
      <w:r w:rsidR="003B5CE1">
        <w:rPr>
          <w:rFonts w:ascii="Arial" w:hAnsi="Arial" w:cs="Arial"/>
          <w:sz w:val="20"/>
          <w:szCs w:val="20"/>
        </w:rPr>
        <w:t xml:space="preserve"> to </w:t>
      </w:r>
      <w:r w:rsidR="008D69DC">
        <w:rPr>
          <w:rFonts w:ascii="Arial" w:hAnsi="Arial" w:cs="Arial"/>
          <w:sz w:val="20"/>
          <w:szCs w:val="20"/>
        </w:rPr>
        <w:t>0.38)</w:t>
      </w:r>
      <w:r w:rsidR="00955FC6" w:rsidRPr="008D69DC">
        <w:rPr>
          <w:rFonts w:ascii="Arial" w:hAnsi="Arial" w:cs="Arial"/>
          <w:sz w:val="20"/>
          <w:szCs w:val="20"/>
        </w:rPr>
        <w:t xml:space="preserve">,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wi</m:t>
            </m:r>
          </m:sub>
          <m:sup>
            <m:r>
              <m:rPr>
                <m:sty m:val="p"/>
              </m:rPr>
              <w:rPr>
                <w:rFonts w:ascii="Cambria Math" w:eastAsia="Cambria Math" w:hAnsi="Cambria Math" w:cs="Cambria Math"/>
                <w:sz w:val="20"/>
                <w:szCs w:val="20"/>
              </w:rPr>
              <m:t xml:space="preserve">HA </m:t>
            </m:r>
          </m:sup>
        </m:sSubSup>
        <m:r>
          <m:rPr>
            <m:sty m:val="p"/>
          </m:rPr>
          <w:rPr>
            <w:rFonts w:ascii="Cambria Math" w:eastAsia="Cambria Math" w:hAnsi="Cambria Math" w:cs="Cambria Math"/>
            <w:sz w:val="20"/>
            <w:szCs w:val="20"/>
          </w:rPr>
          <m:t xml:space="preserve"> </m:t>
        </m:r>
      </m:oMath>
      <w:r w:rsidR="00955FC6" w:rsidRPr="008D69DC">
        <w:rPr>
          <w:rFonts w:ascii="Arial" w:hAnsi="Arial" w:cs="Arial"/>
          <w:sz w:val="20"/>
          <w:szCs w:val="20"/>
        </w:rPr>
        <w:t>=</w:t>
      </w:r>
      <w:r w:rsidR="00254BEB">
        <w:rPr>
          <w:rFonts w:ascii="Arial" w:hAnsi="Arial" w:cs="Arial"/>
          <w:sz w:val="20"/>
          <w:szCs w:val="20"/>
        </w:rPr>
        <w:t xml:space="preserve"> </w:t>
      </w:r>
      <w:r w:rsidR="00955FC6" w:rsidRPr="008D69DC">
        <w:rPr>
          <w:rFonts w:ascii="Arial" w:hAnsi="Arial" w:cs="Arial"/>
          <w:sz w:val="20"/>
          <w:szCs w:val="20"/>
        </w:rPr>
        <w:t xml:space="preserve">-0.13 </w:t>
      </w:r>
      <w:r w:rsidR="008D69DC">
        <w:rPr>
          <w:rFonts w:ascii="Arial" w:hAnsi="Arial" w:cs="Arial"/>
          <w:sz w:val="20"/>
          <w:szCs w:val="20"/>
        </w:rPr>
        <w:t xml:space="preserve">(95% HPDI: </w:t>
      </w:r>
      <w:r w:rsidR="00955FC6" w:rsidRPr="008D69DC">
        <w:rPr>
          <w:rFonts w:ascii="Arial" w:hAnsi="Arial" w:cs="Arial"/>
          <w:sz w:val="20"/>
          <w:szCs w:val="20"/>
        </w:rPr>
        <w:t>-0.29</w:t>
      </w:r>
      <w:r w:rsidR="003B5CE1">
        <w:rPr>
          <w:rFonts w:ascii="Arial" w:hAnsi="Arial" w:cs="Arial"/>
          <w:sz w:val="20"/>
          <w:szCs w:val="20"/>
        </w:rPr>
        <w:t xml:space="preserve"> to</w:t>
      </w:r>
      <w:r w:rsidR="008D69DC">
        <w:rPr>
          <w:rFonts w:ascii="Arial" w:hAnsi="Arial" w:cs="Arial"/>
          <w:sz w:val="20"/>
          <w:szCs w:val="20"/>
        </w:rPr>
        <w:t xml:space="preserve"> </w:t>
      </w:r>
      <w:r w:rsidR="00955FC6" w:rsidRPr="008D69DC">
        <w:rPr>
          <w:rFonts w:ascii="Arial" w:hAnsi="Arial" w:cs="Arial"/>
          <w:sz w:val="20"/>
          <w:szCs w:val="20"/>
        </w:rPr>
        <w:t>0.0103</w:t>
      </w:r>
      <w:r w:rsidR="008D69DC">
        <w:rPr>
          <w:rFonts w:ascii="Arial" w:hAnsi="Arial" w:cs="Arial"/>
          <w:sz w:val="20"/>
          <w:szCs w:val="20"/>
        </w:rPr>
        <w:t>)</w:t>
      </w:r>
      <w:r w:rsidR="00955FC6" w:rsidRPr="008D69DC">
        <w:rPr>
          <w:rFonts w:ascii="Arial" w:hAnsi="Arial" w:cs="Arial"/>
          <w:sz w:val="20"/>
          <w:szCs w:val="20"/>
        </w:rPr>
        <w:t xml:space="preserve"> and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wi</m:t>
            </m:r>
          </m:sub>
          <m:sup>
            <m:r>
              <m:rPr>
                <m:sty m:val="p"/>
              </m:rPr>
              <w:rPr>
                <w:rFonts w:ascii="Cambria Math" w:eastAsia="Cambria Math" w:hAnsi="Cambria Math" w:cs="Cambria Math"/>
                <w:sz w:val="20"/>
                <w:szCs w:val="20"/>
              </w:rPr>
              <m:t>DA</m:t>
            </m:r>
          </m:sup>
        </m:sSubSup>
        <m:r>
          <m:rPr>
            <m:sty m:val="p"/>
          </m:rPr>
          <w:rPr>
            <w:rFonts w:ascii="Cambria Math" w:eastAsia="Cambria Math" w:hAnsi="Cambria Math" w:cs="Cambria Math"/>
            <w:sz w:val="20"/>
            <w:szCs w:val="20"/>
          </w:rPr>
          <m:t xml:space="preserve"> </m:t>
        </m:r>
      </m:oMath>
      <w:r w:rsidR="00955FC6" w:rsidRPr="008D69DC">
        <w:rPr>
          <w:rFonts w:ascii="Arial" w:hAnsi="Arial" w:cs="Arial"/>
          <w:sz w:val="20"/>
          <w:szCs w:val="20"/>
        </w:rPr>
        <w:t>=</w:t>
      </w:r>
      <w:r w:rsidR="00254BEB">
        <w:rPr>
          <w:rFonts w:ascii="Arial" w:hAnsi="Arial" w:cs="Arial"/>
          <w:sz w:val="20"/>
          <w:szCs w:val="20"/>
        </w:rPr>
        <w:t xml:space="preserve"> </w:t>
      </w:r>
      <w:r w:rsidR="00955FC6" w:rsidRPr="008D69DC">
        <w:rPr>
          <w:rFonts w:ascii="Arial" w:hAnsi="Arial" w:cs="Arial"/>
          <w:sz w:val="20"/>
          <w:szCs w:val="20"/>
        </w:rPr>
        <w:t xml:space="preserve">-0.20 </w:t>
      </w:r>
      <w:r w:rsidR="008D69DC">
        <w:rPr>
          <w:rFonts w:ascii="Arial" w:hAnsi="Arial" w:cs="Arial"/>
          <w:sz w:val="20"/>
          <w:szCs w:val="20"/>
        </w:rPr>
        <w:t xml:space="preserve">(95% HPDI: </w:t>
      </w:r>
      <w:r w:rsidR="00955FC6" w:rsidRPr="008D69DC">
        <w:rPr>
          <w:rFonts w:ascii="Arial" w:hAnsi="Arial" w:cs="Arial"/>
          <w:sz w:val="20"/>
          <w:szCs w:val="20"/>
        </w:rPr>
        <w:t>-0.31</w:t>
      </w:r>
      <w:r w:rsidR="003B5CE1">
        <w:rPr>
          <w:rFonts w:ascii="Arial" w:hAnsi="Arial" w:cs="Arial"/>
          <w:sz w:val="20"/>
          <w:szCs w:val="20"/>
        </w:rPr>
        <w:t xml:space="preserve"> to</w:t>
      </w:r>
      <w:r w:rsidR="008D69DC">
        <w:rPr>
          <w:rFonts w:ascii="Arial" w:hAnsi="Arial" w:cs="Arial"/>
          <w:sz w:val="20"/>
          <w:szCs w:val="20"/>
        </w:rPr>
        <w:t xml:space="preserve"> </w:t>
      </w:r>
      <w:r w:rsidR="00955FC6" w:rsidRPr="008D69DC">
        <w:rPr>
          <w:rFonts w:ascii="Arial" w:hAnsi="Arial" w:cs="Arial"/>
          <w:sz w:val="20"/>
          <w:szCs w:val="20"/>
        </w:rPr>
        <w:t>-0.08</w:t>
      </w:r>
      <w:r w:rsidR="008D69DC">
        <w:rPr>
          <w:rFonts w:ascii="Arial" w:hAnsi="Arial" w:cs="Arial"/>
          <w:sz w:val="20"/>
          <w:szCs w:val="20"/>
        </w:rPr>
        <w:t>)</w:t>
      </w:r>
      <w:r w:rsidR="00B76CB2">
        <w:rPr>
          <w:rFonts w:ascii="Arial" w:hAnsi="Arial" w:cs="Arial"/>
          <w:sz w:val="20"/>
          <w:szCs w:val="20"/>
        </w:rPr>
        <w:t>, and th</w:t>
      </w:r>
      <w:r w:rsidR="00955FC6" w:rsidRPr="008D69DC">
        <w:rPr>
          <w:rFonts w:ascii="Arial" w:hAnsi="Arial" w:cs="Arial"/>
          <w:sz w:val="20"/>
          <w:szCs w:val="20"/>
        </w:rPr>
        <w:t xml:space="preserve">e prior between-study correlations, constructed using the ESD, were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b</m:t>
            </m:r>
          </m:sub>
          <m:sup>
            <m:r>
              <m:rPr>
                <m:sty m:val="p"/>
              </m:rPr>
              <w:rPr>
                <w:rFonts w:ascii="Cambria Math" w:eastAsia="Cambria Math" w:hAnsi="Cambria Math" w:cs="Cambria Math"/>
                <w:sz w:val="20"/>
                <w:szCs w:val="20"/>
              </w:rPr>
              <m:t>HD</m:t>
            </m:r>
          </m:sup>
        </m:sSubSup>
      </m:oMath>
      <w:r w:rsidR="00955FC6" w:rsidRPr="008D69DC">
        <w:rPr>
          <w:rFonts w:ascii="Arial" w:hAnsi="Arial" w:cs="Arial"/>
          <w:sz w:val="20"/>
          <w:szCs w:val="20"/>
        </w:rPr>
        <w:t xml:space="preserve">= 0.78 </w:t>
      </w:r>
      <w:r w:rsidR="008D69DC">
        <w:rPr>
          <w:rFonts w:ascii="Arial" w:hAnsi="Arial" w:cs="Arial"/>
          <w:sz w:val="20"/>
          <w:szCs w:val="20"/>
        </w:rPr>
        <w:t xml:space="preserve">(95% HPDI: </w:t>
      </w:r>
      <w:r w:rsidR="00955FC6" w:rsidRPr="008D69DC">
        <w:rPr>
          <w:rFonts w:ascii="Arial" w:hAnsi="Arial" w:cs="Arial"/>
          <w:sz w:val="20"/>
          <w:szCs w:val="20"/>
        </w:rPr>
        <w:t>0.27</w:t>
      </w:r>
      <w:r w:rsidR="003B5CE1">
        <w:rPr>
          <w:rFonts w:ascii="Arial" w:hAnsi="Arial" w:cs="Arial"/>
          <w:sz w:val="20"/>
          <w:szCs w:val="20"/>
        </w:rPr>
        <w:t xml:space="preserve"> to</w:t>
      </w:r>
      <w:r w:rsidR="008D69DC">
        <w:rPr>
          <w:rFonts w:ascii="Arial" w:hAnsi="Arial" w:cs="Arial"/>
          <w:sz w:val="20"/>
          <w:szCs w:val="20"/>
        </w:rPr>
        <w:t xml:space="preserve"> </w:t>
      </w:r>
      <w:r w:rsidR="00955FC6" w:rsidRPr="008D69DC">
        <w:rPr>
          <w:rFonts w:ascii="Arial" w:hAnsi="Arial" w:cs="Arial"/>
          <w:sz w:val="20"/>
          <w:szCs w:val="20"/>
        </w:rPr>
        <w:lastRenderedPageBreak/>
        <w:t>0.998</w:t>
      </w:r>
      <w:r w:rsidR="008D69DC">
        <w:rPr>
          <w:rFonts w:ascii="Arial" w:hAnsi="Arial" w:cs="Arial"/>
          <w:sz w:val="20"/>
          <w:szCs w:val="20"/>
        </w:rPr>
        <w:t>)</w:t>
      </w:r>
      <w:r w:rsidR="00955FC6" w:rsidRPr="008D69DC">
        <w:rPr>
          <w:rFonts w:ascii="Arial" w:hAnsi="Arial" w:cs="Arial"/>
          <w:sz w:val="20"/>
          <w:szCs w:val="20"/>
        </w:rPr>
        <w:t xml:space="preserve"> and </w:t>
      </w:r>
      <m:oMath>
        <m:sSubSup>
          <m:sSubSupPr>
            <m:ctrlPr>
              <w:rPr>
                <w:rFonts w:ascii="Cambria Math" w:eastAsia="Cambria Math" w:hAnsi="Cambria Math" w:cs="Cambria Math"/>
                <w:sz w:val="20"/>
                <w:szCs w:val="20"/>
              </w:rPr>
            </m:ctrlPr>
          </m:sSubSupPr>
          <m:e>
            <m:r>
              <m:rPr>
                <m:sty m:val="p"/>
              </m:rPr>
              <w:rPr>
                <w:rFonts w:ascii="Cambria Math" w:eastAsia="Cambria Math" w:hAnsi="Cambria Math" w:cs="Cambria Math"/>
                <w:sz w:val="20"/>
                <w:szCs w:val="20"/>
              </w:rPr>
              <m:t>ρ</m:t>
            </m:r>
          </m:e>
          <m:sub>
            <m:r>
              <m:rPr>
                <m:sty m:val="p"/>
              </m:rPr>
              <w:rPr>
                <w:rFonts w:ascii="Cambria Math" w:eastAsia="Cambria Math" w:hAnsi="Cambria Math" w:cs="Cambria Math"/>
                <w:sz w:val="20"/>
                <w:szCs w:val="20"/>
              </w:rPr>
              <m:t>b</m:t>
            </m:r>
          </m:sub>
          <m:sup>
            <m:r>
              <m:rPr>
                <m:sty m:val="p"/>
              </m:rPr>
              <w:rPr>
                <w:rFonts w:ascii="Cambria Math" w:eastAsia="Cambria Math" w:hAnsi="Cambria Math" w:cs="Cambria Math"/>
                <w:sz w:val="20"/>
                <w:szCs w:val="20"/>
              </w:rPr>
              <m:t>HA</m:t>
            </m:r>
          </m:sup>
        </m:sSubSup>
        <m:r>
          <m:rPr>
            <m:sty m:val="p"/>
          </m:rPr>
          <w:rPr>
            <w:rFonts w:ascii="Cambria Math" w:eastAsia="Cambria Math" w:hAnsi="Cambria Math" w:cs="Cambria Math"/>
            <w:sz w:val="20"/>
            <w:szCs w:val="20"/>
          </w:rPr>
          <m:t xml:space="preserve"> </m:t>
        </m:r>
      </m:oMath>
      <w:r w:rsidR="00955FC6" w:rsidRPr="008D69DC">
        <w:rPr>
          <w:rFonts w:ascii="Arial" w:hAnsi="Arial" w:cs="Arial"/>
          <w:sz w:val="20"/>
          <w:szCs w:val="20"/>
        </w:rPr>
        <w:t>=</w:t>
      </w:r>
      <w:r w:rsidR="00254BEB">
        <w:rPr>
          <w:rFonts w:ascii="Arial" w:hAnsi="Arial" w:cs="Arial"/>
          <w:sz w:val="20"/>
          <w:szCs w:val="20"/>
        </w:rPr>
        <w:t xml:space="preserve"> </w:t>
      </w:r>
      <w:r w:rsidR="00955FC6" w:rsidRPr="008D69DC">
        <w:rPr>
          <w:rFonts w:ascii="Arial" w:hAnsi="Arial" w:cs="Arial"/>
          <w:sz w:val="20"/>
          <w:szCs w:val="20"/>
        </w:rPr>
        <w:t xml:space="preserve">-0.14 </w:t>
      </w:r>
      <w:r w:rsidR="008D69DC">
        <w:rPr>
          <w:rFonts w:ascii="Arial" w:hAnsi="Arial" w:cs="Arial"/>
          <w:sz w:val="20"/>
          <w:szCs w:val="20"/>
        </w:rPr>
        <w:t xml:space="preserve">(95% HPDI: </w:t>
      </w:r>
      <w:r w:rsidR="00955FC6" w:rsidRPr="008D69DC">
        <w:rPr>
          <w:rFonts w:ascii="Arial" w:hAnsi="Arial" w:cs="Arial"/>
          <w:sz w:val="20"/>
          <w:szCs w:val="20"/>
        </w:rPr>
        <w:t>-0.80</w:t>
      </w:r>
      <w:r w:rsidR="003B5CE1">
        <w:rPr>
          <w:rFonts w:ascii="Arial" w:hAnsi="Arial" w:cs="Arial"/>
          <w:sz w:val="20"/>
          <w:szCs w:val="20"/>
        </w:rPr>
        <w:t xml:space="preserve"> to</w:t>
      </w:r>
      <w:r w:rsidR="008D69DC">
        <w:rPr>
          <w:rFonts w:ascii="Arial" w:hAnsi="Arial" w:cs="Arial"/>
          <w:sz w:val="20"/>
          <w:szCs w:val="20"/>
        </w:rPr>
        <w:t xml:space="preserve"> </w:t>
      </w:r>
      <w:r w:rsidR="00955FC6" w:rsidRPr="008D69DC">
        <w:rPr>
          <w:rFonts w:ascii="Arial" w:hAnsi="Arial" w:cs="Arial"/>
          <w:sz w:val="20"/>
          <w:szCs w:val="20"/>
        </w:rPr>
        <w:t>0.56</w:t>
      </w:r>
      <w:r w:rsidR="008D69DC">
        <w:rPr>
          <w:rFonts w:ascii="Arial" w:hAnsi="Arial" w:cs="Arial"/>
          <w:sz w:val="20"/>
          <w:szCs w:val="20"/>
        </w:rPr>
        <w:t>)</w:t>
      </w:r>
      <w:r w:rsidR="00955FC6" w:rsidRPr="008D69DC">
        <w:rPr>
          <w:rFonts w:ascii="Arial" w:hAnsi="Arial" w:cs="Arial"/>
          <w:sz w:val="20"/>
          <w:szCs w:val="20"/>
        </w:rPr>
        <w:t xml:space="preserve"> (only the two correlations were required in the product normal parameterisation of the between-study model).</w:t>
      </w:r>
    </w:p>
    <w:p w:rsidR="000A2E38" w:rsidRDefault="000A2E38" w:rsidP="00AA3405">
      <w:pPr>
        <w:pStyle w:val="PlainText"/>
        <w:spacing w:line="480" w:lineRule="auto"/>
        <w:jc w:val="both"/>
        <w:rPr>
          <w:rFonts w:ascii="Arial" w:hAnsi="Arial" w:cs="Arial"/>
          <w:sz w:val="20"/>
          <w:szCs w:val="20"/>
        </w:rPr>
      </w:pPr>
    </w:p>
    <w:p w:rsidR="00D27D05" w:rsidRDefault="00D27D05" w:rsidP="00AA3405">
      <w:pPr>
        <w:pStyle w:val="PlainText"/>
        <w:spacing w:line="480" w:lineRule="auto"/>
        <w:jc w:val="both"/>
        <w:rPr>
          <w:rFonts w:ascii="Arial" w:hAnsi="Arial" w:cs="Arial"/>
          <w:sz w:val="20"/>
          <w:szCs w:val="20"/>
        </w:rPr>
      </w:pPr>
      <w:r>
        <w:rPr>
          <w:rFonts w:ascii="Arial" w:hAnsi="Arial" w:cs="Arial"/>
          <w:sz w:val="20"/>
          <w:szCs w:val="20"/>
        </w:rPr>
        <w:t xml:space="preserve">Table </w:t>
      </w:r>
      <w:r w:rsidR="0059354F">
        <w:rPr>
          <w:rFonts w:ascii="Arial" w:hAnsi="Arial" w:cs="Arial"/>
          <w:sz w:val="20"/>
          <w:szCs w:val="20"/>
        </w:rPr>
        <w:t>3</w:t>
      </w:r>
      <w:r>
        <w:rPr>
          <w:rFonts w:ascii="Arial" w:hAnsi="Arial" w:cs="Arial"/>
          <w:sz w:val="20"/>
          <w:szCs w:val="20"/>
        </w:rPr>
        <w:t xml:space="preserve"> shows results of </w:t>
      </w:r>
      <w:r w:rsidR="00DE67B4">
        <w:rPr>
          <w:rFonts w:ascii="Arial" w:hAnsi="Arial" w:cs="Arial"/>
          <w:sz w:val="20"/>
          <w:szCs w:val="20"/>
        </w:rPr>
        <w:t xml:space="preserve">applying </w:t>
      </w:r>
      <w:r>
        <w:rPr>
          <w:rFonts w:ascii="Arial" w:hAnsi="Arial" w:cs="Arial"/>
          <w:sz w:val="20"/>
          <w:szCs w:val="20"/>
        </w:rPr>
        <w:t>all of the three models. Mapping estimate of ΔHAQ of -0.25 (95% HPDI: -0.43 to -0.09)</w:t>
      </w:r>
      <w:r w:rsidR="00B46B59">
        <w:rPr>
          <w:rFonts w:ascii="Arial" w:hAnsi="Arial" w:cs="Arial"/>
          <w:sz w:val="20"/>
          <w:szCs w:val="20"/>
        </w:rPr>
        <w:t>,</w:t>
      </w:r>
      <w:r>
        <w:rPr>
          <w:rFonts w:ascii="Arial" w:hAnsi="Arial" w:cs="Arial"/>
          <w:sz w:val="20"/>
          <w:szCs w:val="20"/>
        </w:rPr>
        <w:t xml:space="preserve"> obtained from URMA </w:t>
      </w:r>
      <w:r w:rsidR="00B46B59">
        <w:rPr>
          <w:rFonts w:ascii="Arial" w:hAnsi="Arial" w:cs="Arial"/>
          <w:sz w:val="20"/>
          <w:szCs w:val="20"/>
        </w:rPr>
        <w:t xml:space="preserve">of the eight studies reporting only the HAQ outcomes, </w:t>
      </w:r>
      <w:r>
        <w:rPr>
          <w:rFonts w:ascii="Arial" w:hAnsi="Arial" w:cs="Arial"/>
          <w:sz w:val="20"/>
          <w:szCs w:val="20"/>
        </w:rPr>
        <w:t xml:space="preserve">resulted in ΔEQ-5D equal 0.08 (95% HPDI: </w:t>
      </w:r>
      <w:r w:rsidR="00A13CF0">
        <w:rPr>
          <w:rFonts w:ascii="Arial" w:hAnsi="Arial" w:cs="Arial"/>
          <w:sz w:val="20"/>
          <w:szCs w:val="20"/>
        </w:rPr>
        <w:t>0.025 to</w:t>
      </w:r>
      <w:r>
        <w:rPr>
          <w:rFonts w:ascii="Arial" w:hAnsi="Arial" w:cs="Arial"/>
          <w:sz w:val="20"/>
          <w:szCs w:val="20"/>
        </w:rPr>
        <w:t xml:space="preserve"> 0.141)</w:t>
      </w:r>
      <w:r w:rsidR="00B46B59">
        <w:rPr>
          <w:rFonts w:ascii="Arial" w:hAnsi="Arial" w:cs="Arial"/>
          <w:sz w:val="20"/>
          <w:szCs w:val="20"/>
        </w:rPr>
        <w:t>. Extending the evidence synthesis by ten cohorts reporting the ΔDAS-28</w:t>
      </w:r>
      <w:r w:rsidR="003B0C56">
        <w:rPr>
          <w:rFonts w:ascii="Arial" w:hAnsi="Arial" w:cs="Arial"/>
          <w:sz w:val="20"/>
          <w:szCs w:val="20"/>
        </w:rPr>
        <w:t xml:space="preserve"> (but not ΔHAQ)</w:t>
      </w:r>
      <w:r w:rsidR="00B46B59">
        <w:rPr>
          <w:rFonts w:ascii="Arial" w:hAnsi="Arial" w:cs="Arial"/>
          <w:sz w:val="20"/>
          <w:szCs w:val="20"/>
        </w:rPr>
        <w:t xml:space="preserve">, by the use of BRMA, lead to a shift in the estimate of HAQ and the reduction in the uncertainty around the estimate to -0.28 (95% HPDI: </w:t>
      </w:r>
      <w:r w:rsidR="00A13CF0">
        <w:rPr>
          <w:rFonts w:ascii="Arial" w:hAnsi="Arial" w:cs="Arial"/>
          <w:sz w:val="20"/>
          <w:szCs w:val="20"/>
        </w:rPr>
        <w:t>-0.41 to</w:t>
      </w:r>
      <w:r w:rsidR="00B46B59">
        <w:rPr>
          <w:rFonts w:ascii="Arial" w:hAnsi="Arial" w:cs="Arial"/>
          <w:sz w:val="20"/>
          <w:szCs w:val="20"/>
        </w:rPr>
        <w:t xml:space="preserve"> -0.14). This has also reduced the uncertainty around the estimate of ΔEQ-5D which </w:t>
      </w:r>
      <w:r w:rsidR="003B0C56">
        <w:rPr>
          <w:rFonts w:ascii="Arial" w:hAnsi="Arial" w:cs="Arial"/>
          <w:sz w:val="20"/>
          <w:szCs w:val="20"/>
        </w:rPr>
        <w:t>in this case wa</w:t>
      </w:r>
      <w:r w:rsidR="00B46B59">
        <w:rPr>
          <w:rFonts w:ascii="Arial" w:hAnsi="Arial" w:cs="Arial"/>
          <w:sz w:val="20"/>
          <w:szCs w:val="20"/>
        </w:rPr>
        <w:t xml:space="preserve">s 0.09 (95% HPDI: </w:t>
      </w:r>
      <w:r w:rsidR="00A13CF0">
        <w:rPr>
          <w:rFonts w:ascii="Arial" w:hAnsi="Arial" w:cs="Arial"/>
          <w:sz w:val="20"/>
          <w:szCs w:val="20"/>
        </w:rPr>
        <w:t>0.041 to</w:t>
      </w:r>
      <w:r w:rsidR="00B46B59">
        <w:rPr>
          <w:rFonts w:ascii="Arial" w:hAnsi="Arial" w:cs="Arial"/>
          <w:sz w:val="20"/>
          <w:szCs w:val="20"/>
        </w:rPr>
        <w:t xml:space="preserve"> 0.138). Thi</w:t>
      </w:r>
      <w:r w:rsidR="00B76CB2">
        <w:rPr>
          <w:rFonts w:ascii="Arial" w:hAnsi="Arial" w:cs="Arial"/>
          <w:sz w:val="20"/>
          <w:szCs w:val="20"/>
        </w:rPr>
        <w:t>s effect can be seen in Figure 1</w:t>
      </w:r>
      <w:r w:rsidR="00B46B59">
        <w:rPr>
          <w:rFonts w:ascii="Arial" w:hAnsi="Arial" w:cs="Arial"/>
          <w:sz w:val="20"/>
          <w:szCs w:val="20"/>
        </w:rPr>
        <w:t xml:space="preserve"> where horizontal lines represent the 95% </w:t>
      </w:r>
      <w:r w:rsidR="0022465C">
        <w:rPr>
          <w:rFonts w:ascii="Arial" w:hAnsi="Arial" w:cs="Arial"/>
          <w:sz w:val="20"/>
          <w:szCs w:val="20"/>
        </w:rPr>
        <w:t>HPDIs</w:t>
      </w:r>
      <w:r w:rsidR="006E138E">
        <w:rPr>
          <w:rFonts w:ascii="Arial" w:hAnsi="Arial" w:cs="Arial"/>
          <w:sz w:val="20"/>
          <w:szCs w:val="20"/>
        </w:rPr>
        <w:t>. The intervals</w:t>
      </w:r>
      <w:r w:rsidR="0022465C">
        <w:rPr>
          <w:rFonts w:ascii="Arial" w:hAnsi="Arial" w:cs="Arial"/>
          <w:sz w:val="20"/>
          <w:szCs w:val="20"/>
        </w:rPr>
        <w:t xml:space="preserve"> are reduced for </w:t>
      </w:r>
      <w:r w:rsidR="00592B00">
        <w:rPr>
          <w:rFonts w:ascii="Arial" w:hAnsi="Arial" w:cs="Arial"/>
          <w:sz w:val="20"/>
          <w:szCs w:val="20"/>
        </w:rPr>
        <w:t xml:space="preserve">the </w:t>
      </w:r>
      <w:r w:rsidR="006E138E">
        <w:rPr>
          <w:rFonts w:ascii="Arial" w:hAnsi="Arial" w:cs="Arial"/>
          <w:sz w:val="20"/>
          <w:szCs w:val="20"/>
        </w:rPr>
        <w:t>estimates of ΔHAQ and ΔEQ-5D</w:t>
      </w:r>
      <w:r w:rsidR="0022465C">
        <w:rPr>
          <w:rFonts w:ascii="Arial" w:hAnsi="Arial" w:cs="Arial"/>
          <w:sz w:val="20"/>
          <w:szCs w:val="20"/>
        </w:rPr>
        <w:t xml:space="preserve"> when using BRMA compared to</w:t>
      </w:r>
      <w:r w:rsidR="002508C5">
        <w:rPr>
          <w:rFonts w:ascii="Arial" w:hAnsi="Arial" w:cs="Arial"/>
          <w:sz w:val="20"/>
          <w:szCs w:val="20"/>
        </w:rPr>
        <w:t xml:space="preserve"> URMA. As can be seen in Table 3</w:t>
      </w:r>
      <w:r w:rsidR="0022465C">
        <w:rPr>
          <w:rFonts w:ascii="Arial" w:hAnsi="Arial" w:cs="Arial"/>
          <w:sz w:val="20"/>
          <w:szCs w:val="20"/>
        </w:rPr>
        <w:t xml:space="preserve"> and also in Figure 1, </w:t>
      </w:r>
      <w:r w:rsidR="00B56EB9">
        <w:rPr>
          <w:rFonts w:ascii="Arial" w:hAnsi="Arial" w:cs="Arial"/>
          <w:sz w:val="20"/>
          <w:szCs w:val="20"/>
        </w:rPr>
        <w:t xml:space="preserve">extending the evidence synthesis to TRMA by </w:t>
      </w:r>
      <w:r w:rsidR="0022465C">
        <w:rPr>
          <w:rFonts w:ascii="Arial" w:hAnsi="Arial" w:cs="Arial"/>
          <w:sz w:val="20"/>
          <w:szCs w:val="20"/>
        </w:rPr>
        <w:t>adding further three studies reporting the ACR20 did not contribute to further reduction of the uncertainty around the estimates of interest</w:t>
      </w:r>
      <w:r w:rsidR="00EE6950">
        <w:rPr>
          <w:rFonts w:ascii="Arial" w:hAnsi="Arial" w:cs="Arial"/>
          <w:sz w:val="20"/>
          <w:szCs w:val="20"/>
        </w:rPr>
        <w:t xml:space="preserve"> (ΔHAQ and ΔEQ-5D)</w:t>
      </w:r>
      <w:r w:rsidR="0022465C">
        <w:rPr>
          <w:rFonts w:ascii="Arial" w:hAnsi="Arial" w:cs="Arial"/>
          <w:sz w:val="20"/>
          <w:szCs w:val="20"/>
        </w:rPr>
        <w:t>. This is likely due to increased heterogeneity by introducing the three studies</w:t>
      </w:r>
      <w:r w:rsidR="00B56EB9">
        <w:rPr>
          <w:rFonts w:ascii="Arial" w:hAnsi="Arial" w:cs="Arial"/>
          <w:sz w:val="20"/>
          <w:szCs w:val="20"/>
        </w:rPr>
        <w:t xml:space="preserve">. </w:t>
      </w:r>
      <w:r w:rsidR="00C75162">
        <w:rPr>
          <w:rFonts w:ascii="Arial" w:hAnsi="Arial" w:cs="Arial"/>
          <w:sz w:val="20"/>
          <w:szCs w:val="20"/>
        </w:rPr>
        <w:t>More</w:t>
      </w:r>
      <w:r w:rsidR="00B56EB9">
        <w:rPr>
          <w:rFonts w:ascii="Arial" w:hAnsi="Arial" w:cs="Arial"/>
          <w:sz w:val="20"/>
          <w:szCs w:val="20"/>
        </w:rPr>
        <w:t xml:space="preserve"> detailed description of results </w:t>
      </w:r>
      <w:r w:rsidR="00B76CB2">
        <w:rPr>
          <w:rFonts w:ascii="Arial" w:hAnsi="Arial" w:cs="Arial"/>
          <w:sz w:val="20"/>
          <w:szCs w:val="20"/>
        </w:rPr>
        <w:t>(</w:t>
      </w:r>
      <w:r w:rsidR="00B56EB9">
        <w:rPr>
          <w:rFonts w:ascii="Arial" w:hAnsi="Arial" w:cs="Arial"/>
          <w:sz w:val="20"/>
          <w:szCs w:val="20"/>
        </w:rPr>
        <w:t>related to the effectiveness outcomes</w:t>
      </w:r>
      <w:r w:rsidR="00B76CB2">
        <w:rPr>
          <w:rFonts w:ascii="Arial" w:hAnsi="Arial" w:cs="Arial"/>
          <w:sz w:val="20"/>
          <w:szCs w:val="20"/>
        </w:rPr>
        <w:t xml:space="preserve"> only)</w:t>
      </w:r>
      <w:r w:rsidR="00B56EB9">
        <w:rPr>
          <w:rFonts w:ascii="Arial" w:hAnsi="Arial" w:cs="Arial"/>
          <w:sz w:val="20"/>
          <w:szCs w:val="20"/>
        </w:rPr>
        <w:t xml:space="preserve"> are reported elsewhere </w:t>
      </w:r>
      <w:sdt>
        <w:sdtPr>
          <w:rPr>
            <w:rFonts w:ascii="Arial" w:hAnsi="Arial" w:cs="Arial"/>
            <w:sz w:val="20"/>
            <w:szCs w:val="20"/>
          </w:rPr>
          <w:id w:val="351409510"/>
          <w:citation/>
        </w:sdtPr>
        <w:sdtEndPr/>
        <w:sdtContent>
          <w:r w:rsidR="00631B86">
            <w:rPr>
              <w:rFonts w:ascii="Arial" w:hAnsi="Arial" w:cs="Arial"/>
              <w:sz w:val="20"/>
              <w:szCs w:val="20"/>
            </w:rPr>
            <w:fldChar w:fldCharType="begin"/>
          </w:r>
          <w:r w:rsidR="00C06FE8">
            <w:rPr>
              <w:rFonts w:ascii="Arial" w:hAnsi="Arial" w:cs="Arial"/>
              <w:sz w:val="20"/>
              <w:szCs w:val="20"/>
            </w:rPr>
            <w:instrText xml:space="preserve"> CITATION Buj13 \l 2057  </w:instrText>
          </w:r>
          <w:r w:rsidR="00631B86">
            <w:rPr>
              <w:rFonts w:ascii="Arial" w:hAnsi="Arial" w:cs="Arial"/>
              <w:sz w:val="20"/>
              <w:szCs w:val="20"/>
            </w:rPr>
            <w:fldChar w:fldCharType="separate"/>
          </w:r>
          <w:r w:rsidR="005F423A" w:rsidRPr="005F423A">
            <w:rPr>
              <w:rFonts w:ascii="Arial" w:hAnsi="Arial" w:cs="Arial"/>
              <w:noProof/>
              <w:sz w:val="20"/>
              <w:szCs w:val="20"/>
            </w:rPr>
            <w:t>(9)</w:t>
          </w:r>
          <w:r w:rsidR="00631B86">
            <w:rPr>
              <w:rFonts w:ascii="Arial" w:hAnsi="Arial" w:cs="Arial"/>
              <w:sz w:val="20"/>
              <w:szCs w:val="20"/>
            </w:rPr>
            <w:fldChar w:fldCharType="end"/>
          </w:r>
        </w:sdtContent>
      </w:sdt>
      <w:r w:rsidR="00B56EB9">
        <w:rPr>
          <w:rFonts w:ascii="Arial" w:hAnsi="Arial" w:cs="Arial"/>
          <w:sz w:val="20"/>
          <w:szCs w:val="20"/>
        </w:rPr>
        <w:t>.</w:t>
      </w:r>
      <w:r w:rsidR="000E0174">
        <w:rPr>
          <w:rFonts w:ascii="Arial" w:hAnsi="Arial" w:cs="Arial"/>
          <w:sz w:val="20"/>
          <w:szCs w:val="20"/>
        </w:rPr>
        <w:t xml:space="preserve"> Results of the bivariate meta-analyses of the HAQ with ACR20 and the DAS-28 with ACR20 are shown in Table 3 for completeness. Bivariate model of the HAQ and ACR20 did not lead to reduced uncertainty around the HAQ similarly as for the </w:t>
      </w:r>
      <w:proofErr w:type="spellStart"/>
      <w:r w:rsidR="000E0174">
        <w:rPr>
          <w:rFonts w:ascii="Arial" w:hAnsi="Arial" w:cs="Arial"/>
          <w:sz w:val="20"/>
          <w:szCs w:val="20"/>
        </w:rPr>
        <w:t>trivariate</w:t>
      </w:r>
      <w:proofErr w:type="spellEnd"/>
      <w:r w:rsidR="000E0174">
        <w:rPr>
          <w:rFonts w:ascii="Arial" w:hAnsi="Arial" w:cs="Arial"/>
          <w:sz w:val="20"/>
          <w:szCs w:val="20"/>
        </w:rPr>
        <w:t xml:space="preserve"> case discussed above.</w:t>
      </w:r>
    </w:p>
    <w:p w:rsidR="000A2E38" w:rsidRDefault="000A2E38" w:rsidP="00AA3405">
      <w:pPr>
        <w:pStyle w:val="PlainText"/>
        <w:spacing w:line="480" w:lineRule="auto"/>
        <w:jc w:val="both"/>
        <w:rPr>
          <w:rFonts w:ascii="Arial" w:hAnsi="Arial" w:cs="Arial"/>
          <w:sz w:val="20"/>
          <w:szCs w:val="20"/>
        </w:rPr>
      </w:pPr>
    </w:p>
    <w:p w:rsidR="000A2E38" w:rsidRDefault="000A2E38" w:rsidP="00AA3405">
      <w:pPr>
        <w:pStyle w:val="PlainText"/>
        <w:spacing w:line="480" w:lineRule="auto"/>
        <w:jc w:val="both"/>
        <w:rPr>
          <w:rFonts w:ascii="Arial" w:hAnsi="Arial" w:cs="Arial"/>
          <w:sz w:val="20"/>
          <w:szCs w:val="20"/>
        </w:rPr>
      </w:pPr>
    </w:p>
    <w:p w:rsidR="007A4027" w:rsidRDefault="00E44273" w:rsidP="00AA3405">
      <w:pPr>
        <w:pStyle w:val="Caption"/>
        <w:spacing w:line="480" w:lineRule="auto"/>
        <w:jc w:val="both"/>
      </w:pPr>
      <w:r>
        <w:rPr>
          <w:noProof/>
          <w:lang w:eastAsia="en-GB"/>
        </w:rPr>
        <w:drawing>
          <wp:inline distT="0" distB="0" distL="0" distR="0" wp14:anchorId="0E7F1401" wp14:editId="3C2F20D6">
            <wp:extent cx="5972810" cy="1210310"/>
            <wp:effectExtent l="19050" t="0" r="8890" b="0"/>
            <wp:docPr id="1" name="Picture 0"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9" cstate="print"/>
                    <a:stretch>
                      <a:fillRect/>
                    </a:stretch>
                  </pic:blipFill>
                  <pic:spPr>
                    <a:xfrm>
                      <a:off x="0" y="0"/>
                      <a:ext cx="5972810" cy="1210310"/>
                    </a:xfrm>
                    <a:prstGeom prst="rect">
                      <a:avLst/>
                    </a:prstGeom>
                  </pic:spPr>
                </pic:pic>
              </a:graphicData>
            </a:graphic>
          </wp:inline>
        </w:drawing>
      </w:r>
    </w:p>
    <w:p w:rsidR="00317E3E" w:rsidRPr="008D4928" w:rsidRDefault="0074194A" w:rsidP="00AA3405">
      <w:pPr>
        <w:pStyle w:val="Caption"/>
        <w:spacing w:line="480" w:lineRule="auto"/>
        <w:jc w:val="both"/>
        <w:rPr>
          <w:rFonts w:ascii="Arial" w:hAnsi="Arial" w:cs="Arial"/>
          <w:b w:val="0"/>
          <w:sz w:val="20"/>
          <w:szCs w:val="20"/>
        </w:rPr>
      </w:pPr>
      <w:proofErr w:type="gramStart"/>
      <w:r>
        <w:t xml:space="preserve">Figure </w:t>
      </w:r>
      <w:r w:rsidR="00631B86">
        <w:fldChar w:fldCharType="begin"/>
      </w:r>
      <w:r w:rsidR="00891980">
        <w:instrText xml:space="preserve"> SEQ Figure \* ARABIC </w:instrText>
      </w:r>
      <w:r w:rsidR="00631B86">
        <w:fldChar w:fldCharType="separate"/>
      </w:r>
      <w:r w:rsidR="005F423A">
        <w:rPr>
          <w:noProof/>
        </w:rPr>
        <w:t>1</w:t>
      </w:r>
      <w:r w:rsidR="00631B86">
        <w:rPr>
          <w:noProof/>
        </w:rPr>
        <w:fldChar w:fldCharType="end"/>
      </w:r>
      <w:r>
        <w:t>.</w:t>
      </w:r>
      <w:proofErr w:type="gramEnd"/>
      <w:r>
        <w:t xml:space="preserve"> Estimates of change from baseline of HAQ</w:t>
      </w:r>
      <w:r w:rsidR="00F3608D">
        <w:t xml:space="preserve">, </w:t>
      </w:r>
      <w:r>
        <w:t xml:space="preserve">obtained from </w:t>
      </w:r>
      <w:r w:rsidR="00F3608D">
        <w:t>meta-analysis of HAQ only, HAQ and DAS-28 and finally HAQ, DAS-28 and ACR20,</w:t>
      </w:r>
      <w:r>
        <w:t xml:space="preserve"> and resulting estimates of the change from baseline in EQ-5D.</w:t>
      </w:r>
    </w:p>
    <w:p w:rsidR="00306F08" w:rsidRPr="008D4928" w:rsidRDefault="00306F08" w:rsidP="00AA3405">
      <w:pPr>
        <w:pStyle w:val="PlainText"/>
        <w:spacing w:line="480" w:lineRule="auto"/>
        <w:jc w:val="both"/>
        <w:rPr>
          <w:rFonts w:ascii="Arial" w:hAnsi="Arial" w:cs="Arial"/>
          <w:sz w:val="20"/>
          <w:szCs w:val="20"/>
        </w:rPr>
      </w:pPr>
    </w:p>
    <w:p w:rsidR="00306F08" w:rsidRDefault="00306F08" w:rsidP="00AA3405">
      <w:pPr>
        <w:pStyle w:val="PlainText"/>
        <w:spacing w:line="480" w:lineRule="auto"/>
        <w:jc w:val="both"/>
        <w:rPr>
          <w:rFonts w:ascii="Arial" w:hAnsi="Arial" w:cs="Arial"/>
          <w:b/>
          <w:sz w:val="20"/>
          <w:szCs w:val="20"/>
        </w:rPr>
      </w:pPr>
      <w:r w:rsidRPr="008D4928">
        <w:rPr>
          <w:rFonts w:ascii="Arial" w:hAnsi="Arial" w:cs="Arial"/>
          <w:b/>
          <w:sz w:val="20"/>
          <w:szCs w:val="20"/>
        </w:rPr>
        <w:lastRenderedPageBreak/>
        <w:t>Discussion</w:t>
      </w:r>
    </w:p>
    <w:p w:rsidR="000A2E38" w:rsidRPr="008D4928" w:rsidRDefault="000A2E38" w:rsidP="00AA3405">
      <w:pPr>
        <w:pStyle w:val="PlainText"/>
        <w:spacing w:line="480" w:lineRule="auto"/>
        <w:jc w:val="both"/>
        <w:rPr>
          <w:rFonts w:ascii="Arial" w:hAnsi="Arial" w:cs="Arial"/>
          <w:b/>
          <w:sz w:val="20"/>
          <w:szCs w:val="20"/>
        </w:rPr>
      </w:pPr>
    </w:p>
    <w:p w:rsidR="00911746" w:rsidRPr="00911746" w:rsidRDefault="004577B4" w:rsidP="00911746">
      <w:pPr>
        <w:pStyle w:val="PlainText"/>
        <w:spacing w:line="480" w:lineRule="auto"/>
        <w:jc w:val="both"/>
        <w:rPr>
          <w:rFonts w:ascii="Arial" w:hAnsi="Arial" w:cs="Arial"/>
          <w:sz w:val="20"/>
          <w:szCs w:val="20"/>
        </w:rPr>
      </w:pPr>
      <w:r w:rsidRPr="008D4928">
        <w:rPr>
          <w:rFonts w:ascii="Arial" w:hAnsi="Arial" w:cs="Arial"/>
          <w:sz w:val="20"/>
          <w:szCs w:val="20"/>
        </w:rPr>
        <w:t xml:space="preserve">We have </w:t>
      </w:r>
      <w:r w:rsidR="007C5440">
        <w:rPr>
          <w:rFonts w:ascii="Arial" w:hAnsi="Arial" w:cs="Arial"/>
          <w:sz w:val="20"/>
          <w:szCs w:val="20"/>
        </w:rPr>
        <w:t>applied</w:t>
      </w:r>
      <w:r w:rsidRPr="008D4928">
        <w:rPr>
          <w:rFonts w:ascii="Arial" w:hAnsi="Arial" w:cs="Arial"/>
          <w:sz w:val="20"/>
          <w:szCs w:val="20"/>
        </w:rPr>
        <w:t xml:space="preserve"> a Bayesian meta-analytic framework </w:t>
      </w:r>
      <w:r w:rsidR="00182A4A">
        <w:rPr>
          <w:rFonts w:ascii="Arial" w:hAnsi="Arial" w:cs="Arial"/>
          <w:sz w:val="20"/>
          <w:szCs w:val="20"/>
        </w:rPr>
        <w:t>to synthesise diverse sources of evidence and</w:t>
      </w:r>
      <w:r w:rsidRPr="008D4928">
        <w:rPr>
          <w:rFonts w:ascii="Arial" w:hAnsi="Arial" w:cs="Arial"/>
          <w:sz w:val="20"/>
          <w:szCs w:val="20"/>
        </w:rPr>
        <w:t xml:space="preserve"> multiple endpoints in </w:t>
      </w:r>
      <w:r w:rsidR="007C5440">
        <w:rPr>
          <w:rFonts w:ascii="Arial" w:hAnsi="Arial" w:cs="Arial"/>
          <w:sz w:val="20"/>
          <w:szCs w:val="20"/>
        </w:rPr>
        <w:t>R</w:t>
      </w:r>
      <w:r w:rsidRPr="008D4928">
        <w:rPr>
          <w:rFonts w:ascii="Arial" w:hAnsi="Arial" w:cs="Arial"/>
          <w:sz w:val="20"/>
          <w:szCs w:val="20"/>
        </w:rPr>
        <w:t>A</w:t>
      </w:r>
      <w:r w:rsidR="007C5440">
        <w:rPr>
          <w:rFonts w:ascii="Arial" w:hAnsi="Arial" w:cs="Arial"/>
          <w:sz w:val="20"/>
          <w:szCs w:val="20"/>
        </w:rPr>
        <w:t xml:space="preserve">. </w:t>
      </w:r>
      <w:r w:rsidR="00182A4A">
        <w:rPr>
          <w:rFonts w:ascii="Arial" w:hAnsi="Arial" w:cs="Arial"/>
          <w:sz w:val="20"/>
          <w:szCs w:val="20"/>
        </w:rPr>
        <w:t>Our aim was to increase the use of available data to estimate effectiveness of second line biologics in treatment of RA</w:t>
      </w:r>
      <w:r w:rsidR="004C0B84">
        <w:rPr>
          <w:rFonts w:ascii="Arial" w:hAnsi="Arial" w:cs="Arial"/>
          <w:sz w:val="20"/>
          <w:szCs w:val="20"/>
        </w:rPr>
        <w:t xml:space="preserve"> measured by the change from baseline in HAQ</w:t>
      </w:r>
      <w:r w:rsidR="00B37D57">
        <w:rPr>
          <w:rFonts w:ascii="Arial" w:hAnsi="Arial" w:cs="Arial"/>
          <w:sz w:val="20"/>
          <w:szCs w:val="20"/>
        </w:rPr>
        <w:t xml:space="preserve"> and ultimat</w:t>
      </w:r>
      <w:r w:rsidR="00CB09C8">
        <w:rPr>
          <w:rFonts w:ascii="Arial" w:hAnsi="Arial" w:cs="Arial"/>
          <w:sz w:val="20"/>
          <w:szCs w:val="20"/>
        </w:rPr>
        <w:t>ely the health-</w:t>
      </w:r>
      <w:r w:rsidR="00B37D57">
        <w:rPr>
          <w:rFonts w:ascii="Arial" w:hAnsi="Arial" w:cs="Arial"/>
          <w:sz w:val="20"/>
          <w:szCs w:val="20"/>
        </w:rPr>
        <w:t>related quality of life measured by the change from baseline in EQ-5D</w:t>
      </w:r>
      <w:r w:rsidR="00182A4A">
        <w:rPr>
          <w:rFonts w:ascii="Arial" w:hAnsi="Arial" w:cs="Arial"/>
          <w:sz w:val="20"/>
          <w:szCs w:val="20"/>
        </w:rPr>
        <w:t xml:space="preserve">. </w:t>
      </w:r>
      <w:r w:rsidR="000712F6">
        <w:rPr>
          <w:rFonts w:ascii="Arial" w:hAnsi="Arial" w:cs="Arial"/>
          <w:sz w:val="20"/>
          <w:szCs w:val="20"/>
        </w:rPr>
        <w:t xml:space="preserve">We </w:t>
      </w:r>
      <w:r w:rsidR="007C5440">
        <w:rPr>
          <w:rFonts w:ascii="Arial" w:hAnsi="Arial" w:cs="Arial"/>
          <w:sz w:val="20"/>
          <w:szCs w:val="20"/>
        </w:rPr>
        <w:t>employed</w:t>
      </w:r>
      <w:r w:rsidR="000F74B6">
        <w:rPr>
          <w:rFonts w:ascii="Arial" w:hAnsi="Arial" w:cs="Arial"/>
          <w:sz w:val="20"/>
          <w:szCs w:val="20"/>
        </w:rPr>
        <w:t xml:space="preserve"> external</w:t>
      </w:r>
      <w:r w:rsidRPr="008D4928">
        <w:rPr>
          <w:rFonts w:ascii="Arial" w:hAnsi="Arial" w:cs="Arial"/>
          <w:sz w:val="20"/>
          <w:szCs w:val="20"/>
        </w:rPr>
        <w:t xml:space="preserve"> </w:t>
      </w:r>
      <w:r w:rsidR="00A13CF0">
        <w:rPr>
          <w:rFonts w:ascii="Arial" w:hAnsi="Arial" w:cs="Arial"/>
          <w:sz w:val="20"/>
          <w:szCs w:val="20"/>
        </w:rPr>
        <w:t>IPD</w:t>
      </w:r>
      <w:r w:rsidRPr="008D4928">
        <w:rPr>
          <w:rFonts w:ascii="Arial" w:hAnsi="Arial" w:cs="Arial"/>
          <w:sz w:val="20"/>
          <w:szCs w:val="20"/>
        </w:rPr>
        <w:t xml:space="preserve"> to construct prior distributions for the within-study correlations </w:t>
      </w:r>
      <w:r w:rsidR="00A13CF0">
        <w:rPr>
          <w:rFonts w:ascii="Arial" w:hAnsi="Arial" w:cs="Arial"/>
          <w:sz w:val="20"/>
          <w:szCs w:val="20"/>
        </w:rPr>
        <w:t>and ESD for the between-study correlations.</w:t>
      </w:r>
      <w:r w:rsidRPr="008D4928">
        <w:rPr>
          <w:rFonts w:ascii="Arial" w:hAnsi="Arial" w:cs="Arial"/>
          <w:sz w:val="20"/>
          <w:szCs w:val="20"/>
        </w:rPr>
        <w:t xml:space="preserve"> We found that </w:t>
      </w:r>
      <w:r w:rsidR="000F74B6">
        <w:rPr>
          <w:rFonts w:ascii="Arial" w:hAnsi="Arial" w:cs="Arial"/>
          <w:sz w:val="20"/>
          <w:szCs w:val="20"/>
        </w:rPr>
        <w:t>using</w:t>
      </w:r>
      <w:r w:rsidRPr="008D4928">
        <w:rPr>
          <w:rFonts w:ascii="Arial" w:hAnsi="Arial" w:cs="Arial"/>
          <w:sz w:val="20"/>
          <w:szCs w:val="20"/>
        </w:rPr>
        <w:t xml:space="preserve"> this Bayesian approach to evidence synthesis of outcomes in RA</w:t>
      </w:r>
      <w:r w:rsidR="000F74B6">
        <w:rPr>
          <w:rFonts w:ascii="Arial" w:hAnsi="Arial" w:cs="Arial"/>
          <w:sz w:val="20"/>
          <w:szCs w:val="20"/>
        </w:rPr>
        <w:t>,</w:t>
      </w:r>
      <w:r w:rsidRPr="008D4928">
        <w:rPr>
          <w:rFonts w:ascii="Arial" w:hAnsi="Arial" w:cs="Arial"/>
          <w:sz w:val="20"/>
          <w:szCs w:val="20"/>
        </w:rPr>
        <w:t xml:space="preserve"> by combining the HAQ endpoint with the DAS-28</w:t>
      </w:r>
      <w:r w:rsidR="000F74B6">
        <w:rPr>
          <w:rFonts w:ascii="Arial" w:hAnsi="Arial" w:cs="Arial"/>
          <w:sz w:val="20"/>
          <w:szCs w:val="20"/>
        </w:rPr>
        <w:t>,</w:t>
      </w:r>
      <w:r w:rsidRPr="008D4928">
        <w:rPr>
          <w:rFonts w:ascii="Arial" w:hAnsi="Arial" w:cs="Arial"/>
          <w:sz w:val="20"/>
          <w:szCs w:val="20"/>
        </w:rPr>
        <w:t xml:space="preserve">  leads to a</w:t>
      </w:r>
      <w:r w:rsidR="00A72E9B">
        <w:rPr>
          <w:rFonts w:ascii="Arial" w:hAnsi="Arial" w:cs="Arial"/>
          <w:sz w:val="20"/>
          <w:szCs w:val="20"/>
        </w:rPr>
        <w:t xml:space="preserve"> </w:t>
      </w:r>
      <w:r w:rsidR="003D2931" w:rsidRPr="003D2931">
        <w:rPr>
          <w:rFonts w:ascii="Arial" w:hAnsi="Arial" w:cs="Arial"/>
          <w:sz w:val="20"/>
          <w:szCs w:val="20"/>
        </w:rPr>
        <w:t>20%</w:t>
      </w:r>
      <w:r w:rsidR="003D2931">
        <w:rPr>
          <w:rFonts w:ascii="Arial" w:hAnsi="Arial" w:cs="Arial"/>
          <w:sz w:val="20"/>
          <w:szCs w:val="20"/>
        </w:rPr>
        <w:t xml:space="preserve"> </w:t>
      </w:r>
      <w:r w:rsidRPr="008D4928">
        <w:rPr>
          <w:rFonts w:ascii="Arial" w:hAnsi="Arial" w:cs="Arial"/>
          <w:sz w:val="20"/>
          <w:szCs w:val="20"/>
        </w:rPr>
        <w:t>reduction in the uncertaint</w:t>
      </w:r>
      <w:r w:rsidR="00182A4A">
        <w:rPr>
          <w:rFonts w:ascii="Arial" w:hAnsi="Arial" w:cs="Arial"/>
          <w:sz w:val="20"/>
          <w:szCs w:val="20"/>
        </w:rPr>
        <w:t>y around the HAQ from -0.25 (95</w:t>
      </w:r>
      <w:r w:rsidRPr="008D4928">
        <w:rPr>
          <w:rFonts w:ascii="Arial" w:hAnsi="Arial" w:cs="Arial"/>
          <w:sz w:val="20"/>
          <w:szCs w:val="20"/>
        </w:rPr>
        <w:t xml:space="preserve">% </w:t>
      </w:r>
      <w:r w:rsidR="00A13CF0">
        <w:rPr>
          <w:rFonts w:ascii="Arial" w:hAnsi="Arial" w:cs="Arial"/>
          <w:sz w:val="20"/>
          <w:szCs w:val="20"/>
        </w:rPr>
        <w:t>HPDI: -0.43 to -0.09)</w:t>
      </w:r>
      <w:r w:rsidRPr="008D4928">
        <w:rPr>
          <w:rFonts w:ascii="Arial" w:hAnsi="Arial" w:cs="Arial"/>
          <w:sz w:val="20"/>
          <w:szCs w:val="20"/>
        </w:rPr>
        <w:t>) obtained from URMA</w:t>
      </w:r>
      <w:r w:rsidR="00182A4A">
        <w:rPr>
          <w:rFonts w:ascii="Arial" w:hAnsi="Arial" w:cs="Arial"/>
          <w:sz w:val="20"/>
          <w:szCs w:val="20"/>
        </w:rPr>
        <w:t xml:space="preserve"> of synthesizing data on HAQ alone to -0.28 (95</w:t>
      </w:r>
      <w:r w:rsidRPr="008D4928">
        <w:rPr>
          <w:rFonts w:ascii="Arial" w:hAnsi="Arial" w:cs="Arial"/>
          <w:sz w:val="20"/>
          <w:szCs w:val="20"/>
        </w:rPr>
        <w:t xml:space="preserve">% </w:t>
      </w:r>
      <w:r w:rsidR="00A13CF0">
        <w:rPr>
          <w:rFonts w:ascii="Arial" w:hAnsi="Arial" w:cs="Arial"/>
          <w:sz w:val="20"/>
          <w:szCs w:val="20"/>
        </w:rPr>
        <w:t xml:space="preserve">HPDI: -0.41 to </w:t>
      </w:r>
      <w:r w:rsidR="00182A4A">
        <w:rPr>
          <w:rFonts w:ascii="Arial" w:hAnsi="Arial" w:cs="Arial"/>
          <w:sz w:val="20"/>
          <w:szCs w:val="20"/>
        </w:rPr>
        <w:t>-0.14</w:t>
      </w:r>
      <w:r w:rsidRPr="008D4928">
        <w:rPr>
          <w:rFonts w:ascii="Arial" w:hAnsi="Arial" w:cs="Arial"/>
          <w:sz w:val="20"/>
          <w:szCs w:val="20"/>
        </w:rPr>
        <w:t xml:space="preserve">) obtained from BRMA. </w:t>
      </w:r>
      <w:r w:rsidR="00182A4A">
        <w:rPr>
          <w:rFonts w:ascii="Arial" w:hAnsi="Arial" w:cs="Arial"/>
          <w:sz w:val="20"/>
          <w:szCs w:val="20"/>
        </w:rPr>
        <w:t>The use of BRMA has also led to</w:t>
      </w:r>
      <w:r w:rsidRPr="008D4928">
        <w:rPr>
          <w:rFonts w:ascii="Arial" w:hAnsi="Arial" w:cs="Arial"/>
          <w:sz w:val="20"/>
          <w:szCs w:val="20"/>
        </w:rPr>
        <w:t xml:space="preserve"> a reduced uncertainty</w:t>
      </w:r>
      <w:r w:rsidR="00A72E9B">
        <w:rPr>
          <w:rFonts w:ascii="Arial" w:hAnsi="Arial" w:cs="Arial"/>
          <w:b/>
          <w:sz w:val="20"/>
          <w:szCs w:val="20"/>
        </w:rPr>
        <w:t xml:space="preserve">, </w:t>
      </w:r>
      <w:r w:rsidR="003D2931" w:rsidRPr="003D2931">
        <w:rPr>
          <w:rFonts w:ascii="Arial" w:hAnsi="Arial" w:cs="Arial"/>
          <w:sz w:val="20"/>
          <w:szCs w:val="20"/>
        </w:rPr>
        <w:t>by 16%,</w:t>
      </w:r>
      <w:r w:rsidR="003D2931" w:rsidRPr="008D4928">
        <w:rPr>
          <w:rFonts w:ascii="Arial" w:hAnsi="Arial" w:cs="Arial"/>
          <w:sz w:val="20"/>
          <w:szCs w:val="20"/>
        </w:rPr>
        <w:t xml:space="preserve"> </w:t>
      </w:r>
      <w:r w:rsidRPr="008D4928">
        <w:rPr>
          <w:rFonts w:ascii="Arial" w:hAnsi="Arial" w:cs="Arial"/>
          <w:sz w:val="20"/>
          <w:szCs w:val="20"/>
        </w:rPr>
        <w:t xml:space="preserve">around the </w:t>
      </w:r>
      <w:r w:rsidR="007A764F">
        <w:rPr>
          <w:rFonts w:ascii="Arial" w:hAnsi="Arial" w:cs="Arial"/>
          <w:sz w:val="20"/>
          <w:szCs w:val="20"/>
        </w:rPr>
        <w:t>health-related quality of life</w:t>
      </w:r>
      <w:r w:rsidR="00A13CF0">
        <w:rPr>
          <w:rFonts w:ascii="Arial" w:hAnsi="Arial" w:cs="Arial"/>
          <w:sz w:val="20"/>
          <w:szCs w:val="20"/>
        </w:rPr>
        <w:t xml:space="preserve"> estimate EQ-5D from </w:t>
      </w:r>
      <w:r w:rsidR="00A13CF0" w:rsidRPr="009424D1">
        <w:rPr>
          <w:rFonts w:ascii="Arial" w:hAnsi="Arial" w:cs="Arial"/>
          <w:sz w:val="20"/>
          <w:szCs w:val="20"/>
        </w:rPr>
        <w:t>0.08</w:t>
      </w:r>
      <w:r w:rsidR="009424D1">
        <w:rPr>
          <w:rFonts w:ascii="Arial" w:hAnsi="Arial" w:cs="Arial"/>
          <w:sz w:val="20"/>
          <w:szCs w:val="20"/>
        </w:rPr>
        <w:t>3</w:t>
      </w:r>
      <w:r w:rsidR="00182A4A">
        <w:rPr>
          <w:rFonts w:ascii="Arial" w:hAnsi="Arial" w:cs="Arial"/>
          <w:sz w:val="20"/>
          <w:szCs w:val="20"/>
        </w:rPr>
        <w:t xml:space="preserve"> (95</w:t>
      </w:r>
      <w:r w:rsidRPr="008D4928">
        <w:rPr>
          <w:rFonts w:ascii="Arial" w:hAnsi="Arial" w:cs="Arial"/>
          <w:sz w:val="20"/>
          <w:szCs w:val="20"/>
        </w:rPr>
        <w:t xml:space="preserve">% </w:t>
      </w:r>
      <w:r w:rsidR="00A13CF0">
        <w:rPr>
          <w:rFonts w:ascii="Arial" w:hAnsi="Arial" w:cs="Arial"/>
          <w:sz w:val="20"/>
          <w:szCs w:val="20"/>
        </w:rPr>
        <w:t xml:space="preserve">HPDI: </w:t>
      </w:r>
      <w:r w:rsidRPr="008D4928">
        <w:rPr>
          <w:rFonts w:ascii="Arial" w:hAnsi="Arial" w:cs="Arial"/>
          <w:sz w:val="20"/>
          <w:szCs w:val="20"/>
        </w:rPr>
        <w:t>0.0</w:t>
      </w:r>
      <w:r w:rsidR="00A13CF0">
        <w:rPr>
          <w:rFonts w:ascii="Arial" w:hAnsi="Arial" w:cs="Arial"/>
          <w:sz w:val="20"/>
          <w:szCs w:val="20"/>
        </w:rPr>
        <w:t>25 to 0.141</w:t>
      </w:r>
      <w:r w:rsidRPr="008D4928">
        <w:rPr>
          <w:rFonts w:ascii="Arial" w:hAnsi="Arial" w:cs="Arial"/>
          <w:sz w:val="20"/>
          <w:szCs w:val="20"/>
        </w:rPr>
        <w:t>)</w:t>
      </w:r>
      <w:r w:rsidR="00182A4A">
        <w:rPr>
          <w:rFonts w:ascii="Arial" w:hAnsi="Arial" w:cs="Arial"/>
          <w:sz w:val="20"/>
          <w:szCs w:val="20"/>
        </w:rPr>
        <w:t xml:space="preserve"> when mapping HAQ obtained from URMA</w:t>
      </w:r>
      <w:r w:rsidRPr="008D4928">
        <w:rPr>
          <w:rFonts w:ascii="Arial" w:hAnsi="Arial" w:cs="Arial"/>
          <w:sz w:val="20"/>
          <w:szCs w:val="20"/>
        </w:rPr>
        <w:t xml:space="preserve"> to </w:t>
      </w:r>
      <w:r w:rsidRPr="009424D1">
        <w:rPr>
          <w:rFonts w:ascii="Arial" w:hAnsi="Arial" w:cs="Arial"/>
          <w:sz w:val="20"/>
          <w:szCs w:val="20"/>
        </w:rPr>
        <w:t>0.0</w:t>
      </w:r>
      <w:r w:rsidR="00A13CF0" w:rsidRPr="009424D1">
        <w:rPr>
          <w:rFonts w:ascii="Arial" w:hAnsi="Arial" w:cs="Arial"/>
          <w:sz w:val="20"/>
          <w:szCs w:val="20"/>
        </w:rPr>
        <w:t>9</w:t>
      </w:r>
      <w:r w:rsidR="009424D1">
        <w:rPr>
          <w:rFonts w:ascii="Arial" w:hAnsi="Arial" w:cs="Arial"/>
          <w:sz w:val="20"/>
          <w:szCs w:val="20"/>
        </w:rPr>
        <w:t>1</w:t>
      </w:r>
      <w:r w:rsidR="00182A4A">
        <w:rPr>
          <w:rFonts w:ascii="Arial" w:hAnsi="Arial" w:cs="Arial"/>
          <w:sz w:val="20"/>
          <w:szCs w:val="20"/>
        </w:rPr>
        <w:t xml:space="preserve"> (95</w:t>
      </w:r>
      <w:r w:rsidRPr="008D4928">
        <w:rPr>
          <w:rFonts w:ascii="Arial" w:hAnsi="Arial" w:cs="Arial"/>
          <w:sz w:val="20"/>
          <w:szCs w:val="20"/>
        </w:rPr>
        <w:t xml:space="preserve">% </w:t>
      </w:r>
      <w:r w:rsidR="00A13CF0">
        <w:rPr>
          <w:rFonts w:ascii="Arial" w:hAnsi="Arial" w:cs="Arial"/>
          <w:sz w:val="20"/>
          <w:szCs w:val="20"/>
        </w:rPr>
        <w:t xml:space="preserve">HPDI: 0.041 to </w:t>
      </w:r>
      <w:r w:rsidRPr="008D4928">
        <w:rPr>
          <w:rFonts w:ascii="Arial" w:hAnsi="Arial" w:cs="Arial"/>
          <w:sz w:val="20"/>
          <w:szCs w:val="20"/>
        </w:rPr>
        <w:t>0.</w:t>
      </w:r>
      <w:r w:rsidR="00A13CF0">
        <w:rPr>
          <w:rFonts w:ascii="Arial" w:hAnsi="Arial" w:cs="Arial"/>
          <w:sz w:val="20"/>
          <w:szCs w:val="20"/>
        </w:rPr>
        <w:t>138</w:t>
      </w:r>
      <w:r w:rsidRPr="008D4928">
        <w:rPr>
          <w:rFonts w:ascii="Arial" w:hAnsi="Arial" w:cs="Arial"/>
          <w:sz w:val="20"/>
          <w:szCs w:val="20"/>
        </w:rPr>
        <w:t>)</w:t>
      </w:r>
      <w:r w:rsidR="00182A4A">
        <w:rPr>
          <w:rFonts w:ascii="Arial" w:hAnsi="Arial" w:cs="Arial"/>
          <w:sz w:val="20"/>
          <w:szCs w:val="20"/>
        </w:rPr>
        <w:t xml:space="preserve"> when using </w:t>
      </w:r>
      <w:r w:rsidR="005F67D5">
        <w:rPr>
          <w:rFonts w:ascii="Arial" w:hAnsi="Arial" w:cs="Arial"/>
          <w:sz w:val="20"/>
          <w:szCs w:val="20"/>
        </w:rPr>
        <w:t xml:space="preserve">the </w:t>
      </w:r>
      <w:r w:rsidR="00182A4A">
        <w:rPr>
          <w:rFonts w:ascii="Arial" w:hAnsi="Arial" w:cs="Arial"/>
          <w:sz w:val="20"/>
          <w:szCs w:val="20"/>
        </w:rPr>
        <w:t>estimate of HAQ from BRMA</w:t>
      </w:r>
      <w:r w:rsidRPr="008D4928">
        <w:rPr>
          <w:rFonts w:ascii="Arial" w:hAnsi="Arial" w:cs="Arial"/>
          <w:sz w:val="20"/>
          <w:szCs w:val="20"/>
        </w:rPr>
        <w:t xml:space="preserve">. Similar results have been obtained when using TRMA of the HAQ, DAS-28 and ACR20. The inclusion of the third outcome, ACR20, did not contribute to the HAQ estimate or </w:t>
      </w:r>
      <w:r w:rsidR="00786CE1">
        <w:rPr>
          <w:rFonts w:ascii="Arial" w:hAnsi="Arial" w:cs="Arial"/>
          <w:sz w:val="20"/>
          <w:szCs w:val="20"/>
        </w:rPr>
        <w:t xml:space="preserve">further </w:t>
      </w:r>
      <w:r w:rsidRPr="008D4928">
        <w:rPr>
          <w:rFonts w:ascii="Arial" w:hAnsi="Arial" w:cs="Arial"/>
          <w:sz w:val="20"/>
          <w:szCs w:val="20"/>
        </w:rPr>
        <w:t>reduction of uncertainty around it.</w:t>
      </w:r>
      <w:r w:rsidR="00A72E9B">
        <w:rPr>
          <w:rFonts w:ascii="Arial" w:hAnsi="Arial" w:cs="Arial"/>
          <w:sz w:val="20"/>
          <w:szCs w:val="20"/>
        </w:rPr>
        <w:t xml:space="preserve"> </w:t>
      </w:r>
      <w:r w:rsidR="00911746" w:rsidRPr="00911746">
        <w:rPr>
          <w:rFonts w:ascii="Arial" w:hAnsi="Arial" w:cs="Arial"/>
          <w:sz w:val="20"/>
          <w:szCs w:val="20"/>
        </w:rPr>
        <w:t xml:space="preserve">A 20% reduction in uncertainty around the effectiveness outcome may lead to a change of the cost effectiveness outcomes, for example alter the cost-effectiveness acceptability curve, leading to a change in decision made based on such analysis. Joint analysis of multiple outcomes may have advantages in many areas of decision making, for example in risk-benefit analysis, where multiple outcomes contribute to net benefit function and sometimes the risk function as well. For example, in a study on hormone replacement therapy by </w:t>
      </w:r>
      <w:proofErr w:type="spellStart"/>
      <w:r w:rsidR="00911746" w:rsidRPr="00911746">
        <w:rPr>
          <w:rFonts w:ascii="Arial" w:hAnsi="Arial" w:cs="Arial"/>
          <w:sz w:val="20"/>
          <w:szCs w:val="20"/>
        </w:rPr>
        <w:t>Minelli</w:t>
      </w:r>
      <w:proofErr w:type="spellEnd"/>
      <w:r w:rsidR="00911746" w:rsidRPr="00911746">
        <w:rPr>
          <w:rFonts w:ascii="Arial" w:hAnsi="Arial" w:cs="Arial"/>
          <w:sz w:val="20"/>
          <w:szCs w:val="20"/>
        </w:rPr>
        <w:t xml:space="preserve"> et al </w:t>
      </w:r>
      <w:sdt>
        <w:sdtPr>
          <w:rPr>
            <w:rFonts w:ascii="Arial" w:hAnsi="Arial" w:cs="Arial"/>
            <w:sz w:val="20"/>
            <w:szCs w:val="20"/>
          </w:rPr>
          <w:id w:val="541835766"/>
          <w:citation/>
        </w:sdtPr>
        <w:sdtEndPr/>
        <w:sdtContent>
          <w:r w:rsidR="00631B86" w:rsidRPr="00911746">
            <w:rPr>
              <w:rFonts w:ascii="Arial" w:hAnsi="Arial" w:cs="Arial"/>
              <w:sz w:val="20"/>
              <w:szCs w:val="20"/>
            </w:rPr>
            <w:fldChar w:fldCharType="begin"/>
          </w:r>
          <w:r w:rsidR="00911746" w:rsidRPr="00911746">
            <w:rPr>
              <w:rFonts w:ascii="Arial" w:hAnsi="Arial" w:cs="Arial"/>
              <w:sz w:val="20"/>
              <w:szCs w:val="20"/>
            </w:rPr>
            <w:instrText xml:space="preserve"> CITATION Min04 \l 2057 </w:instrText>
          </w:r>
          <w:r w:rsidR="00631B86" w:rsidRPr="00911746">
            <w:rPr>
              <w:rFonts w:ascii="Arial" w:hAnsi="Arial" w:cs="Arial"/>
              <w:sz w:val="20"/>
              <w:szCs w:val="20"/>
            </w:rPr>
            <w:fldChar w:fldCharType="separate"/>
          </w:r>
          <w:r w:rsidR="005F423A" w:rsidRPr="005F423A">
            <w:rPr>
              <w:rFonts w:ascii="Arial" w:hAnsi="Arial" w:cs="Arial"/>
              <w:noProof/>
              <w:sz w:val="20"/>
              <w:szCs w:val="20"/>
            </w:rPr>
            <w:t>(23)</w:t>
          </w:r>
          <w:r w:rsidR="00631B86" w:rsidRPr="00911746">
            <w:rPr>
              <w:rFonts w:ascii="Arial" w:hAnsi="Arial" w:cs="Arial"/>
              <w:sz w:val="20"/>
              <w:szCs w:val="20"/>
            </w:rPr>
            <w:fldChar w:fldCharType="end"/>
          </w:r>
        </w:sdtContent>
      </w:sdt>
      <w:r w:rsidR="00911746" w:rsidRPr="00911746">
        <w:rPr>
          <w:rFonts w:ascii="Arial" w:hAnsi="Arial" w:cs="Arial"/>
          <w:sz w:val="20"/>
          <w:szCs w:val="20"/>
        </w:rPr>
        <w:t xml:space="preserve">, net benefit was constructed by adding benefits measure by relative risk of hip fracture, menopausal symptoms, colorectal cancer and endometrial cancer, whereas the overall harm was estimated by combining relative risk of breast cancer, coronary heart disease, pulmonary embolism and stroke. </w:t>
      </w:r>
      <w:r w:rsidR="00B347A8">
        <w:rPr>
          <w:rFonts w:ascii="Arial" w:hAnsi="Arial" w:cs="Arial"/>
          <w:sz w:val="20"/>
          <w:szCs w:val="20"/>
        </w:rPr>
        <w:t>E</w:t>
      </w:r>
      <w:r w:rsidR="00911746" w:rsidRPr="00911746">
        <w:rPr>
          <w:rFonts w:ascii="Arial" w:hAnsi="Arial" w:cs="Arial"/>
          <w:sz w:val="20"/>
          <w:szCs w:val="20"/>
        </w:rPr>
        <w:t xml:space="preserve">ach of these eight outcomes </w:t>
      </w:r>
      <w:proofErr w:type="gramStart"/>
      <w:r w:rsidR="00911746" w:rsidRPr="00911746">
        <w:rPr>
          <w:rFonts w:ascii="Arial" w:hAnsi="Arial" w:cs="Arial"/>
          <w:sz w:val="20"/>
          <w:szCs w:val="20"/>
        </w:rPr>
        <w:t>were</w:t>
      </w:r>
      <w:proofErr w:type="gramEnd"/>
      <w:r w:rsidR="00911746" w:rsidRPr="00911746">
        <w:rPr>
          <w:rFonts w:ascii="Arial" w:hAnsi="Arial" w:cs="Arial"/>
          <w:sz w:val="20"/>
          <w:szCs w:val="20"/>
        </w:rPr>
        <w:t xml:space="preserve"> estimates by a </w:t>
      </w:r>
      <w:r w:rsidR="00B347A8">
        <w:rPr>
          <w:rFonts w:ascii="Arial" w:hAnsi="Arial" w:cs="Arial"/>
          <w:sz w:val="20"/>
          <w:szCs w:val="20"/>
        </w:rPr>
        <w:t>separate univariate meta-analyse</w:t>
      </w:r>
      <w:r w:rsidR="00911746" w:rsidRPr="00911746">
        <w:rPr>
          <w:rFonts w:ascii="Arial" w:hAnsi="Arial" w:cs="Arial"/>
          <w:sz w:val="20"/>
          <w:szCs w:val="20"/>
        </w:rPr>
        <w:t>s. Modelling such outcomes jointly may lead to more precise estimates especially in circumstances where outcomes are measured in randomised co</w:t>
      </w:r>
      <w:r w:rsidR="00954127">
        <w:rPr>
          <w:rFonts w:ascii="Arial" w:hAnsi="Arial" w:cs="Arial"/>
          <w:sz w:val="20"/>
          <w:szCs w:val="20"/>
        </w:rPr>
        <w:t>ntrolled trials which are powered</w:t>
      </w:r>
      <w:r w:rsidR="00911746" w:rsidRPr="00911746">
        <w:rPr>
          <w:rFonts w:ascii="Arial" w:hAnsi="Arial" w:cs="Arial"/>
          <w:sz w:val="20"/>
          <w:szCs w:val="20"/>
        </w:rPr>
        <w:t xml:space="preserve"> with respect to one outcome, but may be underpowered for others.</w:t>
      </w:r>
      <w:r w:rsidR="00C60D04">
        <w:rPr>
          <w:rFonts w:ascii="Arial" w:hAnsi="Arial" w:cs="Arial"/>
          <w:sz w:val="20"/>
          <w:szCs w:val="20"/>
        </w:rPr>
        <w:t xml:space="preserve"> </w:t>
      </w:r>
      <w:r w:rsidR="00B347A8">
        <w:rPr>
          <w:rFonts w:ascii="Arial" w:hAnsi="Arial" w:cs="Arial"/>
          <w:sz w:val="20"/>
          <w:szCs w:val="20"/>
        </w:rPr>
        <w:t xml:space="preserve">This </w:t>
      </w:r>
      <w:r w:rsidR="00C60D04">
        <w:rPr>
          <w:rFonts w:ascii="Arial" w:hAnsi="Arial" w:cs="Arial"/>
          <w:sz w:val="20"/>
          <w:szCs w:val="20"/>
        </w:rPr>
        <w:t xml:space="preserve">may also be the case when adverse events are included in the analysis whilst RCTs are not powered </w:t>
      </w:r>
      <w:r w:rsidR="00C60D04">
        <w:rPr>
          <w:rFonts w:ascii="Arial" w:hAnsi="Arial" w:cs="Arial"/>
          <w:sz w:val="20"/>
          <w:szCs w:val="20"/>
        </w:rPr>
        <w:lastRenderedPageBreak/>
        <w:t xml:space="preserve">to for such </w:t>
      </w:r>
      <w:proofErr w:type="gramStart"/>
      <w:r w:rsidR="00C60D04">
        <w:rPr>
          <w:rFonts w:ascii="Arial" w:hAnsi="Arial" w:cs="Arial"/>
          <w:sz w:val="20"/>
          <w:szCs w:val="20"/>
        </w:rPr>
        <w:t>outcomes,</w:t>
      </w:r>
      <w:proofErr w:type="gramEnd"/>
      <w:r w:rsidR="00C60D04">
        <w:rPr>
          <w:rFonts w:ascii="Arial" w:hAnsi="Arial" w:cs="Arial"/>
          <w:sz w:val="20"/>
          <w:szCs w:val="20"/>
        </w:rPr>
        <w:t xml:space="preserve"> therefore there is a lot</w:t>
      </w:r>
      <w:r w:rsidR="00B347A8">
        <w:rPr>
          <w:rFonts w:ascii="Arial" w:hAnsi="Arial" w:cs="Arial"/>
          <w:sz w:val="20"/>
          <w:szCs w:val="20"/>
        </w:rPr>
        <w:t xml:space="preserve"> </w:t>
      </w:r>
      <w:r w:rsidR="00C60D04">
        <w:rPr>
          <w:rFonts w:ascii="Arial" w:hAnsi="Arial" w:cs="Arial"/>
          <w:sz w:val="20"/>
          <w:szCs w:val="20"/>
        </w:rPr>
        <w:t>of uncertainty about the</w:t>
      </w:r>
      <w:r w:rsidR="00B347A8">
        <w:rPr>
          <w:rFonts w:ascii="Arial" w:hAnsi="Arial" w:cs="Arial"/>
          <w:sz w:val="20"/>
          <w:szCs w:val="20"/>
        </w:rPr>
        <w:t>m</w:t>
      </w:r>
      <w:r w:rsidR="00C60D04">
        <w:rPr>
          <w:rFonts w:ascii="Arial" w:hAnsi="Arial" w:cs="Arial"/>
          <w:sz w:val="20"/>
          <w:szCs w:val="20"/>
        </w:rPr>
        <w:t xml:space="preserve"> when including them in net-</w:t>
      </w:r>
      <w:proofErr w:type="spellStart"/>
      <w:r w:rsidR="00C60D04">
        <w:rPr>
          <w:rFonts w:ascii="Arial" w:hAnsi="Arial" w:cs="Arial"/>
          <w:sz w:val="20"/>
          <w:szCs w:val="20"/>
        </w:rPr>
        <w:t>beneft</w:t>
      </w:r>
      <w:proofErr w:type="spellEnd"/>
      <w:r w:rsidR="00C60D04">
        <w:rPr>
          <w:rFonts w:ascii="Arial" w:hAnsi="Arial" w:cs="Arial"/>
          <w:sz w:val="20"/>
          <w:szCs w:val="20"/>
        </w:rPr>
        <w:t xml:space="preserve"> analysis.</w:t>
      </w:r>
    </w:p>
    <w:p w:rsidR="004577B4" w:rsidRDefault="004577B4" w:rsidP="00AA3405">
      <w:pPr>
        <w:pStyle w:val="PlainText"/>
        <w:spacing w:line="480" w:lineRule="auto"/>
        <w:jc w:val="both"/>
        <w:rPr>
          <w:rFonts w:ascii="Arial" w:hAnsi="Arial" w:cs="Arial"/>
          <w:sz w:val="20"/>
          <w:szCs w:val="20"/>
        </w:rPr>
      </w:pPr>
    </w:p>
    <w:p w:rsidR="004577B4" w:rsidRPr="008D4928" w:rsidRDefault="00565567" w:rsidP="00AA3405">
      <w:pPr>
        <w:pStyle w:val="PlainText"/>
        <w:spacing w:line="480" w:lineRule="auto"/>
        <w:jc w:val="both"/>
        <w:rPr>
          <w:rFonts w:ascii="Arial" w:hAnsi="Arial" w:cs="Arial"/>
          <w:sz w:val="20"/>
          <w:szCs w:val="20"/>
        </w:rPr>
      </w:pPr>
      <w:r>
        <w:rPr>
          <w:rFonts w:ascii="Arial" w:hAnsi="Arial" w:cs="Arial"/>
          <w:sz w:val="20"/>
          <w:szCs w:val="20"/>
        </w:rPr>
        <w:t xml:space="preserve">When pooling data by means of the Bayesian random-effects meta-analysis, we allow for </w:t>
      </w:r>
      <w:r w:rsidR="00AB1723" w:rsidRPr="008D4928">
        <w:rPr>
          <w:rFonts w:ascii="Arial" w:hAnsi="Arial" w:cs="Arial"/>
          <w:sz w:val="20"/>
          <w:szCs w:val="20"/>
        </w:rPr>
        <w:t>`borrowing of strength'' across studies</w:t>
      </w:r>
      <w:r>
        <w:rPr>
          <w:rFonts w:ascii="Arial" w:hAnsi="Arial" w:cs="Arial"/>
          <w:sz w:val="20"/>
          <w:szCs w:val="20"/>
        </w:rPr>
        <w:t xml:space="preserve"> which leads to “shrinkage” of the estimates from individual studies towards the overall mean (with reduced uncertainty around the estimates) </w:t>
      </w:r>
      <w:sdt>
        <w:sdtPr>
          <w:rPr>
            <w:rFonts w:ascii="Arial" w:hAnsi="Arial" w:cs="Arial"/>
            <w:sz w:val="20"/>
            <w:szCs w:val="20"/>
          </w:rPr>
          <w:id w:val="351409511"/>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Spi04 \l 2057 </w:instrText>
          </w:r>
          <w:r w:rsidR="00631B86">
            <w:rPr>
              <w:rFonts w:ascii="Arial" w:hAnsi="Arial" w:cs="Arial"/>
              <w:sz w:val="20"/>
              <w:szCs w:val="20"/>
            </w:rPr>
            <w:fldChar w:fldCharType="separate"/>
          </w:r>
          <w:r w:rsidR="005F423A" w:rsidRPr="005F423A">
            <w:rPr>
              <w:rFonts w:ascii="Arial" w:hAnsi="Arial" w:cs="Arial"/>
              <w:noProof/>
              <w:sz w:val="20"/>
              <w:szCs w:val="20"/>
            </w:rPr>
            <w:t>(21)</w:t>
          </w:r>
          <w:r w:rsidR="00631B86">
            <w:rPr>
              <w:rFonts w:ascii="Arial" w:hAnsi="Arial" w:cs="Arial"/>
              <w:sz w:val="20"/>
              <w:szCs w:val="20"/>
            </w:rPr>
            <w:fldChar w:fldCharType="end"/>
          </w:r>
        </w:sdtContent>
      </w:sdt>
      <w:r>
        <w:rPr>
          <w:rFonts w:ascii="Arial" w:hAnsi="Arial" w:cs="Arial"/>
          <w:sz w:val="20"/>
          <w:szCs w:val="20"/>
        </w:rPr>
        <w:t>. In addition to this, multivariate meta-</w:t>
      </w:r>
      <w:r w:rsidR="005F2BBB">
        <w:rPr>
          <w:rFonts w:ascii="Arial" w:hAnsi="Arial" w:cs="Arial"/>
          <w:sz w:val="20"/>
          <w:szCs w:val="20"/>
        </w:rPr>
        <w:t xml:space="preserve">analysis allows </w:t>
      </w:r>
      <w:r w:rsidR="00AB1723" w:rsidRPr="008D4928">
        <w:rPr>
          <w:rFonts w:ascii="Arial" w:hAnsi="Arial" w:cs="Arial"/>
          <w:sz w:val="20"/>
          <w:szCs w:val="20"/>
        </w:rPr>
        <w:t xml:space="preserve">``borrowing of strength'' </w:t>
      </w:r>
      <w:r>
        <w:rPr>
          <w:rFonts w:ascii="Arial" w:hAnsi="Arial" w:cs="Arial"/>
          <w:sz w:val="20"/>
          <w:szCs w:val="20"/>
        </w:rPr>
        <w:t>across</w:t>
      </w:r>
      <w:r w:rsidR="00AB1723" w:rsidRPr="008D4928">
        <w:rPr>
          <w:rFonts w:ascii="Arial" w:hAnsi="Arial" w:cs="Arial"/>
          <w:sz w:val="20"/>
          <w:szCs w:val="20"/>
        </w:rPr>
        <w:t xml:space="preserve"> outcomes.  This </w:t>
      </w:r>
      <w:r>
        <w:rPr>
          <w:rFonts w:ascii="Arial" w:hAnsi="Arial" w:cs="Arial"/>
          <w:sz w:val="20"/>
          <w:szCs w:val="20"/>
        </w:rPr>
        <w:t>may lead to</w:t>
      </w:r>
      <w:r w:rsidR="00AB1723" w:rsidRPr="008D4928">
        <w:rPr>
          <w:rFonts w:ascii="Arial" w:hAnsi="Arial" w:cs="Arial"/>
          <w:sz w:val="20"/>
          <w:szCs w:val="20"/>
        </w:rPr>
        <w:t xml:space="preserve"> reduc</w:t>
      </w:r>
      <w:r>
        <w:rPr>
          <w:rFonts w:ascii="Arial" w:hAnsi="Arial" w:cs="Arial"/>
          <w:sz w:val="20"/>
          <w:szCs w:val="20"/>
        </w:rPr>
        <w:t>ed</w:t>
      </w:r>
      <w:r w:rsidR="00AB1723" w:rsidRPr="008D4928">
        <w:rPr>
          <w:rFonts w:ascii="Arial" w:hAnsi="Arial" w:cs="Arial"/>
          <w:sz w:val="20"/>
          <w:szCs w:val="20"/>
        </w:rPr>
        <w:t xml:space="preserve"> uncertainty around the pooled estimate</w:t>
      </w:r>
      <w:r>
        <w:rPr>
          <w:rFonts w:ascii="Arial" w:hAnsi="Arial" w:cs="Arial"/>
          <w:sz w:val="20"/>
          <w:szCs w:val="20"/>
        </w:rPr>
        <w:t>s</w:t>
      </w:r>
      <w:r w:rsidR="00AB1723" w:rsidRPr="008D4928">
        <w:rPr>
          <w:rFonts w:ascii="Arial" w:hAnsi="Arial" w:cs="Arial"/>
          <w:sz w:val="20"/>
          <w:szCs w:val="20"/>
        </w:rPr>
        <w:t>.</w:t>
      </w:r>
      <w:r>
        <w:rPr>
          <w:rFonts w:ascii="Arial" w:hAnsi="Arial" w:cs="Arial"/>
          <w:sz w:val="20"/>
          <w:szCs w:val="20"/>
        </w:rPr>
        <w:t xml:space="preserve"> However, it is difficult to predict the </w:t>
      </w:r>
      <w:r w:rsidRPr="008D4928">
        <w:rPr>
          <w:rFonts w:ascii="Arial" w:hAnsi="Arial" w:cs="Arial"/>
          <w:sz w:val="20"/>
          <w:szCs w:val="20"/>
        </w:rPr>
        <w:t>extent of the gain in precision of the estimate</w:t>
      </w:r>
      <w:r>
        <w:rPr>
          <w:rFonts w:ascii="Arial" w:hAnsi="Arial" w:cs="Arial"/>
          <w:sz w:val="20"/>
          <w:szCs w:val="20"/>
        </w:rPr>
        <w:t>s. In fact</w:t>
      </w:r>
      <w:r w:rsidR="00786CE1">
        <w:rPr>
          <w:rFonts w:ascii="Arial" w:hAnsi="Arial" w:cs="Arial"/>
          <w:sz w:val="20"/>
          <w:szCs w:val="20"/>
        </w:rPr>
        <w:t>,</w:t>
      </w:r>
      <w:r>
        <w:rPr>
          <w:rFonts w:ascii="Arial" w:hAnsi="Arial" w:cs="Arial"/>
          <w:sz w:val="20"/>
          <w:szCs w:val="20"/>
        </w:rPr>
        <w:t xml:space="preserve"> the inclusion of </w:t>
      </w:r>
      <w:r w:rsidR="00D41DDD">
        <w:rPr>
          <w:rFonts w:ascii="Arial" w:hAnsi="Arial" w:cs="Arial"/>
          <w:sz w:val="20"/>
          <w:szCs w:val="20"/>
        </w:rPr>
        <w:t xml:space="preserve">studies reporting </w:t>
      </w:r>
      <w:r>
        <w:rPr>
          <w:rFonts w:ascii="Arial" w:hAnsi="Arial" w:cs="Arial"/>
          <w:sz w:val="20"/>
          <w:szCs w:val="20"/>
        </w:rPr>
        <w:t xml:space="preserve">additional outcomes through the multivariate approach can lead to </w:t>
      </w:r>
      <w:r w:rsidR="005F67D5">
        <w:rPr>
          <w:rFonts w:ascii="Arial" w:hAnsi="Arial" w:cs="Arial"/>
          <w:sz w:val="20"/>
          <w:szCs w:val="20"/>
        </w:rPr>
        <w:t xml:space="preserve">higher heterogeneity in </w:t>
      </w:r>
      <w:r>
        <w:rPr>
          <w:rFonts w:ascii="Arial" w:hAnsi="Arial" w:cs="Arial"/>
          <w:sz w:val="20"/>
          <w:szCs w:val="20"/>
        </w:rPr>
        <w:t xml:space="preserve">the data </w:t>
      </w:r>
      <w:r w:rsidR="003B38BB">
        <w:rPr>
          <w:rFonts w:ascii="Arial" w:hAnsi="Arial" w:cs="Arial"/>
          <w:sz w:val="20"/>
          <w:szCs w:val="20"/>
        </w:rPr>
        <w:t xml:space="preserve">set </w:t>
      </w:r>
      <w:r>
        <w:rPr>
          <w:rFonts w:ascii="Arial" w:hAnsi="Arial" w:cs="Arial"/>
          <w:sz w:val="20"/>
          <w:szCs w:val="20"/>
        </w:rPr>
        <w:t>(which is the case in our example in RA when extending the bivariate case by the third outcome)</w:t>
      </w:r>
      <w:r w:rsidR="00125B8A">
        <w:rPr>
          <w:rFonts w:ascii="Arial" w:hAnsi="Arial" w:cs="Arial"/>
          <w:sz w:val="20"/>
          <w:szCs w:val="20"/>
        </w:rPr>
        <w:t xml:space="preserve"> which can in fact lead to increased uncertainty</w:t>
      </w:r>
      <w:r>
        <w:rPr>
          <w:rFonts w:ascii="Arial" w:hAnsi="Arial" w:cs="Arial"/>
          <w:sz w:val="20"/>
          <w:szCs w:val="20"/>
        </w:rPr>
        <w:t xml:space="preserve">. </w:t>
      </w:r>
      <w:r w:rsidR="00911746" w:rsidRPr="00911746">
        <w:rPr>
          <w:rFonts w:ascii="Arial" w:hAnsi="Arial" w:cs="Arial"/>
          <w:sz w:val="20"/>
          <w:szCs w:val="20"/>
        </w:rPr>
        <w:t xml:space="preserve">The issue of the potential gain in precision of the estimates obtained from multivariate models have been discussed previously. Nam et al observed that the gain is more likely to be noticeable when the data sets are small </w:t>
      </w:r>
      <w:sdt>
        <w:sdtPr>
          <w:rPr>
            <w:rFonts w:ascii="Arial" w:hAnsi="Arial" w:cs="Arial"/>
            <w:sz w:val="20"/>
            <w:szCs w:val="20"/>
          </w:rPr>
          <w:id w:val="361462048"/>
          <w:citation/>
        </w:sdtPr>
        <w:sdtEndPr/>
        <w:sdtContent>
          <w:r w:rsidR="00631B86" w:rsidRPr="00911746">
            <w:rPr>
              <w:rFonts w:ascii="Arial" w:hAnsi="Arial" w:cs="Arial"/>
              <w:sz w:val="20"/>
              <w:szCs w:val="20"/>
            </w:rPr>
            <w:fldChar w:fldCharType="begin"/>
          </w:r>
          <w:r w:rsidR="00911746" w:rsidRPr="00911746">
            <w:rPr>
              <w:rFonts w:ascii="Arial" w:hAnsi="Arial" w:cs="Arial"/>
              <w:sz w:val="20"/>
              <w:szCs w:val="20"/>
            </w:rPr>
            <w:instrText xml:space="preserve"> CITATION Nam03 \l 2057 </w:instrText>
          </w:r>
          <w:r w:rsidR="00631B86" w:rsidRPr="00911746">
            <w:rPr>
              <w:rFonts w:ascii="Arial" w:hAnsi="Arial" w:cs="Arial"/>
              <w:sz w:val="20"/>
              <w:szCs w:val="20"/>
            </w:rPr>
            <w:fldChar w:fldCharType="separate"/>
          </w:r>
          <w:r w:rsidR="005F423A" w:rsidRPr="005F423A">
            <w:rPr>
              <w:rFonts w:ascii="Arial" w:hAnsi="Arial" w:cs="Arial"/>
              <w:noProof/>
              <w:sz w:val="20"/>
              <w:szCs w:val="20"/>
            </w:rPr>
            <w:t>(10)</w:t>
          </w:r>
          <w:r w:rsidR="00631B86" w:rsidRPr="00911746">
            <w:rPr>
              <w:rFonts w:ascii="Arial" w:hAnsi="Arial" w:cs="Arial"/>
              <w:sz w:val="20"/>
              <w:szCs w:val="20"/>
            </w:rPr>
            <w:fldChar w:fldCharType="end"/>
          </w:r>
        </w:sdtContent>
      </w:sdt>
      <w:r w:rsidR="00911746" w:rsidRPr="00911746">
        <w:rPr>
          <w:rFonts w:ascii="Arial" w:hAnsi="Arial" w:cs="Arial"/>
          <w:sz w:val="20"/>
          <w:szCs w:val="20"/>
        </w:rPr>
        <w:t xml:space="preserve">. Riley et al showed that the gain </w:t>
      </w:r>
      <w:proofErr w:type="gramStart"/>
      <w:r w:rsidR="00911746" w:rsidRPr="00911746">
        <w:rPr>
          <w:rFonts w:ascii="Arial" w:hAnsi="Arial" w:cs="Arial"/>
          <w:sz w:val="20"/>
          <w:szCs w:val="20"/>
        </w:rPr>
        <w:t>in  precision</w:t>
      </w:r>
      <w:proofErr w:type="gramEnd"/>
      <w:r w:rsidR="00911746" w:rsidRPr="00911746">
        <w:rPr>
          <w:rFonts w:ascii="Arial" w:hAnsi="Arial" w:cs="Arial"/>
          <w:sz w:val="20"/>
          <w:szCs w:val="20"/>
        </w:rPr>
        <w:t xml:space="preserve"> is expected unless either the outcome are not correlated or the data is complete on both outcomes which are also reported with equal variance </w:t>
      </w:r>
      <w:sdt>
        <w:sdtPr>
          <w:rPr>
            <w:rFonts w:ascii="Arial" w:hAnsi="Arial" w:cs="Arial"/>
            <w:sz w:val="20"/>
            <w:szCs w:val="20"/>
          </w:rPr>
          <w:id w:val="361462047"/>
          <w:citation/>
        </w:sdtPr>
        <w:sdtEndPr/>
        <w:sdtContent>
          <w:r w:rsidR="00631B86" w:rsidRPr="00911746">
            <w:rPr>
              <w:rFonts w:ascii="Arial" w:hAnsi="Arial" w:cs="Arial"/>
              <w:sz w:val="20"/>
              <w:szCs w:val="20"/>
            </w:rPr>
            <w:fldChar w:fldCharType="begin"/>
          </w:r>
          <w:r w:rsidR="00911746" w:rsidRPr="00911746">
            <w:rPr>
              <w:rFonts w:ascii="Arial" w:hAnsi="Arial" w:cs="Arial"/>
              <w:sz w:val="20"/>
              <w:szCs w:val="20"/>
            </w:rPr>
            <w:instrText xml:space="preserve"> CITATION Ril07 \l 2057 </w:instrText>
          </w:r>
          <w:r w:rsidR="00631B86" w:rsidRPr="00911746">
            <w:rPr>
              <w:rFonts w:ascii="Arial" w:hAnsi="Arial" w:cs="Arial"/>
              <w:sz w:val="20"/>
              <w:szCs w:val="20"/>
            </w:rPr>
            <w:fldChar w:fldCharType="separate"/>
          </w:r>
          <w:r w:rsidR="005F423A" w:rsidRPr="005F423A">
            <w:rPr>
              <w:rFonts w:ascii="Arial" w:hAnsi="Arial" w:cs="Arial"/>
              <w:noProof/>
              <w:sz w:val="20"/>
              <w:szCs w:val="20"/>
            </w:rPr>
            <w:t>(11)</w:t>
          </w:r>
          <w:r w:rsidR="00631B86" w:rsidRPr="00911746">
            <w:rPr>
              <w:rFonts w:ascii="Arial" w:hAnsi="Arial" w:cs="Arial"/>
              <w:sz w:val="20"/>
              <w:szCs w:val="20"/>
            </w:rPr>
            <w:fldChar w:fldCharType="end"/>
          </w:r>
        </w:sdtContent>
      </w:sdt>
      <w:r w:rsidR="00911746" w:rsidRPr="00911746">
        <w:rPr>
          <w:rFonts w:ascii="Arial" w:hAnsi="Arial" w:cs="Arial"/>
          <w:sz w:val="20"/>
          <w:szCs w:val="20"/>
        </w:rPr>
        <w:t xml:space="preserve">. In their recent review, Jackson et al reported that the gain in precision increases with increased within-study correlation, but noted that also it can depend of the between-study variance </w:t>
      </w:r>
      <w:sdt>
        <w:sdtPr>
          <w:rPr>
            <w:rFonts w:ascii="Arial" w:hAnsi="Arial" w:cs="Arial"/>
            <w:sz w:val="20"/>
            <w:szCs w:val="20"/>
          </w:rPr>
          <w:id w:val="361462049"/>
          <w:citation/>
        </w:sdtPr>
        <w:sdtEndPr/>
        <w:sdtContent>
          <w:r w:rsidR="00631B86" w:rsidRPr="00911746">
            <w:rPr>
              <w:rFonts w:ascii="Arial" w:hAnsi="Arial" w:cs="Arial"/>
              <w:sz w:val="20"/>
              <w:szCs w:val="20"/>
            </w:rPr>
            <w:fldChar w:fldCharType="begin"/>
          </w:r>
          <w:r w:rsidR="00911746" w:rsidRPr="00911746">
            <w:rPr>
              <w:rFonts w:ascii="Arial" w:hAnsi="Arial" w:cs="Arial"/>
              <w:sz w:val="20"/>
              <w:szCs w:val="20"/>
            </w:rPr>
            <w:instrText xml:space="preserve"> CITATION Jac12 \l 2057 </w:instrText>
          </w:r>
          <w:r w:rsidR="00631B86" w:rsidRPr="00911746">
            <w:rPr>
              <w:rFonts w:ascii="Arial" w:hAnsi="Arial" w:cs="Arial"/>
              <w:sz w:val="20"/>
              <w:szCs w:val="20"/>
            </w:rPr>
            <w:fldChar w:fldCharType="separate"/>
          </w:r>
          <w:r w:rsidR="005F423A" w:rsidRPr="005F423A">
            <w:rPr>
              <w:rFonts w:ascii="Arial" w:hAnsi="Arial" w:cs="Arial"/>
              <w:noProof/>
              <w:sz w:val="20"/>
              <w:szCs w:val="20"/>
            </w:rPr>
            <w:t>(12)</w:t>
          </w:r>
          <w:r w:rsidR="00631B86" w:rsidRPr="00911746">
            <w:rPr>
              <w:rFonts w:ascii="Arial" w:hAnsi="Arial" w:cs="Arial"/>
              <w:sz w:val="20"/>
              <w:szCs w:val="20"/>
            </w:rPr>
            <w:fldChar w:fldCharType="end"/>
          </w:r>
        </w:sdtContent>
      </w:sdt>
      <w:r w:rsidR="00911746" w:rsidRPr="00911746">
        <w:rPr>
          <w:rFonts w:ascii="Arial" w:hAnsi="Arial" w:cs="Arial"/>
          <w:sz w:val="20"/>
          <w:szCs w:val="20"/>
        </w:rPr>
        <w:t xml:space="preserve">. Whilst the factors driving the uncertainty around the estimates of the multivariate meta-analytic models seem complex and it is difficult to predict the gain in precision </w:t>
      </w:r>
      <w:r w:rsidR="008D0506">
        <w:rPr>
          <w:rFonts w:ascii="Arial" w:hAnsi="Arial" w:cs="Arial"/>
          <w:sz w:val="20"/>
          <w:szCs w:val="20"/>
        </w:rPr>
        <w:t>or whether</w:t>
      </w:r>
      <w:r w:rsidR="00911746" w:rsidRPr="00911746">
        <w:rPr>
          <w:rFonts w:ascii="Arial" w:hAnsi="Arial" w:cs="Arial"/>
          <w:sz w:val="20"/>
          <w:szCs w:val="20"/>
        </w:rPr>
        <w:t xml:space="preserve"> its degree </w:t>
      </w:r>
      <w:r w:rsidR="008D0506">
        <w:rPr>
          <w:rFonts w:ascii="Arial" w:hAnsi="Arial" w:cs="Arial"/>
          <w:sz w:val="20"/>
          <w:szCs w:val="20"/>
        </w:rPr>
        <w:t xml:space="preserve">will </w:t>
      </w:r>
      <w:proofErr w:type="spellStart"/>
      <w:r w:rsidR="008D0506">
        <w:rPr>
          <w:rFonts w:ascii="Arial" w:hAnsi="Arial" w:cs="Arial"/>
          <w:sz w:val="20"/>
          <w:szCs w:val="20"/>
        </w:rPr>
        <w:t>be</w:t>
      </w:r>
      <w:r w:rsidR="00911746" w:rsidRPr="00911746">
        <w:rPr>
          <w:rFonts w:ascii="Arial" w:hAnsi="Arial" w:cs="Arial"/>
          <w:sz w:val="20"/>
          <w:szCs w:val="20"/>
        </w:rPr>
        <w:t>satisfactory</w:t>
      </w:r>
      <w:proofErr w:type="spellEnd"/>
      <w:r w:rsidR="00911746" w:rsidRPr="00911746">
        <w:rPr>
          <w:rFonts w:ascii="Arial" w:hAnsi="Arial" w:cs="Arial"/>
          <w:sz w:val="20"/>
          <w:szCs w:val="20"/>
        </w:rPr>
        <w:t xml:space="preserve"> to the analysts, there are further advantages of employing the multivariate scheme. Restricting the analysis to a single outcome may lead to ignoring data from clinical trials which either report treatment effect measured by a different instrument(s) or simply choose to report only positive and/or significant results. In the former case, multivariate approach allows using more diverse sources of evidence and hence prevents relevant data from being discarded. In the latter case, in the presence of outcome reporting bias, the multivariate approach can lead to a more appropriate estimate of the clinical outcome as it has been shown by Kirkham et al that </w:t>
      </w:r>
      <w:sdt>
        <w:sdtPr>
          <w:rPr>
            <w:rFonts w:ascii="Arial" w:hAnsi="Arial" w:cs="Arial"/>
            <w:sz w:val="20"/>
            <w:szCs w:val="20"/>
          </w:rPr>
          <w:id w:val="351409514"/>
          <w:citation/>
        </w:sdtPr>
        <w:sdtEndPr/>
        <w:sdtContent>
          <w:r w:rsidR="00631B86" w:rsidRPr="00911746">
            <w:rPr>
              <w:rFonts w:ascii="Arial" w:hAnsi="Arial" w:cs="Arial"/>
              <w:sz w:val="20"/>
              <w:szCs w:val="20"/>
            </w:rPr>
            <w:fldChar w:fldCharType="begin"/>
          </w:r>
          <w:r w:rsidR="00911746" w:rsidRPr="00911746">
            <w:rPr>
              <w:rFonts w:ascii="Arial" w:hAnsi="Arial" w:cs="Arial"/>
              <w:sz w:val="20"/>
              <w:szCs w:val="20"/>
            </w:rPr>
            <w:instrText xml:space="preserve"> CITATION Kir12 \l 2057 </w:instrText>
          </w:r>
          <w:r w:rsidR="00631B86" w:rsidRPr="00911746">
            <w:rPr>
              <w:rFonts w:ascii="Arial" w:hAnsi="Arial" w:cs="Arial"/>
              <w:sz w:val="20"/>
              <w:szCs w:val="20"/>
            </w:rPr>
            <w:fldChar w:fldCharType="separate"/>
          </w:r>
          <w:r w:rsidR="005F423A" w:rsidRPr="005F423A">
            <w:rPr>
              <w:rFonts w:ascii="Arial" w:hAnsi="Arial" w:cs="Arial"/>
              <w:noProof/>
              <w:sz w:val="20"/>
              <w:szCs w:val="20"/>
            </w:rPr>
            <w:t>(8)</w:t>
          </w:r>
          <w:r w:rsidR="00631B86" w:rsidRPr="00911746">
            <w:rPr>
              <w:rFonts w:ascii="Arial" w:hAnsi="Arial" w:cs="Arial"/>
              <w:sz w:val="20"/>
              <w:szCs w:val="20"/>
            </w:rPr>
            <w:fldChar w:fldCharType="end"/>
          </w:r>
        </w:sdtContent>
      </w:sdt>
      <w:r w:rsidR="00911746" w:rsidRPr="00911746">
        <w:rPr>
          <w:rFonts w:ascii="Arial" w:hAnsi="Arial" w:cs="Arial"/>
          <w:sz w:val="20"/>
          <w:szCs w:val="20"/>
        </w:rPr>
        <w:t>.</w:t>
      </w:r>
      <w:r w:rsidR="00AB499D" w:rsidRPr="008D4928">
        <w:rPr>
          <w:rFonts w:ascii="Arial" w:hAnsi="Arial" w:cs="Arial"/>
          <w:sz w:val="20"/>
          <w:szCs w:val="20"/>
        </w:rPr>
        <w:t>This may apply to the case of RA where, due to the availability of a number of instruments for measuring the disease activity or response to treatment, authors may choose to report only those outcomes whose estimates are positive and/or significant.</w:t>
      </w:r>
      <w:r w:rsidR="00AB499D">
        <w:rPr>
          <w:rFonts w:ascii="Arial" w:hAnsi="Arial" w:cs="Arial"/>
          <w:sz w:val="20"/>
          <w:szCs w:val="20"/>
        </w:rPr>
        <w:t xml:space="preserve"> </w:t>
      </w:r>
      <w:r w:rsidR="003E5DC4">
        <w:rPr>
          <w:rFonts w:ascii="Arial" w:hAnsi="Arial" w:cs="Arial"/>
          <w:sz w:val="20"/>
          <w:szCs w:val="20"/>
        </w:rPr>
        <w:t xml:space="preserve">The pooling of multiple outcomes </w:t>
      </w:r>
      <w:r w:rsidR="003E5DC4">
        <w:rPr>
          <w:rFonts w:ascii="Arial" w:hAnsi="Arial" w:cs="Arial"/>
          <w:sz w:val="20"/>
          <w:szCs w:val="20"/>
        </w:rPr>
        <w:lastRenderedPageBreak/>
        <w:t>through the multivariate approach can obviously be achieved by means of frequentist analysi</w:t>
      </w:r>
      <w:r w:rsidR="00A24322">
        <w:rPr>
          <w:rFonts w:ascii="Arial" w:hAnsi="Arial" w:cs="Arial"/>
          <w:sz w:val="20"/>
          <w:szCs w:val="20"/>
        </w:rPr>
        <w:t>s</w:t>
      </w:r>
      <w:r w:rsidR="003E5DC4">
        <w:rPr>
          <w:rFonts w:ascii="Arial" w:hAnsi="Arial" w:cs="Arial"/>
          <w:sz w:val="20"/>
          <w:szCs w:val="20"/>
        </w:rPr>
        <w:t xml:space="preserve">. </w:t>
      </w:r>
      <w:r w:rsidR="00C91E84">
        <w:rPr>
          <w:rFonts w:ascii="Arial" w:hAnsi="Arial" w:cs="Arial"/>
          <w:sz w:val="20"/>
          <w:szCs w:val="20"/>
        </w:rPr>
        <w:t xml:space="preserve">The </w:t>
      </w:r>
      <w:r w:rsidR="003E5DC4">
        <w:rPr>
          <w:rFonts w:ascii="Arial" w:hAnsi="Arial" w:cs="Arial"/>
          <w:sz w:val="20"/>
          <w:szCs w:val="20"/>
        </w:rPr>
        <w:t xml:space="preserve">Bayesian approach, however, brings additional advantages of incorporating external evidence in the form of prior distributions. Individual patient data (used in our example to construct the prior distributions for the within-study correlations) is not always available. However, other sources of evidence can be used to inform the parameters of the model. </w:t>
      </w:r>
      <w:r w:rsidR="004577B4" w:rsidRPr="008D4928">
        <w:rPr>
          <w:rFonts w:ascii="Arial" w:hAnsi="Arial" w:cs="Arial"/>
          <w:sz w:val="20"/>
          <w:szCs w:val="20"/>
        </w:rPr>
        <w:t>The Bayesian approach</w:t>
      </w:r>
      <w:r w:rsidR="003E5DC4">
        <w:rPr>
          <w:rFonts w:ascii="Arial" w:hAnsi="Arial" w:cs="Arial"/>
          <w:sz w:val="20"/>
          <w:szCs w:val="20"/>
        </w:rPr>
        <w:t xml:space="preserve">, for example, </w:t>
      </w:r>
      <w:r w:rsidR="004577B4" w:rsidRPr="008D4928">
        <w:rPr>
          <w:rFonts w:ascii="Arial" w:hAnsi="Arial" w:cs="Arial"/>
          <w:sz w:val="20"/>
          <w:szCs w:val="20"/>
        </w:rPr>
        <w:t xml:space="preserve">allows elicitation techniques to be </w:t>
      </w:r>
      <w:r w:rsidR="003E5DC4">
        <w:rPr>
          <w:rFonts w:ascii="Arial" w:hAnsi="Arial" w:cs="Arial"/>
          <w:sz w:val="20"/>
          <w:szCs w:val="20"/>
        </w:rPr>
        <w:t>employ</w:t>
      </w:r>
      <w:r w:rsidR="004577B4" w:rsidRPr="008D4928">
        <w:rPr>
          <w:rFonts w:ascii="Arial" w:hAnsi="Arial" w:cs="Arial"/>
          <w:sz w:val="20"/>
          <w:szCs w:val="20"/>
        </w:rPr>
        <w:t xml:space="preserve">ed to </w:t>
      </w:r>
      <w:r w:rsidR="003E5DC4">
        <w:rPr>
          <w:rFonts w:ascii="Arial" w:hAnsi="Arial" w:cs="Arial"/>
          <w:sz w:val="20"/>
          <w:szCs w:val="20"/>
        </w:rPr>
        <w:t>take into account</w:t>
      </w:r>
      <w:r w:rsidR="004577B4" w:rsidRPr="008D4928">
        <w:rPr>
          <w:rFonts w:ascii="Arial" w:hAnsi="Arial" w:cs="Arial"/>
          <w:sz w:val="20"/>
          <w:szCs w:val="20"/>
        </w:rPr>
        <w:t xml:space="preserve"> experts' opinions in the form of prior distributions in a model. For example, methods for inclusion of expert opinion on bias in the synthesis of studies were developed by </w:t>
      </w:r>
      <w:r w:rsidR="00A24322">
        <w:rPr>
          <w:rFonts w:ascii="Arial" w:hAnsi="Arial" w:cs="Arial"/>
          <w:sz w:val="20"/>
          <w:szCs w:val="20"/>
        </w:rPr>
        <w:t xml:space="preserve">Turner et al </w:t>
      </w:r>
      <w:sdt>
        <w:sdtPr>
          <w:rPr>
            <w:rFonts w:ascii="Arial" w:hAnsi="Arial" w:cs="Arial"/>
            <w:sz w:val="20"/>
            <w:szCs w:val="20"/>
          </w:rPr>
          <w:id w:val="351409515"/>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Tur09 \l 2057 </w:instrText>
          </w:r>
          <w:r w:rsidR="00631B86">
            <w:rPr>
              <w:rFonts w:ascii="Arial" w:hAnsi="Arial" w:cs="Arial"/>
              <w:sz w:val="20"/>
              <w:szCs w:val="20"/>
            </w:rPr>
            <w:fldChar w:fldCharType="separate"/>
          </w:r>
          <w:r w:rsidR="005F423A" w:rsidRPr="005F423A">
            <w:rPr>
              <w:rFonts w:ascii="Arial" w:hAnsi="Arial" w:cs="Arial"/>
              <w:noProof/>
              <w:sz w:val="20"/>
              <w:szCs w:val="20"/>
            </w:rPr>
            <w:t>(24)</w:t>
          </w:r>
          <w:r w:rsidR="00631B86">
            <w:rPr>
              <w:rFonts w:ascii="Arial" w:hAnsi="Arial" w:cs="Arial"/>
              <w:sz w:val="20"/>
              <w:szCs w:val="20"/>
            </w:rPr>
            <w:fldChar w:fldCharType="end"/>
          </w:r>
        </w:sdtContent>
      </w:sdt>
      <w:r w:rsidR="009340C2">
        <w:rPr>
          <w:rFonts w:ascii="Arial" w:hAnsi="Arial" w:cs="Arial"/>
          <w:sz w:val="20"/>
          <w:szCs w:val="20"/>
        </w:rPr>
        <w:t>.</w:t>
      </w:r>
      <w:r w:rsidR="005D56B7">
        <w:rPr>
          <w:rFonts w:ascii="Arial" w:hAnsi="Arial" w:cs="Arial"/>
          <w:sz w:val="20"/>
          <w:szCs w:val="20"/>
        </w:rPr>
        <w:t xml:space="preserve"> </w:t>
      </w:r>
      <w:proofErr w:type="spellStart"/>
      <w:r w:rsidR="005D56B7">
        <w:rPr>
          <w:rFonts w:ascii="Arial" w:hAnsi="Arial" w:cs="Arial"/>
          <w:sz w:val="20"/>
          <w:szCs w:val="20"/>
        </w:rPr>
        <w:t>WinBUGS</w:t>
      </w:r>
      <w:proofErr w:type="spellEnd"/>
      <w:r w:rsidR="005D56B7">
        <w:rPr>
          <w:rFonts w:ascii="Arial" w:hAnsi="Arial" w:cs="Arial"/>
          <w:sz w:val="20"/>
          <w:szCs w:val="20"/>
        </w:rPr>
        <w:t xml:space="preserve"> provides suitable software environment for implementing such Bayesian analysis. Multivariate meta-analysis can be conducted for example in Stata using the </w:t>
      </w:r>
      <w:proofErr w:type="spellStart"/>
      <w:r w:rsidR="005D56B7">
        <w:rPr>
          <w:rFonts w:ascii="Arial" w:hAnsi="Arial" w:cs="Arial"/>
          <w:sz w:val="20"/>
          <w:szCs w:val="20"/>
        </w:rPr>
        <w:t>mvmeta</w:t>
      </w:r>
      <w:proofErr w:type="spellEnd"/>
      <w:r w:rsidR="005D56B7">
        <w:rPr>
          <w:rFonts w:ascii="Arial" w:hAnsi="Arial" w:cs="Arial"/>
          <w:sz w:val="20"/>
          <w:szCs w:val="20"/>
        </w:rPr>
        <w:t xml:space="preserve"> command </w:t>
      </w:r>
      <w:sdt>
        <w:sdtPr>
          <w:rPr>
            <w:rFonts w:ascii="Arial" w:hAnsi="Arial" w:cs="Arial"/>
            <w:sz w:val="20"/>
            <w:szCs w:val="20"/>
          </w:rPr>
          <w:id w:val="2095238204"/>
          <w:citation/>
        </w:sdtPr>
        <w:sdtEndPr/>
        <w:sdtContent>
          <w:r w:rsidR="00631B86">
            <w:rPr>
              <w:rFonts w:ascii="Arial" w:hAnsi="Arial" w:cs="Arial"/>
              <w:sz w:val="20"/>
              <w:szCs w:val="20"/>
            </w:rPr>
            <w:fldChar w:fldCharType="begin"/>
          </w:r>
          <w:r w:rsidR="005D56B7">
            <w:rPr>
              <w:rFonts w:ascii="Arial" w:hAnsi="Arial" w:cs="Arial"/>
              <w:sz w:val="20"/>
              <w:szCs w:val="20"/>
            </w:rPr>
            <w:instrText xml:space="preserve"> CITATION IWh11 \l 2057 </w:instrText>
          </w:r>
          <w:r w:rsidR="00631B86">
            <w:rPr>
              <w:rFonts w:ascii="Arial" w:hAnsi="Arial" w:cs="Arial"/>
              <w:sz w:val="20"/>
              <w:szCs w:val="20"/>
            </w:rPr>
            <w:fldChar w:fldCharType="separate"/>
          </w:r>
          <w:r w:rsidR="005D56B7" w:rsidRPr="005D56B7">
            <w:rPr>
              <w:rFonts w:ascii="Arial" w:hAnsi="Arial" w:cs="Arial"/>
              <w:noProof/>
              <w:sz w:val="20"/>
              <w:szCs w:val="20"/>
            </w:rPr>
            <w:t>(25)</w:t>
          </w:r>
          <w:r w:rsidR="00631B86">
            <w:rPr>
              <w:rFonts w:ascii="Arial" w:hAnsi="Arial" w:cs="Arial"/>
              <w:sz w:val="20"/>
              <w:szCs w:val="20"/>
            </w:rPr>
            <w:fldChar w:fldCharType="end"/>
          </w:r>
        </w:sdtContent>
      </w:sdt>
      <w:r w:rsidR="005D56B7">
        <w:rPr>
          <w:rFonts w:ascii="Arial" w:hAnsi="Arial" w:cs="Arial"/>
          <w:sz w:val="20"/>
          <w:szCs w:val="20"/>
        </w:rPr>
        <w:t xml:space="preserve"> or in R </w:t>
      </w:r>
      <w:proofErr w:type="spellStart"/>
      <w:r w:rsidR="005D56B7">
        <w:rPr>
          <w:rFonts w:ascii="Arial" w:hAnsi="Arial" w:cs="Arial"/>
          <w:sz w:val="20"/>
          <w:szCs w:val="20"/>
        </w:rPr>
        <w:t>mvmeta</w:t>
      </w:r>
      <w:proofErr w:type="spellEnd"/>
      <w:r w:rsidR="005D56B7">
        <w:rPr>
          <w:rFonts w:ascii="Arial" w:hAnsi="Arial" w:cs="Arial"/>
          <w:sz w:val="20"/>
          <w:szCs w:val="20"/>
        </w:rPr>
        <w:t xml:space="preserve"> package </w:t>
      </w:r>
      <w:sdt>
        <w:sdtPr>
          <w:rPr>
            <w:rFonts w:ascii="Arial" w:hAnsi="Arial" w:cs="Arial"/>
            <w:sz w:val="20"/>
            <w:szCs w:val="20"/>
          </w:rPr>
          <w:id w:val="2095238205"/>
          <w:citation/>
        </w:sdtPr>
        <w:sdtEndPr/>
        <w:sdtContent>
          <w:r w:rsidR="00631B86">
            <w:rPr>
              <w:rFonts w:ascii="Arial" w:hAnsi="Arial" w:cs="Arial"/>
              <w:sz w:val="20"/>
              <w:szCs w:val="20"/>
            </w:rPr>
            <w:fldChar w:fldCharType="begin"/>
          </w:r>
          <w:r w:rsidR="005D56B7">
            <w:rPr>
              <w:rFonts w:ascii="Arial" w:hAnsi="Arial" w:cs="Arial"/>
              <w:sz w:val="20"/>
              <w:szCs w:val="20"/>
            </w:rPr>
            <w:instrText xml:space="preserve"> CITATION AGa13 \l 2057 </w:instrText>
          </w:r>
          <w:r w:rsidR="00631B86">
            <w:rPr>
              <w:rFonts w:ascii="Arial" w:hAnsi="Arial" w:cs="Arial"/>
              <w:sz w:val="20"/>
              <w:szCs w:val="20"/>
            </w:rPr>
            <w:fldChar w:fldCharType="separate"/>
          </w:r>
          <w:r w:rsidR="005D56B7" w:rsidRPr="005D56B7">
            <w:rPr>
              <w:rFonts w:ascii="Arial" w:hAnsi="Arial" w:cs="Arial"/>
              <w:noProof/>
              <w:sz w:val="20"/>
              <w:szCs w:val="20"/>
            </w:rPr>
            <w:t>(26)</w:t>
          </w:r>
          <w:r w:rsidR="00631B86">
            <w:rPr>
              <w:rFonts w:ascii="Arial" w:hAnsi="Arial" w:cs="Arial"/>
              <w:sz w:val="20"/>
              <w:szCs w:val="20"/>
            </w:rPr>
            <w:fldChar w:fldCharType="end"/>
          </w:r>
        </w:sdtContent>
      </w:sdt>
      <w:r w:rsidR="005D56B7">
        <w:rPr>
          <w:rFonts w:ascii="Arial" w:hAnsi="Arial" w:cs="Arial"/>
          <w:sz w:val="20"/>
          <w:szCs w:val="20"/>
        </w:rPr>
        <w:t xml:space="preserve"> in a frequentist approach. </w:t>
      </w:r>
      <w:proofErr w:type="spellStart"/>
      <w:r w:rsidR="005D56B7">
        <w:rPr>
          <w:rFonts w:ascii="Arial" w:hAnsi="Arial" w:cs="Arial"/>
          <w:sz w:val="20"/>
          <w:szCs w:val="20"/>
        </w:rPr>
        <w:t>WinBUGS</w:t>
      </w:r>
      <w:proofErr w:type="spellEnd"/>
      <w:r w:rsidR="005D56B7">
        <w:rPr>
          <w:rFonts w:ascii="Arial" w:hAnsi="Arial" w:cs="Arial"/>
          <w:sz w:val="20"/>
          <w:szCs w:val="20"/>
        </w:rPr>
        <w:t xml:space="preserve"> allows for the use of the full Bayesian </w:t>
      </w:r>
      <w:proofErr w:type="spellStart"/>
      <w:r w:rsidR="005D56B7">
        <w:rPr>
          <w:rFonts w:ascii="Arial" w:hAnsi="Arial" w:cs="Arial"/>
          <w:sz w:val="20"/>
          <w:szCs w:val="20"/>
        </w:rPr>
        <w:t>framewok</w:t>
      </w:r>
      <w:proofErr w:type="spellEnd"/>
      <w:r w:rsidR="005D56B7">
        <w:rPr>
          <w:rFonts w:ascii="Arial" w:hAnsi="Arial" w:cs="Arial"/>
          <w:sz w:val="20"/>
          <w:szCs w:val="20"/>
        </w:rPr>
        <w:t xml:space="preserve">, but can be interfaced with R, which is convenient when decision models are developed in R </w:t>
      </w:r>
      <w:sdt>
        <w:sdtPr>
          <w:rPr>
            <w:rFonts w:ascii="Arial" w:hAnsi="Arial" w:cs="Arial"/>
            <w:sz w:val="20"/>
            <w:szCs w:val="20"/>
          </w:rPr>
          <w:id w:val="2095238206"/>
          <w:citation/>
        </w:sdtPr>
        <w:sdtEndPr/>
        <w:sdtContent>
          <w:r w:rsidR="00631B86">
            <w:rPr>
              <w:rFonts w:ascii="Arial" w:hAnsi="Arial" w:cs="Arial"/>
              <w:sz w:val="20"/>
              <w:szCs w:val="20"/>
            </w:rPr>
            <w:fldChar w:fldCharType="begin"/>
          </w:r>
          <w:r w:rsidR="005D56B7">
            <w:rPr>
              <w:rFonts w:ascii="Arial" w:hAnsi="Arial" w:cs="Arial"/>
              <w:sz w:val="20"/>
              <w:szCs w:val="20"/>
            </w:rPr>
            <w:instrText xml:space="preserve"> CITATION r1Buj12 \l 2057 </w:instrText>
          </w:r>
          <w:r w:rsidR="00631B86">
            <w:rPr>
              <w:rFonts w:ascii="Arial" w:hAnsi="Arial" w:cs="Arial"/>
              <w:sz w:val="20"/>
              <w:szCs w:val="20"/>
            </w:rPr>
            <w:fldChar w:fldCharType="separate"/>
          </w:r>
          <w:r w:rsidR="005D56B7" w:rsidRPr="005D56B7">
            <w:rPr>
              <w:rFonts w:ascii="Arial" w:hAnsi="Arial" w:cs="Arial"/>
              <w:noProof/>
              <w:sz w:val="20"/>
              <w:szCs w:val="20"/>
            </w:rPr>
            <w:t>(27)</w:t>
          </w:r>
          <w:r w:rsidR="00631B86">
            <w:rPr>
              <w:rFonts w:ascii="Arial" w:hAnsi="Arial" w:cs="Arial"/>
              <w:sz w:val="20"/>
              <w:szCs w:val="20"/>
            </w:rPr>
            <w:fldChar w:fldCharType="end"/>
          </w:r>
        </w:sdtContent>
      </w:sdt>
      <w:r w:rsidR="005D56B7">
        <w:rPr>
          <w:rFonts w:ascii="Arial" w:hAnsi="Arial" w:cs="Arial"/>
          <w:sz w:val="20"/>
          <w:szCs w:val="20"/>
        </w:rPr>
        <w:t>.</w:t>
      </w:r>
    </w:p>
    <w:p w:rsidR="004577B4" w:rsidRDefault="004577B4" w:rsidP="00AA3405">
      <w:pPr>
        <w:pStyle w:val="PlainText"/>
        <w:spacing w:line="480" w:lineRule="auto"/>
        <w:jc w:val="both"/>
        <w:rPr>
          <w:rFonts w:ascii="Arial" w:hAnsi="Arial" w:cs="Arial"/>
          <w:sz w:val="20"/>
          <w:szCs w:val="20"/>
        </w:rPr>
      </w:pPr>
    </w:p>
    <w:p w:rsidR="00786CE1" w:rsidRDefault="006F3B7B" w:rsidP="00AA3405">
      <w:pPr>
        <w:pStyle w:val="PlainText"/>
        <w:spacing w:line="480" w:lineRule="auto"/>
        <w:jc w:val="both"/>
        <w:rPr>
          <w:rFonts w:ascii="Arial" w:hAnsi="Arial" w:cs="Arial"/>
          <w:sz w:val="20"/>
          <w:szCs w:val="20"/>
        </w:rPr>
      </w:pPr>
      <w:r>
        <w:rPr>
          <w:rFonts w:ascii="Arial" w:hAnsi="Arial" w:cs="Arial"/>
          <w:sz w:val="20"/>
          <w:szCs w:val="20"/>
        </w:rPr>
        <w:t>In this multivariate approach to evidence synthesis, studies reporting a variety of relevant measures associated with an outcome of interest can be included. Outcomes can include surrogate endpoints, so far mostly used</w:t>
      </w:r>
      <w:r w:rsidR="00A13807">
        <w:rPr>
          <w:rFonts w:ascii="Arial" w:hAnsi="Arial" w:cs="Arial"/>
          <w:sz w:val="20"/>
          <w:szCs w:val="20"/>
        </w:rPr>
        <w:t xml:space="preserve"> instead of the primary outcome</w:t>
      </w:r>
      <w:r>
        <w:rPr>
          <w:rFonts w:ascii="Arial" w:hAnsi="Arial" w:cs="Arial"/>
          <w:sz w:val="20"/>
          <w:szCs w:val="20"/>
        </w:rPr>
        <w:t xml:space="preserve"> of interest when there is no available evidence on </w:t>
      </w:r>
      <w:r w:rsidR="008D0506">
        <w:rPr>
          <w:rFonts w:ascii="Arial" w:hAnsi="Arial" w:cs="Arial"/>
          <w:sz w:val="20"/>
          <w:szCs w:val="20"/>
        </w:rPr>
        <w:t xml:space="preserve">the target </w:t>
      </w:r>
      <w:r>
        <w:rPr>
          <w:rFonts w:ascii="Arial" w:hAnsi="Arial" w:cs="Arial"/>
          <w:sz w:val="20"/>
          <w:szCs w:val="20"/>
        </w:rPr>
        <w:t xml:space="preserve">outcome </w:t>
      </w:r>
      <w:sdt>
        <w:sdtPr>
          <w:rPr>
            <w:rFonts w:ascii="Arial" w:hAnsi="Arial" w:cs="Arial"/>
            <w:sz w:val="20"/>
            <w:szCs w:val="20"/>
          </w:rPr>
          <w:id w:val="351409513"/>
          <w:citation/>
        </w:sdtPr>
        <w:sdtEndPr/>
        <w:sdtContent>
          <w:r w:rsidR="00631B86">
            <w:rPr>
              <w:rFonts w:ascii="Arial" w:hAnsi="Arial" w:cs="Arial"/>
              <w:sz w:val="20"/>
              <w:szCs w:val="20"/>
            </w:rPr>
            <w:fldChar w:fldCharType="begin"/>
          </w:r>
          <w:r>
            <w:rPr>
              <w:rFonts w:ascii="Arial" w:hAnsi="Arial" w:cs="Arial"/>
              <w:sz w:val="20"/>
              <w:szCs w:val="20"/>
            </w:rPr>
            <w:instrText xml:space="preserve"> CITATION Tay09 \l 2057 </w:instrText>
          </w:r>
          <w:r w:rsidR="00631B86">
            <w:rPr>
              <w:rFonts w:ascii="Arial" w:hAnsi="Arial" w:cs="Arial"/>
              <w:sz w:val="20"/>
              <w:szCs w:val="20"/>
            </w:rPr>
            <w:fldChar w:fldCharType="separate"/>
          </w:r>
          <w:r w:rsidR="005F423A" w:rsidRPr="005F423A">
            <w:rPr>
              <w:rFonts w:ascii="Arial" w:hAnsi="Arial" w:cs="Arial"/>
              <w:noProof/>
              <w:sz w:val="20"/>
              <w:szCs w:val="20"/>
            </w:rPr>
            <w:t>(7)</w:t>
          </w:r>
          <w:r w:rsidR="00631B86">
            <w:rPr>
              <w:rFonts w:ascii="Arial" w:hAnsi="Arial" w:cs="Arial"/>
              <w:sz w:val="20"/>
              <w:szCs w:val="20"/>
            </w:rPr>
            <w:fldChar w:fldCharType="end"/>
          </w:r>
        </w:sdtContent>
      </w:sdt>
      <w:r w:rsidR="008D0506">
        <w:rPr>
          <w:rFonts w:ascii="Arial" w:hAnsi="Arial" w:cs="Arial"/>
          <w:sz w:val="20"/>
          <w:szCs w:val="20"/>
        </w:rPr>
        <w:t>.</w:t>
      </w:r>
      <w:r>
        <w:rPr>
          <w:rFonts w:ascii="Arial" w:hAnsi="Arial" w:cs="Arial"/>
          <w:sz w:val="20"/>
          <w:szCs w:val="20"/>
        </w:rPr>
        <w:t xml:space="preserve"> </w:t>
      </w:r>
      <w:r w:rsidR="008D0506">
        <w:rPr>
          <w:rFonts w:ascii="Arial" w:hAnsi="Arial" w:cs="Arial"/>
          <w:sz w:val="20"/>
          <w:szCs w:val="20"/>
        </w:rPr>
        <w:t>I</w:t>
      </w:r>
      <w:r>
        <w:rPr>
          <w:rFonts w:ascii="Arial" w:hAnsi="Arial" w:cs="Arial"/>
          <w:sz w:val="20"/>
          <w:szCs w:val="20"/>
        </w:rPr>
        <w:t>n the method described here the surrogate outcome</w:t>
      </w:r>
      <w:r w:rsidR="00786CE1">
        <w:rPr>
          <w:rFonts w:ascii="Arial" w:hAnsi="Arial" w:cs="Arial"/>
          <w:sz w:val="20"/>
          <w:szCs w:val="20"/>
        </w:rPr>
        <w:t>s</w:t>
      </w:r>
      <w:r>
        <w:rPr>
          <w:rFonts w:ascii="Arial" w:hAnsi="Arial" w:cs="Arial"/>
          <w:sz w:val="20"/>
          <w:szCs w:val="20"/>
        </w:rPr>
        <w:t xml:space="preserve"> </w:t>
      </w:r>
      <w:r w:rsidR="00786CE1">
        <w:rPr>
          <w:rFonts w:ascii="Arial" w:hAnsi="Arial" w:cs="Arial"/>
          <w:sz w:val="20"/>
          <w:szCs w:val="20"/>
        </w:rPr>
        <w:t>are</w:t>
      </w:r>
      <w:r>
        <w:rPr>
          <w:rFonts w:ascii="Arial" w:hAnsi="Arial" w:cs="Arial"/>
          <w:sz w:val="20"/>
          <w:szCs w:val="20"/>
        </w:rPr>
        <w:t xml:space="preserve"> used alongside th</w:t>
      </w:r>
      <w:r w:rsidR="00786CE1">
        <w:rPr>
          <w:rFonts w:ascii="Arial" w:hAnsi="Arial" w:cs="Arial"/>
          <w:sz w:val="20"/>
          <w:szCs w:val="20"/>
        </w:rPr>
        <w:t>e primary outcome</w:t>
      </w:r>
      <w:r>
        <w:rPr>
          <w:rFonts w:ascii="Arial" w:hAnsi="Arial" w:cs="Arial"/>
          <w:sz w:val="20"/>
          <w:szCs w:val="20"/>
        </w:rPr>
        <w:t xml:space="preserve">, and therefore the analysis is not restricted to a </w:t>
      </w:r>
      <w:r w:rsidR="00786CE1">
        <w:rPr>
          <w:rFonts w:ascii="Arial" w:hAnsi="Arial" w:cs="Arial"/>
          <w:sz w:val="20"/>
          <w:szCs w:val="20"/>
        </w:rPr>
        <w:t xml:space="preserve">single primary outcome or a </w:t>
      </w:r>
      <w:r>
        <w:rPr>
          <w:rFonts w:ascii="Arial" w:hAnsi="Arial" w:cs="Arial"/>
          <w:sz w:val="20"/>
          <w:szCs w:val="20"/>
        </w:rPr>
        <w:t xml:space="preserve">surrogate endpoint. </w:t>
      </w:r>
      <w:r w:rsidR="004577B4" w:rsidRPr="008D4928">
        <w:rPr>
          <w:rFonts w:ascii="Arial" w:hAnsi="Arial" w:cs="Arial"/>
          <w:sz w:val="20"/>
          <w:szCs w:val="20"/>
        </w:rPr>
        <w:t xml:space="preserve">The main interest of this research is in uncertainty (and magnitude of the effect) in terms of the EQ-5D as it is this outcome that is used for the decision making. </w:t>
      </w:r>
      <w:r>
        <w:rPr>
          <w:rFonts w:ascii="Arial" w:hAnsi="Arial" w:cs="Arial"/>
          <w:sz w:val="20"/>
          <w:szCs w:val="20"/>
        </w:rPr>
        <w:t xml:space="preserve">In our example, none of the studies in the “Lloyd data” reported EQ-5D and hence the linear mapping was chosen to estimate EQ-5D from HAQ. However, when some of studies included in evidence synthesis report EQ-5D, the multivariate meta-analysis can include the EQ-5D </w:t>
      </w:r>
      <w:r w:rsidR="005E1CB5">
        <w:rPr>
          <w:rFonts w:ascii="Arial" w:hAnsi="Arial" w:cs="Arial"/>
          <w:sz w:val="20"/>
          <w:szCs w:val="20"/>
        </w:rPr>
        <w:t xml:space="preserve">as one of the multiple outcomes and the pooled effect is then estimated simultaneously with the clinical outcomes (borrowing strength from data across studies and outcomes). Clinical outcomes can then be considered surrogate endpoints to utility. This approach may be preferable to the linear mapping as often the regression models are developed based on small amount of data. </w:t>
      </w:r>
      <w:r>
        <w:rPr>
          <w:rFonts w:ascii="Arial" w:hAnsi="Arial" w:cs="Arial"/>
          <w:sz w:val="20"/>
          <w:szCs w:val="20"/>
        </w:rPr>
        <w:t xml:space="preserve"> </w:t>
      </w:r>
      <w:r w:rsidR="00D41DDD">
        <w:rPr>
          <w:rFonts w:ascii="Arial" w:hAnsi="Arial" w:cs="Arial"/>
          <w:sz w:val="20"/>
          <w:szCs w:val="20"/>
        </w:rPr>
        <w:t>Cooper et al</w:t>
      </w:r>
      <w:r w:rsidR="00766B1E">
        <w:rPr>
          <w:rFonts w:ascii="Arial" w:hAnsi="Arial" w:cs="Arial"/>
          <w:sz w:val="20"/>
          <w:szCs w:val="20"/>
        </w:rPr>
        <w:t xml:space="preserve"> </w:t>
      </w:r>
      <w:sdt>
        <w:sdtPr>
          <w:rPr>
            <w:rFonts w:ascii="Arial" w:hAnsi="Arial" w:cs="Arial"/>
            <w:sz w:val="20"/>
            <w:szCs w:val="20"/>
          </w:rPr>
          <w:id w:val="351410763"/>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Coo05 \l 2057 </w:instrText>
          </w:r>
          <w:r w:rsidR="00631B86">
            <w:rPr>
              <w:rFonts w:ascii="Arial" w:hAnsi="Arial" w:cs="Arial"/>
              <w:sz w:val="20"/>
              <w:szCs w:val="20"/>
            </w:rPr>
            <w:fldChar w:fldCharType="separate"/>
          </w:r>
          <w:r w:rsidR="005F423A" w:rsidRPr="005F423A">
            <w:rPr>
              <w:rFonts w:ascii="Arial" w:hAnsi="Arial" w:cs="Arial"/>
              <w:noProof/>
              <w:sz w:val="20"/>
              <w:szCs w:val="20"/>
            </w:rPr>
            <w:t>(25)</w:t>
          </w:r>
          <w:r w:rsidR="00631B86">
            <w:rPr>
              <w:rFonts w:ascii="Arial" w:hAnsi="Arial" w:cs="Arial"/>
              <w:sz w:val="20"/>
              <w:szCs w:val="20"/>
            </w:rPr>
            <w:fldChar w:fldCharType="end"/>
          </w:r>
        </w:sdtContent>
      </w:sdt>
      <w:r w:rsidR="00766B1E" w:rsidRPr="008D4928">
        <w:rPr>
          <w:rFonts w:ascii="Arial" w:hAnsi="Arial" w:cs="Arial"/>
          <w:sz w:val="20"/>
          <w:szCs w:val="20"/>
        </w:rPr>
        <w:t xml:space="preserve"> </w:t>
      </w:r>
      <w:r w:rsidR="004577B4" w:rsidRPr="008D4928">
        <w:rPr>
          <w:rFonts w:ascii="Arial" w:hAnsi="Arial" w:cs="Arial"/>
          <w:sz w:val="20"/>
          <w:szCs w:val="20"/>
        </w:rPr>
        <w:t>have shown that the data quality (</w:t>
      </w:r>
      <w:r w:rsidR="003B5CE1">
        <w:rPr>
          <w:rFonts w:ascii="Arial" w:hAnsi="Arial" w:cs="Arial"/>
          <w:sz w:val="20"/>
          <w:szCs w:val="20"/>
        </w:rPr>
        <w:t>together with</w:t>
      </w:r>
      <w:r w:rsidR="004577B4" w:rsidRPr="008D4928">
        <w:rPr>
          <w:rFonts w:ascii="Arial" w:hAnsi="Arial" w:cs="Arial"/>
          <w:sz w:val="20"/>
          <w:szCs w:val="20"/>
        </w:rPr>
        <w:t xml:space="preserve"> quantity</w:t>
      </w:r>
      <w:r w:rsidR="003B5CE1">
        <w:rPr>
          <w:rFonts w:ascii="Arial" w:hAnsi="Arial" w:cs="Arial"/>
          <w:sz w:val="20"/>
          <w:szCs w:val="20"/>
        </w:rPr>
        <w:t>,</w:t>
      </w:r>
      <w:r w:rsidR="004577B4" w:rsidRPr="008D4928">
        <w:rPr>
          <w:rFonts w:ascii="Arial" w:hAnsi="Arial" w:cs="Arial"/>
          <w:sz w:val="20"/>
          <w:szCs w:val="20"/>
        </w:rPr>
        <w:t xml:space="preserve"> and therefore uncertainty) can be least for utility </w:t>
      </w:r>
      <w:r w:rsidR="004577B4" w:rsidRPr="008D4928">
        <w:rPr>
          <w:rFonts w:ascii="Arial" w:hAnsi="Arial" w:cs="Arial"/>
          <w:sz w:val="20"/>
          <w:szCs w:val="20"/>
        </w:rPr>
        <w:lastRenderedPageBreak/>
        <w:t>estimates (</w:t>
      </w:r>
      <w:r w:rsidR="00A11663" w:rsidRPr="008D4928">
        <w:rPr>
          <w:rFonts w:ascii="Arial" w:hAnsi="Arial" w:cs="Arial"/>
          <w:sz w:val="20"/>
          <w:szCs w:val="20"/>
        </w:rPr>
        <w:t>e.g.</w:t>
      </w:r>
      <w:r w:rsidR="004577B4" w:rsidRPr="008D4928">
        <w:rPr>
          <w:rFonts w:ascii="Arial" w:hAnsi="Arial" w:cs="Arial"/>
          <w:sz w:val="20"/>
          <w:szCs w:val="20"/>
        </w:rPr>
        <w:t xml:space="preserve"> EQ-5D) especially compared with effect</w:t>
      </w:r>
      <w:r w:rsidR="003B5CE1">
        <w:rPr>
          <w:rFonts w:ascii="Arial" w:hAnsi="Arial" w:cs="Arial"/>
          <w:sz w:val="20"/>
          <w:szCs w:val="20"/>
        </w:rPr>
        <w:t>iveness</w:t>
      </w:r>
      <w:r w:rsidR="00766B1E">
        <w:rPr>
          <w:rFonts w:ascii="Arial" w:hAnsi="Arial" w:cs="Arial"/>
          <w:sz w:val="20"/>
          <w:szCs w:val="20"/>
        </w:rPr>
        <w:t xml:space="preserve"> </w:t>
      </w:r>
      <w:r w:rsidR="004577B4" w:rsidRPr="008D4928">
        <w:rPr>
          <w:rFonts w:ascii="Arial" w:hAnsi="Arial" w:cs="Arial"/>
          <w:sz w:val="20"/>
          <w:szCs w:val="20"/>
        </w:rPr>
        <w:t xml:space="preserve">and therefore, in the absence of better direct utility data, the methods considered here may at least reduce uncertainty in the decision problem. </w:t>
      </w:r>
    </w:p>
    <w:p w:rsidR="00786CE1" w:rsidRDefault="00786CE1" w:rsidP="00AA3405">
      <w:pPr>
        <w:pStyle w:val="PlainText"/>
        <w:spacing w:line="480" w:lineRule="auto"/>
        <w:jc w:val="both"/>
        <w:rPr>
          <w:rFonts w:ascii="Arial" w:hAnsi="Arial" w:cs="Arial"/>
          <w:sz w:val="20"/>
          <w:szCs w:val="20"/>
        </w:rPr>
      </w:pPr>
    </w:p>
    <w:p w:rsidR="004577B4" w:rsidRPr="008D4928" w:rsidRDefault="004577B4" w:rsidP="00AA3405">
      <w:pPr>
        <w:pStyle w:val="PlainText"/>
        <w:spacing w:line="480" w:lineRule="auto"/>
        <w:jc w:val="both"/>
        <w:rPr>
          <w:rFonts w:ascii="Arial" w:hAnsi="Arial" w:cs="Arial"/>
          <w:sz w:val="20"/>
          <w:szCs w:val="20"/>
        </w:rPr>
      </w:pPr>
      <w:r w:rsidRPr="008D4928">
        <w:rPr>
          <w:rFonts w:ascii="Arial" w:hAnsi="Arial" w:cs="Arial"/>
          <w:sz w:val="20"/>
          <w:szCs w:val="20"/>
        </w:rPr>
        <w:t>In our view, th</w:t>
      </w:r>
      <w:r w:rsidR="00743BEC">
        <w:rPr>
          <w:rFonts w:ascii="Arial" w:hAnsi="Arial" w:cs="Arial"/>
          <w:sz w:val="20"/>
          <w:szCs w:val="20"/>
        </w:rPr>
        <w:t>e</w:t>
      </w:r>
      <w:r w:rsidRPr="008D4928">
        <w:rPr>
          <w:rFonts w:ascii="Arial" w:hAnsi="Arial" w:cs="Arial"/>
          <w:sz w:val="20"/>
          <w:szCs w:val="20"/>
        </w:rPr>
        <w:t xml:space="preserve"> approach </w:t>
      </w:r>
      <w:r w:rsidR="00743BEC">
        <w:rPr>
          <w:rFonts w:ascii="Arial" w:hAnsi="Arial" w:cs="Arial"/>
          <w:sz w:val="20"/>
          <w:szCs w:val="20"/>
        </w:rPr>
        <w:t xml:space="preserve">described here </w:t>
      </w:r>
      <w:r w:rsidRPr="008D4928">
        <w:rPr>
          <w:rFonts w:ascii="Arial" w:hAnsi="Arial" w:cs="Arial"/>
          <w:sz w:val="20"/>
          <w:szCs w:val="20"/>
        </w:rPr>
        <w:t>is an important step towards the inclusion of the surrogate endpoints</w:t>
      </w:r>
      <w:r w:rsidR="001D3903">
        <w:rPr>
          <w:rFonts w:ascii="Arial" w:hAnsi="Arial" w:cs="Arial"/>
          <w:sz w:val="20"/>
          <w:szCs w:val="20"/>
        </w:rPr>
        <w:t xml:space="preserve"> in HTA</w:t>
      </w:r>
      <w:r w:rsidRPr="008D4928">
        <w:rPr>
          <w:rFonts w:ascii="Arial" w:hAnsi="Arial" w:cs="Arial"/>
          <w:sz w:val="20"/>
          <w:szCs w:val="20"/>
        </w:rPr>
        <w:t xml:space="preserve">, especially in the early stages of the drug development process when the </w:t>
      </w:r>
      <w:r w:rsidR="008D0506">
        <w:rPr>
          <w:rFonts w:ascii="Arial" w:hAnsi="Arial" w:cs="Arial"/>
          <w:sz w:val="20"/>
          <w:szCs w:val="20"/>
        </w:rPr>
        <w:t>target</w:t>
      </w:r>
      <w:r w:rsidRPr="008D4928">
        <w:rPr>
          <w:rFonts w:ascii="Arial" w:hAnsi="Arial" w:cs="Arial"/>
          <w:sz w:val="20"/>
          <w:szCs w:val="20"/>
        </w:rPr>
        <w:t xml:space="preserve"> outcome</w:t>
      </w:r>
      <w:r w:rsidR="008D0506">
        <w:rPr>
          <w:rFonts w:ascii="Arial" w:hAnsi="Arial" w:cs="Arial"/>
          <w:sz w:val="20"/>
          <w:szCs w:val="20"/>
        </w:rPr>
        <w:t xml:space="preserve"> is</w:t>
      </w:r>
      <w:r w:rsidRPr="008D4928">
        <w:rPr>
          <w:rFonts w:ascii="Arial" w:hAnsi="Arial" w:cs="Arial"/>
          <w:sz w:val="20"/>
          <w:szCs w:val="20"/>
        </w:rPr>
        <w:t xml:space="preserve"> not readily available.</w:t>
      </w:r>
      <w:r w:rsidR="00844D6B">
        <w:rPr>
          <w:rFonts w:ascii="Arial" w:hAnsi="Arial" w:cs="Arial"/>
          <w:sz w:val="20"/>
          <w:szCs w:val="20"/>
        </w:rPr>
        <w:t xml:space="preserve"> </w:t>
      </w:r>
      <w:r w:rsidR="00C77FA7" w:rsidRPr="00C77FA7">
        <w:rPr>
          <w:rFonts w:ascii="Arial" w:hAnsi="Arial" w:cs="Arial"/>
          <w:sz w:val="20"/>
          <w:szCs w:val="20"/>
        </w:rPr>
        <w:t>Modelling simultaneously data on surrogate (potentially short-term outcome) and the ultimate endpoint can increase the available evidence allowing analysts and decision makers an early assessment of new technologies.</w:t>
      </w:r>
      <w:r w:rsidR="00C77FA7">
        <w:rPr>
          <w:rFonts w:ascii="Arial" w:hAnsi="Arial" w:cs="Arial"/>
          <w:sz w:val="20"/>
          <w:szCs w:val="20"/>
        </w:rPr>
        <w:t xml:space="preserve"> </w:t>
      </w:r>
      <w:r w:rsidR="00743BEC">
        <w:rPr>
          <w:rFonts w:ascii="Arial" w:hAnsi="Arial" w:cs="Arial"/>
          <w:sz w:val="20"/>
          <w:szCs w:val="20"/>
        </w:rPr>
        <w:t>Surrogate endpoints</w:t>
      </w:r>
      <w:r w:rsidR="00743BEC" w:rsidRPr="008D4928">
        <w:rPr>
          <w:rFonts w:ascii="Arial" w:hAnsi="Arial" w:cs="Arial"/>
          <w:sz w:val="20"/>
          <w:szCs w:val="20"/>
        </w:rPr>
        <w:t xml:space="preserve"> play an increasingly important role in drug development as reported by the </w:t>
      </w:r>
      <w:r w:rsidR="00743BEC" w:rsidRPr="002B6D9E">
        <w:rPr>
          <w:rFonts w:ascii="Arial" w:hAnsi="Arial" w:cs="Arial"/>
          <w:sz w:val="20"/>
          <w:szCs w:val="20"/>
        </w:rPr>
        <w:t>European Medicines Agency</w:t>
      </w:r>
      <w:r w:rsidR="00743BEC">
        <w:rPr>
          <w:rFonts w:ascii="Arial" w:hAnsi="Arial" w:cs="Arial"/>
          <w:sz w:val="20"/>
          <w:szCs w:val="20"/>
        </w:rPr>
        <w:t xml:space="preserve"> </w:t>
      </w:r>
      <w:sdt>
        <w:sdtPr>
          <w:rPr>
            <w:rFonts w:ascii="Arial" w:hAnsi="Arial" w:cs="Arial"/>
            <w:sz w:val="20"/>
            <w:szCs w:val="20"/>
          </w:rPr>
          <w:id w:val="347759052"/>
          <w:citation/>
        </w:sdtPr>
        <w:sdtEndPr/>
        <w:sdtContent>
          <w:r w:rsidR="00631B86">
            <w:rPr>
              <w:rFonts w:ascii="Arial" w:hAnsi="Arial" w:cs="Arial"/>
              <w:sz w:val="20"/>
              <w:szCs w:val="20"/>
            </w:rPr>
            <w:fldChar w:fldCharType="begin"/>
          </w:r>
          <w:r w:rsidR="00743BEC">
            <w:rPr>
              <w:rFonts w:ascii="Arial" w:hAnsi="Arial" w:cs="Arial"/>
              <w:sz w:val="20"/>
              <w:szCs w:val="20"/>
            </w:rPr>
            <w:instrText xml:space="preserve"> CITATION Eur07 \l 2057  </w:instrText>
          </w:r>
          <w:r w:rsidR="00631B86">
            <w:rPr>
              <w:rFonts w:ascii="Arial" w:hAnsi="Arial" w:cs="Arial"/>
              <w:sz w:val="20"/>
              <w:szCs w:val="20"/>
            </w:rPr>
            <w:fldChar w:fldCharType="separate"/>
          </w:r>
          <w:r w:rsidR="005F423A" w:rsidRPr="005F423A">
            <w:rPr>
              <w:rFonts w:ascii="Arial" w:hAnsi="Arial" w:cs="Arial"/>
              <w:noProof/>
              <w:sz w:val="20"/>
              <w:szCs w:val="20"/>
            </w:rPr>
            <w:t>(26)</w:t>
          </w:r>
          <w:r w:rsidR="00631B86">
            <w:rPr>
              <w:rFonts w:ascii="Arial" w:hAnsi="Arial" w:cs="Arial"/>
              <w:sz w:val="20"/>
              <w:szCs w:val="20"/>
            </w:rPr>
            <w:fldChar w:fldCharType="end"/>
          </w:r>
        </w:sdtContent>
      </w:sdt>
      <w:r w:rsidR="00743BEC">
        <w:rPr>
          <w:rFonts w:ascii="Arial" w:hAnsi="Arial" w:cs="Arial"/>
          <w:sz w:val="20"/>
          <w:szCs w:val="20"/>
        </w:rPr>
        <w:t xml:space="preserve"> and HTA a</w:t>
      </w:r>
      <w:r w:rsidR="003A7226">
        <w:rPr>
          <w:rFonts w:ascii="Arial" w:hAnsi="Arial" w:cs="Arial"/>
          <w:sz w:val="20"/>
          <w:szCs w:val="20"/>
        </w:rPr>
        <w:t>nd t</w:t>
      </w:r>
      <w:r w:rsidR="00743BEC">
        <w:rPr>
          <w:rFonts w:ascii="Arial" w:hAnsi="Arial" w:cs="Arial"/>
          <w:sz w:val="20"/>
          <w:szCs w:val="20"/>
        </w:rPr>
        <w:t>heir u</w:t>
      </w:r>
      <w:r w:rsidRPr="008D4928">
        <w:rPr>
          <w:rFonts w:ascii="Arial" w:hAnsi="Arial" w:cs="Arial"/>
          <w:sz w:val="20"/>
          <w:szCs w:val="20"/>
        </w:rPr>
        <w:t xml:space="preserve">se will need to increase in HTA as reimbursement decisions are taken closer to regulatory ones </w:t>
      </w:r>
      <w:sdt>
        <w:sdtPr>
          <w:rPr>
            <w:rFonts w:ascii="Arial" w:hAnsi="Arial" w:cs="Arial"/>
            <w:sz w:val="20"/>
            <w:szCs w:val="20"/>
          </w:rPr>
          <w:id w:val="351410764"/>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Mas10 \l 2057 </w:instrText>
          </w:r>
          <w:r w:rsidR="00631B86">
            <w:rPr>
              <w:rFonts w:ascii="Arial" w:hAnsi="Arial" w:cs="Arial"/>
              <w:sz w:val="20"/>
              <w:szCs w:val="20"/>
            </w:rPr>
            <w:fldChar w:fldCharType="separate"/>
          </w:r>
          <w:r w:rsidR="005F423A" w:rsidRPr="005F423A">
            <w:rPr>
              <w:rFonts w:ascii="Arial" w:hAnsi="Arial" w:cs="Arial"/>
              <w:noProof/>
              <w:sz w:val="20"/>
              <w:szCs w:val="20"/>
            </w:rPr>
            <w:t>(27)</w:t>
          </w:r>
          <w:r w:rsidR="00631B86">
            <w:rPr>
              <w:rFonts w:ascii="Arial" w:hAnsi="Arial" w:cs="Arial"/>
              <w:sz w:val="20"/>
              <w:szCs w:val="20"/>
            </w:rPr>
            <w:fldChar w:fldCharType="end"/>
          </w:r>
        </w:sdtContent>
      </w:sdt>
      <w:r w:rsidRPr="008D4928">
        <w:rPr>
          <w:rFonts w:ascii="Arial" w:hAnsi="Arial" w:cs="Arial"/>
          <w:sz w:val="20"/>
          <w:szCs w:val="20"/>
        </w:rPr>
        <w:t xml:space="preserve"> and randomized controlled trials become shorter in duration</w:t>
      </w:r>
      <w:r w:rsidR="00197983">
        <w:rPr>
          <w:rFonts w:ascii="Arial" w:hAnsi="Arial" w:cs="Arial"/>
          <w:sz w:val="20"/>
          <w:szCs w:val="20"/>
        </w:rPr>
        <w:t xml:space="preserve"> </w:t>
      </w:r>
      <w:sdt>
        <w:sdtPr>
          <w:rPr>
            <w:rFonts w:ascii="Arial" w:hAnsi="Arial" w:cs="Arial"/>
            <w:sz w:val="20"/>
            <w:szCs w:val="20"/>
          </w:rPr>
          <w:id w:val="351410765"/>
          <w:citation/>
        </w:sdtPr>
        <w:sdtEndPr/>
        <w:sdtContent>
          <w:r w:rsidR="00631B86">
            <w:rPr>
              <w:rFonts w:ascii="Arial" w:hAnsi="Arial" w:cs="Arial"/>
              <w:sz w:val="20"/>
              <w:szCs w:val="20"/>
            </w:rPr>
            <w:fldChar w:fldCharType="begin"/>
          </w:r>
          <w:r w:rsidR="00AA2C2C">
            <w:rPr>
              <w:rFonts w:ascii="Arial" w:hAnsi="Arial" w:cs="Arial"/>
              <w:sz w:val="20"/>
              <w:szCs w:val="20"/>
            </w:rPr>
            <w:instrText xml:space="preserve"> CITATION Coo09 \l 2057 </w:instrText>
          </w:r>
          <w:r w:rsidR="00631B86">
            <w:rPr>
              <w:rFonts w:ascii="Arial" w:hAnsi="Arial" w:cs="Arial"/>
              <w:sz w:val="20"/>
              <w:szCs w:val="20"/>
            </w:rPr>
            <w:fldChar w:fldCharType="separate"/>
          </w:r>
          <w:r w:rsidR="005F423A" w:rsidRPr="005F423A">
            <w:rPr>
              <w:rFonts w:ascii="Arial" w:hAnsi="Arial" w:cs="Arial"/>
              <w:noProof/>
              <w:sz w:val="20"/>
              <w:szCs w:val="20"/>
            </w:rPr>
            <w:t>(28)</w:t>
          </w:r>
          <w:r w:rsidR="00631B86">
            <w:rPr>
              <w:rFonts w:ascii="Arial" w:hAnsi="Arial" w:cs="Arial"/>
              <w:sz w:val="20"/>
              <w:szCs w:val="20"/>
            </w:rPr>
            <w:fldChar w:fldCharType="end"/>
          </w:r>
        </w:sdtContent>
      </w:sdt>
      <w:r w:rsidRPr="008D4928">
        <w:rPr>
          <w:rFonts w:ascii="Arial" w:hAnsi="Arial" w:cs="Arial"/>
          <w:sz w:val="20"/>
          <w:szCs w:val="20"/>
        </w:rPr>
        <w:t>.</w:t>
      </w:r>
    </w:p>
    <w:p w:rsidR="00844D6B" w:rsidRDefault="00844D6B" w:rsidP="00AA3405">
      <w:pPr>
        <w:pStyle w:val="PlainText"/>
        <w:spacing w:line="480" w:lineRule="auto"/>
        <w:jc w:val="both"/>
        <w:rPr>
          <w:rFonts w:ascii="Arial" w:hAnsi="Arial" w:cs="Arial"/>
          <w:b/>
          <w:sz w:val="20"/>
          <w:szCs w:val="20"/>
        </w:rPr>
      </w:pPr>
    </w:p>
    <w:p w:rsidR="00180A9D" w:rsidRDefault="000868C4" w:rsidP="00AA3405">
      <w:pPr>
        <w:pStyle w:val="PlainText"/>
        <w:spacing w:line="480" w:lineRule="auto"/>
        <w:jc w:val="both"/>
        <w:rPr>
          <w:rFonts w:ascii="Arial" w:hAnsi="Arial" w:cs="Arial"/>
          <w:b/>
          <w:sz w:val="20"/>
          <w:szCs w:val="20"/>
        </w:rPr>
      </w:pPr>
      <w:r>
        <w:rPr>
          <w:rFonts w:ascii="Arial" w:hAnsi="Arial" w:cs="Arial"/>
          <w:b/>
          <w:sz w:val="20"/>
          <w:szCs w:val="20"/>
        </w:rPr>
        <w:t>References</w:t>
      </w:r>
    </w:p>
    <w:p w:rsidR="000A2E38" w:rsidRDefault="000A2E38" w:rsidP="00AA3405">
      <w:pPr>
        <w:pStyle w:val="PlainText"/>
        <w:spacing w:line="480" w:lineRule="auto"/>
        <w:jc w:val="both"/>
        <w:rPr>
          <w:rFonts w:ascii="Arial" w:hAnsi="Arial" w:cs="Arial"/>
          <w:b/>
          <w:sz w:val="20"/>
          <w:szCs w:val="20"/>
        </w:rPr>
      </w:pPr>
    </w:p>
    <w:p w:rsidR="005F423A" w:rsidRDefault="00631B86" w:rsidP="005F423A">
      <w:pPr>
        <w:pStyle w:val="Bibliography"/>
        <w:rPr>
          <w:noProof/>
        </w:rPr>
      </w:pPr>
      <w:r w:rsidRPr="00EE74D2">
        <w:rPr>
          <w:rFonts w:ascii="Arial" w:hAnsi="Arial" w:cs="Arial"/>
          <w:sz w:val="20"/>
          <w:szCs w:val="20"/>
        </w:rPr>
        <w:fldChar w:fldCharType="begin"/>
      </w:r>
      <w:r w:rsidR="00084929" w:rsidRPr="00EE74D2">
        <w:rPr>
          <w:rFonts w:ascii="Arial" w:hAnsi="Arial" w:cs="Arial"/>
          <w:sz w:val="20"/>
          <w:szCs w:val="20"/>
        </w:rPr>
        <w:instrText xml:space="preserve"> BIBLIOGRAPHY  \l 2057 </w:instrText>
      </w:r>
      <w:r w:rsidRPr="00EE74D2">
        <w:rPr>
          <w:rFonts w:ascii="Arial" w:hAnsi="Arial" w:cs="Arial"/>
          <w:sz w:val="20"/>
          <w:szCs w:val="20"/>
        </w:rPr>
        <w:fldChar w:fldCharType="separate"/>
      </w:r>
      <w:r w:rsidR="005F423A">
        <w:rPr>
          <w:noProof/>
        </w:rPr>
        <w:t xml:space="preserve">1. </w:t>
      </w:r>
      <w:r w:rsidR="005F423A">
        <w:rPr>
          <w:i/>
          <w:iCs/>
          <w:noProof/>
        </w:rPr>
        <w:t xml:space="preserve">Predicting EQ-5D values using the SGRQ. </w:t>
      </w:r>
      <w:r w:rsidR="005F423A">
        <w:rPr>
          <w:b/>
          <w:bCs/>
          <w:noProof/>
        </w:rPr>
        <w:t>Starkie HJ, Briggs AH, Chambers MG, Jones P.</w:t>
      </w:r>
      <w:r w:rsidR="005F423A">
        <w:rPr>
          <w:noProof/>
        </w:rPr>
        <w:t xml:space="preserve"> 2011, Value Health, Vol. 14, pp. 354-360.</w:t>
      </w:r>
    </w:p>
    <w:p w:rsidR="005F423A" w:rsidRDefault="005F423A" w:rsidP="005F423A">
      <w:pPr>
        <w:pStyle w:val="Bibliography"/>
        <w:rPr>
          <w:noProof/>
        </w:rPr>
      </w:pPr>
      <w:r>
        <w:rPr>
          <w:noProof/>
        </w:rPr>
        <w:t xml:space="preserve">2. </w:t>
      </w:r>
      <w:r>
        <w:rPr>
          <w:i/>
          <w:iCs/>
          <w:noProof/>
        </w:rPr>
        <w:t xml:space="preserve">Mapping FACT-melanoma quality-of-life scores to EQ-5D health utility weights. </w:t>
      </w:r>
      <w:r>
        <w:rPr>
          <w:b/>
          <w:bCs/>
          <w:noProof/>
        </w:rPr>
        <w:t>Askew RL, Swartz RJ, Xing Y, et al.</w:t>
      </w:r>
      <w:r>
        <w:rPr>
          <w:noProof/>
        </w:rPr>
        <w:t xml:space="preserve"> 2011, Value Health, Vol. 14, pp. 900-906.</w:t>
      </w:r>
    </w:p>
    <w:p w:rsidR="005F423A" w:rsidRDefault="005F423A" w:rsidP="005F423A">
      <w:pPr>
        <w:pStyle w:val="Bibliography"/>
        <w:rPr>
          <w:noProof/>
        </w:rPr>
      </w:pPr>
      <w:r>
        <w:rPr>
          <w:noProof/>
        </w:rPr>
        <w:t xml:space="preserve">3. </w:t>
      </w:r>
      <w:r>
        <w:rPr>
          <w:i/>
          <w:iCs/>
          <w:noProof/>
        </w:rPr>
        <w:t xml:space="preserve">Mapping from disease-specific measures to health-state utility values in individuals with migraine. </w:t>
      </w:r>
      <w:r>
        <w:rPr>
          <w:b/>
          <w:bCs/>
          <w:noProof/>
        </w:rPr>
        <w:t>Gillard PJ, Devine B, Varon SF, et al.</w:t>
      </w:r>
      <w:r>
        <w:rPr>
          <w:noProof/>
        </w:rPr>
        <w:t xml:space="preserve"> 2012, Value Health, pp. 485-494.</w:t>
      </w:r>
    </w:p>
    <w:p w:rsidR="005F423A" w:rsidRDefault="005F423A" w:rsidP="005F423A">
      <w:pPr>
        <w:pStyle w:val="Bibliography"/>
        <w:rPr>
          <w:noProof/>
        </w:rPr>
      </w:pPr>
      <w:r>
        <w:rPr>
          <w:noProof/>
        </w:rPr>
        <w:t xml:space="preserve">4. </w:t>
      </w:r>
      <w:r>
        <w:rPr>
          <w:i/>
          <w:iCs/>
          <w:noProof/>
        </w:rPr>
        <w:t xml:space="preserve">Use of a disease-specific instrument in economic evaluations: mapping WOMAC onto the EQ-5D utility index. </w:t>
      </w:r>
      <w:r>
        <w:rPr>
          <w:b/>
          <w:bCs/>
          <w:noProof/>
        </w:rPr>
        <w:t>Xie F, Pullenayegum EM, Li SC, et al.</w:t>
      </w:r>
      <w:r>
        <w:rPr>
          <w:noProof/>
        </w:rPr>
        <w:t xml:space="preserve"> 2010, Value Health, pp. 873-878.</w:t>
      </w:r>
    </w:p>
    <w:p w:rsidR="005F423A" w:rsidRDefault="005F423A" w:rsidP="005F423A">
      <w:pPr>
        <w:pStyle w:val="Bibliography"/>
        <w:rPr>
          <w:noProof/>
        </w:rPr>
      </w:pPr>
      <w:r>
        <w:rPr>
          <w:noProof/>
        </w:rPr>
        <w:t xml:space="preserve">5. </w:t>
      </w:r>
      <w:r>
        <w:rPr>
          <w:i/>
          <w:iCs/>
          <w:noProof/>
        </w:rPr>
        <w:t xml:space="preserve">Cost effectiveness of adalimumab in the treatment of patients with moderate to severe rheumatoid arthritis. </w:t>
      </w:r>
      <w:r>
        <w:rPr>
          <w:b/>
          <w:bCs/>
          <w:noProof/>
        </w:rPr>
        <w:t>Bansback, NJ, Brennan, A, Ghatnekar, O.</w:t>
      </w:r>
      <w:r>
        <w:rPr>
          <w:noProof/>
        </w:rPr>
        <w:t xml:space="preserve"> 2005, Annals of Rheum Diseases, Vol. 64, pp. 995-1002.</w:t>
      </w:r>
    </w:p>
    <w:p w:rsidR="005F423A" w:rsidRDefault="005F423A" w:rsidP="005F423A">
      <w:pPr>
        <w:pStyle w:val="Bibliography"/>
        <w:rPr>
          <w:noProof/>
        </w:rPr>
      </w:pPr>
      <w:r>
        <w:rPr>
          <w:noProof/>
        </w:rPr>
        <w:t xml:space="preserve">6. </w:t>
      </w:r>
      <w:r>
        <w:rPr>
          <w:i/>
          <w:iCs/>
          <w:noProof/>
        </w:rPr>
        <w:t xml:space="preserve">Exploring the validity of estimating EQ-5D and SF-6D utility values from the health assessment questionnaire in patients with inflammatory arthritis. </w:t>
      </w:r>
      <w:r>
        <w:rPr>
          <w:b/>
          <w:bCs/>
          <w:noProof/>
        </w:rPr>
        <w:t>Harrison, M. J., Lunt, M., Verstappen, S. M. M., Watson, K. D., Bansback, N. J. and Symmons, D. P. M.</w:t>
      </w:r>
      <w:r>
        <w:rPr>
          <w:noProof/>
        </w:rPr>
        <w:t xml:space="preserve"> 21, 2010, Health and Quality of Life Outcomes, Vol. 8.</w:t>
      </w:r>
    </w:p>
    <w:p w:rsidR="005F423A" w:rsidRDefault="005F423A" w:rsidP="005F423A">
      <w:pPr>
        <w:pStyle w:val="Bibliography"/>
        <w:rPr>
          <w:noProof/>
        </w:rPr>
      </w:pPr>
      <w:r>
        <w:rPr>
          <w:noProof/>
        </w:rPr>
        <w:lastRenderedPageBreak/>
        <w:t xml:space="preserve">7. </w:t>
      </w:r>
      <w:r>
        <w:rPr>
          <w:i/>
          <w:iCs/>
          <w:noProof/>
        </w:rPr>
        <w:t xml:space="preserve">The use of surrogate outcomes in model-based cost-effectiveness analyses: a survey of UK Health Technology Assessment reports. </w:t>
      </w:r>
      <w:r>
        <w:rPr>
          <w:b/>
          <w:bCs/>
          <w:noProof/>
        </w:rPr>
        <w:t>Taylor, R. S. and Elston, J.</w:t>
      </w:r>
      <w:r>
        <w:rPr>
          <w:noProof/>
        </w:rPr>
        <w:t xml:space="preserve"> 8, 2009, Health Technology Assessment, Vol. 13, pp. iii,ix-xi, 1-50.</w:t>
      </w:r>
    </w:p>
    <w:p w:rsidR="005F423A" w:rsidRDefault="005F423A" w:rsidP="005F423A">
      <w:pPr>
        <w:pStyle w:val="Bibliography"/>
        <w:rPr>
          <w:noProof/>
        </w:rPr>
      </w:pPr>
      <w:r>
        <w:rPr>
          <w:noProof/>
        </w:rPr>
        <w:t xml:space="preserve">8. </w:t>
      </w:r>
      <w:r>
        <w:rPr>
          <w:i/>
          <w:iCs/>
          <w:noProof/>
        </w:rPr>
        <w:t xml:space="preserve">A multivariate meta-analysis approach for reducing the impact of outcome reporting bias in systematic reviews. </w:t>
      </w:r>
      <w:r>
        <w:rPr>
          <w:b/>
          <w:bCs/>
          <w:noProof/>
        </w:rPr>
        <w:t>Kirkham, J. J., Riley, R. D., and Williamson, P. R.</w:t>
      </w:r>
      <w:r>
        <w:rPr>
          <w:noProof/>
        </w:rPr>
        <w:t xml:space="preserve"> 2012, Statistics in Medicine, p. published online 25 April 2012.</w:t>
      </w:r>
    </w:p>
    <w:p w:rsidR="005F423A" w:rsidRDefault="005F423A" w:rsidP="005F423A">
      <w:pPr>
        <w:pStyle w:val="Bibliography"/>
        <w:rPr>
          <w:noProof/>
        </w:rPr>
      </w:pPr>
      <w:r>
        <w:rPr>
          <w:noProof/>
        </w:rPr>
        <w:t xml:space="preserve">9. </w:t>
      </w:r>
      <w:r>
        <w:rPr>
          <w:i/>
          <w:iCs/>
          <w:noProof/>
        </w:rPr>
        <w:t xml:space="preserve">Multivariate meta-analysis of mixed outcomes: a Bayesian approach. </w:t>
      </w:r>
      <w:r>
        <w:rPr>
          <w:b/>
          <w:bCs/>
          <w:noProof/>
        </w:rPr>
        <w:t>Bujkiewicz S, Thompson JR, Sutton AJ, Cooper NJ, Harrison MJ, Symmons DPM, Abrams KR.</w:t>
      </w:r>
      <w:r>
        <w:rPr>
          <w:noProof/>
        </w:rPr>
        <w:t xml:space="preserve"> 2013, accepted for publication in Statistics in Medicine.</w:t>
      </w:r>
    </w:p>
    <w:p w:rsidR="005F423A" w:rsidRDefault="005F423A" w:rsidP="005F423A">
      <w:pPr>
        <w:pStyle w:val="Bibliography"/>
        <w:rPr>
          <w:noProof/>
        </w:rPr>
      </w:pPr>
      <w:r>
        <w:rPr>
          <w:noProof/>
        </w:rPr>
        <w:t xml:space="preserve">10. </w:t>
      </w:r>
      <w:r>
        <w:rPr>
          <w:i/>
          <w:iCs/>
          <w:noProof/>
        </w:rPr>
        <w:t xml:space="preserve">Multivariate meta-analysis. </w:t>
      </w:r>
      <w:r>
        <w:rPr>
          <w:b/>
          <w:bCs/>
          <w:noProof/>
        </w:rPr>
        <w:t>Nam I-S, Mengersen K, Garthwaite P.</w:t>
      </w:r>
      <w:r>
        <w:rPr>
          <w:noProof/>
        </w:rPr>
        <w:t xml:space="preserve"> 2003, Statistics in Medicine, Vol. 22, pp. 2309–2333.</w:t>
      </w:r>
    </w:p>
    <w:p w:rsidR="005F423A" w:rsidRDefault="005F423A" w:rsidP="005F423A">
      <w:pPr>
        <w:pStyle w:val="Bibliography"/>
        <w:rPr>
          <w:noProof/>
        </w:rPr>
      </w:pPr>
      <w:r>
        <w:rPr>
          <w:noProof/>
        </w:rPr>
        <w:t xml:space="preserve">11. </w:t>
      </w:r>
      <w:r>
        <w:rPr>
          <w:i/>
          <w:iCs/>
          <w:noProof/>
        </w:rPr>
        <w:t xml:space="preserve">An evaluation of bivariate random-effects meta-analysis for the joint synthesis of two correlated outcomes. </w:t>
      </w:r>
      <w:r>
        <w:rPr>
          <w:b/>
          <w:bCs/>
          <w:noProof/>
        </w:rPr>
        <w:t>Riley, R. D., Abrams, K. R., Lambert, P. C., Sutton, A. J., and Thompson, J. R.</w:t>
      </w:r>
      <w:r>
        <w:rPr>
          <w:noProof/>
        </w:rPr>
        <w:t xml:space="preserve"> 2007, Statistics in Medicine, Vol. 26, pp. 78-97.</w:t>
      </w:r>
    </w:p>
    <w:p w:rsidR="005F423A" w:rsidRDefault="005F423A" w:rsidP="005F423A">
      <w:pPr>
        <w:pStyle w:val="Bibliography"/>
        <w:rPr>
          <w:noProof/>
        </w:rPr>
      </w:pPr>
      <w:r>
        <w:rPr>
          <w:noProof/>
        </w:rPr>
        <w:t xml:space="preserve">12. </w:t>
      </w:r>
      <w:r>
        <w:rPr>
          <w:i/>
          <w:iCs/>
          <w:noProof/>
        </w:rPr>
        <w:t xml:space="preserve">Multivariate meta-analysis: Potential and promise. </w:t>
      </w:r>
      <w:r>
        <w:rPr>
          <w:b/>
          <w:bCs/>
          <w:noProof/>
        </w:rPr>
        <w:t>Jackson, D., Riley, R. and White I. R.</w:t>
      </w:r>
      <w:r>
        <w:rPr>
          <w:noProof/>
        </w:rPr>
        <w:t xml:space="preserve"> 2012, Statistics in Medicine, Vol. 30, pp. 2481-2498.</w:t>
      </w:r>
    </w:p>
    <w:p w:rsidR="005F423A" w:rsidRDefault="005F423A" w:rsidP="005F423A">
      <w:pPr>
        <w:pStyle w:val="Bibliography"/>
        <w:rPr>
          <w:noProof/>
        </w:rPr>
      </w:pPr>
      <w:r>
        <w:rPr>
          <w:noProof/>
        </w:rPr>
        <w:t xml:space="preserve">13. </w:t>
      </w:r>
      <w:r>
        <w:rPr>
          <w:i/>
          <w:iCs/>
          <w:noProof/>
        </w:rPr>
        <w:t xml:space="preserve">If it works why can’t we have it? Sequential anti-TNF therapy in the UK. </w:t>
      </w:r>
      <w:r>
        <w:rPr>
          <w:b/>
          <w:bCs/>
          <w:noProof/>
        </w:rPr>
        <w:t>Deighton, C.</w:t>
      </w:r>
      <w:r>
        <w:rPr>
          <w:noProof/>
        </w:rPr>
        <w:t xml:space="preserve"> 2010, Rheumatology, Vol. 49, pp. 2235-2236.</w:t>
      </w:r>
    </w:p>
    <w:p w:rsidR="005F423A" w:rsidRDefault="005F423A" w:rsidP="005F423A">
      <w:pPr>
        <w:pStyle w:val="Bibliography"/>
        <w:rPr>
          <w:noProof/>
        </w:rPr>
      </w:pPr>
      <w:r>
        <w:rPr>
          <w:noProof/>
        </w:rPr>
        <w:t xml:space="preserve">14. </w:t>
      </w:r>
      <w:r>
        <w:rPr>
          <w:i/>
          <w:iCs/>
          <w:noProof/>
        </w:rPr>
        <w:t xml:space="preserve">The effectiveness of anti-TNF-alpha therapies when used sequentially in rheumatoid arthritis patients: a systematic review and meta-analysis. </w:t>
      </w:r>
      <w:r>
        <w:rPr>
          <w:b/>
          <w:bCs/>
          <w:noProof/>
        </w:rPr>
        <w:t>Lloyd, S., Bujkiewicz, S., Wailoo, A. J., Sutton, A. J. and Scott, D.</w:t>
      </w:r>
      <w:r>
        <w:rPr>
          <w:noProof/>
        </w:rPr>
        <w:t xml:space="preserve"> 2010, Rheumatology, Vol. 49, pp. 2313-2321.</w:t>
      </w:r>
    </w:p>
    <w:p w:rsidR="005F423A" w:rsidRDefault="005F423A" w:rsidP="005F423A">
      <w:pPr>
        <w:pStyle w:val="Bibliography"/>
        <w:rPr>
          <w:noProof/>
        </w:rPr>
      </w:pPr>
      <w:r>
        <w:rPr>
          <w:noProof/>
        </w:rPr>
        <w:t xml:space="preserve">15. </w:t>
      </w:r>
      <w:r>
        <w:rPr>
          <w:i/>
          <w:iCs/>
          <w:noProof/>
        </w:rPr>
        <w:t xml:space="preserve">Patients with stable long-standing rheumatoid arthritis continue to deteriorate despite intensified treatment with traditional disease modifying anti-rheumatic drugs - results of the British Rheumatoid Outcome Study Group randomized controlled clinical tr. </w:t>
      </w:r>
      <w:r>
        <w:rPr>
          <w:b/>
          <w:bCs/>
          <w:noProof/>
        </w:rPr>
        <w:t>Symmons, D. P. M., Tricker, K., Harrison, M. J., Roberts, C., Davis, M., Dawes, P., Hassell, A.,Knight, S., Mulherin, D. and Scott, D.</w:t>
      </w:r>
      <w:r>
        <w:rPr>
          <w:noProof/>
        </w:rPr>
        <w:t xml:space="preserve"> 2006, Rheumatology, Vol. 45, pp. 558-565.</w:t>
      </w:r>
    </w:p>
    <w:p w:rsidR="005F423A" w:rsidRDefault="005F423A" w:rsidP="005F423A">
      <w:pPr>
        <w:pStyle w:val="Bibliography"/>
        <w:rPr>
          <w:noProof/>
        </w:rPr>
      </w:pPr>
      <w:r>
        <w:rPr>
          <w:noProof/>
        </w:rPr>
        <w:t xml:space="preserve">16. </w:t>
      </w:r>
      <w:r>
        <w:rPr>
          <w:i/>
          <w:iCs/>
          <w:noProof/>
        </w:rPr>
        <w:t xml:space="preserve">A systematic review of the effectiveness of adalimumab, etanercept and iniximab for the treatment of rheumatoid arthritis in adults and an ec. </w:t>
      </w:r>
      <w:r>
        <w:rPr>
          <w:b/>
          <w:bCs/>
          <w:noProof/>
        </w:rPr>
        <w:t>Chen, Y.-F., Jobanputra, P., Barton, B., Jowett, S., Bryan, S., Clark,W., Fry-Smith A., and Burls, A.</w:t>
      </w:r>
      <w:r>
        <w:rPr>
          <w:noProof/>
        </w:rPr>
        <w:t xml:space="preserve"> 2006.</w:t>
      </w:r>
    </w:p>
    <w:p w:rsidR="005F423A" w:rsidRDefault="005F423A" w:rsidP="005F423A">
      <w:pPr>
        <w:pStyle w:val="Bibliography"/>
        <w:rPr>
          <w:noProof/>
        </w:rPr>
      </w:pPr>
      <w:r>
        <w:rPr>
          <w:noProof/>
        </w:rPr>
        <w:t xml:space="preserve">17. </w:t>
      </w:r>
      <w:r>
        <w:rPr>
          <w:i/>
          <w:iCs/>
          <w:noProof/>
        </w:rPr>
        <w:t xml:space="preserve">WinBUGS User Manual. </w:t>
      </w:r>
      <w:r>
        <w:rPr>
          <w:b/>
          <w:bCs/>
          <w:noProof/>
        </w:rPr>
        <w:t>Spiegelhalter, D., Thomas, A., Best, N. and Lunn, D.</w:t>
      </w:r>
      <w:r>
        <w:rPr>
          <w:noProof/>
        </w:rPr>
        <w:t xml:space="preserve"> 2003.</w:t>
      </w:r>
    </w:p>
    <w:p w:rsidR="005F423A" w:rsidRDefault="005F423A" w:rsidP="005F423A">
      <w:pPr>
        <w:pStyle w:val="Bibliography"/>
        <w:rPr>
          <w:noProof/>
        </w:rPr>
      </w:pPr>
      <w:r>
        <w:rPr>
          <w:noProof/>
        </w:rPr>
        <w:t xml:space="preserve">18. </w:t>
      </w:r>
      <w:r>
        <w:rPr>
          <w:i/>
          <w:iCs/>
          <w:noProof/>
        </w:rPr>
        <w:t xml:space="preserve">Modelling between-study variance structure in mixed treatment comparisons. </w:t>
      </w:r>
      <w:r>
        <w:rPr>
          <w:b/>
          <w:bCs/>
          <w:noProof/>
        </w:rPr>
        <w:t>Lu G, Ades A.</w:t>
      </w:r>
      <w:r>
        <w:rPr>
          <w:noProof/>
        </w:rPr>
        <w:t xml:space="preserve"> 2009, Biostatistics, pp. 792-805.</w:t>
      </w:r>
    </w:p>
    <w:p w:rsidR="005F423A" w:rsidRDefault="005F423A" w:rsidP="005F423A">
      <w:pPr>
        <w:pStyle w:val="Bibliography"/>
        <w:rPr>
          <w:noProof/>
        </w:rPr>
      </w:pPr>
      <w:r>
        <w:rPr>
          <w:noProof/>
        </w:rPr>
        <w:t xml:space="preserve">19. </w:t>
      </w:r>
      <w:r>
        <w:rPr>
          <w:i/>
          <w:iCs/>
          <w:noProof/>
        </w:rPr>
        <w:t xml:space="preserve">Bayesian multivariate meta-analysis with multiple outcomes. </w:t>
      </w:r>
      <w:r>
        <w:rPr>
          <w:b/>
          <w:bCs/>
          <w:noProof/>
        </w:rPr>
        <w:t>Wei Y, Higgins PT.</w:t>
      </w:r>
      <w:r>
        <w:rPr>
          <w:noProof/>
        </w:rPr>
        <w:t xml:space="preserve"> 6 February 2013, Statistics in Medicine, Vols. e-pub ahead of print.</w:t>
      </w:r>
    </w:p>
    <w:p w:rsidR="005F423A" w:rsidRDefault="005F423A" w:rsidP="005F423A">
      <w:pPr>
        <w:pStyle w:val="Bibliography"/>
        <w:rPr>
          <w:noProof/>
        </w:rPr>
      </w:pPr>
      <w:r>
        <w:rPr>
          <w:noProof/>
        </w:rPr>
        <w:lastRenderedPageBreak/>
        <w:t xml:space="preserve">20. </w:t>
      </w:r>
      <w:r>
        <w:rPr>
          <w:i/>
          <w:iCs/>
          <w:noProof/>
        </w:rPr>
        <w:t xml:space="preserve">Measuring health-related quality of life in rheumatoid arthritis: validity, responsiveness and reliability of EuroQoL (EQ-5D). </w:t>
      </w:r>
      <w:r>
        <w:rPr>
          <w:b/>
          <w:bCs/>
          <w:noProof/>
        </w:rPr>
        <w:t>Hurst NP, Kind P., Ruta D, Hunter M, Stubbings Al.</w:t>
      </w:r>
      <w:r>
        <w:rPr>
          <w:noProof/>
        </w:rPr>
        <w:t xml:space="preserve"> 1997, British Journal of Rheumatology, Vol. 36, pp. 551-559.</w:t>
      </w:r>
    </w:p>
    <w:p w:rsidR="005F423A" w:rsidRDefault="005F423A" w:rsidP="005F423A">
      <w:pPr>
        <w:pStyle w:val="Bibliography"/>
        <w:rPr>
          <w:noProof/>
        </w:rPr>
      </w:pPr>
      <w:r>
        <w:rPr>
          <w:noProof/>
        </w:rPr>
        <w:t xml:space="preserve">21. </w:t>
      </w:r>
      <w:r>
        <w:rPr>
          <w:b/>
          <w:bCs/>
          <w:noProof/>
        </w:rPr>
        <w:t>Spiegelhalter DJ, Abrams KR, Myles JP.</w:t>
      </w:r>
      <w:r>
        <w:rPr>
          <w:noProof/>
        </w:rPr>
        <w:t xml:space="preserve"> </w:t>
      </w:r>
      <w:r>
        <w:rPr>
          <w:i/>
          <w:iCs/>
          <w:noProof/>
        </w:rPr>
        <w:t xml:space="preserve">Bayesian Approaches to Clinical Trials and Health-Care Evaluation. </w:t>
      </w:r>
      <w:r>
        <w:rPr>
          <w:noProof/>
        </w:rPr>
        <w:t>s.l. : John Wiley and Sons, Ltd, 2004.</w:t>
      </w:r>
    </w:p>
    <w:p w:rsidR="005F423A" w:rsidRDefault="005F423A" w:rsidP="005F423A">
      <w:pPr>
        <w:pStyle w:val="Bibliography"/>
        <w:rPr>
          <w:noProof/>
        </w:rPr>
      </w:pPr>
      <w:r>
        <w:rPr>
          <w:noProof/>
        </w:rPr>
        <w:t xml:space="preserve">22. </w:t>
      </w:r>
      <w:r>
        <w:rPr>
          <w:i/>
          <w:iCs/>
          <w:noProof/>
        </w:rPr>
        <w:t xml:space="preserve">boa: An R Package for MCMC Output Convergence Assessment and Posterior Inference. </w:t>
      </w:r>
      <w:r>
        <w:rPr>
          <w:b/>
          <w:bCs/>
          <w:noProof/>
        </w:rPr>
        <w:t>Smith, BJ.</w:t>
      </w:r>
      <w:r>
        <w:rPr>
          <w:noProof/>
        </w:rPr>
        <w:t xml:space="preserve"> 11, 2007, Journal of Statistical Software, Vol. 21.</w:t>
      </w:r>
    </w:p>
    <w:p w:rsidR="005F423A" w:rsidRDefault="005F423A" w:rsidP="005F423A">
      <w:pPr>
        <w:pStyle w:val="Bibliography"/>
        <w:rPr>
          <w:noProof/>
        </w:rPr>
      </w:pPr>
      <w:r>
        <w:rPr>
          <w:noProof/>
        </w:rPr>
        <w:t xml:space="preserve">23. </w:t>
      </w:r>
      <w:r>
        <w:rPr>
          <w:i/>
          <w:iCs/>
          <w:noProof/>
        </w:rPr>
        <w:t xml:space="preserve">Benefits and harms associated with hormone replacement therapy: clinical decision analysis. </w:t>
      </w:r>
      <w:r>
        <w:rPr>
          <w:b/>
          <w:bCs/>
          <w:noProof/>
        </w:rPr>
        <w:t>Minelli C, Abrams KR, Sutton AJ, Cooper NJ.</w:t>
      </w:r>
      <w:r>
        <w:rPr>
          <w:noProof/>
        </w:rPr>
        <w:t xml:space="preserve"> 14 February 2004, BMJ, Vol. 328.</w:t>
      </w:r>
    </w:p>
    <w:p w:rsidR="005F423A" w:rsidRDefault="005F423A" w:rsidP="005F423A">
      <w:pPr>
        <w:pStyle w:val="Bibliography"/>
        <w:rPr>
          <w:noProof/>
        </w:rPr>
      </w:pPr>
      <w:r>
        <w:rPr>
          <w:noProof/>
        </w:rPr>
        <w:t xml:space="preserve">24. </w:t>
      </w:r>
      <w:r>
        <w:rPr>
          <w:i/>
          <w:iCs/>
          <w:noProof/>
        </w:rPr>
        <w:t xml:space="preserve">Bias modelling in evidence synthesis. </w:t>
      </w:r>
      <w:r>
        <w:rPr>
          <w:b/>
          <w:bCs/>
          <w:noProof/>
        </w:rPr>
        <w:t>Turner, R. M., Spiegelhalter, D. J., Smith, G. C. S. and Thompson, S. G.</w:t>
      </w:r>
      <w:r>
        <w:rPr>
          <w:noProof/>
        </w:rPr>
        <w:t xml:space="preserve"> 2009, Journal of the Royal Statistical Society A, Vol. 172, pp. 21--47.</w:t>
      </w:r>
    </w:p>
    <w:p w:rsidR="005F423A" w:rsidRDefault="005F423A" w:rsidP="005F423A">
      <w:pPr>
        <w:pStyle w:val="Bibliography"/>
        <w:rPr>
          <w:noProof/>
        </w:rPr>
      </w:pPr>
      <w:r>
        <w:rPr>
          <w:noProof/>
        </w:rPr>
        <w:t xml:space="preserve">25. </w:t>
      </w:r>
      <w:r>
        <w:rPr>
          <w:i/>
          <w:iCs/>
          <w:noProof/>
        </w:rPr>
        <w:t xml:space="preserve">Use of evidence in decision models: an appraisal of health technology assessments in the UK since 1997. </w:t>
      </w:r>
      <w:r>
        <w:rPr>
          <w:b/>
          <w:bCs/>
          <w:noProof/>
        </w:rPr>
        <w:t>Cooper, N., Coyle, D., Abrams, K., Mugford, M., and Sutton, A.</w:t>
      </w:r>
      <w:r>
        <w:rPr>
          <w:noProof/>
        </w:rPr>
        <w:t xml:space="preserve"> 2005, J Health Serv Res Policy, Vol. 10, pp. 245--250.</w:t>
      </w:r>
    </w:p>
    <w:p w:rsidR="005F423A" w:rsidRDefault="005F423A" w:rsidP="005F423A">
      <w:pPr>
        <w:pStyle w:val="Bibliography"/>
        <w:rPr>
          <w:noProof/>
        </w:rPr>
      </w:pPr>
      <w:r>
        <w:rPr>
          <w:noProof/>
        </w:rPr>
        <w:t xml:space="preserve">26. </w:t>
      </w:r>
      <w:r>
        <w:rPr>
          <w:i/>
          <w:iCs/>
          <w:noProof/>
        </w:rPr>
        <w:t xml:space="preserve">Innovative drug development approaches (EMEA/127318/2007). </w:t>
      </w:r>
      <w:r>
        <w:rPr>
          <w:b/>
          <w:bCs/>
          <w:noProof/>
        </w:rPr>
        <w:t>Agency, European Medicines.</w:t>
      </w:r>
      <w:r>
        <w:rPr>
          <w:noProof/>
        </w:rPr>
        <w:t xml:space="preserve"> 2007, Final report from the EMEA/CHMP-THINK-TANK group on innovative drug development (EMEA, London, UK).</w:t>
      </w:r>
    </w:p>
    <w:p w:rsidR="005F423A" w:rsidRDefault="005F423A" w:rsidP="005F423A">
      <w:pPr>
        <w:pStyle w:val="Bibliography"/>
        <w:rPr>
          <w:noProof/>
        </w:rPr>
      </w:pPr>
      <w:r>
        <w:rPr>
          <w:noProof/>
        </w:rPr>
        <w:t xml:space="preserve">27. </w:t>
      </w:r>
      <w:r>
        <w:rPr>
          <w:i/>
          <w:iCs/>
          <w:noProof/>
        </w:rPr>
        <w:t xml:space="preserve">Comparison of anticancer drug coverage decisions in the United States and United Kingdom: does the evidence support rhetoric? . </w:t>
      </w:r>
      <w:r>
        <w:rPr>
          <w:b/>
          <w:bCs/>
          <w:noProof/>
        </w:rPr>
        <w:t>Mason, A., Drummond, M. , Ramsey, S., Campbell, J. and Raisch, D.</w:t>
      </w:r>
      <w:r>
        <w:rPr>
          <w:noProof/>
        </w:rPr>
        <w:t xml:space="preserve"> 2010, J Clin Onc, Vol. 28, pp. 3234--3238.</w:t>
      </w:r>
    </w:p>
    <w:p w:rsidR="005F423A" w:rsidRDefault="005F423A" w:rsidP="005F423A">
      <w:pPr>
        <w:pStyle w:val="Bibliography"/>
        <w:rPr>
          <w:noProof/>
        </w:rPr>
      </w:pPr>
      <w:r>
        <w:rPr>
          <w:noProof/>
        </w:rPr>
        <w:t xml:space="preserve">28. </w:t>
      </w:r>
      <w:r>
        <w:rPr>
          <w:i/>
          <w:iCs/>
          <w:noProof/>
        </w:rPr>
        <w:t xml:space="preserve">The FDA's critical path initiative: a brief introduction. </w:t>
      </w:r>
      <w:r>
        <w:rPr>
          <w:b/>
          <w:bCs/>
          <w:noProof/>
        </w:rPr>
        <w:t>Coons, S. J.</w:t>
      </w:r>
      <w:r>
        <w:rPr>
          <w:noProof/>
        </w:rPr>
        <w:t xml:space="preserve"> 2009, Clinical Therapeutics, Vol. 31, pp. 2572--2573.</w:t>
      </w:r>
    </w:p>
    <w:p w:rsidR="005F423A" w:rsidRDefault="005F423A" w:rsidP="005F423A">
      <w:pPr>
        <w:pStyle w:val="Bibliography"/>
        <w:rPr>
          <w:noProof/>
        </w:rPr>
      </w:pPr>
      <w:r>
        <w:rPr>
          <w:noProof/>
        </w:rPr>
        <w:t xml:space="preserve">29. </w:t>
      </w:r>
      <w:r>
        <w:rPr>
          <w:i/>
          <w:iCs/>
          <w:noProof/>
        </w:rPr>
        <w:t xml:space="preserve">Modified Disease-Activity Scores That Include 28-Joint Counts - Development and Validation in A Prospective Longitudinal-Study of Patients with Rheumatoid-Arthritis. </w:t>
      </w:r>
      <w:r>
        <w:rPr>
          <w:b/>
          <w:bCs/>
          <w:noProof/>
        </w:rPr>
        <w:t>Prevoo MLL, Vanthof MA, Kuper HH, Vanleeuwen MA, Vandeputte LBA, Vanriel PLCM.</w:t>
      </w:r>
      <w:r>
        <w:rPr>
          <w:noProof/>
        </w:rPr>
        <w:t xml:space="preserve"> 1, 1995, Arthritis Rheum Jan, Vol. 38, pp. 44-8.</w:t>
      </w:r>
    </w:p>
    <w:p w:rsidR="005F423A" w:rsidRDefault="005F423A" w:rsidP="005F423A">
      <w:pPr>
        <w:pStyle w:val="Bibliography"/>
        <w:rPr>
          <w:noProof/>
        </w:rPr>
      </w:pPr>
      <w:r>
        <w:rPr>
          <w:noProof/>
        </w:rPr>
        <w:t xml:space="preserve">30. </w:t>
      </w:r>
      <w:r>
        <w:rPr>
          <w:i/>
          <w:iCs/>
          <w:noProof/>
        </w:rPr>
        <w:t xml:space="preserve">American College of Rheumatology preliminary definition of improvement in rheumatoid arthritis. </w:t>
      </w:r>
      <w:r>
        <w:rPr>
          <w:b/>
          <w:bCs/>
          <w:noProof/>
        </w:rPr>
        <w:t>Felson DT, Anderson JJ, Boers M, Bombardier C, Furst D, Goldsmith C, et al.</w:t>
      </w:r>
      <w:r>
        <w:rPr>
          <w:noProof/>
        </w:rPr>
        <w:t xml:space="preserve"> 6, 1995, Arthritis Rheum , Vol. 38, pp. 727-35.</w:t>
      </w:r>
    </w:p>
    <w:p w:rsidR="005F423A" w:rsidRDefault="005F423A" w:rsidP="005F423A">
      <w:pPr>
        <w:pStyle w:val="Bibliography"/>
        <w:rPr>
          <w:noProof/>
        </w:rPr>
      </w:pPr>
      <w:r>
        <w:rPr>
          <w:noProof/>
        </w:rPr>
        <w:t xml:space="preserve">31. </w:t>
      </w:r>
      <w:r>
        <w:rPr>
          <w:i/>
          <w:iCs/>
          <w:noProof/>
        </w:rPr>
        <w:t xml:space="preserve">Stanford Health Assessment Questionnaire modified to assess disability in British patients with rheumatoid arthritis. </w:t>
      </w:r>
      <w:r>
        <w:rPr>
          <w:b/>
          <w:bCs/>
          <w:noProof/>
        </w:rPr>
        <w:t>Kirwan JR, Reeback JS.</w:t>
      </w:r>
      <w:r>
        <w:rPr>
          <w:noProof/>
        </w:rPr>
        <w:t xml:space="preserve"> 2, 1986, Br J Rheumatol, Vol. 25, pp. 206-9.</w:t>
      </w:r>
    </w:p>
    <w:p w:rsidR="00D17874" w:rsidRDefault="00631B86" w:rsidP="00D17874">
      <w:pPr>
        <w:pStyle w:val="PlainText"/>
        <w:spacing w:line="480" w:lineRule="auto"/>
        <w:jc w:val="both"/>
        <w:rPr>
          <w:rFonts w:ascii="Arial" w:hAnsi="Arial" w:cs="Arial"/>
          <w:sz w:val="20"/>
          <w:szCs w:val="20"/>
        </w:rPr>
      </w:pPr>
      <w:r w:rsidRPr="00EE74D2">
        <w:rPr>
          <w:rFonts w:ascii="Arial" w:hAnsi="Arial" w:cs="Arial"/>
          <w:sz w:val="20"/>
          <w:szCs w:val="20"/>
        </w:rPr>
        <w:fldChar w:fldCharType="end"/>
      </w:r>
    </w:p>
    <w:p w:rsidR="00D17874" w:rsidRDefault="00D17874" w:rsidP="00D17874">
      <w:pPr>
        <w:pStyle w:val="Caption"/>
        <w:keepNext/>
        <w:spacing w:line="480" w:lineRule="auto"/>
      </w:pPr>
      <w:r>
        <w:lastRenderedPageBreak/>
        <w:t xml:space="preserve">Table </w:t>
      </w:r>
      <w:r w:rsidR="00921FC6">
        <w:fldChar w:fldCharType="begin"/>
      </w:r>
      <w:r w:rsidR="00921FC6">
        <w:instrText xml:space="preserve"> SEQ Table \* ARABIC </w:instrText>
      </w:r>
      <w:r w:rsidR="00921FC6">
        <w:fldChar w:fldCharType="separate"/>
      </w:r>
      <w:r>
        <w:rPr>
          <w:noProof/>
        </w:rPr>
        <w:t>1</w:t>
      </w:r>
      <w:r w:rsidR="00921FC6">
        <w:rPr>
          <w:noProof/>
        </w:rPr>
        <w:fldChar w:fldCharType="end"/>
      </w:r>
      <w:r>
        <w:t xml:space="preserve"> Relevant instruments measuring disease activity and/or response to treatment in patients with RA.</w:t>
      </w:r>
    </w:p>
    <w:tbl>
      <w:tblPr>
        <w:tblStyle w:val="TableGrid"/>
        <w:tblW w:w="8675" w:type="dxa"/>
        <w:tblLook w:val="04A0" w:firstRow="1" w:lastRow="0" w:firstColumn="1" w:lastColumn="0" w:noHBand="0" w:noVBand="1"/>
      </w:tblPr>
      <w:tblGrid>
        <w:gridCol w:w="1517"/>
        <w:gridCol w:w="4120"/>
        <w:gridCol w:w="1604"/>
        <w:gridCol w:w="1434"/>
      </w:tblGrid>
      <w:tr w:rsidR="00D17874" w:rsidTr="0070068E">
        <w:tc>
          <w:tcPr>
            <w:tcW w:w="1489" w:type="dxa"/>
          </w:tcPr>
          <w:p w:rsidR="00D17874" w:rsidRPr="00A16731" w:rsidRDefault="00D17874" w:rsidP="0070068E">
            <w:pPr>
              <w:spacing w:line="480" w:lineRule="auto"/>
            </w:pPr>
            <w:r w:rsidRPr="00A16731">
              <w:t>Measure</w:t>
            </w:r>
          </w:p>
        </w:tc>
        <w:tc>
          <w:tcPr>
            <w:tcW w:w="4148" w:type="dxa"/>
          </w:tcPr>
          <w:p w:rsidR="00D17874" w:rsidRPr="00A16731" w:rsidRDefault="00D17874" w:rsidP="0070068E">
            <w:pPr>
              <w:spacing w:line="480" w:lineRule="auto"/>
            </w:pPr>
            <w:r>
              <w:t>Description</w:t>
            </w:r>
          </w:p>
        </w:tc>
        <w:tc>
          <w:tcPr>
            <w:tcW w:w="1611" w:type="dxa"/>
          </w:tcPr>
          <w:p w:rsidR="00D17874" w:rsidRPr="00A16731" w:rsidRDefault="00D17874" w:rsidP="0070068E">
            <w:pPr>
              <w:spacing w:line="480" w:lineRule="auto"/>
            </w:pPr>
            <w:r w:rsidRPr="00A16731">
              <w:t xml:space="preserve">Range </w:t>
            </w:r>
            <w:r>
              <w:br/>
            </w:r>
            <w:r w:rsidRPr="00A16731">
              <w:t>(best to worst)</w:t>
            </w:r>
          </w:p>
        </w:tc>
        <w:tc>
          <w:tcPr>
            <w:tcW w:w="1427" w:type="dxa"/>
          </w:tcPr>
          <w:p w:rsidR="00D17874" w:rsidRPr="00A16731" w:rsidRDefault="00D17874" w:rsidP="0070068E">
            <w:pPr>
              <w:spacing w:line="480" w:lineRule="auto"/>
            </w:pPr>
            <w:r>
              <w:t xml:space="preserve">Form used </w:t>
            </w:r>
            <w:r>
              <w:br/>
              <w:t>in this paper</w:t>
            </w:r>
          </w:p>
        </w:tc>
      </w:tr>
      <w:tr w:rsidR="00D17874" w:rsidTr="0070068E">
        <w:tc>
          <w:tcPr>
            <w:tcW w:w="1489" w:type="dxa"/>
          </w:tcPr>
          <w:p w:rsidR="00D17874" w:rsidRDefault="00D17874" w:rsidP="0070068E">
            <w:pPr>
              <w:spacing w:line="480" w:lineRule="auto"/>
            </w:pPr>
            <w:r>
              <w:t>Disease Activity Score</w:t>
            </w:r>
          </w:p>
          <w:p w:rsidR="00D17874" w:rsidRPr="00A16731" w:rsidRDefault="00D17874" w:rsidP="0070068E">
            <w:pPr>
              <w:spacing w:line="480" w:lineRule="auto"/>
            </w:pPr>
            <w:r>
              <w:t>(DAS-28)</w:t>
            </w:r>
          </w:p>
        </w:tc>
        <w:tc>
          <w:tcPr>
            <w:tcW w:w="4148" w:type="dxa"/>
          </w:tcPr>
          <w:p w:rsidR="00D17874" w:rsidRPr="00A16731" w:rsidRDefault="00D17874" w:rsidP="0070068E">
            <w:pPr>
              <w:spacing w:line="480" w:lineRule="auto"/>
              <w:jc w:val="both"/>
            </w:pPr>
            <w:r w:rsidRPr="00A16731">
              <w:t xml:space="preserve">Composite of disease activity based on 28 swollen &amp; tender joint count, ESR (or CRP), and patient global assessment </w:t>
            </w:r>
            <w:sdt>
              <w:sdtPr>
                <w:id w:val="351409428"/>
                <w:citation/>
              </w:sdtPr>
              <w:sdtEndPr/>
              <w:sdtContent>
                <w:r w:rsidR="00921FC6">
                  <w:fldChar w:fldCharType="begin"/>
                </w:r>
                <w:r w:rsidR="00921FC6">
                  <w:instrText xml:space="preserve"> CITATION Pre \l 2057 </w:instrText>
                </w:r>
                <w:r w:rsidR="00921FC6">
                  <w:fldChar w:fldCharType="separate"/>
                </w:r>
                <w:r>
                  <w:rPr>
                    <w:noProof/>
                  </w:rPr>
                  <w:t>(15)</w:t>
                </w:r>
                <w:r w:rsidR="00921FC6">
                  <w:rPr>
                    <w:noProof/>
                  </w:rPr>
                  <w:fldChar w:fldCharType="end"/>
                </w:r>
              </w:sdtContent>
            </w:sdt>
            <w:r>
              <w:t>.</w:t>
            </w:r>
          </w:p>
        </w:tc>
        <w:tc>
          <w:tcPr>
            <w:tcW w:w="1611" w:type="dxa"/>
          </w:tcPr>
          <w:p w:rsidR="00D17874" w:rsidRPr="00A16731" w:rsidRDefault="00D17874" w:rsidP="0070068E">
            <w:pPr>
              <w:spacing w:line="480" w:lineRule="auto"/>
              <w:jc w:val="both"/>
            </w:pPr>
            <w:r w:rsidRPr="00A16731">
              <w:t>0-9.3</w:t>
            </w:r>
          </w:p>
        </w:tc>
        <w:tc>
          <w:tcPr>
            <w:tcW w:w="1427" w:type="dxa"/>
          </w:tcPr>
          <w:p w:rsidR="00D17874" w:rsidRPr="00A16731" w:rsidRDefault="00D17874" w:rsidP="0070068E">
            <w:pPr>
              <w:spacing w:line="480" w:lineRule="auto"/>
              <w:jc w:val="both"/>
            </w:pPr>
            <w:r>
              <w:t>Change from baseline (ΔDAS-28)</w:t>
            </w:r>
          </w:p>
        </w:tc>
      </w:tr>
      <w:tr w:rsidR="00D17874" w:rsidTr="0070068E">
        <w:tc>
          <w:tcPr>
            <w:tcW w:w="1489" w:type="dxa"/>
          </w:tcPr>
          <w:p w:rsidR="00D17874" w:rsidRDefault="00D17874" w:rsidP="0070068E">
            <w:pPr>
              <w:spacing w:line="480" w:lineRule="auto"/>
            </w:pPr>
            <w:r>
              <w:t>American College of Rheumatology criteria</w:t>
            </w:r>
          </w:p>
          <w:p w:rsidR="00D17874" w:rsidRPr="00A16731" w:rsidRDefault="00D17874" w:rsidP="0070068E">
            <w:pPr>
              <w:spacing w:line="480" w:lineRule="auto"/>
            </w:pPr>
            <w:r>
              <w:t>(</w:t>
            </w:r>
            <w:r w:rsidRPr="00A16731">
              <w:t>ACR</w:t>
            </w:r>
            <w:r>
              <w:t>)</w:t>
            </w:r>
          </w:p>
        </w:tc>
        <w:tc>
          <w:tcPr>
            <w:tcW w:w="4148" w:type="dxa"/>
          </w:tcPr>
          <w:p w:rsidR="00D17874" w:rsidRPr="00A16731" w:rsidRDefault="00D17874" w:rsidP="0070068E">
            <w:pPr>
              <w:spacing w:line="480" w:lineRule="auto"/>
            </w:pPr>
            <w:r w:rsidRPr="00A16731">
              <w:t xml:space="preserve">Indicated by % improvement in tender or swollen joint counts and three out of the following five measures: acute phase reactant (e.g. ESR/CRP), patient global assessment, physician global assessment, pain scale (e.g.  </w:t>
            </w:r>
            <w:proofErr w:type="gramStart"/>
            <w:r w:rsidRPr="00A16731">
              <w:t>pain</w:t>
            </w:r>
            <w:proofErr w:type="gramEnd"/>
            <w:r w:rsidRPr="00A16731">
              <w:t xml:space="preserve"> VAS), disability/function (e.g. HAQ)</w:t>
            </w:r>
            <w:r>
              <w:t xml:space="preserve"> </w:t>
            </w:r>
            <w:sdt>
              <w:sdtPr>
                <w:id w:val="351409429"/>
                <w:citation/>
              </w:sdtPr>
              <w:sdtEndPr/>
              <w:sdtContent>
                <w:r w:rsidR="00921FC6">
                  <w:fldChar w:fldCharType="begin"/>
                </w:r>
                <w:r w:rsidR="00921FC6">
                  <w:instrText xml:space="preserve"> CITATION Fel95 \l 2057 </w:instrText>
                </w:r>
                <w:r w:rsidR="00921FC6">
                  <w:fldChar w:fldCharType="separate"/>
                </w:r>
                <w:r>
                  <w:rPr>
                    <w:noProof/>
                  </w:rPr>
                  <w:t>(16)</w:t>
                </w:r>
                <w:r w:rsidR="00921FC6">
                  <w:rPr>
                    <w:noProof/>
                  </w:rPr>
                  <w:fldChar w:fldCharType="end"/>
                </w:r>
              </w:sdtContent>
            </w:sdt>
            <w:r w:rsidRPr="00A16731">
              <w:t xml:space="preserve">. </w:t>
            </w:r>
          </w:p>
        </w:tc>
        <w:tc>
          <w:tcPr>
            <w:tcW w:w="1611" w:type="dxa"/>
          </w:tcPr>
          <w:p w:rsidR="00D17874" w:rsidRPr="00A16731" w:rsidRDefault="00D17874" w:rsidP="0070068E">
            <w:pPr>
              <w:spacing w:line="480" w:lineRule="auto"/>
            </w:pPr>
            <w:r w:rsidRPr="00A16731">
              <w:t>1, 0 (Binary outcome)</w:t>
            </w:r>
          </w:p>
        </w:tc>
        <w:tc>
          <w:tcPr>
            <w:tcW w:w="1427" w:type="dxa"/>
          </w:tcPr>
          <w:p w:rsidR="00D17874" w:rsidRDefault="00D17874" w:rsidP="0070068E">
            <w:pPr>
              <w:spacing w:line="480" w:lineRule="auto"/>
              <w:jc w:val="both"/>
            </w:pPr>
            <w:r>
              <w:t>20% improvement</w:t>
            </w:r>
          </w:p>
          <w:p w:rsidR="00D17874" w:rsidRPr="00A16731" w:rsidRDefault="00D17874" w:rsidP="0070068E">
            <w:pPr>
              <w:spacing w:line="480" w:lineRule="auto"/>
              <w:jc w:val="both"/>
            </w:pPr>
            <w:r>
              <w:t>(ACR20)</w:t>
            </w:r>
          </w:p>
        </w:tc>
      </w:tr>
      <w:tr w:rsidR="00D17874" w:rsidTr="0070068E">
        <w:tc>
          <w:tcPr>
            <w:tcW w:w="1489" w:type="dxa"/>
          </w:tcPr>
          <w:p w:rsidR="00D17874" w:rsidRPr="00A16731" w:rsidRDefault="00D17874" w:rsidP="0070068E">
            <w:pPr>
              <w:spacing w:line="480" w:lineRule="auto"/>
            </w:pPr>
            <w:r w:rsidRPr="00A16731">
              <w:t>Health Assessment Questionnaire (HAQ)</w:t>
            </w:r>
          </w:p>
        </w:tc>
        <w:tc>
          <w:tcPr>
            <w:tcW w:w="4148" w:type="dxa"/>
          </w:tcPr>
          <w:p w:rsidR="00D17874" w:rsidRPr="00A16731" w:rsidRDefault="00D17874" w:rsidP="0070068E">
            <w:pPr>
              <w:spacing w:line="480" w:lineRule="auto"/>
            </w:pPr>
            <w:r w:rsidRPr="00A16731">
              <w:t>Functional disability assessed using on 8 domains (dressing and grooming, rising, eating, walking, hygiene, reach, grip, activities)</w:t>
            </w:r>
            <w:r>
              <w:t xml:space="preserve"> </w:t>
            </w:r>
            <w:sdt>
              <w:sdtPr>
                <w:id w:val="351409430"/>
                <w:citation/>
              </w:sdtPr>
              <w:sdtEndPr/>
              <w:sdtContent>
                <w:r w:rsidR="00921FC6">
                  <w:fldChar w:fldCharType="begin"/>
                </w:r>
                <w:r w:rsidR="00921FC6">
                  <w:instrText xml:space="preserve"> CITATION Kir86 \l 2057 </w:instrText>
                </w:r>
                <w:r w:rsidR="00921FC6">
                  <w:fldChar w:fldCharType="separate"/>
                </w:r>
                <w:r>
                  <w:rPr>
                    <w:noProof/>
                  </w:rPr>
                  <w:t>(17)</w:t>
                </w:r>
                <w:r w:rsidR="00921FC6">
                  <w:rPr>
                    <w:noProof/>
                  </w:rPr>
                  <w:fldChar w:fldCharType="end"/>
                </w:r>
              </w:sdtContent>
            </w:sdt>
            <w:r w:rsidRPr="00A16731">
              <w:t xml:space="preserve">. </w:t>
            </w:r>
          </w:p>
        </w:tc>
        <w:tc>
          <w:tcPr>
            <w:tcW w:w="1611" w:type="dxa"/>
          </w:tcPr>
          <w:p w:rsidR="00D17874" w:rsidRPr="00A16731" w:rsidRDefault="00D17874" w:rsidP="0070068E">
            <w:pPr>
              <w:spacing w:line="480" w:lineRule="auto"/>
            </w:pPr>
            <w:r w:rsidRPr="00A16731">
              <w:t xml:space="preserve">0 -3 </w:t>
            </w:r>
          </w:p>
        </w:tc>
        <w:tc>
          <w:tcPr>
            <w:tcW w:w="1427" w:type="dxa"/>
          </w:tcPr>
          <w:p w:rsidR="00D17874" w:rsidRDefault="00D17874" w:rsidP="0070068E">
            <w:pPr>
              <w:spacing w:line="480" w:lineRule="auto"/>
            </w:pPr>
            <w:r>
              <w:t>Change from baseline</w:t>
            </w:r>
          </w:p>
          <w:p w:rsidR="00D17874" w:rsidRPr="00A16731" w:rsidRDefault="00D17874" w:rsidP="0070068E">
            <w:pPr>
              <w:spacing w:line="480" w:lineRule="auto"/>
            </w:pPr>
            <w:r>
              <w:t>(ΔHAQ)</w:t>
            </w:r>
          </w:p>
        </w:tc>
      </w:tr>
    </w:tbl>
    <w:p w:rsidR="00D17874" w:rsidRDefault="00D17874" w:rsidP="00D17874">
      <w:pPr>
        <w:pStyle w:val="PlainText"/>
        <w:spacing w:line="480" w:lineRule="auto"/>
        <w:jc w:val="both"/>
        <w:rPr>
          <w:rFonts w:ascii="Arial" w:hAnsi="Arial" w:cs="Arial"/>
          <w:sz w:val="20"/>
          <w:szCs w:val="20"/>
        </w:rPr>
      </w:pPr>
    </w:p>
    <w:p w:rsidR="00E44273" w:rsidRDefault="00D17874" w:rsidP="00921FC6">
      <w:r>
        <w:t>Table 2 Studies and outcomes included in the "Lloyd data".</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53"/>
        <w:gridCol w:w="1453"/>
        <w:gridCol w:w="1453"/>
      </w:tblGrid>
      <w:tr w:rsidR="00D17874" w:rsidRPr="00E87041" w:rsidTr="0070068E">
        <w:tc>
          <w:tcPr>
            <w:tcW w:w="2376" w:type="dxa"/>
            <w:vAlign w:val="center"/>
          </w:tcPr>
          <w:p w:rsidR="00D17874" w:rsidRPr="00E87041" w:rsidRDefault="00D17874" w:rsidP="0070068E">
            <w:pPr>
              <w:spacing w:line="480" w:lineRule="auto"/>
              <w:rPr>
                <w:b/>
                <w:sz w:val="20"/>
                <w:szCs w:val="20"/>
              </w:rPr>
            </w:pPr>
            <w:r w:rsidRPr="00E87041">
              <w:rPr>
                <w:b/>
                <w:sz w:val="20"/>
                <w:szCs w:val="20"/>
              </w:rPr>
              <w:t>Study</w:t>
            </w:r>
          </w:p>
        </w:tc>
        <w:tc>
          <w:tcPr>
            <w:tcW w:w="1453" w:type="dxa"/>
            <w:vAlign w:val="center"/>
          </w:tcPr>
          <w:p w:rsidR="00D17874" w:rsidRPr="00E87041" w:rsidRDefault="00D17874" w:rsidP="0070068E">
            <w:pPr>
              <w:spacing w:line="480" w:lineRule="auto"/>
              <w:jc w:val="center"/>
              <w:rPr>
                <w:b/>
                <w:bCs/>
                <w:sz w:val="20"/>
                <w:szCs w:val="20"/>
              </w:rPr>
            </w:pPr>
            <w:r>
              <w:rPr>
                <w:b/>
                <w:bCs/>
                <w:sz w:val="20"/>
                <w:szCs w:val="20"/>
              </w:rPr>
              <w:t>Δ</w:t>
            </w:r>
            <w:r w:rsidRPr="00E87041">
              <w:rPr>
                <w:b/>
                <w:bCs/>
                <w:sz w:val="20"/>
                <w:szCs w:val="20"/>
              </w:rPr>
              <w:t>HAQ</w:t>
            </w:r>
          </w:p>
          <w:p w:rsidR="00D17874" w:rsidRPr="00E87041" w:rsidRDefault="00D17874" w:rsidP="0070068E">
            <w:pPr>
              <w:spacing w:line="480" w:lineRule="auto"/>
              <w:jc w:val="center"/>
              <w:rPr>
                <w:b/>
                <w:bCs/>
                <w:sz w:val="20"/>
                <w:szCs w:val="20"/>
              </w:rPr>
            </w:pPr>
            <w:r w:rsidRPr="00E87041">
              <w:rPr>
                <w:b/>
                <w:bCs/>
                <w:sz w:val="20"/>
                <w:szCs w:val="20"/>
              </w:rPr>
              <w:t>Mean (se)</w:t>
            </w:r>
          </w:p>
        </w:tc>
        <w:tc>
          <w:tcPr>
            <w:tcW w:w="1453" w:type="dxa"/>
            <w:vAlign w:val="center"/>
          </w:tcPr>
          <w:p w:rsidR="00D17874" w:rsidRPr="00E87041" w:rsidRDefault="00D17874" w:rsidP="0070068E">
            <w:pPr>
              <w:spacing w:line="480" w:lineRule="auto"/>
              <w:jc w:val="center"/>
              <w:rPr>
                <w:b/>
                <w:bCs/>
                <w:sz w:val="20"/>
                <w:szCs w:val="20"/>
              </w:rPr>
            </w:pPr>
            <w:r>
              <w:rPr>
                <w:b/>
                <w:bCs/>
                <w:sz w:val="20"/>
                <w:szCs w:val="20"/>
              </w:rPr>
              <w:t>Δ</w:t>
            </w:r>
            <w:r w:rsidRPr="00E87041">
              <w:rPr>
                <w:b/>
                <w:bCs/>
                <w:sz w:val="20"/>
                <w:szCs w:val="20"/>
              </w:rPr>
              <w:t>DAS28</w:t>
            </w:r>
          </w:p>
          <w:p w:rsidR="00D17874" w:rsidRPr="00E87041" w:rsidRDefault="00D17874" w:rsidP="0070068E">
            <w:pPr>
              <w:spacing w:line="480" w:lineRule="auto"/>
              <w:jc w:val="center"/>
              <w:rPr>
                <w:b/>
                <w:bCs/>
                <w:sz w:val="20"/>
                <w:szCs w:val="20"/>
              </w:rPr>
            </w:pPr>
            <w:r w:rsidRPr="00E87041">
              <w:rPr>
                <w:b/>
                <w:bCs/>
                <w:sz w:val="20"/>
                <w:szCs w:val="20"/>
              </w:rPr>
              <w:t>Mean (se)</w:t>
            </w:r>
          </w:p>
        </w:tc>
        <w:tc>
          <w:tcPr>
            <w:tcW w:w="1453" w:type="dxa"/>
            <w:shd w:val="clear" w:color="auto" w:fill="auto"/>
            <w:vAlign w:val="center"/>
          </w:tcPr>
          <w:p w:rsidR="00D17874" w:rsidRPr="00E87041" w:rsidRDefault="00D17874" w:rsidP="0070068E">
            <w:pPr>
              <w:spacing w:line="480" w:lineRule="auto"/>
              <w:jc w:val="center"/>
              <w:rPr>
                <w:b/>
                <w:bCs/>
                <w:sz w:val="20"/>
                <w:szCs w:val="20"/>
              </w:rPr>
            </w:pPr>
            <w:r w:rsidRPr="00E87041">
              <w:rPr>
                <w:b/>
                <w:bCs/>
                <w:sz w:val="20"/>
                <w:szCs w:val="20"/>
              </w:rPr>
              <w:t>ACR</w:t>
            </w:r>
            <w:r>
              <w:rPr>
                <w:b/>
                <w:bCs/>
                <w:sz w:val="20"/>
                <w:szCs w:val="20"/>
              </w:rPr>
              <w:t>20</w:t>
            </w:r>
          </w:p>
          <w:p w:rsidR="00D17874" w:rsidRPr="00E87041" w:rsidRDefault="00D17874" w:rsidP="0070068E">
            <w:pPr>
              <w:spacing w:line="480" w:lineRule="auto"/>
              <w:jc w:val="center"/>
              <w:rPr>
                <w:sz w:val="20"/>
                <w:szCs w:val="20"/>
              </w:rPr>
            </w:pPr>
            <w:r w:rsidRPr="00E87041">
              <w:rPr>
                <w:b/>
                <w:bCs/>
                <w:sz w:val="20"/>
                <w:szCs w:val="20"/>
              </w:rPr>
              <w:t>r/n</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r w:rsidRPr="00E87041">
              <w:rPr>
                <w:sz w:val="20"/>
                <w:szCs w:val="20"/>
              </w:rPr>
              <w:t>Bennett (2005</w:t>
            </w:r>
            <w:r w:rsidRPr="00E87041">
              <w:rPr>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sz w:val="20"/>
                <w:szCs w:val="20"/>
              </w:rPr>
              <w:t>-0.31 (0.13)</w:t>
            </w:r>
          </w:p>
        </w:tc>
        <w:tc>
          <w:tcPr>
            <w:tcW w:w="1453" w:type="dxa"/>
            <w:vAlign w:val="center"/>
          </w:tcPr>
          <w:p w:rsidR="00D17874" w:rsidRPr="00E87041" w:rsidRDefault="00D17874" w:rsidP="0070068E">
            <w:pPr>
              <w:spacing w:line="480" w:lineRule="auto"/>
              <w:jc w:val="center"/>
              <w:rPr>
                <w:sz w:val="20"/>
                <w:szCs w:val="20"/>
              </w:rPr>
            </w:pPr>
            <w:r w:rsidRPr="00E87041">
              <w:rPr>
                <w:sz w:val="20"/>
                <w:szCs w:val="20"/>
              </w:rPr>
              <w:t>-1.7 (0.25)</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rPr>
            </w:pPr>
            <w:r w:rsidRPr="00E87041">
              <w:rPr>
                <w:sz w:val="20"/>
                <w:szCs w:val="20"/>
              </w:rPr>
              <w:lastRenderedPageBreak/>
              <w:t>Bingham (2009)</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-0.35 (0.05)</w:t>
            </w:r>
          </w:p>
        </w:tc>
        <w:tc>
          <w:tcPr>
            <w:tcW w:w="1453" w:type="dxa"/>
            <w:vAlign w:val="center"/>
          </w:tcPr>
          <w:p w:rsidR="00D17874" w:rsidRPr="00E87041" w:rsidRDefault="00D17874" w:rsidP="0070068E">
            <w:pPr>
              <w:spacing w:line="480" w:lineRule="auto"/>
              <w:jc w:val="center"/>
              <w:rPr>
                <w:sz w:val="20"/>
                <w:szCs w:val="20"/>
              </w:rPr>
            </w:pPr>
            <w:r w:rsidRPr="00E87041">
              <w:rPr>
                <w:sz w:val="20"/>
                <w:szCs w:val="20"/>
              </w:rPr>
              <w:t>-1.6 (0.1)</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sz w:val="20"/>
                <w:szCs w:val="20"/>
              </w:rPr>
              <w:t>85/188</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Bombardieri</w:t>
            </w:r>
            <w:proofErr w:type="spellEnd"/>
            <w:r w:rsidRPr="00E87041">
              <w:rPr>
                <w:sz w:val="20"/>
                <w:szCs w:val="20"/>
              </w:rPr>
              <w:t xml:space="preserve"> (2007</w:t>
            </w:r>
            <w:r w:rsidRPr="00E87041">
              <w:rPr>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-0.48 (0.02)</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-1.9 (0.05)</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486/810</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Haraoui</w:t>
            </w:r>
            <w:proofErr w:type="spellEnd"/>
            <w:r w:rsidRPr="00E87041">
              <w:rPr>
                <w:sz w:val="20"/>
                <w:szCs w:val="20"/>
              </w:rPr>
              <w:t xml:space="preserve"> (2004</w:t>
            </w:r>
            <w:r w:rsidRPr="00E87041">
              <w:rPr>
                <w:color w:val="000000"/>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-0.45 (0.14)</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14/22</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Hyrich</w:t>
            </w:r>
            <w:proofErr w:type="spellEnd"/>
            <w:r w:rsidRPr="00E87041">
              <w:rPr>
                <w:sz w:val="20"/>
                <w:szCs w:val="20"/>
              </w:rPr>
              <w:t xml:space="preserve"> (2008</w:t>
            </w:r>
            <w:r w:rsidRPr="00E87041">
              <w:rPr>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-0.12 (0.03)</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Iannone</w:t>
            </w:r>
            <w:proofErr w:type="spellEnd"/>
            <w:r>
              <w:rPr>
                <w:sz w:val="20"/>
                <w:szCs w:val="20"/>
              </w:rPr>
              <w:t xml:space="preserve"> (</w:t>
            </w:r>
            <w:r>
              <w:rPr>
                <w:rFonts w:ascii="CMR10" w:hAnsi="CMR10" w:cs="CMR10"/>
                <w:sz w:val="20"/>
                <w:szCs w:val="20"/>
              </w:rPr>
              <w:t>2009)</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0.15 (0.13)</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rPr>
            </w:pPr>
            <w:r w:rsidRPr="00E87041">
              <w:rPr>
                <w:sz w:val="20"/>
                <w:szCs w:val="20"/>
              </w:rPr>
              <w:t>Navarro-</w:t>
            </w:r>
            <w:proofErr w:type="spellStart"/>
            <w:r w:rsidRPr="00E87041">
              <w:rPr>
                <w:sz w:val="20"/>
                <w:szCs w:val="20"/>
              </w:rPr>
              <w:t>Sarabia</w:t>
            </w:r>
            <w:proofErr w:type="spellEnd"/>
            <w:r>
              <w:rPr>
                <w:sz w:val="20"/>
                <w:szCs w:val="20"/>
              </w:rPr>
              <w:t xml:space="preserve"> (</w:t>
            </w:r>
            <w:r>
              <w:rPr>
                <w:rFonts w:ascii="CMR10" w:hAnsi="CMR10" w:cs="CMR10"/>
                <w:sz w:val="20"/>
                <w:szCs w:val="20"/>
              </w:rPr>
              <w:t>2009)</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-0.21 (0.07)</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-1.1 (0.18)</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lang w:val="da-DK"/>
              </w:rPr>
            </w:pPr>
            <w:r w:rsidRPr="00E87041">
              <w:rPr>
                <w:sz w:val="20"/>
                <w:szCs w:val="20"/>
                <w:lang w:val="da-DK"/>
              </w:rPr>
              <w:t>Van der Bijl (2005</w:t>
            </w:r>
            <w:r w:rsidRPr="00E87041">
              <w:rPr>
                <w:sz w:val="20"/>
                <w:szCs w:val="20"/>
                <w:lang w:val="es-ES"/>
              </w:rPr>
              <w:t>)</w:t>
            </w:r>
            <w:r w:rsidRPr="00E87041">
              <w:rPr>
                <w:sz w:val="20"/>
                <w:szCs w:val="20"/>
                <w:vertAlign w:val="superscript"/>
                <w:lang w:val="da-DK"/>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-0.21 (0.08)</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-1.5 (0.25)</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19/41</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Buch</w:t>
            </w:r>
            <w:proofErr w:type="spellEnd"/>
            <w:r w:rsidRPr="00E87041">
              <w:rPr>
                <w:sz w:val="20"/>
                <w:szCs w:val="20"/>
              </w:rPr>
              <w:t xml:space="preserve"> (2007</w:t>
            </w:r>
            <w:r w:rsidRPr="00E87041">
              <w:rPr>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-1.47 (0.18)</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55/72</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r w:rsidRPr="00E87041">
              <w:rPr>
                <w:sz w:val="20"/>
                <w:szCs w:val="20"/>
              </w:rPr>
              <w:t>Cohen (2005</w:t>
            </w:r>
            <w:r w:rsidRPr="00E87041">
              <w:rPr>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-1.87 (0.24)</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lang w:val="da-DK"/>
              </w:rPr>
            </w:pPr>
            <w:r w:rsidRPr="00E87041">
              <w:rPr>
                <w:sz w:val="20"/>
                <w:szCs w:val="20"/>
                <w:lang w:val="da-DK"/>
              </w:rPr>
              <w:t>Di Poi (2007)</w:t>
            </w:r>
            <w:r w:rsidRPr="00E87041">
              <w:rPr>
                <w:sz w:val="20"/>
                <w:szCs w:val="20"/>
                <w:vertAlign w:val="superscript"/>
                <w:lang w:val="da-DK"/>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-2.1 (0.29)</w:t>
            </w:r>
          </w:p>
        </w:tc>
        <w:tc>
          <w:tcPr>
            <w:tcW w:w="1453" w:type="dxa"/>
            <w:shd w:val="clear" w:color="auto" w:fill="auto"/>
            <w:vAlign w:val="center"/>
          </w:tcPr>
          <w:p w:rsidR="00D17874" w:rsidRPr="00E87041" w:rsidRDefault="00D17874" w:rsidP="0070068E">
            <w:pPr>
              <w:spacing w:line="480" w:lineRule="auto"/>
              <w:jc w:val="center"/>
              <w:rPr>
                <w:sz w:val="20"/>
                <w:szCs w:val="20"/>
                <w:lang w:val="da-DK"/>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Finckh</w:t>
            </w:r>
            <w:proofErr w:type="spellEnd"/>
            <w:r w:rsidRPr="00E87041">
              <w:rPr>
                <w:sz w:val="20"/>
                <w:szCs w:val="20"/>
              </w:rPr>
              <w:t xml:space="preserve"> (2007)</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-0.98 (0.18)</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Hjardem</w:t>
            </w:r>
            <w:proofErr w:type="spellEnd"/>
            <w:r w:rsidRPr="00E87041">
              <w:rPr>
                <w:sz w:val="20"/>
                <w:szCs w:val="20"/>
              </w:rPr>
              <w:t xml:space="preserve"> (2007</w:t>
            </w:r>
            <w:r w:rsidRPr="00E87041">
              <w:rPr>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 (0.11)</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Laas</w:t>
            </w:r>
            <w:proofErr w:type="spellEnd"/>
            <w:r w:rsidRPr="00E87041">
              <w:rPr>
                <w:sz w:val="20"/>
                <w:szCs w:val="20"/>
                <w:vertAlign w:val="superscript"/>
              </w:rPr>
              <w:t xml:space="preserve">  </w:t>
            </w:r>
            <w:r>
              <w:rPr>
                <w:rFonts w:cs="NimbusRomNo9L-Regu"/>
                <w:sz w:val="20"/>
                <w:szCs w:val="20"/>
              </w:rPr>
              <w:t>(</w:t>
            </w:r>
            <w:r w:rsidRPr="00E87041">
              <w:rPr>
                <w:rFonts w:cs="NimbusRomNo9L-Regu"/>
                <w:sz w:val="20"/>
                <w:szCs w:val="20"/>
              </w:rPr>
              <w:t>2008</w:t>
            </w:r>
            <w:r>
              <w:rPr>
                <w:rFonts w:cs="NimbusRomNo9L-Regu"/>
                <w:sz w:val="20"/>
                <w:szCs w:val="20"/>
              </w:rPr>
              <w:t xml:space="preserve">) </w:t>
            </w:r>
            <w:proofErr w:type="spellStart"/>
            <w:r w:rsidRPr="00E87041">
              <w:rPr>
                <w:rFonts w:cs="NimbusRomNo9L-Regu"/>
                <w:sz w:val="20"/>
                <w:szCs w:val="20"/>
              </w:rPr>
              <w:t>InTol</w:t>
            </w:r>
            <w:proofErr w:type="spellEnd"/>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-1.17 (0.66)</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rPr>
            </w:pPr>
            <w:proofErr w:type="spellStart"/>
            <w:r w:rsidRPr="00E87041">
              <w:rPr>
                <w:sz w:val="20"/>
                <w:szCs w:val="20"/>
              </w:rPr>
              <w:t>Laas</w:t>
            </w:r>
            <w:proofErr w:type="spellEnd"/>
            <w:r w:rsidRPr="00E87041">
              <w:rPr>
                <w:sz w:val="20"/>
                <w:szCs w:val="20"/>
              </w:rPr>
              <w:t xml:space="preserve"> </w:t>
            </w:r>
            <w:r>
              <w:rPr>
                <w:rFonts w:cs="NimbusRomNo9L-Regu"/>
                <w:sz w:val="20"/>
                <w:szCs w:val="20"/>
              </w:rPr>
              <w:t>(</w:t>
            </w:r>
            <w:r w:rsidRPr="00E87041">
              <w:rPr>
                <w:rFonts w:cs="NimbusRomNo9L-Regu"/>
                <w:sz w:val="20"/>
                <w:szCs w:val="20"/>
              </w:rPr>
              <w:t>2008</w:t>
            </w:r>
            <w:r>
              <w:rPr>
                <w:rFonts w:cs="NimbusRomNo9L-Regu"/>
                <w:sz w:val="20"/>
                <w:szCs w:val="20"/>
              </w:rPr>
              <w:t>)</w:t>
            </w:r>
            <w:r w:rsidRPr="00E87041">
              <w:rPr>
                <w:rFonts w:cs="NimbusRomNo9L-Regu"/>
                <w:sz w:val="20"/>
                <w:szCs w:val="20"/>
              </w:rPr>
              <w:t xml:space="preserve"> </w:t>
            </w:r>
            <w:proofErr w:type="spellStart"/>
            <w:r w:rsidRPr="00E87041">
              <w:rPr>
                <w:rFonts w:cs="NimbusRomNo9L-Regu"/>
                <w:sz w:val="20"/>
                <w:szCs w:val="20"/>
              </w:rPr>
              <w:t>InEff</w:t>
            </w:r>
            <w:proofErr w:type="spellEnd"/>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-1.26 (0.35)</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Nikas</w:t>
            </w:r>
            <w:proofErr w:type="spellEnd"/>
            <w:r w:rsidRPr="00E87041">
              <w:rPr>
                <w:sz w:val="20"/>
                <w:szCs w:val="20"/>
              </w:rPr>
              <w:t xml:space="preserve"> (2006</w:t>
            </w:r>
            <w:r w:rsidRPr="00E87041">
              <w:rPr>
                <w:color w:val="000000"/>
                <w:sz w:val="20"/>
                <w:szCs w:val="20"/>
                <w:lang w:val="da-DK"/>
              </w:rPr>
              <w:t>)</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-2.4 (0.16)</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18/24</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r w:rsidRPr="00E87041">
              <w:rPr>
                <w:sz w:val="20"/>
                <w:szCs w:val="20"/>
              </w:rPr>
              <w:t>Wick (2005) EA</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-1.9 (0.22)</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7/9</w:t>
            </w:r>
          </w:p>
        </w:tc>
      </w:tr>
      <w:tr w:rsidR="00D17874" w:rsidRPr="00E87041" w:rsidTr="0070068E">
        <w:tc>
          <w:tcPr>
            <w:tcW w:w="2376" w:type="dxa"/>
            <w:vAlign w:val="center"/>
          </w:tcPr>
          <w:p w:rsidR="00D17874" w:rsidRPr="00E87041" w:rsidRDefault="00D17874" w:rsidP="0070068E">
            <w:pPr>
              <w:spacing w:line="480" w:lineRule="auto"/>
              <w:rPr>
                <w:sz w:val="20"/>
                <w:szCs w:val="20"/>
              </w:rPr>
            </w:pPr>
            <w:r w:rsidRPr="00E87041">
              <w:rPr>
                <w:sz w:val="20"/>
                <w:szCs w:val="20"/>
              </w:rPr>
              <w:t>Wick (2005)IA</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-1.3 (0.28)</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19/27</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t>Buch</w:t>
            </w:r>
            <w:proofErr w:type="spellEnd"/>
            <w:r w:rsidRPr="00E87041">
              <w:rPr>
                <w:sz w:val="20"/>
                <w:szCs w:val="20"/>
              </w:rPr>
              <w:t xml:space="preserve"> (2005)</w:t>
            </w:r>
            <w:r w:rsidRPr="00E87041">
              <w:rPr>
                <w:sz w:val="20"/>
                <w:szCs w:val="20"/>
                <w:vertAlign w:val="superscript"/>
              </w:rPr>
              <w:t xml:space="preserve"> </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18/25</w:t>
            </w:r>
          </w:p>
        </w:tc>
      </w:tr>
      <w:tr w:rsidR="00D17874" w:rsidRPr="00E87041" w:rsidTr="0070068E">
        <w:tc>
          <w:tcPr>
            <w:tcW w:w="2376" w:type="dxa"/>
            <w:vAlign w:val="center"/>
          </w:tcPr>
          <w:p w:rsidR="00D17874" w:rsidRPr="00E87041" w:rsidRDefault="00D17874" w:rsidP="0070068E">
            <w:pPr>
              <w:spacing w:line="480" w:lineRule="auto"/>
              <w:rPr>
                <w:sz w:val="20"/>
                <w:szCs w:val="20"/>
                <w:vertAlign w:val="superscript"/>
              </w:rPr>
            </w:pPr>
            <w:proofErr w:type="spellStart"/>
            <w:r w:rsidRPr="00E87041">
              <w:rPr>
                <w:sz w:val="20"/>
                <w:szCs w:val="20"/>
              </w:rPr>
              <w:lastRenderedPageBreak/>
              <w:t>Karlsson</w:t>
            </w:r>
            <w:proofErr w:type="spellEnd"/>
            <w:r>
              <w:rPr>
                <w:sz w:val="20"/>
                <w:szCs w:val="20"/>
              </w:rPr>
              <w:t xml:space="preserve"> (</w:t>
            </w:r>
            <w:r>
              <w:rPr>
                <w:rFonts w:ascii="CMR10" w:hAnsi="CMR10" w:cs="CMR10"/>
                <w:sz w:val="20"/>
                <w:szCs w:val="20"/>
              </w:rPr>
              <w:t>2008)</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172/337</w:t>
            </w:r>
          </w:p>
        </w:tc>
      </w:tr>
      <w:tr w:rsidR="00D17874" w:rsidRPr="00E87041" w:rsidTr="0070068E">
        <w:tc>
          <w:tcPr>
            <w:tcW w:w="2376" w:type="dxa"/>
            <w:tcBorders>
              <w:bottom w:val="single" w:sz="4" w:space="0" w:color="auto"/>
            </w:tcBorders>
            <w:vAlign w:val="center"/>
          </w:tcPr>
          <w:p w:rsidR="00D17874" w:rsidRPr="00E87041" w:rsidRDefault="00D17874" w:rsidP="0070068E">
            <w:pPr>
              <w:spacing w:line="480" w:lineRule="auto"/>
              <w:rPr>
                <w:sz w:val="20"/>
                <w:szCs w:val="20"/>
                <w:vertAlign w:val="superscript"/>
                <w:lang w:val="da-DK"/>
              </w:rPr>
            </w:pPr>
            <w:r w:rsidRPr="00E87041">
              <w:rPr>
                <w:sz w:val="20"/>
                <w:szCs w:val="20"/>
                <w:lang w:val="da-DK"/>
              </w:rPr>
              <w:t>Van Vollenhoven (2003</w:t>
            </w:r>
            <w:r w:rsidRPr="00E87041">
              <w:rPr>
                <w:color w:val="000000"/>
                <w:sz w:val="20"/>
                <w:szCs w:val="20"/>
                <w:lang w:val="es-ES"/>
              </w:rPr>
              <w:t>)</w:t>
            </w:r>
            <w:r w:rsidRPr="00E87041">
              <w:rPr>
                <w:sz w:val="20"/>
                <w:szCs w:val="20"/>
                <w:vertAlign w:val="superscript"/>
                <w:lang w:val="da-DK"/>
              </w:rPr>
              <w:t xml:space="preserve"> </w:t>
            </w:r>
          </w:p>
        </w:tc>
        <w:tc>
          <w:tcPr>
            <w:tcW w:w="1453" w:type="dxa"/>
            <w:tcBorders>
              <w:bottom w:val="single" w:sz="4" w:space="0" w:color="auto"/>
            </w:tcBorders>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tcBorders>
              <w:bottom w:val="single" w:sz="4" w:space="0" w:color="auto"/>
            </w:tcBorders>
            <w:vAlign w:val="center"/>
          </w:tcPr>
          <w:p w:rsidR="00D17874" w:rsidRPr="00E87041" w:rsidRDefault="00D17874" w:rsidP="0070068E">
            <w:pPr>
              <w:spacing w:line="480" w:lineRule="auto"/>
              <w:jc w:val="center"/>
              <w:rPr>
                <w:sz w:val="20"/>
                <w:szCs w:val="20"/>
              </w:rPr>
            </w:pPr>
            <w:r w:rsidRPr="00E87041">
              <w:rPr>
                <w:rFonts w:cs="NimbusRomNo9L-Regu"/>
                <w:sz w:val="20"/>
                <w:szCs w:val="20"/>
              </w:rPr>
              <w:t>–</w:t>
            </w:r>
          </w:p>
        </w:tc>
        <w:tc>
          <w:tcPr>
            <w:tcW w:w="1453" w:type="dxa"/>
            <w:tcBorders>
              <w:bottom w:val="single" w:sz="4" w:space="0" w:color="auto"/>
            </w:tcBorders>
            <w:shd w:val="clear" w:color="auto" w:fill="auto"/>
            <w:vAlign w:val="center"/>
          </w:tcPr>
          <w:p w:rsidR="00D17874" w:rsidRPr="00E87041" w:rsidRDefault="00D17874" w:rsidP="0070068E">
            <w:pPr>
              <w:spacing w:line="480" w:lineRule="auto"/>
              <w:jc w:val="center"/>
              <w:rPr>
                <w:sz w:val="20"/>
                <w:szCs w:val="20"/>
              </w:rPr>
            </w:pPr>
            <w:r w:rsidRPr="00E87041">
              <w:rPr>
                <w:rFonts w:cs="NimbusRomNo9L-Regu"/>
                <w:sz w:val="20"/>
                <w:szCs w:val="20"/>
              </w:rPr>
              <w:t>12/18</w:t>
            </w:r>
          </w:p>
        </w:tc>
      </w:tr>
    </w:tbl>
    <w:p w:rsidR="00D17874" w:rsidRDefault="00D17874" w:rsidP="00D17874">
      <w:pPr>
        <w:pStyle w:val="PlainText"/>
        <w:spacing w:line="480" w:lineRule="auto"/>
        <w:jc w:val="both"/>
        <w:rPr>
          <w:rFonts w:ascii="Arial" w:hAnsi="Arial" w:cs="Arial"/>
          <w:sz w:val="20"/>
          <w:szCs w:val="20"/>
        </w:rPr>
      </w:pPr>
    </w:p>
    <w:p w:rsidR="00D17874" w:rsidRDefault="00D17874" w:rsidP="00D17874">
      <w:pPr>
        <w:pStyle w:val="Caption"/>
        <w:keepNext/>
        <w:spacing w:line="480" w:lineRule="auto"/>
      </w:pPr>
      <w:r>
        <w:t>Table 3 Results of evidence synthesis from the three models: URMA, BRMA and TRMA and resulting health-related quality of life estimates.</w:t>
      </w:r>
    </w:p>
    <w:tbl>
      <w:tblPr>
        <w:tblStyle w:val="TableGrid"/>
        <w:tblW w:w="9437" w:type="dxa"/>
        <w:tblLayout w:type="fixed"/>
        <w:tblLook w:val="04A0" w:firstRow="1" w:lastRow="0" w:firstColumn="1" w:lastColumn="0" w:noHBand="0" w:noVBand="1"/>
      </w:tblPr>
      <w:tblGrid>
        <w:gridCol w:w="1951"/>
        <w:gridCol w:w="1701"/>
        <w:gridCol w:w="1418"/>
        <w:gridCol w:w="1418"/>
        <w:gridCol w:w="1418"/>
        <w:gridCol w:w="1531"/>
      </w:tblGrid>
      <w:tr w:rsidR="00D17874" w:rsidTr="0070068E">
        <w:tc>
          <w:tcPr>
            <w:tcW w:w="1951" w:type="dxa"/>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Model</w:t>
            </w:r>
          </w:p>
        </w:tc>
        <w:tc>
          <w:tcPr>
            <w:tcW w:w="170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Number of cohorts/studies</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ΔHAQ</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ΔDAS-28</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ACR20</w:t>
            </w:r>
          </w:p>
        </w:tc>
        <w:tc>
          <w:tcPr>
            <w:tcW w:w="153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ΔEQ-5D</w:t>
            </w:r>
          </w:p>
        </w:tc>
      </w:tr>
      <w:tr w:rsidR="00D17874" w:rsidTr="0070068E">
        <w:tc>
          <w:tcPr>
            <w:tcW w:w="1951" w:type="dxa"/>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HAQ only</w:t>
            </w:r>
          </w:p>
        </w:tc>
        <w:tc>
          <w:tcPr>
            <w:tcW w:w="170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8/8</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-0.25</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(-0.43, -0.09)</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531" w:type="dxa"/>
            <w:vAlign w:val="center"/>
          </w:tcPr>
          <w:p w:rsidR="00D17874" w:rsidRPr="00AE2E1B" w:rsidRDefault="00D17874" w:rsidP="0070068E">
            <w:pPr>
              <w:pStyle w:val="PlainText"/>
              <w:spacing w:line="480" w:lineRule="auto"/>
              <w:jc w:val="center"/>
              <w:rPr>
                <w:rFonts w:ascii="Arial" w:hAnsi="Arial" w:cs="Arial"/>
                <w:sz w:val="20"/>
                <w:szCs w:val="20"/>
              </w:rPr>
            </w:pPr>
            <w:r w:rsidRPr="00AE2E1B">
              <w:rPr>
                <w:rFonts w:ascii="Arial" w:hAnsi="Arial" w:cs="Arial"/>
                <w:sz w:val="20"/>
                <w:szCs w:val="20"/>
              </w:rPr>
              <w:t>0.083</w:t>
            </w:r>
          </w:p>
          <w:p w:rsidR="00D17874" w:rsidRPr="00AE2E1B" w:rsidRDefault="00D17874" w:rsidP="0070068E">
            <w:pPr>
              <w:pStyle w:val="PlainText"/>
              <w:spacing w:line="480" w:lineRule="auto"/>
              <w:jc w:val="center"/>
              <w:rPr>
                <w:rFonts w:ascii="Arial" w:hAnsi="Arial" w:cs="Arial"/>
                <w:sz w:val="20"/>
                <w:szCs w:val="20"/>
              </w:rPr>
            </w:pPr>
            <w:r w:rsidRPr="00AE2E1B">
              <w:rPr>
                <w:rFonts w:ascii="Arial" w:hAnsi="Arial" w:cs="Arial"/>
                <w:sz w:val="20"/>
                <w:szCs w:val="20"/>
              </w:rPr>
              <w:t>(0.025, 0.142)</w:t>
            </w:r>
          </w:p>
        </w:tc>
      </w:tr>
      <w:tr w:rsidR="00D17874" w:rsidTr="0070068E">
        <w:tc>
          <w:tcPr>
            <w:tcW w:w="1951" w:type="dxa"/>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DAS-28 only</w:t>
            </w:r>
          </w:p>
        </w:tc>
        <w:tc>
          <w:tcPr>
            <w:tcW w:w="170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15/13</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-1.57</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(-1.84, -1.31)</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53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r>
      <w:tr w:rsidR="00D17874" w:rsidTr="0070068E">
        <w:tc>
          <w:tcPr>
            <w:tcW w:w="1951" w:type="dxa"/>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ACR20 only</w:t>
            </w:r>
          </w:p>
        </w:tc>
        <w:tc>
          <w:tcPr>
            <w:tcW w:w="170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11/10</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62%</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(53%, 71%)</w:t>
            </w:r>
          </w:p>
        </w:tc>
        <w:tc>
          <w:tcPr>
            <w:tcW w:w="153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r>
      <w:tr w:rsidR="00D17874" w:rsidTr="0070068E">
        <w:tc>
          <w:tcPr>
            <w:tcW w:w="1951" w:type="dxa"/>
            <w:tcBorders>
              <w:bottom w:val="single" w:sz="4" w:space="0" w:color="auto"/>
            </w:tcBorders>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HAQ &amp; DAS-28</w:t>
            </w:r>
          </w:p>
        </w:tc>
        <w:tc>
          <w:tcPr>
            <w:tcW w:w="1701" w:type="dxa"/>
            <w:tcBorders>
              <w:bottom w:val="single" w:sz="4" w:space="0" w:color="auto"/>
            </w:tcBorders>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18/16</w:t>
            </w:r>
          </w:p>
        </w:tc>
        <w:tc>
          <w:tcPr>
            <w:tcW w:w="1418" w:type="dxa"/>
            <w:tcBorders>
              <w:bottom w:val="single" w:sz="4" w:space="0" w:color="auto"/>
            </w:tcBorders>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-0.28</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(-0.41, -0.14)</w:t>
            </w:r>
          </w:p>
        </w:tc>
        <w:tc>
          <w:tcPr>
            <w:tcW w:w="1418" w:type="dxa"/>
            <w:tcBorders>
              <w:bottom w:val="single" w:sz="4" w:space="0" w:color="auto"/>
            </w:tcBorders>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-1.51</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(-1.67, -1.35)</w:t>
            </w:r>
          </w:p>
        </w:tc>
        <w:tc>
          <w:tcPr>
            <w:tcW w:w="1418" w:type="dxa"/>
            <w:tcBorders>
              <w:bottom w:val="single" w:sz="4" w:space="0" w:color="auto"/>
            </w:tcBorders>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531" w:type="dxa"/>
            <w:tcBorders>
              <w:bottom w:val="single" w:sz="4" w:space="0" w:color="auto"/>
            </w:tcBorders>
            <w:vAlign w:val="center"/>
          </w:tcPr>
          <w:p w:rsidR="00D17874" w:rsidRPr="00AE2E1B" w:rsidRDefault="00D17874" w:rsidP="0070068E">
            <w:pPr>
              <w:pStyle w:val="PlainText"/>
              <w:spacing w:line="480" w:lineRule="auto"/>
              <w:jc w:val="center"/>
              <w:rPr>
                <w:rFonts w:ascii="Arial" w:hAnsi="Arial" w:cs="Arial"/>
                <w:sz w:val="20"/>
                <w:szCs w:val="20"/>
              </w:rPr>
            </w:pPr>
            <w:r w:rsidRPr="00AE2E1B">
              <w:rPr>
                <w:rFonts w:ascii="Arial" w:hAnsi="Arial" w:cs="Arial"/>
                <w:sz w:val="20"/>
                <w:szCs w:val="20"/>
              </w:rPr>
              <w:t>0.091</w:t>
            </w:r>
          </w:p>
          <w:p w:rsidR="00D17874" w:rsidRPr="00AE2E1B" w:rsidRDefault="00D17874" w:rsidP="0070068E">
            <w:pPr>
              <w:pStyle w:val="PlainText"/>
              <w:spacing w:line="480" w:lineRule="auto"/>
              <w:jc w:val="center"/>
              <w:rPr>
                <w:rFonts w:ascii="Arial" w:hAnsi="Arial" w:cs="Arial"/>
                <w:sz w:val="20"/>
                <w:szCs w:val="20"/>
              </w:rPr>
            </w:pPr>
            <w:r w:rsidRPr="00AE2E1B">
              <w:rPr>
                <w:rFonts w:ascii="Arial" w:hAnsi="Arial" w:cs="Arial"/>
                <w:sz w:val="20"/>
                <w:szCs w:val="20"/>
              </w:rPr>
              <w:t>(0.044, 0.139)</w:t>
            </w:r>
          </w:p>
        </w:tc>
      </w:tr>
      <w:tr w:rsidR="00D17874" w:rsidTr="0070068E">
        <w:tc>
          <w:tcPr>
            <w:tcW w:w="1951" w:type="dxa"/>
            <w:shd w:val="clear" w:color="auto" w:fill="auto"/>
            <w:vAlign w:val="center"/>
          </w:tcPr>
          <w:p w:rsidR="00D17874" w:rsidRPr="00872505" w:rsidRDefault="00D17874" w:rsidP="0070068E">
            <w:pPr>
              <w:pStyle w:val="PlainText"/>
              <w:spacing w:line="480" w:lineRule="auto"/>
              <w:rPr>
                <w:rFonts w:ascii="Arial" w:hAnsi="Arial" w:cs="Arial"/>
                <w:sz w:val="20"/>
                <w:szCs w:val="20"/>
              </w:rPr>
            </w:pPr>
            <w:r w:rsidRPr="00872505">
              <w:rPr>
                <w:rFonts w:ascii="Arial" w:hAnsi="Arial" w:cs="Arial"/>
                <w:sz w:val="20"/>
                <w:szCs w:val="20"/>
              </w:rPr>
              <w:t>HAQ &amp; ACR20</w:t>
            </w:r>
          </w:p>
        </w:tc>
        <w:tc>
          <w:tcPr>
            <w:tcW w:w="1701" w:type="dxa"/>
            <w:shd w:val="clear" w:color="auto" w:fill="auto"/>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15/14</w:t>
            </w:r>
          </w:p>
        </w:tc>
        <w:tc>
          <w:tcPr>
            <w:tcW w:w="1418" w:type="dxa"/>
            <w:shd w:val="clear" w:color="auto" w:fill="auto"/>
            <w:vAlign w:val="center"/>
          </w:tcPr>
          <w:p w:rsidR="00D17874" w:rsidRDefault="00D17874" w:rsidP="0070068E">
            <w:pPr>
              <w:pStyle w:val="PlainText"/>
              <w:spacing w:line="480" w:lineRule="auto"/>
              <w:jc w:val="center"/>
              <w:rPr>
                <w:rFonts w:ascii="Arial" w:hAnsi="Arial" w:cs="Arial"/>
                <w:sz w:val="20"/>
                <w:szCs w:val="20"/>
              </w:rPr>
            </w:pPr>
            <w:r w:rsidRPr="00EB74E5">
              <w:rPr>
                <w:rFonts w:ascii="Arial" w:hAnsi="Arial" w:cs="Arial"/>
                <w:sz w:val="20"/>
                <w:szCs w:val="20"/>
              </w:rPr>
              <w:t>-0.3</w:t>
            </w:r>
            <w:r>
              <w:rPr>
                <w:rFonts w:ascii="Arial" w:hAnsi="Arial" w:cs="Arial"/>
                <w:sz w:val="20"/>
                <w:szCs w:val="20"/>
              </w:rPr>
              <w:t>1</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r w:rsidRPr="00EB74E5">
              <w:rPr>
                <w:rFonts w:ascii="Arial" w:hAnsi="Arial" w:cs="Arial"/>
                <w:sz w:val="20"/>
                <w:szCs w:val="20"/>
              </w:rPr>
              <w:t>-0.</w:t>
            </w:r>
            <w:r>
              <w:rPr>
                <w:rFonts w:ascii="Arial" w:hAnsi="Arial" w:cs="Arial"/>
                <w:sz w:val="20"/>
                <w:szCs w:val="20"/>
              </w:rPr>
              <w:t>5, -0.13)</w:t>
            </w:r>
          </w:p>
        </w:tc>
        <w:tc>
          <w:tcPr>
            <w:tcW w:w="1418" w:type="dxa"/>
            <w:shd w:val="clear" w:color="auto" w:fill="auto"/>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418" w:type="dxa"/>
            <w:shd w:val="clear" w:color="auto" w:fill="auto"/>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 xml:space="preserve">60% </w:t>
            </w:r>
            <w:r>
              <w:rPr>
                <w:rFonts w:ascii="Arial" w:hAnsi="Arial" w:cs="Arial"/>
                <w:sz w:val="20"/>
                <w:szCs w:val="20"/>
              </w:rPr>
              <w:br/>
              <w:t>(51%, 69%)</w:t>
            </w:r>
            <w:r w:rsidRPr="00F63F15">
              <w:rPr>
                <w:rFonts w:ascii="Arial" w:hAnsi="Arial" w:cs="Arial"/>
                <w:sz w:val="20"/>
                <w:szCs w:val="20"/>
              </w:rPr>
              <w:t xml:space="preserve">       </w:t>
            </w:r>
          </w:p>
        </w:tc>
        <w:tc>
          <w:tcPr>
            <w:tcW w:w="1531" w:type="dxa"/>
            <w:shd w:val="clear" w:color="auto" w:fill="auto"/>
            <w:vAlign w:val="center"/>
          </w:tcPr>
          <w:p w:rsidR="00D17874" w:rsidRDefault="00D17874" w:rsidP="0070068E">
            <w:pPr>
              <w:pStyle w:val="PlainText"/>
              <w:spacing w:line="480" w:lineRule="auto"/>
              <w:jc w:val="center"/>
              <w:rPr>
                <w:rFonts w:ascii="Arial" w:hAnsi="Arial" w:cs="Arial"/>
                <w:sz w:val="20"/>
                <w:szCs w:val="20"/>
              </w:rPr>
            </w:pPr>
            <w:r w:rsidRPr="001C0947">
              <w:rPr>
                <w:rFonts w:ascii="Arial" w:hAnsi="Arial" w:cs="Arial"/>
                <w:sz w:val="20"/>
                <w:szCs w:val="20"/>
              </w:rPr>
              <w:t>0.101</w:t>
            </w:r>
          </w:p>
          <w:p w:rsidR="00D17874" w:rsidRPr="00AE2E1B" w:rsidRDefault="00D17874" w:rsidP="0070068E">
            <w:pPr>
              <w:pStyle w:val="PlainText"/>
              <w:spacing w:line="480" w:lineRule="auto"/>
              <w:jc w:val="center"/>
              <w:rPr>
                <w:rFonts w:ascii="Arial" w:hAnsi="Arial" w:cs="Arial"/>
                <w:sz w:val="20"/>
                <w:szCs w:val="20"/>
              </w:rPr>
            </w:pPr>
            <w:r>
              <w:rPr>
                <w:rFonts w:ascii="Arial" w:hAnsi="Arial" w:cs="Arial"/>
                <w:sz w:val="20"/>
                <w:szCs w:val="20"/>
              </w:rPr>
              <w:t>(</w:t>
            </w:r>
            <w:r w:rsidRPr="001C0947">
              <w:rPr>
                <w:rFonts w:ascii="Arial" w:hAnsi="Arial" w:cs="Arial"/>
                <w:sz w:val="20"/>
                <w:szCs w:val="20"/>
              </w:rPr>
              <w:t>0.039</w:t>
            </w:r>
            <w:r>
              <w:rPr>
                <w:rFonts w:ascii="Arial" w:hAnsi="Arial" w:cs="Arial"/>
                <w:sz w:val="20"/>
                <w:szCs w:val="20"/>
              </w:rPr>
              <w:t xml:space="preserve">, </w:t>
            </w:r>
            <w:r w:rsidRPr="001C0947">
              <w:rPr>
                <w:rFonts w:ascii="Arial" w:hAnsi="Arial" w:cs="Arial"/>
                <w:sz w:val="20"/>
                <w:szCs w:val="20"/>
              </w:rPr>
              <w:t>0.163</w:t>
            </w:r>
            <w:r>
              <w:rPr>
                <w:rFonts w:ascii="Arial" w:hAnsi="Arial" w:cs="Arial"/>
                <w:sz w:val="20"/>
                <w:szCs w:val="20"/>
              </w:rPr>
              <w:t>)</w:t>
            </w:r>
          </w:p>
        </w:tc>
      </w:tr>
      <w:tr w:rsidR="00D17874" w:rsidTr="0070068E">
        <w:tc>
          <w:tcPr>
            <w:tcW w:w="1951" w:type="dxa"/>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DAS &amp; ACR20</w:t>
            </w:r>
          </w:p>
        </w:tc>
        <w:tc>
          <w:tcPr>
            <w:tcW w:w="170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19</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-1.56</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r w:rsidRPr="001B037F">
              <w:rPr>
                <w:rFonts w:ascii="Arial" w:hAnsi="Arial" w:cs="Arial"/>
                <w:sz w:val="20"/>
                <w:szCs w:val="20"/>
              </w:rPr>
              <w:t>-1.8</w:t>
            </w:r>
            <w:r>
              <w:rPr>
                <w:rFonts w:ascii="Arial" w:hAnsi="Arial" w:cs="Arial"/>
                <w:sz w:val="20"/>
                <w:szCs w:val="20"/>
              </w:rPr>
              <w:t xml:space="preserve">2, </w:t>
            </w:r>
            <w:r w:rsidRPr="001B037F">
              <w:rPr>
                <w:rFonts w:ascii="Arial" w:hAnsi="Arial" w:cs="Arial"/>
                <w:sz w:val="20"/>
                <w:szCs w:val="20"/>
              </w:rPr>
              <w:t>1.30</w:t>
            </w:r>
            <w:r>
              <w:rPr>
                <w:rFonts w:ascii="Arial" w:hAnsi="Arial" w:cs="Arial"/>
                <w:sz w:val="20"/>
                <w:szCs w:val="20"/>
              </w:rPr>
              <w:t>)</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62%</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r w:rsidRPr="00020491">
              <w:rPr>
                <w:rFonts w:ascii="Arial" w:hAnsi="Arial" w:cs="Arial"/>
                <w:sz w:val="20"/>
                <w:szCs w:val="20"/>
              </w:rPr>
              <w:t>52</w:t>
            </w:r>
            <w:r>
              <w:rPr>
                <w:rFonts w:ascii="Arial" w:hAnsi="Arial" w:cs="Arial"/>
                <w:sz w:val="20"/>
                <w:szCs w:val="20"/>
              </w:rPr>
              <w:t>%, 71%)</w:t>
            </w:r>
          </w:p>
        </w:tc>
        <w:tc>
          <w:tcPr>
            <w:tcW w:w="153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w:t>
            </w:r>
          </w:p>
        </w:tc>
      </w:tr>
      <w:tr w:rsidR="00D17874" w:rsidTr="0070068E">
        <w:tc>
          <w:tcPr>
            <w:tcW w:w="1951" w:type="dxa"/>
            <w:vAlign w:val="center"/>
          </w:tcPr>
          <w:p w:rsidR="00D17874" w:rsidRDefault="00D17874" w:rsidP="0070068E">
            <w:pPr>
              <w:pStyle w:val="PlainText"/>
              <w:spacing w:line="480" w:lineRule="auto"/>
              <w:rPr>
                <w:rFonts w:ascii="Arial" w:hAnsi="Arial" w:cs="Arial"/>
                <w:sz w:val="20"/>
                <w:szCs w:val="20"/>
              </w:rPr>
            </w:pPr>
            <w:r>
              <w:rPr>
                <w:rFonts w:ascii="Arial" w:hAnsi="Arial" w:cs="Arial"/>
                <w:sz w:val="20"/>
                <w:szCs w:val="20"/>
              </w:rPr>
              <w:t xml:space="preserve">HAQ , DAS-28 </w:t>
            </w:r>
            <w:r>
              <w:rPr>
                <w:rFonts w:ascii="Arial" w:hAnsi="Arial" w:cs="Arial"/>
                <w:sz w:val="20"/>
                <w:szCs w:val="20"/>
              </w:rPr>
              <w:br/>
              <w:t>&amp; ACR20</w:t>
            </w:r>
          </w:p>
        </w:tc>
        <w:tc>
          <w:tcPr>
            <w:tcW w:w="1701"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21/19</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-0.28</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(-0.42, -0.13)</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-1.51</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(-1.70, -1.33)</w:t>
            </w:r>
          </w:p>
        </w:tc>
        <w:tc>
          <w:tcPr>
            <w:tcW w:w="1418" w:type="dxa"/>
            <w:vAlign w:val="center"/>
          </w:tcPr>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61%</w:t>
            </w:r>
          </w:p>
          <w:p w:rsidR="00D17874" w:rsidRDefault="00D17874" w:rsidP="0070068E">
            <w:pPr>
              <w:pStyle w:val="PlainText"/>
              <w:spacing w:line="480" w:lineRule="auto"/>
              <w:jc w:val="center"/>
              <w:rPr>
                <w:rFonts w:ascii="Arial" w:hAnsi="Arial" w:cs="Arial"/>
                <w:sz w:val="20"/>
                <w:szCs w:val="20"/>
              </w:rPr>
            </w:pPr>
            <w:r>
              <w:rPr>
                <w:rFonts w:ascii="Arial" w:hAnsi="Arial" w:cs="Arial"/>
                <w:sz w:val="20"/>
                <w:szCs w:val="20"/>
              </w:rPr>
              <w:t>(52%, 71%)</w:t>
            </w:r>
          </w:p>
        </w:tc>
        <w:tc>
          <w:tcPr>
            <w:tcW w:w="1531" w:type="dxa"/>
            <w:vAlign w:val="center"/>
          </w:tcPr>
          <w:p w:rsidR="00D17874" w:rsidRPr="00AE2E1B" w:rsidRDefault="00D17874" w:rsidP="0070068E">
            <w:pPr>
              <w:pStyle w:val="PlainText"/>
              <w:spacing w:line="480" w:lineRule="auto"/>
              <w:jc w:val="center"/>
              <w:rPr>
                <w:rFonts w:ascii="Arial" w:hAnsi="Arial" w:cs="Arial"/>
                <w:sz w:val="20"/>
                <w:szCs w:val="20"/>
              </w:rPr>
            </w:pPr>
            <w:r w:rsidRPr="00AE2E1B">
              <w:rPr>
                <w:rFonts w:ascii="Arial" w:hAnsi="Arial" w:cs="Arial"/>
                <w:sz w:val="20"/>
                <w:szCs w:val="20"/>
              </w:rPr>
              <w:t>0.091</w:t>
            </w:r>
          </w:p>
          <w:p w:rsidR="00D17874" w:rsidRPr="00AE2E1B" w:rsidRDefault="00D17874" w:rsidP="0070068E">
            <w:pPr>
              <w:pStyle w:val="PlainText"/>
              <w:spacing w:line="480" w:lineRule="auto"/>
              <w:jc w:val="center"/>
              <w:rPr>
                <w:rFonts w:ascii="Arial" w:hAnsi="Arial" w:cs="Arial"/>
                <w:sz w:val="20"/>
                <w:szCs w:val="20"/>
              </w:rPr>
            </w:pPr>
            <w:r w:rsidRPr="00AE2E1B">
              <w:rPr>
                <w:rFonts w:ascii="Arial" w:hAnsi="Arial" w:cs="Arial"/>
                <w:sz w:val="20"/>
                <w:szCs w:val="20"/>
              </w:rPr>
              <w:t>(0.041, 0.142)</w:t>
            </w:r>
          </w:p>
        </w:tc>
      </w:tr>
    </w:tbl>
    <w:p w:rsidR="00D17874" w:rsidRDefault="00D17874" w:rsidP="00D17874"/>
    <w:p w:rsidR="00D17874" w:rsidRDefault="00D17874" w:rsidP="00D17874">
      <w:pPr>
        <w:pStyle w:val="PlainText"/>
        <w:spacing w:line="480" w:lineRule="auto"/>
        <w:jc w:val="both"/>
        <w:rPr>
          <w:rFonts w:ascii="Arial" w:hAnsi="Arial" w:cs="Arial"/>
          <w:sz w:val="20"/>
          <w:szCs w:val="20"/>
        </w:rPr>
      </w:pPr>
    </w:p>
    <w:p w:rsidR="00D17874" w:rsidRDefault="00D17874" w:rsidP="005F423A">
      <w:pPr>
        <w:pStyle w:val="PlainText"/>
        <w:spacing w:line="480" w:lineRule="auto"/>
        <w:jc w:val="both"/>
        <w:rPr>
          <w:rFonts w:ascii="Arial" w:hAnsi="Arial" w:cs="Arial"/>
          <w:sz w:val="20"/>
          <w:szCs w:val="20"/>
        </w:rPr>
      </w:pPr>
      <w:bookmarkStart w:id="0" w:name="_GoBack"/>
      <w:bookmarkEnd w:id="0"/>
    </w:p>
    <w:sectPr w:rsidR="00D17874" w:rsidSect="00AA3405">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E8" w:rsidRDefault="006670E8" w:rsidP="00197983">
      <w:pPr>
        <w:spacing w:after="0" w:line="240" w:lineRule="auto"/>
      </w:pPr>
      <w:r>
        <w:separator/>
      </w:r>
    </w:p>
  </w:endnote>
  <w:endnote w:type="continuationSeparator" w:id="0">
    <w:p w:rsidR="006670E8" w:rsidRDefault="006670E8" w:rsidP="001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610886"/>
      <w:docPartObj>
        <w:docPartGallery w:val="Page Numbers (Bottom of Page)"/>
        <w:docPartUnique/>
      </w:docPartObj>
    </w:sdtPr>
    <w:sdtEndPr/>
    <w:sdtContent>
      <w:p w:rsidR="00E44273" w:rsidRDefault="00921F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44273" w:rsidRDefault="00E4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E8" w:rsidRDefault="006670E8" w:rsidP="00197983">
      <w:pPr>
        <w:spacing w:after="0" w:line="240" w:lineRule="auto"/>
      </w:pPr>
      <w:r>
        <w:separator/>
      </w:r>
    </w:p>
  </w:footnote>
  <w:footnote w:type="continuationSeparator" w:id="0">
    <w:p w:rsidR="006670E8" w:rsidRDefault="006670E8" w:rsidP="0019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8C"/>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36D18"/>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4356"/>
    <w:multiLevelType w:val="hybridMultilevel"/>
    <w:tmpl w:val="263C1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D3E2F"/>
    <w:multiLevelType w:val="hybridMultilevel"/>
    <w:tmpl w:val="263C1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67B09"/>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6D4F3D"/>
    <w:multiLevelType w:val="hybridMultilevel"/>
    <w:tmpl w:val="263C1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B0156"/>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D05C5"/>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B00D58"/>
    <w:multiLevelType w:val="hybridMultilevel"/>
    <w:tmpl w:val="263C1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232464"/>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E04BF4"/>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952266"/>
    <w:multiLevelType w:val="hybridMultilevel"/>
    <w:tmpl w:val="FAF2A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C54E8"/>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6F6A02"/>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A4040B"/>
    <w:multiLevelType w:val="hybridMultilevel"/>
    <w:tmpl w:val="F0E0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5"/>
  </w:num>
  <w:num w:numId="6">
    <w:abstractNumId w:val="11"/>
  </w:num>
  <w:num w:numId="7">
    <w:abstractNumId w:val="4"/>
  </w:num>
  <w:num w:numId="8">
    <w:abstractNumId w:val="12"/>
  </w:num>
  <w:num w:numId="9">
    <w:abstractNumId w:val="14"/>
  </w:num>
  <w:num w:numId="10">
    <w:abstractNumId w:val="13"/>
  </w:num>
  <w:num w:numId="11">
    <w:abstractNumId w:val="10"/>
  </w:num>
  <w:num w:numId="12">
    <w:abstractNumId w:val="6"/>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B2"/>
    <w:rsid w:val="00004901"/>
    <w:rsid w:val="00006DC8"/>
    <w:rsid w:val="00007356"/>
    <w:rsid w:val="0001117B"/>
    <w:rsid w:val="000114E9"/>
    <w:rsid w:val="00012C09"/>
    <w:rsid w:val="000131F0"/>
    <w:rsid w:val="000146E9"/>
    <w:rsid w:val="000148D5"/>
    <w:rsid w:val="00026C71"/>
    <w:rsid w:val="0003219D"/>
    <w:rsid w:val="00032C25"/>
    <w:rsid w:val="000409BC"/>
    <w:rsid w:val="0004572B"/>
    <w:rsid w:val="000503FB"/>
    <w:rsid w:val="00056CB2"/>
    <w:rsid w:val="00063D8C"/>
    <w:rsid w:val="000712F6"/>
    <w:rsid w:val="00071EBB"/>
    <w:rsid w:val="000731F9"/>
    <w:rsid w:val="0007511C"/>
    <w:rsid w:val="00080D4C"/>
    <w:rsid w:val="00084929"/>
    <w:rsid w:val="00085952"/>
    <w:rsid w:val="000868C4"/>
    <w:rsid w:val="000935BF"/>
    <w:rsid w:val="000A0C53"/>
    <w:rsid w:val="000A2E38"/>
    <w:rsid w:val="000D4AAF"/>
    <w:rsid w:val="000E0174"/>
    <w:rsid w:val="000E17E5"/>
    <w:rsid w:val="000F1E15"/>
    <w:rsid w:val="000F4476"/>
    <w:rsid w:val="000F74B6"/>
    <w:rsid w:val="00100EEA"/>
    <w:rsid w:val="00102183"/>
    <w:rsid w:val="001077A3"/>
    <w:rsid w:val="00114DFF"/>
    <w:rsid w:val="00115614"/>
    <w:rsid w:val="00115782"/>
    <w:rsid w:val="00125B8A"/>
    <w:rsid w:val="0012697E"/>
    <w:rsid w:val="001324B7"/>
    <w:rsid w:val="0013791A"/>
    <w:rsid w:val="00140273"/>
    <w:rsid w:val="00150577"/>
    <w:rsid w:val="00151121"/>
    <w:rsid w:val="00153AA4"/>
    <w:rsid w:val="00161128"/>
    <w:rsid w:val="00177E94"/>
    <w:rsid w:val="00180004"/>
    <w:rsid w:val="00180A9D"/>
    <w:rsid w:val="00182A4A"/>
    <w:rsid w:val="001910D4"/>
    <w:rsid w:val="00197983"/>
    <w:rsid w:val="001A31AA"/>
    <w:rsid w:val="001B3444"/>
    <w:rsid w:val="001B376B"/>
    <w:rsid w:val="001B4EB6"/>
    <w:rsid w:val="001C5F61"/>
    <w:rsid w:val="001D38E5"/>
    <w:rsid w:val="001D3903"/>
    <w:rsid w:val="001D3BFD"/>
    <w:rsid w:val="001E0420"/>
    <w:rsid w:val="001E16A1"/>
    <w:rsid w:val="001E72E4"/>
    <w:rsid w:val="00212FFA"/>
    <w:rsid w:val="00214681"/>
    <w:rsid w:val="002213D5"/>
    <w:rsid w:val="0022465C"/>
    <w:rsid w:val="002307AD"/>
    <w:rsid w:val="002417C1"/>
    <w:rsid w:val="00242C31"/>
    <w:rsid w:val="002508C5"/>
    <w:rsid w:val="00254BEB"/>
    <w:rsid w:val="00265A31"/>
    <w:rsid w:val="00270377"/>
    <w:rsid w:val="00277438"/>
    <w:rsid w:val="00282961"/>
    <w:rsid w:val="00290B10"/>
    <w:rsid w:val="002929D6"/>
    <w:rsid w:val="00294E53"/>
    <w:rsid w:val="002B591C"/>
    <w:rsid w:val="002B6D9E"/>
    <w:rsid w:val="002B782D"/>
    <w:rsid w:val="002C4D1D"/>
    <w:rsid w:val="002D617C"/>
    <w:rsid w:val="00306F08"/>
    <w:rsid w:val="003124C6"/>
    <w:rsid w:val="0031382C"/>
    <w:rsid w:val="00317E3E"/>
    <w:rsid w:val="003304DD"/>
    <w:rsid w:val="0033552A"/>
    <w:rsid w:val="003359C6"/>
    <w:rsid w:val="003427B1"/>
    <w:rsid w:val="00342E1E"/>
    <w:rsid w:val="00346A48"/>
    <w:rsid w:val="003571A6"/>
    <w:rsid w:val="00360600"/>
    <w:rsid w:val="00363882"/>
    <w:rsid w:val="00377B5D"/>
    <w:rsid w:val="00380C0D"/>
    <w:rsid w:val="00381D43"/>
    <w:rsid w:val="003928D1"/>
    <w:rsid w:val="003A1379"/>
    <w:rsid w:val="003A2126"/>
    <w:rsid w:val="003A6918"/>
    <w:rsid w:val="003A7226"/>
    <w:rsid w:val="003B0B93"/>
    <w:rsid w:val="003B0C56"/>
    <w:rsid w:val="003B38BB"/>
    <w:rsid w:val="003B4570"/>
    <w:rsid w:val="003B5CE1"/>
    <w:rsid w:val="003B690E"/>
    <w:rsid w:val="003C2DE5"/>
    <w:rsid w:val="003C4875"/>
    <w:rsid w:val="003C560C"/>
    <w:rsid w:val="003C6EDF"/>
    <w:rsid w:val="003D24DB"/>
    <w:rsid w:val="003D2931"/>
    <w:rsid w:val="003D29B5"/>
    <w:rsid w:val="003E5DC4"/>
    <w:rsid w:val="003E7B3C"/>
    <w:rsid w:val="0040414C"/>
    <w:rsid w:val="00404E65"/>
    <w:rsid w:val="00414EFD"/>
    <w:rsid w:val="00415CF8"/>
    <w:rsid w:val="00424233"/>
    <w:rsid w:val="00425BD4"/>
    <w:rsid w:val="00440512"/>
    <w:rsid w:val="004511E9"/>
    <w:rsid w:val="004541E9"/>
    <w:rsid w:val="004577B4"/>
    <w:rsid w:val="00457EDF"/>
    <w:rsid w:val="00460175"/>
    <w:rsid w:val="004876C4"/>
    <w:rsid w:val="00494F6E"/>
    <w:rsid w:val="0049628C"/>
    <w:rsid w:val="004A33AD"/>
    <w:rsid w:val="004A450D"/>
    <w:rsid w:val="004B39E8"/>
    <w:rsid w:val="004B3A07"/>
    <w:rsid w:val="004C0B84"/>
    <w:rsid w:val="004C1DEE"/>
    <w:rsid w:val="004C6CED"/>
    <w:rsid w:val="004E6AE8"/>
    <w:rsid w:val="004F3054"/>
    <w:rsid w:val="004F5CC5"/>
    <w:rsid w:val="00503B10"/>
    <w:rsid w:val="0052039D"/>
    <w:rsid w:val="005251B3"/>
    <w:rsid w:val="005276EE"/>
    <w:rsid w:val="005363B2"/>
    <w:rsid w:val="00565567"/>
    <w:rsid w:val="005655D7"/>
    <w:rsid w:val="00575A46"/>
    <w:rsid w:val="005921BE"/>
    <w:rsid w:val="00592B00"/>
    <w:rsid w:val="0059354F"/>
    <w:rsid w:val="005A2227"/>
    <w:rsid w:val="005A5A0F"/>
    <w:rsid w:val="005D4407"/>
    <w:rsid w:val="005D56B7"/>
    <w:rsid w:val="005E1CB5"/>
    <w:rsid w:val="005E734A"/>
    <w:rsid w:val="005F2BBB"/>
    <w:rsid w:val="005F423A"/>
    <w:rsid w:val="005F67D5"/>
    <w:rsid w:val="00616F27"/>
    <w:rsid w:val="00624944"/>
    <w:rsid w:val="00625B3E"/>
    <w:rsid w:val="00631B86"/>
    <w:rsid w:val="00643872"/>
    <w:rsid w:val="00652A8F"/>
    <w:rsid w:val="0065521C"/>
    <w:rsid w:val="00656F2F"/>
    <w:rsid w:val="00660D2D"/>
    <w:rsid w:val="00661435"/>
    <w:rsid w:val="00661C0E"/>
    <w:rsid w:val="006670E8"/>
    <w:rsid w:val="006700DC"/>
    <w:rsid w:val="006746A4"/>
    <w:rsid w:val="00682FE1"/>
    <w:rsid w:val="0068510B"/>
    <w:rsid w:val="0069079F"/>
    <w:rsid w:val="00696BDD"/>
    <w:rsid w:val="006A3541"/>
    <w:rsid w:val="006A4B5A"/>
    <w:rsid w:val="006B7633"/>
    <w:rsid w:val="006C7964"/>
    <w:rsid w:val="006E0DA2"/>
    <w:rsid w:val="006E138E"/>
    <w:rsid w:val="006F2E46"/>
    <w:rsid w:val="006F3B7B"/>
    <w:rsid w:val="006F46DF"/>
    <w:rsid w:val="0070068E"/>
    <w:rsid w:val="00723E0D"/>
    <w:rsid w:val="0072539C"/>
    <w:rsid w:val="00727C5F"/>
    <w:rsid w:val="00730516"/>
    <w:rsid w:val="00732479"/>
    <w:rsid w:val="00736208"/>
    <w:rsid w:val="00736F10"/>
    <w:rsid w:val="007414D2"/>
    <w:rsid w:val="0074194A"/>
    <w:rsid w:val="00741F72"/>
    <w:rsid w:val="00743BEC"/>
    <w:rsid w:val="00747853"/>
    <w:rsid w:val="00766B1E"/>
    <w:rsid w:val="0077504F"/>
    <w:rsid w:val="007756C1"/>
    <w:rsid w:val="00777C7B"/>
    <w:rsid w:val="00786CE1"/>
    <w:rsid w:val="00791DA1"/>
    <w:rsid w:val="00795228"/>
    <w:rsid w:val="00796FDF"/>
    <w:rsid w:val="007A0559"/>
    <w:rsid w:val="007A0F5C"/>
    <w:rsid w:val="007A4027"/>
    <w:rsid w:val="007A5A05"/>
    <w:rsid w:val="007A73C3"/>
    <w:rsid w:val="007A764F"/>
    <w:rsid w:val="007A7B94"/>
    <w:rsid w:val="007C1B61"/>
    <w:rsid w:val="007C4151"/>
    <w:rsid w:val="007C5440"/>
    <w:rsid w:val="007C6428"/>
    <w:rsid w:val="007D1A6A"/>
    <w:rsid w:val="007D5296"/>
    <w:rsid w:val="007D5B0F"/>
    <w:rsid w:val="007F641E"/>
    <w:rsid w:val="008130BB"/>
    <w:rsid w:val="008168BF"/>
    <w:rsid w:val="00816E1A"/>
    <w:rsid w:val="00826D71"/>
    <w:rsid w:val="008272F6"/>
    <w:rsid w:val="00844D6B"/>
    <w:rsid w:val="00850128"/>
    <w:rsid w:val="008756C9"/>
    <w:rsid w:val="00881226"/>
    <w:rsid w:val="00891980"/>
    <w:rsid w:val="00891D6A"/>
    <w:rsid w:val="008955AD"/>
    <w:rsid w:val="00895D04"/>
    <w:rsid w:val="0089622E"/>
    <w:rsid w:val="008A34A7"/>
    <w:rsid w:val="008A5034"/>
    <w:rsid w:val="008B5871"/>
    <w:rsid w:val="008C174D"/>
    <w:rsid w:val="008D0506"/>
    <w:rsid w:val="008D1B41"/>
    <w:rsid w:val="008D1E93"/>
    <w:rsid w:val="008D2A07"/>
    <w:rsid w:val="008D4928"/>
    <w:rsid w:val="008D687D"/>
    <w:rsid w:val="008D69DC"/>
    <w:rsid w:val="00906889"/>
    <w:rsid w:val="00910DFA"/>
    <w:rsid w:val="00911746"/>
    <w:rsid w:val="009124CA"/>
    <w:rsid w:val="0091441B"/>
    <w:rsid w:val="00921FC6"/>
    <w:rsid w:val="009220B4"/>
    <w:rsid w:val="009276B4"/>
    <w:rsid w:val="00932500"/>
    <w:rsid w:val="009340C2"/>
    <w:rsid w:val="00940061"/>
    <w:rsid w:val="00941C89"/>
    <w:rsid w:val="009424D1"/>
    <w:rsid w:val="00943031"/>
    <w:rsid w:val="00947D11"/>
    <w:rsid w:val="00954127"/>
    <w:rsid w:val="00955FC6"/>
    <w:rsid w:val="009640EA"/>
    <w:rsid w:val="009675D0"/>
    <w:rsid w:val="00967B50"/>
    <w:rsid w:val="009723FB"/>
    <w:rsid w:val="00981026"/>
    <w:rsid w:val="009B2FFA"/>
    <w:rsid w:val="009B47DA"/>
    <w:rsid w:val="009C0B24"/>
    <w:rsid w:val="009C60B2"/>
    <w:rsid w:val="009C6D6A"/>
    <w:rsid w:val="009D10E4"/>
    <w:rsid w:val="009D113D"/>
    <w:rsid w:val="009D18CB"/>
    <w:rsid w:val="009D3B81"/>
    <w:rsid w:val="009D3E7B"/>
    <w:rsid w:val="009E0D9E"/>
    <w:rsid w:val="009F5563"/>
    <w:rsid w:val="009F6E89"/>
    <w:rsid w:val="00A07E78"/>
    <w:rsid w:val="00A11663"/>
    <w:rsid w:val="00A13135"/>
    <w:rsid w:val="00A13807"/>
    <w:rsid w:val="00A13CF0"/>
    <w:rsid w:val="00A24322"/>
    <w:rsid w:val="00A2573D"/>
    <w:rsid w:val="00A27EED"/>
    <w:rsid w:val="00A33E16"/>
    <w:rsid w:val="00A4187F"/>
    <w:rsid w:val="00A437B3"/>
    <w:rsid w:val="00A45DC5"/>
    <w:rsid w:val="00A46F0A"/>
    <w:rsid w:val="00A52498"/>
    <w:rsid w:val="00A52623"/>
    <w:rsid w:val="00A61831"/>
    <w:rsid w:val="00A65AED"/>
    <w:rsid w:val="00A72E9B"/>
    <w:rsid w:val="00A860D2"/>
    <w:rsid w:val="00A863BB"/>
    <w:rsid w:val="00A94428"/>
    <w:rsid w:val="00A94504"/>
    <w:rsid w:val="00AA2C2C"/>
    <w:rsid w:val="00AA3405"/>
    <w:rsid w:val="00AA6FC0"/>
    <w:rsid w:val="00AB1723"/>
    <w:rsid w:val="00AB499D"/>
    <w:rsid w:val="00AC5AB3"/>
    <w:rsid w:val="00AE2E1B"/>
    <w:rsid w:val="00B00C95"/>
    <w:rsid w:val="00B0463A"/>
    <w:rsid w:val="00B17D5D"/>
    <w:rsid w:val="00B22C09"/>
    <w:rsid w:val="00B22EBD"/>
    <w:rsid w:val="00B26769"/>
    <w:rsid w:val="00B26B24"/>
    <w:rsid w:val="00B313BB"/>
    <w:rsid w:val="00B347A8"/>
    <w:rsid w:val="00B37D57"/>
    <w:rsid w:val="00B46B59"/>
    <w:rsid w:val="00B52FB7"/>
    <w:rsid w:val="00B55F87"/>
    <w:rsid w:val="00B56EB9"/>
    <w:rsid w:val="00B745E0"/>
    <w:rsid w:val="00B76CB2"/>
    <w:rsid w:val="00B813AA"/>
    <w:rsid w:val="00B87CAA"/>
    <w:rsid w:val="00B96E1D"/>
    <w:rsid w:val="00BA6312"/>
    <w:rsid w:val="00BB4CAF"/>
    <w:rsid w:val="00BC35C1"/>
    <w:rsid w:val="00BC6550"/>
    <w:rsid w:val="00BC6BE4"/>
    <w:rsid w:val="00BD222C"/>
    <w:rsid w:val="00BD2E0C"/>
    <w:rsid w:val="00BF0BC3"/>
    <w:rsid w:val="00C015AF"/>
    <w:rsid w:val="00C06FE8"/>
    <w:rsid w:val="00C1677F"/>
    <w:rsid w:val="00C23024"/>
    <w:rsid w:val="00C35E5B"/>
    <w:rsid w:val="00C367E5"/>
    <w:rsid w:val="00C42479"/>
    <w:rsid w:val="00C60D04"/>
    <w:rsid w:val="00C645EF"/>
    <w:rsid w:val="00C7408F"/>
    <w:rsid w:val="00C75162"/>
    <w:rsid w:val="00C76AC8"/>
    <w:rsid w:val="00C77FA7"/>
    <w:rsid w:val="00C8553E"/>
    <w:rsid w:val="00C91E84"/>
    <w:rsid w:val="00CA0C0D"/>
    <w:rsid w:val="00CA17B3"/>
    <w:rsid w:val="00CA2287"/>
    <w:rsid w:val="00CA5EBC"/>
    <w:rsid w:val="00CB0065"/>
    <w:rsid w:val="00CB09C8"/>
    <w:rsid w:val="00CB2131"/>
    <w:rsid w:val="00CB4888"/>
    <w:rsid w:val="00CC1EC7"/>
    <w:rsid w:val="00CC30E6"/>
    <w:rsid w:val="00CC3A34"/>
    <w:rsid w:val="00CC7CDB"/>
    <w:rsid w:val="00CD361A"/>
    <w:rsid w:val="00CD4B6E"/>
    <w:rsid w:val="00CE575C"/>
    <w:rsid w:val="00CF66A6"/>
    <w:rsid w:val="00CF7942"/>
    <w:rsid w:val="00D04823"/>
    <w:rsid w:val="00D07B8E"/>
    <w:rsid w:val="00D14E25"/>
    <w:rsid w:val="00D17874"/>
    <w:rsid w:val="00D21C5A"/>
    <w:rsid w:val="00D2457F"/>
    <w:rsid w:val="00D27D05"/>
    <w:rsid w:val="00D305AC"/>
    <w:rsid w:val="00D32372"/>
    <w:rsid w:val="00D32F5A"/>
    <w:rsid w:val="00D41DDD"/>
    <w:rsid w:val="00D467C7"/>
    <w:rsid w:val="00D53273"/>
    <w:rsid w:val="00D5413E"/>
    <w:rsid w:val="00D6490F"/>
    <w:rsid w:val="00D715A9"/>
    <w:rsid w:val="00D83242"/>
    <w:rsid w:val="00D92ED6"/>
    <w:rsid w:val="00D96EF2"/>
    <w:rsid w:val="00DB1055"/>
    <w:rsid w:val="00DB1229"/>
    <w:rsid w:val="00DB25A7"/>
    <w:rsid w:val="00DB6B77"/>
    <w:rsid w:val="00DB75A6"/>
    <w:rsid w:val="00DE67B4"/>
    <w:rsid w:val="00DF17B3"/>
    <w:rsid w:val="00DF6D7B"/>
    <w:rsid w:val="00E0018E"/>
    <w:rsid w:val="00E11ABC"/>
    <w:rsid w:val="00E11DB3"/>
    <w:rsid w:val="00E12FFF"/>
    <w:rsid w:val="00E20CA2"/>
    <w:rsid w:val="00E25088"/>
    <w:rsid w:val="00E335B7"/>
    <w:rsid w:val="00E35109"/>
    <w:rsid w:val="00E44273"/>
    <w:rsid w:val="00E45FE6"/>
    <w:rsid w:val="00E46E27"/>
    <w:rsid w:val="00E50394"/>
    <w:rsid w:val="00E51145"/>
    <w:rsid w:val="00E8041C"/>
    <w:rsid w:val="00E87041"/>
    <w:rsid w:val="00E87362"/>
    <w:rsid w:val="00E902AC"/>
    <w:rsid w:val="00E9262A"/>
    <w:rsid w:val="00E92A56"/>
    <w:rsid w:val="00E93C5A"/>
    <w:rsid w:val="00EA7032"/>
    <w:rsid w:val="00EB3658"/>
    <w:rsid w:val="00EB3E3F"/>
    <w:rsid w:val="00EC03D8"/>
    <w:rsid w:val="00EC2242"/>
    <w:rsid w:val="00EC25EF"/>
    <w:rsid w:val="00EE2C1F"/>
    <w:rsid w:val="00EE309B"/>
    <w:rsid w:val="00EE6950"/>
    <w:rsid w:val="00EE74D2"/>
    <w:rsid w:val="00EE7A91"/>
    <w:rsid w:val="00F0305A"/>
    <w:rsid w:val="00F0508C"/>
    <w:rsid w:val="00F102FE"/>
    <w:rsid w:val="00F1065F"/>
    <w:rsid w:val="00F13B79"/>
    <w:rsid w:val="00F21663"/>
    <w:rsid w:val="00F35DBB"/>
    <w:rsid w:val="00F3608D"/>
    <w:rsid w:val="00F46D03"/>
    <w:rsid w:val="00F622DD"/>
    <w:rsid w:val="00F62694"/>
    <w:rsid w:val="00F706EB"/>
    <w:rsid w:val="00F81A5E"/>
    <w:rsid w:val="00F87C43"/>
    <w:rsid w:val="00F87E67"/>
    <w:rsid w:val="00F927E5"/>
    <w:rsid w:val="00F93BAA"/>
    <w:rsid w:val="00FA3751"/>
    <w:rsid w:val="00FB1E6E"/>
    <w:rsid w:val="00FB2F16"/>
    <w:rsid w:val="00FB4847"/>
    <w:rsid w:val="00FB6AB0"/>
    <w:rsid w:val="00FC06B0"/>
    <w:rsid w:val="00FC7E58"/>
    <w:rsid w:val="00FD6E10"/>
    <w:rsid w:val="00FD75DF"/>
    <w:rsid w:val="00FF3BDA"/>
    <w:rsid w:val="00FF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CA2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46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46EC"/>
    <w:rPr>
      <w:rFonts w:ascii="Consolas" w:hAnsi="Consolas"/>
      <w:sz w:val="21"/>
      <w:szCs w:val="21"/>
    </w:rPr>
  </w:style>
  <w:style w:type="paragraph" w:styleId="BalloonText">
    <w:name w:val="Balloon Text"/>
    <w:basedOn w:val="Normal"/>
    <w:link w:val="BalloonTextChar"/>
    <w:uiPriority w:val="99"/>
    <w:semiHidden/>
    <w:unhideWhenUsed/>
    <w:rsid w:val="003D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B5"/>
    <w:rPr>
      <w:rFonts w:ascii="Tahoma" w:hAnsi="Tahoma" w:cs="Tahoma"/>
      <w:sz w:val="16"/>
      <w:szCs w:val="16"/>
    </w:rPr>
  </w:style>
  <w:style w:type="character" w:styleId="PlaceholderText">
    <w:name w:val="Placeholder Text"/>
    <w:basedOn w:val="DefaultParagraphFont"/>
    <w:uiPriority w:val="99"/>
    <w:semiHidden/>
    <w:rsid w:val="00424233"/>
    <w:rPr>
      <w:color w:val="808080"/>
    </w:rPr>
  </w:style>
  <w:style w:type="character" w:styleId="Hyperlink">
    <w:name w:val="Hyperlink"/>
    <w:basedOn w:val="DefaultParagraphFont"/>
    <w:uiPriority w:val="99"/>
    <w:unhideWhenUsed/>
    <w:rsid w:val="00881226"/>
    <w:rPr>
      <w:color w:val="0000FF"/>
      <w:u w:val="single"/>
    </w:rPr>
  </w:style>
  <w:style w:type="character" w:customStyle="1" w:styleId="Heading1Char">
    <w:name w:val="Heading 1 Char"/>
    <w:basedOn w:val="DefaultParagraphFont"/>
    <w:link w:val="Heading1"/>
    <w:uiPriority w:val="9"/>
    <w:rsid w:val="00881226"/>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796FDF"/>
  </w:style>
  <w:style w:type="character" w:customStyle="1" w:styleId="Heading9Char">
    <w:name w:val="Heading 9 Char"/>
    <w:basedOn w:val="DefaultParagraphFont"/>
    <w:link w:val="Heading9"/>
    <w:uiPriority w:val="9"/>
    <w:semiHidden/>
    <w:rsid w:val="00CA228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2C09"/>
    <w:pPr>
      <w:ind w:left="720"/>
      <w:contextualSpacing/>
    </w:pPr>
  </w:style>
  <w:style w:type="paragraph" w:styleId="Caption">
    <w:name w:val="caption"/>
    <w:basedOn w:val="Normal"/>
    <w:next w:val="Normal"/>
    <w:uiPriority w:val="35"/>
    <w:unhideWhenUsed/>
    <w:qFormat/>
    <w:rsid w:val="0074194A"/>
    <w:pPr>
      <w:spacing w:line="240" w:lineRule="auto"/>
    </w:pPr>
    <w:rPr>
      <w:b/>
      <w:bCs/>
      <w:color w:val="4F81BD" w:themeColor="accent1"/>
      <w:sz w:val="18"/>
      <w:szCs w:val="18"/>
    </w:rPr>
  </w:style>
  <w:style w:type="table" w:styleId="TableGrid">
    <w:name w:val="Table Grid"/>
    <w:basedOn w:val="TableNormal"/>
    <w:uiPriority w:val="59"/>
    <w:rsid w:val="00F1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79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983"/>
  </w:style>
  <w:style w:type="paragraph" w:styleId="Footer">
    <w:name w:val="footer"/>
    <w:basedOn w:val="Normal"/>
    <w:link w:val="FooterChar"/>
    <w:uiPriority w:val="99"/>
    <w:unhideWhenUsed/>
    <w:rsid w:val="0019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983"/>
  </w:style>
  <w:style w:type="character" w:styleId="CommentReference">
    <w:name w:val="annotation reference"/>
    <w:basedOn w:val="DefaultParagraphFont"/>
    <w:uiPriority w:val="99"/>
    <w:semiHidden/>
    <w:unhideWhenUsed/>
    <w:rsid w:val="003C6EDF"/>
    <w:rPr>
      <w:sz w:val="16"/>
      <w:szCs w:val="16"/>
    </w:rPr>
  </w:style>
  <w:style w:type="paragraph" w:styleId="CommentText">
    <w:name w:val="annotation text"/>
    <w:basedOn w:val="Normal"/>
    <w:link w:val="CommentTextChar"/>
    <w:uiPriority w:val="99"/>
    <w:semiHidden/>
    <w:unhideWhenUsed/>
    <w:rsid w:val="003C6EDF"/>
    <w:pPr>
      <w:spacing w:line="240" w:lineRule="auto"/>
    </w:pPr>
    <w:rPr>
      <w:sz w:val="20"/>
      <w:szCs w:val="20"/>
    </w:rPr>
  </w:style>
  <w:style w:type="character" w:customStyle="1" w:styleId="CommentTextChar">
    <w:name w:val="Comment Text Char"/>
    <w:basedOn w:val="DefaultParagraphFont"/>
    <w:link w:val="CommentText"/>
    <w:uiPriority w:val="99"/>
    <w:semiHidden/>
    <w:rsid w:val="003C6EDF"/>
    <w:rPr>
      <w:sz w:val="20"/>
      <w:szCs w:val="20"/>
    </w:rPr>
  </w:style>
  <w:style w:type="paragraph" w:styleId="CommentSubject">
    <w:name w:val="annotation subject"/>
    <w:basedOn w:val="CommentText"/>
    <w:next w:val="CommentText"/>
    <w:link w:val="CommentSubjectChar"/>
    <w:uiPriority w:val="99"/>
    <w:semiHidden/>
    <w:unhideWhenUsed/>
    <w:rsid w:val="003C6EDF"/>
    <w:rPr>
      <w:b/>
      <w:bCs/>
    </w:rPr>
  </w:style>
  <w:style w:type="character" w:customStyle="1" w:styleId="CommentSubjectChar">
    <w:name w:val="Comment Subject Char"/>
    <w:basedOn w:val="CommentTextChar"/>
    <w:link w:val="CommentSubject"/>
    <w:uiPriority w:val="99"/>
    <w:semiHidden/>
    <w:rsid w:val="003C6EDF"/>
    <w:rPr>
      <w:b/>
      <w:bCs/>
      <w:sz w:val="20"/>
      <w:szCs w:val="20"/>
    </w:rPr>
  </w:style>
  <w:style w:type="paragraph" w:styleId="Bibliography">
    <w:name w:val="Bibliography"/>
    <w:basedOn w:val="Normal"/>
    <w:next w:val="Normal"/>
    <w:uiPriority w:val="37"/>
    <w:unhideWhenUsed/>
    <w:rsid w:val="00AA2C2C"/>
  </w:style>
  <w:style w:type="paragraph" w:styleId="Revision">
    <w:name w:val="Revision"/>
    <w:hidden/>
    <w:uiPriority w:val="99"/>
    <w:semiHidden/>
    <w:rsid w:val="009D3E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CA2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46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46EC"/>
    <w:rPr>
      <w:rFonts w:ascii="Consolas" w:hAnsi="Consolas"/>
      <w:sz w:val="21"/>
      <w:szCs w:val="21"/>
    </w:rPr>
  </w:style>
  <w:style w:type="paragraph" w:styleId="BalloonText">
    <w:name w:val="Balloon Text"/>
    <w:basedOn w:val="Normal"/>
    <w:link w:val="BalloonTextChar"/>
    <w:uiPriority w:val="99"/>
    <w:semiHidden/>
    <w:unhideWhenUsed/>
    <w:rsid w:val="003D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B5"/>
    <w:rPr>
      <w:rFonts w:ascii="Tahoma" w:hAnsi="Tahoma" w:cs="Tahoma"/>
      <w:sz w:val="16"/>
      <w:szCs w:val="16"/>
    </w:rPr>
  </w:style>
  <w:style w:type="character" w:styleId="PlaceholderText">
    <w:name w:val="Placeholder Text"/>
    <w:basedOn w:val="DefaultParagraphFont"/>
    <w:uiPriority w:val="99"/>
    <w:semiHidden/>
    <w:rsid w:val="00424233"/>
    <w:rPr>
      <w:color w:val="808080"/>
    </w:rPr>
  </w:style>
  <w:style w:type="character" w:styleId="Hyperlink">
    <w:name w:val="Hyperlink"/>
    <w:basedOn w:val="DefaultParagraphFont"/>
    <w:uiPriority w:val="99"/>
    <w:unhideWhenUsed/>
    <w:rsid w:val="00881226"/>
    <w:rPr>
      <w:color w:val="0000FF"/>
      <w:u w:val="single"/>
    </w:rPr>
  </w:style>
  <w:style w:type="character" w:customStyle="1" w:styleId="Heading1Char">
    <w:name w:val="Heading 1 Char"/>
    <w:basedOn w:val="DefaultParagraphFont"/>
    <w:link w:val="Heading1"/>
    <w:uiPriority w:val="9"/>
    <w:rsid w:val="00881226"/>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796FDF"/>
  </w:style>
  <w:style w:type="character" w:customStyle="1" w:styleId="Heading9Char">
    <w:name w:val="Heading 9 Char"/>
    <w:basedOn w:val="DefaultParagraphFont"/>
    <w:link w:val="Heading9"/>
    <w:uiPriority w:val="9"/>
    <w:semiHidden/>
    <w:rsid w:val="00CA228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2C09"/>
    <w:pPr>
      <w:ind w:left="720"/>
      <w:contextualSpacing/>
    </w:pPr>
  </w:style>
  <w:style w:type="paragraph" w:styleId="Caption">
    <w:name w:val="caption"/>
    <w:basedOn w:val="Normal"/>
    <w:next w:val="Normal"/>
    <w:uiPriority w:val="35"/>
    <w:unhideWhenUsed/>
    <w:qFormat/>
    <w:rsid w:val="0074194A"/>
    <w:pPr>
      <w:spacing w:line="240" w:lineRule="auto"/>
    </w:pPr>
    <w:rPr>
      <w:b/>
      <w:bCs/>
      <w:color w:val="4F81BD" w:themeColor="accent1"/>
      <w:sz w:val="18"/>
      <w:szCs w:val="18"/>
    </w:rPr>
  </w:style>
  <w:style w:type="table" w:styleId="TableGrid">
    <w:name w:val="Table Grid"/>
    <w:basedOn w:val="TableNormal"/>
    <w:uiPriority w:val="59"/>
    <w:rsid w:val="00F1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79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983"/>
  </w:style>
  <w:style w:type="paragraph" w:styleId="Footer">
    <w:name w:val="footer"/>
    <w:basedOn w:val="Normal"/>
    <w:link w:val="FooterChar"/>
    <w:uiPriority w:val="99"/>
    <w:unhideWhenUsed/>
    <w:rsid w:val="0019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983"/>
  </w:style>
  <w:style w:type="character" w:styleId="CommentReference">
    <w:name w:val="annotation reference"/>
    <w:basedOn w:val="DefaultParagraphFont"/>
    <w:uiPriority w:val="99"/>
    <w:semiHidden/>
    <w:unhideWhenUsed/>
    <w:rsid w:val="003C6EDF"/>
    <w:rPr>
      <w:sz w:val="16"/>
      <w:szCs w:val="16"/>
    </w:rPr>
  </w:style>
  <w:style w:type="paragraph" w:styleId="CommentText">
    <w:name w:val="annotation text"/>
    <w:basedOn w:val="Normal"/>
    <w:link w:val="CommentTextChar"/>
    <w:uiPriority w:val="99"/>
    <w:semiHidden/>
    <w:unhideWhenUsed/>
    <w:rsid w:val="003C6EDF"/>
    <w:pPr>
      <w:spacing w:line="240" w:lineRule="auto"/>
    </w:pPr>
    <w:rPr>
      <w:sz w:val="20"/>
      <w:szCs w:val="20"/>
    </w:rPr>
  </w:style>
  <w:style w:type="character" w:customStyle="1" w:styleId="CommentTextChar">
    <w:name w:val="Comment Text Char"/>
    <w:basedOn w:val="DefaultParagraphFont"/>
    <w:link w:val="CommentText"/>
    <w:uiPriority w:val="99"/>
    <w:semiHidden/>
    <w:rsid w:val="003C6EDF"/>
    <w:rPr>
      <w:sz w:val="20"/>
      <w:szCs w:val="20"/>
    </w:rPr>
  </w:style>
  <w:style w:type="paragraph" w:styleId="CommentSubject">
    <w:name w:val="annotation subject"/>
    <w:basedOn w:val="CommentText"/>
    <w:next w:val="CommentText"/>
    <w:link w:val="CommentSubjectChar"/>
    <w:uiPriority w:val="99"/>
    <w:semiHidden/>
    <w:unhideWhenUsed/>
    <w:rsid w:val="003C6EDF"/>
    <w:rPr>
      <w:b/>
      <w:bCs/>
    </w:rPr>
  </w:style>
  <w:style w:type="character" w:customStyle="1" w:styleId="CommentSubjectChar">
    <w:name w:val="Comment Subject Char"/>
    <w:basedOn w:val="CommentTextChar"/>
    <w:link w:val="CommentSubject"/>
    <w:uiPriority w:val="99"/>
    <w:semiHidden/>
    <w:rsid w:val="003C6EDF"/>
    <w:rPr>
      <w:b/>
      <w:bCs/>
      <w:sz w:val="20"/>
      <w:szCs w:val="20"/>
    </w:rPr>
  </w:style>
  <w:style w:type="paragraph" w:styleId="Bibliography">
    <w:name w:val="Bibliography"/>
    <w:basedOn w:val="Normal"/>
    <w:next w:val="Normal"/>
    <w:uiPriority w:val="37"/>
    <w:unhideWhenUsed/>
    <w:rsid w:val="00AA2C2C"/>
  </w:style>
  <w:style w:type="paragraph" w:styleId="Revision">
    <w:name w:val="Revision"/>
    <w:hidden/>
    <w:uiPriority w:val="99"/>
    <w:semiHidden/>
    <w:rsid w:val="009D3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7766">
      <w:bodyDiv w:val="1"/>
      <w:marLeft w:val="0"/>
      <w:marRight w:val="0"/>
      <w:marTop w:val="0"/>
      <w:marBottom w:val="0"/>
      <w:divBdr>
        <w:top w:val="none" w:sz="0" w:space="0" w:color="auto"/>
        <w:left w:val="none" w:sz="0" w:space="0" w:color="auto"/>
        <w:bottom w:val="none" w:sz="0" w:space="0" w:color="auto"/>
        <w:right w:val="none" w:sz="0" w:space="0" w:color="auto"/>
      </w:divBdr>
    </w:div>
    <w:div w:id="1143542851">
      <w:bodyDiv w:val="1"/>
      <w:marLeft w:val="0"/>
      <w:marRight w:val="0"/>
      <w:marTop w:val="0"/>
      <w:marBottom w:val="0"/>
      <w:divBdr>
        <w:top w:val="none" w:sz="0" w:space="0" w:color="auto"/>
        <w:left w:val="none" w:sz="0" w:space="0" w:color="auto"/>
        <w:bottom w:val="none" w:sz="0" w:space="0" w:color="auto"/>
        <w:right w:val="none" w:sz="0" w:space="0" w:color="auto"/>
      </w:divBdr>
    </w:div>
    <w:div w:id="1623069692">
      <w:bodyDiv w:val="1"/>
      <w:marLeft w:val="0"/>
      <w:marRight w:val="0"/>
      <w:marTop w:val="0"/>
      <w:marBottom w:val="0"/>
      <w:divBdr>
        <w:top w:val="none" w:sz="0" w:space="0" w:color="auto"/>
        <w:left w:val="none" w:sz="0" w:space="0" w:color="auto"/>
        <w:bottom w:val="none" w:sz="0" w:space="0" w:color="auto"/>
        <w:right w:val="none" w:sz="0" w:space="0" w:color="auto"/>
      </w:divBdr>
    </w:div>
    <w:div w:id="19548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Sta11</b:Tag>
    <b:SourceType>JournalArticle</b:SourceType>
    <b:Guid>{92105AB5-991D-461D-B348-DC0096C14DBF}</b:Guid>
    <b:Author>
      <b:Author>
        <b:NameList>
          <b:Person>
            <b:Last>Starkie HJ</b:Last>
            <b:First>Briggs</b:First>
            <b:Middle>AH, Chambers MG, Jones P</b:Middle>
          </b:Person>
        </b:NameList>
      </b:Author>
    </b:Author>
    <b:Title>Predicting EQ-5D values using the SGRQ</b:Title>
    <b:JournalName>Value Health</b:JournalName>
    <b:Year>2011</b:Year>
    <b:Pages>354-360</b:Pages>
    <b:Volume>14</b:Volume>
    <b:RefOrder>1</b:RefOrder>
  </b:Source>
  <b:Source>
    <b:Tag>Ask11</b:Tag>
    <b:SourceType>JournalArticle</b:SourceType>
    <b:Guid>{8019B8E9-9752-49B6-A570-567F17A7402B}</b:Guid>
    <b:Author>
      <b:Author>
        <b:NameList>
          <b:Person>
            <b:Last>Askew RL</b:Last>
            <b:First>Swartz</b:First>
            <b:Middle>RJ, Xing Y, et al.</b:Middle>
          </b:Person>
        </b:NameList>
      </b:Author>
    </b:Author>
    <b:Title>Mapping FACT-melanoma quality-of-life scores to EQ-5D health utility weights</b:Title>
    <b:Year>2011</b:Year>
    <b:Volume>14</b:Volume>
    <b:JournalName>Value Health</b:JournalName>
    <b:Pages>900-906</b:Pages>
    <b:RefOrder>2</b:RefOrder>
  </b:Source>
  <b:Source>
    <b:Tag>Gil12</b:Tag>
    <b:SourceType>JournalArticle</b:SourceType>
    <b:Guid>{6B9787C3-797E-4A01-A144-91594924A933}</b:Guid>
    <b:Author>
      <b:Author>
        <b:NameList>
          <b:Person>
            <b:Last>Gillard PJ</b:Last>
            <b:First>Devine</b:First>
            <b:Middle>B, Varon SF, et al.</b:Middle>
          </b:Person>
        </b:NameList>
      </b:Author>
    </b:Author>
    <b:Title>Mapping from disease-specific measures to health-state utility values in individuals with migraine</b:Title>
    <b:Year>2012</b:Year>
    <b:JournalName>Value Health</b:JournalName>
    <b:Pages>485-494</b:Pages>
    <b:RefOrder>3</b:RefOrder>
  </b:Source>
  <b:Source>
    <b:Tag>Xie10</b:Tag>
    <b:SourceType>JournalArticle</b:SourceType>
    <b:Guid>{033D9354-5D24-4E80-B064-0FC561FDEE6B}</b:Guid>
    <b:Author>
      <b:Author>
        <b:NameList>
          <b:Person>
            <b:Last>Xie F</b:Last>
            <b:First>Pullenayegum</b:First>
            <b:Middle>EM, Li SC, et al.</b:Middle>
          </b:Person>
        </b:NameList>
      </b:Author>
    </b:Author>
    <b:Title>Use of a disease-specific instrument in economic evaluations: mapping WOMAC onto the EQ-5D utility index.</b:Title>
    <b:Year>2010</b:Year>
    <b:JournalName>Value Health</b:JournalName>
    <b:Pages>873-878</b:Pages>
    <b:RefOrder>4</b:RefOrder>
  </b:Source>
  <b:Source>
    <b:Tag>Ban05</b:Tag>
    <b:SourceType>JournalArticle</b:SourceType>
    <b:Guid>{DDD16F63-9434-41BD-AC65-5DC361F26271}</b:Guid>
    <b:Author>
      <b:Author>
        <b:NameList>
          <b:Person>
            <b:Last>Bansback</b:Last>
            <b:First>NJ,</b:First>
            <b:Middle>Brennan, A, Ghatnekar, O</b:Middle>
          </b:Person>
        </b:NameList>
      </b:Author>
    </b:Author>
    <b:Title>Cost effectiveness of adalimumab in the treatment of patients with moderate to severe rheumatoid arthritis</b:Title>
    <b:Year>2005</b:Year>
    <b:Volume>64</b:Volume>
    <b:JournalName>Annals of Rheum Diseases</b:JournalName>
    <b:Pages>995-1002</b:Pages>
    <b:RefOrder>5</b:RefOrder>
  </b:Source>
  <b:Source>
    <b:Tag>6Ha</b:Tag>
    <b:SourceType>JournalArticle</b:SourceType>
    <b:Guid>{899E7F70-AAC8-4B34-B328-A70943200FD6}</b:Guid>
    <b:Author>
      <b:Author>
        <b:NameList>
          <b:Person>
            <b:Last>Harrison</b:Last>
            <b:First>M.</b:First>
            <b:Middle>J., Lunt, M., Verstappen, S. M. M., Watson, K. D., Bansback, N. J. and Symmons, D. P. M.</b:Middle>
          </b:Person>
        </b:NameList>
      </b:Author>
    </b:Author>
    <b:Title>Exploring the validity of estimating EQ-5D and SF-6D utility values from the health assessment questionnaire in patients with inflammatory arthritis</b:Title>
    <b:Year>2010</b:Year>
    <b:Volume>8</b:Volume>
    <b:Issue>21</b:Issue>
    <b:JournalName>Health and Quality of Life Outcomes</b:JournalName>
    <b:RefOrder>6</b:RefOrder>
  </b:Source>
  <b:Source>
    <b:Tag>Tay09</b:Tag>
    <b:SourceType>JournalArticle</b:SourceType>
    <b:Guid>{980D3322-EC34-4789-9EE7-C11C76D1DC8C}</b:Guid>
    <b:Author>
      <b:Author>
        <b:NameList>
          <b:Person>
            <b:Last>Taylor</b:Last>
            <b:First>R.</b:First>
            <b:Middle>S. and Elston, J.</b:Middle>
          </b:Person>
        </b:NameList>
      </b:Author>
    </b:Author>
    <b:Title>The use of surrogate outcomes in model-based cost-effectiveness analyses: a survey of UK Health Technology Assessment reports</b:Title>
    <b:Year>2009</b:Year>
    <b:Volume>13</b:Volume>
    <b:Issue>8</b:Issue>
    <b:JournalName>Health Technology Assessment</b:JournalName>
    <b:Pages>iii,ix-xi, 1-50</b:Pages>
    <b:RefOrder>7</b:RefOrder>
  </b:Source>
  <b:Source>
    <b:Tag>Nam03</b:Tag>
    <b:SourceType>JournalArticle</b:SourceType>
    <b:Guid>{1C63426B-44E8-4DE9-B78E-5791E1809112}</b:Guid>
    <b:Author>
      <b:Author>
        <b:NameList>
          <b:Person>
            <b:Last>Nam I-S</b:Last>
            <b:First>Mengersen</b:First>
            <b:Middle>K, Garthwaite P</b:Middle>
          </b:Person>
        </b:NameList>
      </b:Author>
    </b:Author>
    <b:Title>Multivariate meta-analysis</b:Title>
    <b:Year>2003</b:Year>
    <b:Volume>22</b:Volume>
    <b:JournalName>Statistics in Medicine</b:JournalName>
    <b:Pages>2309–2333</b:Pages>
    <b:RefOrder>10</b:RefOrder>
  </b:Source>
  <b:Source>
    <b:Tag>Ril07</b:Tag>
    <b:SourceType>JournalArticle</b:SourceType>
    <b:Guid>{B62D88FE-CF54-4D7D-A4CC-4B1656B66ABD}</b:Guid>
    <b:Author>
      <b:Author>
        <b:NameList>
          <b:Person>
            <b:Last>Riley</b:Last>
            <b:First>R.</b:First>
            <b:Middle>D., Abrams, K. R., Lambert, P. C., Sutton, A. J., and Thompson, J. R.</b:Middle>
          </b:Person>
        </b:NameList>
      </b:Author>
    </b:Author>
    <b:Title>An evaluation of bivariate random-effects meta-analysis for the joint synthesis of two correlated outcomes</b:Title>
    <b:Year>2007</b:Year>
    <b:Volume>26</b:Volume>
    <b:JournalName>Statistics in Medicine</b:JournalName>
    <b:Pages>78-97</b:Pages>
    <b:RefOrder>11</b:RefOrder>
  </b:Source>
  <b:Source>
    <b:Tag>Jac12</b:Tag>
    <b:SourceType>JournalArticle</b:SourceType>
    <b:Guid>{41DDF658-2925-4372-835F-2E50A838773B}</b:Guid>
    <b:Author>
      <b:Author>
        <b:NameList>
          <b:Person>
            <b:Last>Jackson</b:Last>
            <b:First>D.,</b:First>
            <b:Middle>Riley, R. and White I. R.</b:Middle>
          </b:Person>
        </b:NameList>
      </b:Author>
    </b:Author>
    <b:Title>Multivariate meta-analysis: Potential and promise</b:Title>
    <b:Year>2012</b:Year>
    <b:Volume>30</b:Volume>
    <b:JournalName>Statistics in Medicine</b:JournalName>
    <b:Pages>2481-2498</b:Pages>
    <b:RefOrder>12</b:RefOrder>
  </b:Source>
  <b:Source>
    <b:Tag>Kir12</b:Tag>
    <b:SourceType>JournalArticle</b:SourceType>
    <b:Guid>{39DD59E1-9797-4D4E-B762-A82544246163}</b:Guid>
    <b:Author>
      <b:Author>
        <b:NameList>
          <b:Person>
            <b:Last>Kirkham</b:Last>
            <b:First>J.</b:First>
            <b:Middle>J., Riley, R. D., and Williamson, P. R.</b:Middle>
          </b:Person>
        </b:NameList>
      </b:Author>
    </b:Author>
    <b:Title>A multivariate meta-analysis approach for reducing the impact of outcome reporting bias in systematic reviews</b:Title>
    <b:Year>2012</b:Year>
    <b:JournalName> Statistics in Medicine</b:JournalName>
    <b:Pages>published online 25 April 2012</b:Pages>
    <b:RefOrder>8</b:RefOrder>
  </b:Source>
  <b:Source>
    <b:Tag>Dei10</b:Tag>
    <b:SourceType>JournalArticle</b:SourceType>
    <b:Guid>{CAEC0F94-8033-4554-AF9A-4CD4646BC338}</b:Guid>
    <b:Author>
      <b:Author>
        <b:NameList>
          <b:Person>
            <b:Last>Deighton</b:Last>
            <b:First>C</b:First>
          </b:Person>
        </b:NameList>
      </b:Author>
    </b:Author>
    <b:Title>If it works why can’t we have it? Sequential anti-TNF therapy in the UK</b:Title>
    <b:Year>2010</b:Year>
    <b:Volume>49</b:Volume>
    <b:JournalName>Rheumatology</b:JournalName>
    <b:Pages>2235-2236</b:Pages>
    <b:RefOrder>13</b:RefOrder>
  </b:Source>
  <b:Source>
    <b:Tag>Llo10</b:Tag>
    <b:SourceType>JournalArticle</b:SourceType>
    <b:Guid>{4D61DE17-B112-4642-B859-41C0C3CEBC02}</b:Guid>
    <b:Author>
      <b:Author>
        <b:NameList>
          <b:Person>
            <b:Last>Lloyd</b:Last>
            <b:First>S.,</b:First>
            <b:Middle>Bujkiewicz, S., Wailoo, A. J., Sutton, A. J. and Scott, D.</b:Middle>
          </b:Person>
        </b:NameList>
      </b:Author>
    </b:Author>
    <b:Title>The effectiveness of anti-TNF-alpha therapies when used sequentially in rheumatoid arthritis patients: a systematic review and meta-analysis</b:Title>
    <b:Year>2010</b:Year>
    <b:Volume>49</b:Volume>
    <b:JournalName>Rheumatology</b:JournalName>
    <b:Pages>2313-2321</b:Pages>
    <b:RefOrder>14</b:RefOrder>
  </b:Source>
  <b:Source>
    <b:Tag>21S</b:Tag>
    <b:SourceType>JournalArticle</b:SourceType>
    <b:Guid>{9AAF8B81-5C94-4F5D-A39A-AE814913B0C8}</b:Guid>
    <b:Author>
      <b:Author>
        <b:NameList>
          <b:Person>
            <b:Last>Symmons</b:Last>
            <b:First>D.</b:First>
            <b:Middle>P. M., Tricker, K., Harrison, M. J., Roberts, C., Davis, M., Dawes, P., Hassell, A.,Knight, S., Mulherin, D. and Scott, D.</b:Middle>
          </b:Person>
        </b:NameList>
      </b:Author>
    </b:Author>
    <b:Title>Patients with stable long-standing rheumatoid arthritis continue to deteriorate despite intensified treatment with traditional disease modifying anti-rheumatic drugs - results of the British Rheumatoid Outcome Study Group randomized controlled clinical tr</b:Title>
    <b:Year>2006</b:Year>
    <b:Volume>45</b:Volume>
    <b:JournalName>Rheumatology</b:JournalName>
    <b:Pages>558-565</b:Pages>
    <b:RefOrder>15</b:RefOrder>
  </b:Source>
  <b:Source xmlns:b="http://schemas.openxmlformats.org/officeDocument/2006/bibliography">
    <b:Tag>Che06</b:Tag>
    <b:SourceType>JournalArticle</b:SourceType>
    <b:Guid>{E7A3EDB4-214E-4D81-B8E9-79B0436D3435}</b:Guid>
    <b:Author>
      <b:Author>
        <b:NameList>
          <b:Person>
            <b:Last>Chen</b:Last>
            <b:First>Y.-F.,</b:First>
            <b:Middle>Jobanputra, P., Barton, B., Jowett, S., Bryan, S., Clark,W., Fry-Smith A., and Burls, A.</b:Middle>
          </b:Person>
        </b:NameList>
      </b:Author>
    </b:Author>
    <b:Title>A systematic review of the effectiveness of adalimumab, etanercept and iniximab for the treatment of rheumatoid arthritis in adults and an ec</b:Title>
    <b:Year>2006</b:Year>
    <b:RefOrder>16</b:RefOrder>
  </b:Source>
  <b:Source>
    <b:Tag>Spi03</b:Tag>
    <b:SourceType>JournalArticle</b:SourceType>
    <b:Guid>{C73F1B45-85CD-45A5-8294-74CEE3151922}</b:Guid>
    <b:Author>
      <b:Author>
        <b:NameList>
          <b:Person>
            <b:Last>Spiegelhalter</b:Last>
            <b:First>D.,</b:First>
            <b:Middle>Thomas, A., Best, N. and Lunn, D.</b:Middle>
          </b:Person>
        </b:NameList>
      </b:Author>
    </b:Author>
    <b:Title>WinBUGS User Manual.</b:Title>
    <b:Year>2003</b:Year>
    <b:RefOrder>17</b:RefOrder>
  </b:Source>
  <b:Source>
    <b:Tag>Hur97</b:Tag>
    <b:SourceType>JournalArticle</b:SourceType>
    <b:Guid>{8651430F-38BB-49E3-8F80-438AD542FEB7}</b:Guid>
    <b:Author>
      <b:Author>
        <b:NameList>
          <b:Person>
            <b:Last>Hurst NP</b:Last>
            <b:First>Kind</b:First>
            <b:Middle>P., Ruta D, Hunter M, Stubbings Al</b:Middle>
          </b:Person>
        </b:NameList>
      </b:Author>
    </b:Author>
    <b:Title>Measuring health-related quality of life in rheumatoid arthritis: validity, responsiveness and reliability of EuroQoL (EQ-5D)</b:Title>
    <b:Year>1997</b:Year>
    <b:Volume>36</b:Volume>
    <b:JournalName>British Journal of Rheumatology</b:JournalName>
    <b:Pages>551-559</b:Pages>
    <b:RefOrder>20</b:RefOrder>
  </b:Source>
  <b:Source>
    <b:Tag>Spi04</b:Tag>
    <b:SourceType>Book</b:SourceType>
    <b:Guid>{9140B406-C57A-48FB-9F71-636D7CD7F519}</b:Guid>
    <b:Author>
      <b:Author>
        <b:NameList>
          <b:Person>
            <b:Last>Spiegelhalter DJ</b:Last>
            <b:First>Abrams</b:First>
            <b:Middle>KR, Myles JP.</b:Middle>
          </b:Person>
        </b:NameList>
      </b:Author>
    </b:Author>
    <b:Title>Bayesian Approaches to Clinical Trials and Health-Care Evaluation</b:Title>
    <b:Year>2004</b:Year>
    <b:Publisher>John Wiley and Sons, Ltd</b:Publisher>
    <b:RefOrder>21</b:RefOrder>
  </b:Source>
  <b:Source>
    <b:Tag>Tur09</b:Tag>
    <b:SourceType>JournalArticle</b:SourceType>
    <b:Guid>{607BAC6C-982C-477D-92A5-C81DFDD048DE}</b:Guid>
    <b:Author>
      <b:Author>
        <b:NameList>
          <b:Person>
            <b:Last>Turner</b:Last>
            <b:First>R.</b:First>
            <b:Middle>M., Spiegelhalter, D. J., Smith, G. C. S. and Thompson, S. G.</b:Middle>
          </b:Person>
        </b:NameList>
      </b:Author>
    </b:Author>
    <b:Title>Bias modelling in evidence synthesis</b:Title>
    <b:Year>2009</b:Year>
    <b:Volume>172</b:Volume>
    <b:Pages>21--47</b:Pages>
    <b:JournalName>Journal of the Royal Statistical Society A</b:JournalName>
    <b:RefOrder>24</b:RefOrder>
  </b:Source>
  <b:Source>
    <b:Tag>Coo05</b:Tag>
    <b:SourceType>JournalArticle</b:SourceType>
    <b:Guid>{97B72172-8CF5-4E6A-87C2-2B4EB9201278}</b:Guid>
    <b:Author>
      <b:Author>
        <b:NameList>
          <b:Person>
            <b:Last>Cooper</b:Last>
            <b:First>N.,</b:First>
            <b:Middle>Coyle, D., Abrams, K., Mugford, M., and Sutton, A.</b:Middle>
          </b:Person>
        </b:NameList>
      </b:Author>
    </b:Author>
    <b:Title>Use of evidence in decision models: an appraisal of health technology assessments in the UK since 1997</b:Title>
    <b:Year>2005</b:Year>
    <b:Volume>10</b:Volume>
    <b:JournalName>J Health Serv Res Policy</b:JournalName>
    <b:Pages>245--250</b:Pages>
    <b:RefOrder>28</b:RefOrder>
  </b:Source>
  <b:Source>
    <b:Tag>Mas10</b:Tag>
    <b:SourceType>JournalArticle</b:SourceType>
    <b:Guid>{E77A9CAD-C974-4C2B-AA44-5008934CFF72}</b:Guid>
    <b:Author>
      <b:Author>
        <b:NameList>
          <b:Person>
            <b:Last>Mason</b:Last>
            <b:First>A.,</b:First>
            <b:Middle>Drummond, M. , Ramsey, S., Campbell, J. and Raisch, D.</b:Middle>
          </b:Person>
        </b:NameList>
      </b:Author>
    </b:Author>
    <b:Title>Comparison of anticancer drug coverage decisions in the United States and United Kingdom: does the evidence support rhetoric?  </b:Title>
    <b:Year>2010</b:Year>
    <b:Volume>28</b:Volume>
    <b:JournalName>J Clin Onc</b:JournalName>
    <b:Pages>3234--3238</b:Pages>
    <b:RefOrder>30</b:RefOrder>
  </b:Source>
  <b:Source>
    <b:Tag>Coo09</b:Tag>
    <b:SourceType>JournalArticle</b:SourceType>
    <b:Guid>{56149CEC-72A6-41E9-8440-86A8FECD7EE0}</b:Guid>
    <b:Author>
      <b:Author>
        <b:NameList>
          <b:Person>
            <b:Last>Coons</b:Last>
            <b:First>S.</b:First>
            <b:Middle>J.</b:Middle>
          </b:Person>
        </b:NameList>
      </b:Author>
    </b:Author>
    <b:Title>The FDA's critical path initiative: a brief introduction</b:Title>
    <b:Year>2009</b:Year>
    <b:Volume>31</b:Volume>
    <b:JournalName>Clinical Therapeutics</b:JournalName>
    <b:Pages>2572--2573</b:Pages>
    <b:RefOrder>31</b:RefOrder>
  </b:Source>
  <b:Source>
    <b:Tag>Pre</b:Tag>
    <b:SourceType>JournalArticle</b:SourceType>
    <b:Guid>{9F8ADDA6-D43B-40E5-9AEB-638009606846}</b:Guid>
    <b:Author>
      <b:Author>
        <b:NameList>
          <b:Person>
            <b:Last>Prevoo MLL</b:Last>
            <b:First>Vanthof</b:First>
            <b:Middle>MA, Kuper HH, Vanleeuwen MA, Vandeputte LBA, Vanriel PLCM</b:Middle>
          </b:Person>
        </b:NameList>
      </b:Author>
    </b:Author>
    <b:Title>Modified Disease-Activity Scores That Include 28-Joint Counts - Development and Validation in A Prospective Longitudinal-Study of Patients with Rheumatoid-Arthritis</b:Title>
    <b:JournalName>Arthritis Rheum  Jan</b:JournalName>
    <b:Year>1995</b:Year>
    <b:Volume>38</b:Volume>
    <b:Issue>1</b:Issue>
    <b:Pages>44-8</b:Pages>
    <b:RefOrder>32</b:RefOrder>
  </b:Source>
  <b:Source>
    <b:Tag>Fel95</b:Tag>
    <b:SourceType>JournalArticle</b:SourceType>
    <b:Guid>{951F09D5-9B97-4B28-90D3-984216D19244}</b:Guid>
    <b:Author>
      <b:Author>
        <b:NameList>
          <b:Person>
            <b:Last>Felson DT</b:Last>
            <b:First>Anderson</b:First>
            <b:Middle>JJ, Boers M, Bombardier C, Furst D, Goldsmith C, et al.</b:Middle>
          </b:Person>
        </b:NameList>
      </b:Author>
    </b:Author>
    <b:Title>American College of Rheumatology preliminary definition of improvement in rheumatoid arthritis</b:Title>
    <b:Year>1995</b:Year>
    <b:Volume>38</b:Volume>
    <b:Issue>6</b:Issue>
    <b:JournalName>Arthritis Rheum </b:JournalName>
    <b:Pages>727-35</b:Pages>
    <b:RefOrder>33</b:RefOrder>
  </b:Source>
  <b:Source>
    <b:Tag>Kir86</b:Tag>
    <b:SourceType>JournalArticle</b:SourceType>
    <b:Guid>{94CB2815-9BAD-4D8A-A5CA-C9D74248A8D3}</b:Guid>
    <b:Author>
      <b:Author>
        <b:NameList>
          <b:Person>
            <b:Last>Kirwan JR</b:Last>
            <b:First>Reeback</b:First>
            <b:Middle>JS</b:Middle>
          </b:Person>
        </b:NameList>
      </b:Author>
    </b:Author>
    <b:Title>Stanford Health Assessment Questionnaire modified to assess disability in British patients with rheumatoid arthritis</b:Title>
    <b:Year>1986</b:Year>
    <b:Volume>25</b:Volume>
    <b:Issue>2</b:Issue>
    <b:JournalName> Br J Rheumatol</b:JournalName>
    <b:Pages>206-9</b:Pages>
    <b:RefOrder>34</b:RefOrder>
  </b:Source>
  <b:Source>
    <b:Tag>BJS07</b:Tag>
    <b:SourceType>JournalArticle</b:SourceType>
    <b:Guid>{D277A54D-E80E-47E4-91D9-BAF70B73C202}</b:Guid>
    <b:Author>
      <b:Author>
        <b:NameList>
          <b:Person>
            <b:Last>Smith</b:Last>
            <b:First>BJ</b:First>
          </b:Person>
        </b:NameList>
      </b:Author>
    </b:Author>
    <b:Title>boa: An R Package for MCMC Output Convergence Assessment and Posterior Inference</b:Title>
    <b:Year>2007</b:Year>
    <b:Volume>21</b:Volume>
    <b:Issue>11</b:Issue>
    <b:JournalName>Journal of Statistical Software</b:JournalName>
    <b:RefOrder>22</b:RefOrder>
  </b:Source>
  <b:Source>
    <b:Tag>Eur07</b:Tag>
    <b:SourceType>JournalArticle</b:SourceType>
    <b:Guid>{B239F4D7-E26A-4AE1-866F-CC893DB4B963}</b:Guid>
    <b:Author>
      <b:Author>
        <b:NameList>
          <b:Person>
            <b:Last>Agency</b:Last>
            <b:First>European</b:First>
            <b:Middle>Medicines</b:Middle>
          </b:Person>
        </b:NameList>
      </b:Author>
    </b:Author>
    <b:Title>Innovative drug development approaches (EMEA/127318/2007).</b:Title>
    <b:Year>2007</b:Year>
    <b:JournalName>Final report from the EMEA/CHMP-THINK-TANK group on innovative drug development (EMEA, London, UK)</b:JournalName>
    <b:URL>http://www.ema.europa.eu/pdfs/human/itf/12731807en.pdf</b:URL>
    <b:RefOrder>29</b:RefOrder>
  </b:Source>
  <b:Source>
    <b:Tag>Buj13</b:Tag>
    <b:SourceType>JournalArticle</b:SourceType>
    <b:Guid>{824CAE68-9066-430E-935D-1C7DFB4F72FF}</b:Guid>
    <b:Author>
      <b:Author>
        <b:NameList>
          <b:Person>
            <b:Last>Bujkiewicz S</b:Last>
            <b:First>Thompson</b:First>
            <b:Middle>JR, Sutton AJ, Cooper NJ, Harrison MJ, Symmons DPM, Abrams KR</b:Middle>
          </b:Person>
        </b:NameList>
      </b:Author>
    </b:Author>
    <b:Title>Multivariate meta-analysis of mixed outcomes: a Bayesian approach</b:Title>
    <b:Year>2013</b:Year>
    <b:JournalName>accepted for publication in Statistics in Medicine</b:JournalName>
    <b:RefOrder>9</b:RefOrder>
  </b:Source>
  <b:Source>
    <b:Tag>Min04</b:Tag>
    <b:SourceType>JournalArticle</b:SourceType>
    <b:Guid>{F3FA434D-D206-4C2D-9AF7-D7690F38D380}</b:Guid>
    <b:Author>
      <b:Author>
        <b:NameList>
          <b:Person>
            <b:Last>Minelli C</b:Last>
            <b:First>Abrams</b:First>
            <b:Middle>KR, Sutton AJ, Cooper NJ</b:Middle>
          </b:Person>
        </b:NameList>
      </b:Author>
    </b:Author>
    <b:Title>Benefits and harms associated with hormone replacement therapy: clinical decision analysis</b:Title>
    <b:Year>2004</b:Year>
    <b:Volume>328</b:Volume>
    <b:JournalName>BMJ</b:JournalName>
    <b:Month>February</b:Month>
    <b:Day>14</b:Day>
    <b:RefOrder>23</b:RefOrder>
  </b:Source>
  <b:Source>
    <b:Tag>Wei13</b:Tag>
    <b:SourceType>JournalArticle</b:SourceType>
    <b:Guid>{A6F36E01-0E66-498B-8A00-E21456B42F7C}</b:Guid>
    <b:Author>
      <b:Author>
        <b:NameList>
          <b:Person>
            <b:Last>Wei Y</b:Last>
            <b:First>Higgins</b:First>
            <b:Middle>PT</b:Middle>
          </b:Person>
        </b:NameList>
      </b:Author>
    </b:Author>
    <b:Title>Bayesian multivariate meta-analysis with multiple outcomes</b:Title>
    <b:Year>6 February 2013</b:Year>
    <b:Volume>e-pub ahead of print</b:Volume>
    <b:JournalName>Statistics in Medicine</b:JournalName>
    <b:DOI>10.1002/sim5745</b:DOI>
    <b:RefOrder>19</b:RefOrder>
  </b:Source>
  <b:Source>
    <b:Tag>LuG09</b:Tag>
    <b:SourceType>JournalArticle</b:SourceType>
    <b:Guid>{86CE0FA5-E6F9-4AD4-9084-407B2A7C8925}</b:Guid>
    <b:Author>
      <b:Author>
        <b:NameList>
          <b:Person>
            <b:Last>Lu G</b:Last>
            <b:First>Ades</b:First>
            <b:Middle>A</b:Middle>
          </b:Person>
        </b:NameList>
      </b:Author>
    </b:Author>
    <b:Title>Modelling between-study variance structure in mixed treatment comparisons</b:Title>
    <b:Year>2009</b:Year>
    <b:JournalName>Biostatistics</b:JournalName>
    <b:Pages>792-805</b:Pages>
    <b:RefOrder>18</b:RefOrder>
  </b:Source>
  <b:Source>
    <b:Tag>AGa13</b:Tag>
    <b:SourceType>ElectronicSource</b:SourceType>
    <b:Guid>{34C6BEF3-81F8-478B-8109-CB5AFB5E3F64}</b:Guid>
    <b:Author>
      <b:Author>
        <b:NameList>
          <b:Person>
            <b:Last>A</b:Last>
            <b:First>Gasparrini</b:First>
          </b:Person>
        </b:NameList>
      </b:Author>
    </b:Author>
    <b:Title>mvmeta: multivariate meta-analysis and meta-regression</b:Title>
    <b:InternetSiteTitle>R package version 0.2.3, Available from:</b:InternetSiteTitle>
    <b:YearAccessed>2013</b:YearAccessed>
    <b:MonthAccessed>09</b:MonthAccessed>
    <b:DayAccessed>12</b:DayAccessed>
    <b:URL>http://cran.r-project.org/web/packages/mvmeta/</b:URL>
    <b:PublicationTitle>R package version 0.2.3,</b:PublicationTitle>
    <b:RefOrder>26</b:RefOrder>
  </b:Source>
  <b:Source>
    <b:Tag>IWh11</b:Tag>
    <b:SourceType>JournalArticle</b:SourceType>
    <b:Guid>{EF155FB3-F82D-428D-B795-6F235BEBC5EC}</b:Guid>
    <b:Author>
      <b:Author>
        <b:NameList>
          <b:Person>
            <b:Last>I</b:Last>
            <b:First>White</b:First>
          </b:Person>
        </b:NameList>
      </b:Author>
    </b:Author>
    <b:Title>Multivariate random-effects meta-regression: update to mvmeta</b:Title>
    <b:Year>2011</b:Year>
    <b:Volume>11</b:Volume>
    <b:Issue>2</b:Issue>
    <b:JournalName>The Stata Journal</b:JournalName>
    <b:Pages>255–270</b:Pages>
    <b:RefOrder>25</b:RefOrder>
  </b:Source>
  <b:Source>
    <b:Tag>r1Buj12</b:Tag>
    <b:SourceType>JournalArticle</b:SourceType>
    <b:Guid>{E6FABFB7-D322-40E1-8BA0-C09CE1ECBDAE}</b:Guid>
    <b:Title>Development of a transparent interactive decision interrogator to facilitate the decisio-making process in health-care</b:Title>
    <b:Year>1212</b:Year>
    <b:Author>
      <b:Author>
        <b:NameList>
          <b:Person>
            <b:Last>Bujkiewicz S</b:Last>
            <b:First>Jones</b:First>
            <b:Middle>H, Lai M, et al.</b:Middle>
          </b:Person>
        </b:NameList>
      </b:Author>
    </b:Author>
    <b:JournalName>Value in Health</b:JournalName>
    <b:Pages>768-76</b:Pages>
    <b:Volume>14</b:Volume>
    <b:RefOrder>27</b:RefOrder>
  </b:Source>
</b:Sources>
</file>

<file path=customXml/itemProps1.xml><?xml version="1.0" encoding="utf-8"?>
<ds:datastoreItem xmlns:ds="http://schemas.openxmlformats.org/officeDocument/2006/customXml" ds:itemID="{4B0CDB20-18B6-4856-B2C5-7B50E2ED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636C6D64.dotm</Template>
  <TotalTime>1</TotalTime>
  <Pages>18</Pages>
  <Words>5693</Words>
  <Characters>32454</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sb309</dc:creator>
  <cp:lastModifiedBy>njc21</cp:lastModifiedBy>
  <cp:revision>2</cp:revision>
  <cp:lastPrinted>2013-09-11T17:16:00Z</cp:lastPrinted>
  <dcterms:created xsi:type="dcterms:W3CDTF">2015-10-08T09:18:00Z</dcterms:created>
  <dcterms:modified xsi:type="dcterms:W3CDTF">2015-10-08T09:18:00Z</dcterms:modified>
</cp:coreProperties>
</file>