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0A" w:rsidRPr="0097255B" w:rsidRDefault="00AC080A" w:rsidP="00746BFF">
      <w:pPr>
        <w:pStyle w:val="Standard"/>
        <w:spacing w:line="360" w:lineRule="auto"/>
        <w:jc w:val="center"/>
        <w:rPr>
          <w:rFonts w:cs="Times New Roman"/>
          <w:b/>
          <w:i/>
          <w:sz w:val="28"/>
          <w:szCs w:val="28"/>
        </w:rPr>
      </w:pPr>
      <w:r w:rsidRPr="0097255B">
        <w:rPr>
          <w:rFonts w:cs="Times New Roman"/>
          <w:b/>
          <w:sz w:val="28"/>
          <w:szCs w:val="28"/>
        </w:rPr>
        <w:t xml:space="preserve">Ceylon Coffee, the Comtesse and the Consignee: A Historical Reappraisal of </w:t>
      </w:r>
      <w:r w:rsidRPr="0097255B">
        <w:rPr>
          <w:rFonts w:cs="Times New Roman"/>
          <w:b/>
          <w:i/>
          <w:sz w:val="28"/>
          <w:szCs w:val="28"/>
        </w:rPr>
        <w:t>Rochefoucauld v Boustead</w:t>
      </w:r>
    </w:p>
    <w:p w:rsidR="00AC080A" w:rsidRPr="006E3415" w:rsidRDefault="00AC080A" w:rsidP="00746BFF">
      <w:pPr>
        <w:pStyle w:val="Standard"/>
        <w:spacing w:line="360" w:lineRule="auto"/>
        <w:jc w:val="center"/>
        <w:rPr>
          <w:rFonts w:cs="Times New Roman"/>
          <w:b/>
          <w:i/>
        </w:rPr>
      </w:pPr>
    </w:p>
    <w:p w:rsidR="005923F3" w:rsidRPr="0097255B" w:rsidRDefault="0097255B" w:rsidP="00746BFF">
      <w:pPr>
        <w:spacing w:after="0" w:line="360" w:lineRule="auto"/>
        <w:jc w:val="center"/>
        <w:rPr>
          <w:rFonts w:ascii="Times New Roman" w:hAnsi="Times New Roman" w:cs="Times New Roman"/>
          <w:sz w:val="28"/>
          <w:szCs w:val="28"/>
        </w:rPr>
      </w:pPr>
      <w:r w:rsidRPr="0097255B">
        <w:rPr>
          <w:rFonts w:ascii="Times New Roman" w:hAnsi="Times New Roman" w:cs="Times New Roman"/>
          <w:sz w:val="28"/>
          <w:szCs w:val="28"/>
        </w:rPr>
        <w:t>GREGORY ALLAN</w:t>
      </w:r>
    </w:p>
    <w:p w:rsidR="009D7EBF" w:rsidRDefault="009D7EBF" w:rsidP="00746BFF">
      <w:pPr>
        <w:spacing w:after="0" w:line="360" w:lineRule="auto"/>
        <w:jc w:val="center"/>
        <w:rPr>
          <w:rFonts w:ascii="Times New Roman" w:hAnsi="Times New Roman" w:cs="Times New Roman"/>
          <w:b/>
          <w:sz w:val="24"/>
          <w:szCs w:val="24"/>
          <w:u w:val="single"/>
        </w:rPr>
      </w:pPr>
    </w:p>
    <w:p w:rsidR="009D7EBF" w:rsidRDefault="009D7EBF" w:rsidP="00746BFF">
      <w:pPr>
        <w:spacing w:after="0" w:line="360" w:lineRule="auto"/>
        <w:rPr>
          <w:rFonts w:ascii="Times New Roman" w:hAnsi="Times New Roman" w:cs="Times New Roman"/>
          <w:b/>
          <w:sz w:val="24"/>
          <w:szCs w:val="24"/>
          <w:u w:val="single"/>
        </w:rPr>
      </w:pPr>
    </w:p>
    <w:p w:rsidR="00A32688" w:rsidRPr="0097255B" w:rsidRDefault="00A32688" w:rsidP="0097255B">
      <w:pPr>
        <w:spacing w:after="0" w:line="360" w:lineRule="auto"/>
        <w:jc w:val="both"/>
        <w:rPr>
          <w:rFonts w:ascii="Times New Roman" w:hAnsi="Times New Roman" w:cs="Times New Roman"/>
          <w:i/>
          <w:sz w:val="24"/>
          <w:szCs w:val="24"/>
        </w:rPr>
      </w:pPr>
      <w:r w:rsidRPr="0097255B">
        <w:rPr>
          <w:rFonts w:ascii="Times New Roman" w:hAnsi="Times New Roman" w:cs="Times New Roman"/>
          <w:i/>
          <w:sz w:val="24"/>
          <w:szCs w:val="24"/>
        </w:rPr>
        <w:t xml:space="preserve">This paper </w:t>
      </w:r>
      <w:r w:rsidR="009C1716" w:rsidRPr="0097255B">
        <w:rPr>
          <w:rFonts w:ascii="Times New Roman" w:hAnsi="Times New Roman" w:cs="Times New Roman"/>
          <w:i/>
          <w:sz w:val="24"/>
          <w:szCs w:val="24"/>
        </w:rPr>
        <w:t>examines</w:t>
      </w:r>
      <w:r w:rsidRPr="0097255B">
        <w:rPr>
          <w:rFonts w:ascii="Times New Roman" w:hAnsi="Times New Roman" w:cs="Times New Roman"/>
          <w:i/>
          <w:sz w:val="24"/>
          <w:szCs w:val="24"/>
        </w:rPr>
        <w:t xml:space="preserve"> </w:t>
      </w:r>
      <w:r w:rsidR="009C1716" w:rsidRPr="0097255B">
        <w:rPr>
          <w:rFonts w:ascii="Times New Roman" w:hAnsi="Times New Roman" w:cs="Times New Roman"/>
          <w:i/>
          <w:sz w:val="24"/>
          <w:szCs w:val="24"/>
        </w:rPr>
        <w:t xml:space="preserve">the </w:t>
      </w:r>
      <w:r w:rsidRPr="0097255B">
        <w:rPr>
          <w:rFonts w:ascii="Times New Roman" w:hAnsi="Times New Roman" w:cs="Times New Roman"/>
          <w:i/>
          <w:sz w:val="24"/>
          <w:szCs w:val="24"/>
        </w:rPr>
        <w:t>Court of Appeal judgment of Rochefoucauld v Boustead</w:t>
      </w:r>
      <w:r w:rsidR="00D25FEC" w:rsidRPr="0097255B">
        <w:rPr>
          <w:rStyle w:val="FootnoteReference"/>
          <w:rFonts w:ascii="Times New Roman" w:hAnsi="Times New Roman" w:cs="Times New Roman"/>
          <w:i/>
          <w:sz w:val="24"/>
          <w:szCs w:val="24"/>
        </w:rPr>
        <w:footnoteReference w:id="1"/>
      </w:r>
      <w:r w:rsidRPr="0097255B">
        <w:rPr>
          <w:rFonts w:ascii="Times New Roman" w:hAnsi="Times New Roman" w:cs="Times New Roman"/>
          <w:i/>
          <w:sz w:val="24"/>
          <w:szCs w:val="24"/>
        </w:rPr>
        <w:t xml:space="preserve"> through use of archive records, rarely cited law reports and </w:t>
      </w:r>
      <w:r w:rsidR="009C1716" w:rsidRPr="0097255B">
        <w:rPr>
          <w:rFonts w:ascii="Times New Roman" w:hAnsi="Times New Roman" w:cs="Times New Roman"/>
          <w:i/>
          <w:sz w:val="24"/>
          <w:szCs w:val="24"/>
        </w:rPr>
        <w:t xml:space="preserve">nineteenth century </w:t>
      </w:r>
      <w:r w:rsidRPr="0097255B">
        <w:rPr>
          <w:rFonts w:ascii="Times New Roman" w:hAnsi="Times New Roman" w:cs="Times New Roman"/>
          <w:i/>
          <w:sz w:val="24"/>
          <w:szCs w:val="24"/>
        </w:rPr>
        <w:t xml:space="preserve">academic opinion. A full </w:t>
      </w:r>
      <w:r w:rsidR="00D25FEC" w:rsidRPr="0097255B">
        <w:rPr>
          <w:rFonts w:ascii="Times New Roman" w:hAnsi="Times New Roman" w:cs="Times New Roman"/>
          <w:i/>
          <w:sz w:val="24"/>
          <w:szCs w:val="24"/>
        </w:rPr>
        <w:t xml:space="preserve">and hitherto untold </w:t>
      </w:r>
      <w:r w:rsidRPr="0097255B">
        <w:rPr>
          <w:rFonts w:ascii="Times New Roman" w:hAnsi="Times New Roman" w:cs="Times New Roman"/>
          <w:i/>
          <w:sz w:val="24"/>
          <w:szCs w:val="24"/>
        </w:rPr>
        <w:t>account of the facts of the case</w:t>
      </w:r>
      <w:r w:rsidR="00BD60DA" w:rsidRPr="0097255B">
        <w:rPr>
          <w:rFonts w:ascii="Times New Roman" w:hAnsi="Times New Roman" w:cs="Times New Roman"/>
          <w:i/>
          <w:sz w:val="24"/>
          <w:szCs w:val="24"/>
        </w:rPr>
        <w:t xml:space="preserve"> is presented. </w:t>
      </w:r>
      <w:r w:rsidRPr="0097255B">
        <w:rPr>
          <w:rFonts w:ascii="Times New Roman" w:hAnsi="Times New Roman" w:cs="Times New Roman"/>
          <w:i/>
          <w:sz w:val="24"/>
          <w:szCs w:val="24"/>
        </w:rPr>
        <w:t xml:space="preserve">It is </w:t>
      </w:r>
      <w:r w:rsidR="00D25FEC" w:rsidRPr="0097255B">
        <w:rPr>
          <w:rFonts w:ascii="Times New Roman" w:hAnsi="Times New Roman" w:cs="Times New Roman"/>
          <w:i/>
          <w:sz w:val="24"/>
          <w:szCs w:val="24"/>
        </w:rPr>
        <w:t xml:space="preserve">revealed </w:t>
      </w:r>
      <w:r w:rsidRPr="0097255B">
        <w:rPr>
          <w:rFonts w:ascii="Times New Roman" w:hAnsi="Times New Roman" w:cs="Times New Roman"/>
          <w:i/>
          <w:sz w:val="24"/>
          <w:szCs w:val="24"/>
        </w:rPr>
        <w:t xml:space="preserve">that the land which was the </w:t>
      </w:r>
      <w:r w:rsidR="009C1716" w:rsidRPr="0097255B">
        <w:rPr>
          <w:rFonts w:ascii="Times New Roman" w:hAnsi="Times New Roman" w:cs="Times New Roman"/>
          <w:i/>
          <w:sz w:val="24"/>
          <w:szCs w:val="24"/>
        </w:rPr>
        <w:t>subjec</w:t>
      </w:r>
      <w:r w:rsidR="00BD60DA" w:rsidRPr="0097255B">
        <w:rPr>
          <w:rFonts w:ascii="Times New Roman" w:hAnsi="Times New Roman" w:cs="Times New Roman"/>
          <w:i/>
          <w:sz w:val="24"/>
          <w:szCs w:val="24"/>
        </w:rPr>
        <w:t xml:space="preserve">t matter of the dispute </w:t>
      </w:r>
      <w:r w:rsidRPr="0097255B">
        <w:rPr>
          <w:rFonts w:ascii="Times New Roman" w:hAnsi="Times New Roman" w:cs="Times New Roman"/>
          <w:i/>
          <w:sz w:val="24"/>
          <w:szCs w:val="24"/>
        </w:rPr>
        <w:t>was sold under the direction of the Ceylon District Court</w:t>
      </w:r>
      <w:r w:rsidR="00BD60DA" w:rsidRPr="0097255B">
        <w:rPr>
          <w:rFonts w:ascii="Times New Roman" w:hAnsi="Times New Roman" w:cs="Times New Roman"/>
          <w:i/>
          <w:sz w:val="24"/>
          <w:szCs w:val="24"/>
        </w:rPr>
        <w:t xml:space="preserve">, and that </w:t>
      </w:r>
      <w:r w:rsidR="009C1716" w:rsidRPr="0097255B">
        <w:rPr>
          <w:rFonts w:ascii="Times New Roman" w:hAnsi="Times New Roman" w:cs="Times New Roman"/>
          <w:i/>
          <w:sz w:val="24"/>
          <w:szCs w:val="24"/>
        </w:rPr>
        <w:t xml:space="preserve">the plaintiff was an accomplished individual who </w:t>
      </w:r>
      <w:r w:rsidR="00BD60DA" w:rsidRPr="0097255B">
        <w:rPr>
          <w:rFonts w:ascii="Times New Roman" w:hAnsi="Times New Roman" w:cs="Times New Roman"/>
          <w:i/>
          <w:sz w:val="24"/>
          <w:szCs w:val="24"/>
        </w:rPr>
        <w:t xml:space="preserve">utilised various </w:t>
      </w:r>
      <w:r w:rsidR="009C1716" w:rsidRPr="0097255B">
        <w:rPr>
          <w:rFonts w:ascii="Times New Roman" w:hAnsi="Times New Roman" w:cs="Times New Roman"/>
          <w:i/>
          <w:sz w:val="24"/>
          <w:szCs w:val="24"/>
        </w:rPr>
        <w:t xml:space="preserve">means to frustrate her former husband’s attempts to obtain the land.  The Court of Appeal’s </w:t>
      </w:r>
      <w:r w:rsidR="00BD60DA" w:rsidRPr="0097255B">
        <w:rPr>
          <w:rFonts w:ascii="Times New Roman" w:hAnsi="Times New Roman" w:cs="Times New Roman"/>
          <w:i/>
          <w:sz w:val="24"/>
          <w:szCs w:val="24"/>
        </w:rPr>
        <w:t>rulings</w:t>
      </w:r>
      <w:r w:rsidR="009C1716" w:rsidRPr="0097255B">
        <w:rPr>
          <w:rFonts w:ascii="Times New Roman" w:hAnsi="Times New Roman" w:cs="Times New Roman"/>
          <w:i/>
          <w:sz w:val="24"/>
          <w:szCs w:val="24"/>
        </w:rPr>
        <w:t xml:space="preserve"> that the defendant was a trustee of the land for th</w:t>
      </w:r>
      <w:r w:rsidR="00BD60DA" w:rsidRPr="0097255B">
        <w:rPr>
          <w:rFonts w:ascii="Times New Roman" w:hAnsi="Times New Roman" w:cs="Times New Roman"/>
          <w:i/>
          <w:sz w:val="24"/>
          <w:szCs w:val="24"/>
        </w:rPr>
        <w:t xml:space="preserve">e prevention of fraud, and </w:t>
      </w:r>
      <w:r w:rsidR="009C1716" w:rsidRPr="0097255B">
        <w:rPr>
          <w:rFonts w:ascii="Times New Roman" w:hAnsi="Times New Roman" w:cs="Times New Roman"/>
          <w:i/>
          <w:sz w:val="24"/>
          <w:szCs w:val="24"/>
        </w:rPr>
        <w:t>that the trust was to be treated as an express trust</w:t>
      </w:r>
      <w:r w:rsidR="00D25FEC" w:rsidRPr="0097255B">
        <w:rPr>
          <w:rFonts w:ascii="Times New Roman" w:hAnsi="Times New Roman" w:cs="Times New Roman"/>
          <w:i/>
          <w:sz w:val="24"/>
          <w:szCs w:val="24"/>
        </w:rPr>
        <w:t>, are also</w:t>
      </w:r>
      <w:r w:rsidR="009C1716" w:rsidRPr="0097255B">
        <w:rPr>
          <w:rFonts w:ascii="Times New Roman" w:hAnsi="Times New Roman" w:cs="Times New Roman"/>
          <w:i/>
          <w:sz w:val="24"/>
          <w:szCs w:val="24"/>
        </w:rPr>
        <w:t xml:space="preserve"> analysed</w:t>
      </w:r>
      <w:r w:rsidR="00D25FEC" w:rsidRPr="0097255B">
        <w:rPr>
          <w:rFonts w:ascii="Times New Roman" w:hAnsi="Times New Roman" w:cs="Times New Roman"/>
          <w:i/>
          <w:sz w:val="24"/>
          <w:szCs w:val="24"/>
        </w:rPr>
        <w:t xml:space="preserve"> </w:t>
      </w:r>
      <w:r w:rsidR="009C1716" w:rsidRPr="0097255B">
        <w:rPr>
          <w:rFonts w:ascii="Times New Roman" w:hAnsi="Times New Roman" w:cs="Times New Roman"/>
          <w:i/>
          <w:sz w:val="24"/>
          <w:szCs w:val="24"/>
        </w:rPr>
        <w:t>with the aim of establishing how these issues were understood at the time of the judgment. It is argued that both</w:t>
      </w:r>
      <w:r w:rsidR="00BD60DA" w:rsidRPr="0097255B">
        <w:rPr>
          <w:rFonts w:ascii="Times New Roman" w:hAnsi="Times New Roman" w:cs="Times New Roman"/>
          <w:i/>
          <w:sz w:val="24"/>
          <w:szCs w:val="24"/>
        </w:rPr>
        <w:t xml:space="preserve"> </w:t>
      </w:r>
      <w:r w:rsidR="00D25FEC" w:rsidRPr="0097255B">
        <w:rPr>
          <w:rFonts w:ascii="Times New Roman" w:hAnsi="Times New Roman" w:cs="Times New Roman"/>
          <w:i/>
          <w:sz w:val="24"/>
          <w:szCs w:val="24"/>
        </w:rPr>
        <w:t xml:space="preserve">of these </w:t>
      </w:r>
      <w:r w:rsidR="00BD60DA" w:rsidRPr="0097255B">
        <w:rPr>
          <w:rFonts w:ascii="Times New Roman" w:hAnsi="Times New Roman" w:cs="Times New Roman"/>
          <w:i/>
          <w:sz w:val="24"/>
          <w:szCs w:val="24"/>
        </w:rPr>
        <w:t>a</w:t>
      </w:r>
      <w:r w:rsidR="009C1716" w:rsidRPr="0097255B">
        <w:rPr>
          <w:rFonts w:ascii="Times New Roman" w:hAnsi="Times New Roman" w:cs="Times New Roman"/>
          <w:i/>
          <w:sz w:val="24"/>
          <w:szCs w:val="24"/>
        </w:rPr>
        <w:t>spects of the judgment were regarded as uncontroversia</w:t>
      </w:r>
      <w:r w:rsidR="00BD60DA" w:rsidRPr="0097255B">
        <w:rPr>
          <w:rFonts w:ascii="Times New Roman" w:hAnsi="Times New Roman" w:cs="Times New Roman"/>
          <w:i/>
          <w:sz w:val="24"/>
          <w:szCs w:val="24"/>
        </w:rPr>
        <w:t xml:space="preserve">l because there was </w:t>
      </w:r>
      <w:r w:rsidR="009C1716" w:rsidRPr="0097255B">
        <w:rPr>
          <w:rFonts w:ascii="Times New Roman" w:hAnsi="Times New Roman" w:cs="Times New Roman"/>
          <w:i/>
          <w:sz w:val="24"/>
          <w:szCs w:val="24"/>
        </w:rPr>
        <w:t>a s</w:t>
      </w:r>
      <w:r w:rsidR="00BD60DA" w:rsidRPr="0097255B">
        <w:rPr>
          <w:rFonts w:ascii="Times New Roman" w:hAnsi="Times New Roman" w:cs="Times New Roman"/>
          <w:i/>
          <w:sz w:val="24"/>
          <w:szCs w:val="24"/>
        </w:rPr>
        <w:t xml:space="preserve">ettled concept of equitable fraud, and </w:t>
      </w:r>
      <w:r w:rsidR="00D25FEC" w:rsidRPr="0097255B">
        <w:rPr>
          <w:rFonts w:ascii="Times New Roman" w:hAnsi="Times New Roman" w:cs="Times New Roman"/>
          <w:i/>
          <w:sz w:val="24"/>
          <w:szCs w:val="24"/>
        </w:rPr>
        <w:t xml:space="preserve">because </w:t>
      </w:r>
      <w:r w:rsidR="00BD60DA" w:rsidRPr="0097255B">
        <w:rPr>
          <w:rFonts w:ascii="Times New Roman" w:hAnsi="Times New Roman" w:cs="Times New Roman"/>
          <w:i/>
          <w:sz w:val="24"/>
          <w:szCs w:val="24"/>
        </w:rPr>
        <w:t xml:space="preserve">trusts imposed for the prevention of such fraud were </w:t>
      </w:r>
      <w:r w:rsidR="00D25FEC" w:rsidRPr="0097255B">
        <w:rPr>
          <w:rFonts w:ascii="Times New Roman" w:hAnsi="Times New Roman" w:cs="Times New Roman"/>
          <w:i/>
          <w:sz w:val="24"/>
          <w:szCs w:val="24"/>
        </w:rPr>
        <w:t>an established</w:t>
      </w:r>
      <w:r w:rsidR="00BD60DA" w:rsidRPr="0097255B">
        <w:rPr>
          <w:rFonts w:ascii="Times New Roman" w:hAnsi="Times New Roman" w:cs="Times New Roman"/>
          <w:i/>
          <w:sz w:val="24"/>
          <w:szCs w:val="24"/>
        </w:rPr>
        <w:t xml:space="preserve"> category of trust in their own right, separate from express, resulting or constructive trusts.</w:t>
      </w:r>
    </w:p>
    <w:p w:rsidR="00473389" w:rsidRPr="006E3415" w:rsidRDefault="00473389" w:rsidP="00746BFF">
      <w:pPr>
        <w:spacing w:after="0" w:line="360" w:lineRule="auto"/>
        <w:jc w:val="center"/>
        <w:rPr>
          <w:rFonts w:ascii="Times New Roman" w:hAnsi="Times New Roman" w:cs="Times New Roman"/>
          <w:b/>
          <w:sz w:val="24"/>
          <w:szCs w:val="24"/>
          <w:u w:val="single"/>
        </w:rPr>
      </w:pPr>
    </w:p>
    <w:p w:rsidR="005923F3" w:rsidRPr="0097255B" w:rsidRDefault="005923F3" w:rsidP="0097255B">
      <w:pPr>
        <w:pStyle w:val="Standard"/>
        <w:numPr>
          <w:ilvl w:val="0"/>
          <w:numId w:val="12"/>
        </w:numPr>
        <w:spacing w:line="360" w:lineRule="auto"/>
        <w:jc w:val="center"/>
        <w:rPr>
          <w:rFonts w:cs="Times New Roman"/>
        </w:rPr>
      </w:pPr>
      <w:r w:rsidRPr="0097255B">
        <w:rPr>
          <w:rFonts w:cs="Times New Roman"/>
        </w:rPr>
        <w:t>INTRODUCTION</w:t>
      </w:r>
    </w:p>
    <w:p w:rsidR="005923F3" w:rsidRPr="006E3415" w:rsidRDefault="005923F3" w:rsidP="00746BFF">
      <w:pPr>
        <w:pStyle w:val="Standard"/>
        <w:spacing w:line="360" w:lineRule="auto"/>
        <w:rPr>
          <w:rFonts w:cs="Times New Roman"/>
          <w:b/>
        </w:rPr>
      </w:pPr>
    </w:p>
    <w:p w:rsidR="005923F3" w:rsidRPr="006E3415" w:rsidRDefault="002204D5" w:rsidP="00746BFF">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5923F3" w:rsidRPr="006E3415">
        <w:rPr>
          <w:rFonts w:ascii="Times New Roman" w:hAnsi="Times New Roman" w:cs="Times New Roman"/>
          <w:sz w:val="24"/>
          <w:szCs w:val="24"/>
        </w:rPr>
        <w:t>efore the quality of its tea was lauded around the world,</w:t>
      </w:r>
      <w:r w:rsidR="005923F3" w:rsidRPr="006E3415">
        <w:rPr>
          <w:rStyle w:val="FootnoteReference"/>
          <w:rFonts w:ascii="Times New Roman" w:hAnsi="Times New Roman" w:cs="Times New Roman"/>
          <w:sz w:val="24"/>
          <w:szCs w:val="24"/>
        </w:rPr>
        <w:footnoteReference w:id="2"/>
      </w:r>
      <w:r w:rsidR="005923F3" w:rsidRPr="006E3415">
        <w:rPr>
          <w:rFonts w:ascii="Times New Roman" w:hAnsi="Times New Roman" w:cs="Times New Roman"/>
          <w:sz w:val="24"/>
          <w:szCs w:val="24"/>
        </w:rPr>
        <w:t xml:space="preserve"> Ceylon’s</w:t>
      </w:r>
      <w:r w:rsidR="00597090" w:rsidRPr="006E3415">
        <w:rPr>
          <w:rFonts w:ascii="Times New Roman" w:hAnsi="Times New Roman" w:cs="Times New Roman"/>
          <w:sz w:val="24"/>
          <w:szCs w:val="24"/>
        </w:rPr>
        <w:t xml:space="preserve"> </w:t>
      </w:r>
      <w:r w:rsidR="005923F3" w:rsidRPr="006E3415">
        <w:rPr>
          <w:rFonts w:ascii="Times New Roman" w:hAnsi="Times New Roman" w:cs="Times New Roman"/>
          <w:sz w:val="24"/>
          <w:szCs w:val="24"/>
        </w:rPr>
        <w:t>most lucrative crop was coffee.</w:t>
      </w:r>
      <w:r w:rsidR="005923F3" w:rsidRPr="006E3415">
        <w:rPr>
          <w:rStyle w:val="FootnoteReference"/>
          <w:rFonts w:ascii="Times New Roman" w:hAnsi="Times New Roman" w:cs="Times New Roman"/>
          <w:sz w:val="24"/>
          <w:szCs w:val="24"/>
        </w:rPr>
        <w:footnoteReference w:id="3"/>
      </w:r>
      <w:r w:rsidR="005923F3" w:rsidRPr="006E3415">
        <w:rPr>
          <w:rFonts w:ascii="Times New Roman" w:hAnsi="Times New Roman" w:cs="Times New Roman"/>
          <w:sz w:val="24"/>
          <w:szCs w:val="24"/>
        </w:rPr>
        <w:t xml:space="preserve"> </w:t>
      </w:r>
      <w:r w:rsidR="00D24846" w:rsidRPr="006E3415">
        <w:rPr>
          <w:rFonts w:ascii="Times New Roman" w:hAnsi="Times New Roman" w:cs="Times New Roman"/>
          <w:sz w:val="24"/>
          <w:szCs w:val="24"/>
        </w:rPr>
        <w:t xml:space="preserve">Therefore, </w:t>
      </w:r>
      <w:r w:rsidR="009741E5" w:rsidRPr="006E3415">
        <w:rPr>
          <w:rFonts w:ascii="Times New Roman" w:hAnsi="Times New Roman" w:cs="Times New Roman"/>
          <w:sz w:val="24"/>
          <w:szCs w:val="24"/>
        </w:rPr>
        <w:t>when</w:t>
      </w:r>
      <w:r w:rsidR="00B86B56">
        <w:rPr>
          <w:rFonts w:ascii="Times New Roman" w:hAnsi="Times New Roman" w:cs="Times New Roman"/>
          <w:sz w:val="24"/>
          <w:szCs w:val="24"/>
        </w:rPr>
        <w:t xml:space="preserve"> </w:t>
      </w:r>
      <w:r w:rsidR="009741E5" w:rsidRPr="006E3415">
        <w:rPr>
          <w:rFonts w:ascii="Times New Roman" w:hAnsi="Times New Roman" w:cs="Times New Roman"/>
          <w:sz w:val="24"/>
          <w:szCs w:val="24"/>
        </w:rPr>
        <w:t>in 1857</w:t>
      </w:r>
      <w:r w:rsidR="00D24846" w:rsidRPr="006E3415">
        <w:rPr>
          <w:rFonts w:ascii="Times New Roman" w:hAnsi="Times New Roman" w:cs="Times New Roman"/>
          <w:sz w:val="24"/>
          <w:szCs w:val="24"/>
        </w:rPr>
        <w:t>,</w:t>
      </w:r>
      <w:r w:rsidR="009741E5" w:rsidRPr="006E3415">
        <w:rPr>
          <w:rFonts w:ascii="Times New Roman" w:hAnsi="Times New Roman" w:cs="Times New Roman"/>
          <w:sz w:val="24"/>
          <w:szCs w:val="24"/>
        </w:rPr>
        <w:t xml:space="preserve"> </w:t>
      </w:r>
      <w:r w:rsidR="005923F3" w:rsidRPr="006E3415">
        <w:rPr>
          <w:rFonts w:ascii="Times New Roman" w:hAnsi="Times New Roman" w:cs="Times New Roman"/>
          <w:sz w:val="24"/>
          <w:szCs w:val="24"/>
        </w:rPr>
        <w:t>Baron de Delmar, an ailing Prussian aristocrat,</w:t>
      </w:r>
      <w:r w:rsidR="005923F3" w:rsidRPr="006E3415">
        <w:rPr>
          <w:rStyle w:val="FootnoteReference"/>
          <w:rFonts w:ascii="Times New Roman" w:hAnsi="Times New Roman" w:cs="Times New Roman"/>
          <w:sz w:val="24"/>
          <w:szCs w:val="24"/>
        </w:rPr>
        <w:footnoteReference w:id="4"/>
      </w:r>
      <w:r w:rsidR="005923F3" w:rsidRPr="006E3415">
        <w:rPr>
          <w:rFonts w:ascii="Times New Roman" w:hAnsi="Times New Roman" w:cs="Times New Roman"/>
          <w:sz w:val="24"/>
          <w:szCs w:val="24"/>
        </w:rPr>
        <w:t xml:space="preserve"> found </w:t>
      </w:r>
      <w:r w:rsidR="005923F3" w:rsidRPr="006E3415">
        <w:rPr>
          <w:rFonts w:ascii="Times New Roman" w:hAnsi="Times New Roman" w:cs="Times New Roman"/>
          <w:sz w:val="24"/>
          <w:szCs w:val="24"/>
        </w:rPr>
        <w:lastRenderedPageBreak/>
        <w:t>himself short of capital and needing to provide valuable assets</w:t>
      </w:r>
      <w:r w:rsidR="005923F3" w:rsidRPr="006E3415">
        <w:rPr>
          <w:rStyle w:val="FootnoteReference"/>
          <w:rFonts w:ascii="Times New Roman" w:hAnsi="Times New Roman" w:cs="Times New Roman"/>
          <w:sz w:val="24"/>
          <w:szCs w:val="24"/>
        </w:rPr>
        <w:footnoteReference w:id="5"/>
      </w:r>
      <w:r w:rsidR="005923F3" w:rsidRPr="006E3415">
        <w:rPr>
          <w:rFonts w:ascii="Times New Roman" w:hAnsi="Times New Roman" w:cs="Times New Roman"/>
          <w:sz w:val="24"/>
          <w:szCs w:val="24"/>
        </w:rPr>
        <w:t xml:space="preserve"> as security for substantial advances in his favour, he decided to mortgage his extensive Ceylonese coffee plantations, the Delmar Estates</w:t>
      </w:r>
      <w:r w:rsidR="00194532">
        <w:rPr>
          <w:rFonts w:ascii="Times New Roman" w:hAnsi="Times New Roman" w:cs="Times New Roman"/>
          <w:sz w:val="24"/>
          <w:szCs w:val="24"/>
        </w:rPr>
        <w:t xml:space="preserve"> (hereafter referred to as ‘the Estates’)</w:t>
      </w:r>
      <w:r w:rsidR="005923F3" w:rsidRPr="006E3415">
        <w:rPr>
          <w:rFonts w:ascii="Times New Roman" w:hAnsi="Times New Roman" w:cs="Times New Roman"/>
          <w:sz w:val="24"/>
          <w:szCs w:val="24"/>
        </w:rPr>
        <w:t>, to Baring Brothers</w:t>
      </w:r>
      <w:r w:rsidR="00710107">
        <w:rPr>
          <w:rFonts w:ascii="Times New Roman" w:hAnsi="Times New Roman" w:cs="Times New Roman"/>
          <w:sz w:val="24"/>
          <w:szCs w:val="24"/>
        </w:rPr>
        <w:t xml:space="preserve"> (hereafter referred to as ‘Barings’)</w:t>
      </w:r>
      <w:r w:rsidR="005923F3" w:rsidRPr="006E3415">
        <w:rPr>
          <w:rFonts w:ascii="Times New Roman" w:hAnsi="Times New Roman" w:cs="Times New Roman"/>
          <w:sz w:val="24"/>
          <w:szCs w:val="24"/>
        </w:rPr>
        <w:t xml:space="preserve">, a successful English merchant bank. Almost forty years later, his adopted </w:t>
      </w:r>
      <w:r w:rsidR="005923F3" w:rsidRPr="006E3415">
        <w:rPr>
          <w:rFonts w:ascii="Times New Roman" w:hAnsi="Times New Roman" w:cs="Times New Roman"/>
          <w:color w:val="000000" w:themeColor="text1"/>
          <w:sz w:val="24"/>
          <w:szCs w:val="24"/>
        </w:rPr>
        <w:t>daughter, t</w:t>
      </w:r>
      <w:r w:rsidR="00F273CA">
        <w:rPr>
          <w:rFonts w:ascii="Times New Roman" w:hAnsi="Times New Roman" w:cs="Times New Roman"/>
          <w:color w:val="000000" w:themeColor="text1"/>
          <w:sz w:val="24"/>
          <w:szCs w:val="24"/>
        </w:rPr>
        <w:t>he Comtesse de la Rochefoucauld,</w:t>
      </w:r>
      <w:r w:rsidR="008C2ECF" w:rsidRPr="006E3415">
        <w:rPr>
          <w:rStyle w:val="FootnoteReference"/>
          <w:rFonts w:ascii="Times New Roman" w:hAnsi="Times New Roman" w:cs="Times New Roman"/>
          <w:color w:val="000000" w:themeColor="text1"/>
          <w:sz w:val="24"/>
          <w:szCs w:val="24"/>
        </w:rPr>
        <w:footnoteReference w:id="6"/>
      </w:r>
      <w:r w:rsidR="005923F3" w:rsidRPr="006E3415">
        <w:rPr>
          <w:rFonts w:ascii="Times New Roman" w:hAnsi="Times New Roman" w:cs="Times New Roman"/>
          <w:color w:val="000000" w:themeColor="text1"/>
          <w:sz w:val="24"/>
          <w:szCs w:val="24"/>
        </w:rPr>
        <w:t xml:space="preserve"> commenced an action in the English courts which culminated in the Court of Appeal ruling in </w:t>
      </w:r>
      <w:r w:rsidR="005923F3" w:rsidRPr="006E3415">
        <w:rPr>
          <w:rFonts w:ascii="Times New Roman" w:hAnsi="Times New Roman" w:cs="Times New Roman"/>
          <w:i/>
          <w:color w:val="000000" w:themeColor="text1"/>
          <w:sz w:val="24"/>
          <w:szCs w:val="24"/>
        </w:rPr>
        <w:t>Rochefoucauld v Boustead</w:t>
      </w:r>
      <w:r w:rsidR="005923F3" w:rsidRPr="006E3415">
        <w:rPr>
          <w:rStyle w:val="FootnoteReference"/>
          <w:rFonts w:ascii="Times New Roman" w:hAnsi="Times New Roman" w:cs="Times New Roman"/>
          <w:color w:val="000000" w:themeColor="text1"/>
          <w:sz w:val="24"/>
          <w:szCs w:val="24"/>
        </w:rPr>
        <w:footnoteReference w:id="7"/>
      </w:r>
      <w:r w:rsidR="005923F3" w:rsidRPr="006E3415">
        <w:rPr>
          <w:rFonts w:ascii="Times New Roman" w:hAnsi="Times New Roman" w:cs="Times New Roman"/>
          <w:i/>
          <w:color w:val="000000" w:themeColor="text1"/>
          <w:sz w:val="24"/>
          <w:szCs w:val="24"/>
        </w:rPr>
        <w:t xml:space="preserve"> </w:t>
      </w:r>
      <w:r w:rsidR="005923F3" w:rsidRPr="006E3415">
        <w:rPr>
          <w:rFonts w:ascii="Times New Roman" w:hAnsi="Times New Roman" w:cs="Times New Roman"/>
          <w:color w:val="000000" w:themeColor="text1"/>
          <w:sz w:val="24"/>
          <w:szCs w:val="24"/>
        </w:rPr>
        <w:t>that John Boustead</w:t>
      </w:r>
      <w:r w:rsidR="00311926">
        <w:rPr>
          <w:rFonts w:ascii="Times New Roman" w:hAnsi="Times New Roman" w:cs="Times New Roman"/>
          <w:color w:val="000000" w:themeColor="text1"/>
          <w:sz w:val="24"/>
          <w:szCs w:val="24"/>
        </w:rPr>
        <w:t>,</w:t>
      </w:r>
      <w:r w:rsidR="005D15C2" w:rsidRPr="006E3415">
        <w:rPr>
          <w:rStyle w:val="FootnoteReference"/>
          <w:rFonts w:ascii="Times New Roman" w:hAnsi="Times New Roman" w:cs="Times New Roman"/>
          <w:color w:val="000000" w:themeColor="text1"/>
          <w:sz w:val="24"/>
          <w:szCs w:val="24"/>
        </w:rPr>
        <w:footnoteReference w:id="8"/>
      </w:r>
      <w:r w:rsidR="005923F3" w:rsidRPr="006E3415">
        <w:rPr>
          <w:rFonts w:ascii="Times New Roman" w:hAnsi="Times New Roman" w:cs="Times New Roman"/>
          <w:color w:val="000000" w:themeColor="text1"/>
          <w:sz w:val="24"/>
          <w:szCs w:val="24"/>
        </w:rPr>
        <w:t xml:space="preserve"> </w:t>
      </w:r>
      <w:r w:rsidR="00311926">
        <w:rPr>
          <w:rFonts w:ascii="Times New Roman" w:hAnsi="Times New Roman" w:cs="Times New Roman"/>
          <w:color w:val="000000" w:themeColor="text1"/>
          <w:sz w:val="24"/>
          <w:szCs w:val="24"/>
        </w:rPr>
        <w:t xml:space="preserve">to whom the Estates had ultimately been conveyed, </w:t>
      </w:r>
      <w:r w:rsidR="005923F3" w:rsidRPr="006E3415">
        <w:rPr>
          <w:rFonts w:ascii="Times New Roman" w:hAnsi="Times New Roman" w:cs="Times New Roman"/>
          <w:sz w:val="24"/>
          <w:szCs w:val="24"/>
        </w:rPr>
        <w:t>was to account to her for his dealings with these plantations.</w:t>
      </w:r>
    </w:p>
    <w:p w:rsidR="00AC080A" w:rsidRPr="006E3415" w:rsidRDefault="00AC080A" w:rsidP="00746BFF">
      <w:pPr>
        <w:spacing w:after="0" w:line="360" w:lineRule="auto"/>
        <w:rPr>
          <w:rFonts w:ascii="Times New Roman" w:hAnsi="Times New Roman" w:cs="Times New Roman"/>
          <w:sz w:val="24"/>
          <w:szCs w:val="24"/>
        </w:rPr>
      </w:pPr>
    </w:p>
    <w:p w:rsidR="00E84FD2" w:rsidRPr="006E3415" w:rsidRDefault="00E84FD2" w:rsidP="00746BFF">
      <w:pPr>
        <w:pStyle w:val="Standard"/>
        <w:spacing w:line="360" w:lineRule="auto"/>
        <w:rPr>
          <w:rFonts w:cs="Times New Roman"/>
        </w:rPr>
      </w:pPr>
      <w:r w:rsidRPr="006E3415">
        <w:rPr>
          <w:rFonts w:cs="Times New Roman"/>
          <w:i/>
        </w:rPr>
        <w:t>Rochefoucauld</w:t>
      </w:r>
      <w:r w:rsidRPr="006E3415">
        <w:rPr>
          <w:rFonts w:cs="Times New Roman"/>
        </w:rPr>
        <w:t xml:space="preserve"> is a superficially straightforwa</w:t>
      </w:r>
      <w:r w:rsidR="000B520B">
        <w:rPr>
          <w:rFonts w:cs="Times New Roman"/>
        </w:rPr>
        <w:t>rd case. Boustead, to whom the E</w:t>
      </w:r>
      <w:r w:rsidRPr="006E3415">
        <w:rPr>
          <w:rFonts w:cs="Times New Roman"/>
        </w:rPr>
        <w:t xml:space="preserve">states had been conveyed by the mortgagees in an absolute form but subject to a parol agreement that he would take as trustee, was held to have taken the </w:t>
      </w:r>
      <w:r w:rsidR="003520CF">
        <w:rPr>
          <w:rFonts w:cs="Times New Roman"/>
        </w:rPr>
        <w:t xml:space="preserve">land on trust for the Comtesse. His </w:t>
      </w:r>
      <w:r w:rsidRPr="006E3415">
        <w:rPr>
          <w:rFonts w:cs="Times New Roman"/>
        </w:rPr>
        <w:t>defence that s7 of the Statute of Frauds 1677, which required that declarations of trusts of land be ‘manifested and proved by some Writing’, had not been complied with</w:t>
      </w:r>
      <w:r w:rsidR="00CE7165">
        <w:rPr>
          <w:rFonts w:cs="Times New Roman"/>
        </w:rPr>
        <w:t xml:space="preserve"> was rejected on the ground </w:t>
      </w:r>
      <w:r w:rsidRPr="006E3415">
        <w:rPr>
          <w:rFonts w:cs="Times New Roman"/>
        </w:rPr>
        <w:t xml:space="preserve">that Boustead </w:t>
      </w:r>
      <w:r w:rsidR="00CE7165">
        <w:rPr>
          <w:rFonts w:cs="Times New Roman"/>
        </w:rPr>
        <w:t xml:space="preserve">could not </w:t>
      </w:r>
      <w:r w:rsidRPr="006E3415">
        <w:rPr>
          <w:rFonts w:cs="Times New Roman"/>
        </w:rPr>
        <w:t>use the statute as an instrument of fraud.</w:t>
      </w:r>
      <w:r w:rsidRPr="006E3415">
        <w:rPr>
          <w:rStyle w:val="FootnoteReference"/>
          <w:rFonts w:cs="Times New Roman"/>
        </w:rPr>
        <w:footnoteReference w:id="9"/>
      </w:r>
      <w:r w:rsidRPr="006E3415">
        <w:rPr>
          <w:rFonts w:cs="Times New Roman"/>
        </w:rPr>
        <w:t xml:space="preserve"> Boustead’s other two main defences,</w:t>
      </w:r>
      <w:r w:rsidRPr="006E3415">
        <w:rPr>
          <w:rStyle w:val="FootnoteReference"/>
          <w:rFonts w:cs="Times New Roman"/>
        </w:rPr>
        <w:footnoteReference w:id="10"/>
      </w:r>
      <w:r w:rsidRPr="006E3415">
        <w:rPr>
          <w:rFonts w:cs="Times New Roman"/>
        </w:rPr>
        <w:t xml:space="preserve"> namely that the considerable delay on the part of the Comtesse in commencing the action offended both the statutory limitation period of the day</w:t>
      </w:r>
      <w:r w:rsidRPr="006E3415">
        <w:rPr>
          <w:rStyle w:val="FootnoteReference"/>
          <w:rFonts w:cs="Times New Roman"/>
        </w:rPr>
        <w:footnoteReference w:id="11"/>
      </w:r>
      <w:r w:rsidRPr="006E3415">
        <w:rPr>
          <w:rFonts w:cs="Times New Roman"/>
        </w:rPr>
        <w:t xml:space="preserve"> and the doctrine of laches</w:t>
      </w:r>
      <w:r w:rsidRPr="006E3415">
        <w:rPr>
          <w:rStyle w:val="FootnoteReference"/>
          <w:rFonts w:cs="Times New Roman"/>
        </w:rPr>
        <w:footnoteReference w:id="12"/>
      </w:r>
      <w:r w:rsidR="00CE7165">
        <w:rPr>
          <w:rFonts w:cs="Times New Roman"/>
        </w:rPr>
        <w:t xml:space="preserve"> were also unsuccessful. T</w:t>
      </w:r>
      <w:r w:rsidRPr="006E3415">
        <w:rPr>
          <w:rFonts w:cs="Times New Roman"/>
        </w:rPr>
        <w:t xml:space="preserve">he former </w:t>
      </w:r>
      <w:r w:rsidR="00CE7165">
        <w:rPr>
          <w:rFonts w:cs="Times New Roman"/>
        </w:rPr>
        <w:t xml:space="preserve">was rejected </w:t>
      </w:r>
      <w:r w:rsidRPr="006E3415">
        <w:rPr>
          <w:rFonts w:cs="Times New Roman"/>
        </w:rPr>
        <w:t>on the ground that the trust fell within the exception to the limitation period that applied to express trusts,</w:t>
      </w:r>
      <w:r w:rsidRPr="006E3415">
        <w:rPr>
          <w:rStyle w:val="FootnoteReference"/>
          <w:rFonts w:cs="Times New Roman"/>
        </w:rPr>
        <w:footnoteReference w:id="13"/>
      </w:r>
      <w:r w:rsidRPr="006E3415">
        <w:rPr>
          <w:rFonts w:cs="Times New Roman"/>
        </w:rPr>
        <w:t xml:space="preserve"> and the </w:t>
      </w:r>
      <w:r w:rsidRPr="006E3415">
        <w:rPr>
          <w:rFonts w:cs="Times New Roman"/>
        </w:rPr>
        <w:lastRenderedPageBreak/>
        <w:t>latter because</w:t>
      </w:r>
      <w:r w:rsidR="00D24846" w:rsidRPr="006E3415">
        <w:rPr>
          <w:rFonts w:cs="Times New Roman"/>
        </w:rPr>
        <w:t xml:space="preserve"> Boustead ha</w:t>
      </w:r>
      <w:r w:rsidR="00416038">
        <w:rPr>
          <w:rFonts w:cs="Times New Roman"/>
        </w:rPr>
        <w:t>d, at some point, encouraged the Comtesse</w:t>
      </w:r>
      <w:r w:rsidR="00D24846" w:rsidRPr="006E3415">
        <w:rPr>
          <w:rFonts w:cs="Times New Roman"/>
        </w:rPr>
        <w:t xml:space="preserve"> </w:t>
      </w:r>
      <w:r w:rsidR="00B86B56">
        <w:rPr>
          <w:rFonts w:cs="Times New Roman"/>
        </w:rPr>
        <w:t xml:space="preserve">not to sue and because none of </w:t>
      </w:r>
      <w:r w:rsidR="00D25FEC">
        <w:rPr>
          <w:rFonts w:cs="Times New Roman"/>
        </w:rPr>
        <w:t xml:space="preserve">the </w:t>
      </w:r>
      <w:r w:rsidR="00D24846" w:rsidRPr="006E3415">
        <w:rPr>
          <w:rFonts w:cs="Times New Roman"/>
        </w:rPr>
        <w:t>Comtesse’s actions suggested abandonment of her claim</w:t>
      </w:r>
      <w:r w:rsidRPr="006E3415">
        <w:rPr>
          <w:rFonts w:cs="Times New Roman"/>
        </w:rPr>
        <w:t>.</w:t>
      </w:r>
      <w:r w:rsidRPr="006E3415">
        <w:rPr>
          <w:rStyle w:val="FootnoteReference"/>
          <w:rFonts w:cs="Times New Roman"/>
        </w:rPr>
        <w:footnoteReference w:id="14"/>
      </w:r>
    </w:p>
    <w:p w:rsidR="00597090" w:rsidRPr="006E3415" w:rsidRDefault="00597090" w:rsidP="00746BFF">
      <w:pPr>
        <w:spacing w:after="0" w:line="360" w:lineRule="auto"/>
        <w:rPr>
          <w:rFonts w:ascii="Times New Roman" w:hAnsi="Times New Roman" w:cs="Times New Roman"/>
          <w:sz w:val="24"/>
          <w:szCs w:val="24"/>
        </w:rPr>
      </w:pPr>
    </w:p>
    <w:p w:rsidR="00C85A2D" w:rsidRDefault="001F37D1"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There are</w:t>
      </w:r>
      <w:r w:rsidR="00E84FD2" w:rsidRPr="006E3415">
        <w:rPr>
          <w:rFonts w:ascii="Times New Roman" w:hAnsi="Times New Roman" w:cs="Times New Roman"/>
          <w:sz w:val="24"/>
          <w:szCs w:val="24"/>
        </w:rPr>
        <w:t xml:space="preserve"> several aspects of </w:t>
      </w:r>
      <w:r w:rsidR="00E84FD2" w:rsidRPr="006E3415">
        <w:rPr>
          <w:rFonts w:ascii="Times New Roman" w:hAnsi="Times New Roman" w:cs="Times New Roman"/>
          <w:i/>
          <w:sz w:val="24"/>
          <w:szCs w:val="24"/>
        </w:rPr>
        <w:t xml:space="preserve">Rochefoucauld </w:t>
      </w:r>
      <w:r w:rsidR="00E84FD2" w:rsidRPr="006E3415">
        <w:rPr>
          <w:rFonts w:ascii="Times New Roman" w:hAnsi="Times New Roman" w:cs="Times New Roman"/>
          <w:sz w:val="24"/>
          <w:szCs w:val="24"/>
        </w:rPr>
        <w:t xml:space="preserve">that are of interest from a historical perspective. Firstly, the </w:t>
      </w:r>
      <w:r w:rsidR="000A43C1" w:rsidRPr="006E3415">
        <w:rPr>
          <w:rFonts w:ascii="Times New Roman" w:hAnsi="Times New Roman" w:cs="Times New Roman"/>
          <w:sz w:val="24"/>
          <w:szCs w:val="24"/>
        </w:rPr>
        <w:t>precise facts of</w:t>
      </w:r>
      <w:r w:rsidR="00E84FD2" w:rsidRPr="006E3415">
        <w:rPr>
          <w:rFonts w:ascii="Times New Roman" w:hAnsi="Times New Roman" w:cs="Times New Roman"/>
          <w:sz w:val="24"/>
          <w:szCs w:val="24"/>
        </w:rPr>
        <w:t xml:space="preserve"> </w:t>
      </w:r>
      <w:r w:rsidR="000A43C1" w:rsidRPr="006E3415">
        <w:rPr>
          <w:rFonts w:ascii="Times New Roman" w:hAnsi="Times New Roman" w:cs="Times New Roman"/>
          <w:sz w:val="24"/>
          <w:szCs w:val="24"/>
        </w:rPr>
        <w:t xml:space="preserve">the case are </w:t>
      </w:r>
      <w:r w:rsidR="00E84FD2" w:rsidRPr="006E3415">
        <w:rPr>
          <w:rFonts w:ascii="Times New Roman" w:hAnsi="Times New Roman" w:cs="Times New Roman"/>
          <w:sz w:val="24"/>
          <w:szCs w:val="24"/>
        </w:rPr>
        <w:t xml:space="preserve">difficult to ascertain. The law reports do not make clear exactly why, by whom, or by which legal mechanism the Estates were sold, nor is it </w:t>
      </w:r>
      <w:r w:rsidR="00E84FD2" w:rsidRPr="006E3415">
        <w:rPr>
          <w:rFonts w:ascii="Times New Roman" w:hAnsi="Times New Roman" w:cs="Times New Roman"/>
          <w:color w:val="000000" w:themeColor="text1"/>
          <w:sz w:val="24"/>
          <w:szCs w:val="24"/>
        </w:rPr>
        <w:t xml:space="preserve">obvious to what extent the Comtesse was a victim of circumstance or an active protagonist in </w:t>
      </w:r>
      <w:r w:rsidR="00FA6766" w:rsidRPr="006E3415">
        <w:rPr>
          <w:rFonts w:ascii="Times New Roman" w:hAnsi="Times New Roman" w:cs="Times New Roman"/>
          <w:color w:val="000000" w:themeColor="text1"/>
          <w:sz w:val="24"/>
          <w:szCs w:val="24"/>
        </w:rPr>
        <w:t xml:space="preserve">securing </w:t>
      </w:r>
      <w:r w:rsidR="00E84FD2" w:rsidRPr="006E3415">
        <w:rPr>
          <w:rFonts w:ascii="Times New Roman" w:hAnsi="Times New Roman" w:cs="Times New Roman"/>
          <w:color w:val="000000" w:themeColor="text1"/>
          <w:sz w:val="24"/>
          <w:szCs w:val="24"/>
        </w:rPr>
        <w:t>the sale.</w:t>
      </w:r>
      <w:r w:rsidR="00820446" w:rsidRPr="006E3415">
        <w:rPr>
          <w:rFonts w:ascii="Times New Roman" w:hAnsi="Times New Roman" w:cs="Times New Roman"/>
          <w:color w:val="000000" w:themeColor="text1"/>
          <w:sz w:val="24"/>
          <w:szCs w:val="24"/>
        </w:rPr>
        <w:t xml:space="preserve"> </w:t>
      </w:r>
      <w:r w:rsidRPr="006E3415">
        <w:rPr>
          <w:rFonts w:ascii="Times New Roman" w:hAnsi="Times New Roman" w:cs="Times New Roman"/>
          <w:color w:val="000000" w:themeColor="text1"/>
          <w:sz w:val="24"/>
          <w:szCs w:val="24"/>
        </w:rPr>
        <w:t>A complic</w:t>
      </w:r>
      <w:r w:rsidR="00597090" w:rsidRPr="006E3415">
        <w:rPr>
          <w:rFonts w:ascii="Times New Roman" w:hAnsi="Times New Roman" w:cs="Times New Roman"/>
          <w:color w:val="000000" w:themeColor="text1"/>
          <w:sz w:val="24"/>
          <w:szCs w:val="24"/>
        </w:rPr>
        <w:t>at</w:t>
      </w:r>
      <w:r w:rsidRPr="006E3415">
        <w:rPr>
          <w:rFonts w:ascii="Times New Roman" w:hAnsi="Times New Roman" w:cs="Times New Roman"/>
          <w:color w:val="000000" w:themeColor="text1"/>
          <w:sz w:val="24"/>
          <w:szCs w:val="24"/>
        </w:rPr>
        <w:t>ing factor is that Ceylon was, and still is, subject to Roman-Dutch law.</w:t>
      </w:r>
      <w:r w:rsidR="00FA6766" w:rsidRPr="006E3415">
        <w:rPr>
          <w:rStyle w:val="FootnoteReference"/>
          <w:rFonts w:ascii="Times New Roman" w:hAnsi="Times New Roman" w:cs="Times New Roman"/>
          <w:color w:val="000000" w:themeColor="text1"/>
          <w:sz w:val="24"/>
          <w:szCs w:val="24"/>
        </w:rPr>
        <w:t xml:space="preserve"> </w:t>
      </w:r>
      <w:r w:rsidR="00FA6766" w:rsidRPr="006E3415">
        <w:rPr>
          <w:rStyle w:val="FootnoteReference"/>
          <w:rFonts w:ascii="Times New Roman" w:hAnsi="Times New Roman" w:cs="Times New Roman"/>
          <w:color w:val="000000" w:themeColor="text1"/>
          <w:sz w:val="24"/>
          <w:szCs w:val="24"/>
        </w:rPr>
        <w:footnoteReference w:id="15"/>
      </w:r>
      <w:r w:rsidR="00FA6766" w:rsidRPr="006E3415">
        <w:rPr>
          <w:rFonts w:ascii="Times New Roman" w:hAnsi="Times New Roman" w:cs="Times New Roman"/>
          <w:color w:val="000000" w:themeColor="text1"/>
          <w:sz w:val="24"/>
          <w:szCs w:val="24"/>
        </w:rPr>
        <w:t xml:space="preserve"> </w:t>
      </w:r>
      <w:r w:rsidRPr="006E3415">
        <w:rPr>
          <w:rFonts w:ascii="Times New Roman" w:hAnsi="Times New Roman" w:cs="Times New Roman"/>
          <w:color w:val="000000" w:themeColor="text1"/>
          <w:sz w:val="24"/>
          <w:szCs w:val="24"/>
        </w:rPr>
        <w:t>The Roman-Dutch rules relating to mortgages and sales by mortgagees were very different from tho</w:t>
      </w:r>
      <w:r w:rsidR="00FA6766" w:rsidRPr="006E3415">
        <w:rPr>
          <w:rFonts w:ascii="Times New Roman" w:hAnsi="Times New Roman" w:cs="Times New Roman"/>
          <w:color w:val="000000" w:themeColor="text1"/>
          <w:sz w:val="24"/>
          <w:szCs w:val="24"/>
        </w:rPr>
        <w:t>se in common law jurisdictions.</w:t>
      </w:r>
      <w:r w:rsidRPr="006E3415">
        <w:rPr>
          <w:rStyle w:val="FootnoteReference"/>
          <w:rFonts w:ascii="Times New Roman" w:hAnsi="Times New Roman" w:cs="Times New Roman"/>
          <w:color w:val="000000" w:themeColor="text1"/>
          <w:sz w:val="24"/>
          <w:szCs w:val="24"/>
        </w:rPr>
        <w:footnoteReference w:id="16"/>
      </w:r>
      <w:r w:rsidR="008E794A" w:rsidRPr="006E3415">
        <w:rPr>
          <w:rFonts w:ascii="Times New Roman" w:hAnsi="Times New Roman" w:cs="Times New Roman"/>
          <w:color w:val="000000" w:themeColor="text1"/>
          <w:sz w:val="24"/>
          <w:szCs w:val="24"/>
        </w:rPr>
        <w:t xml:space="preserve"> </w:t>
      </w:r>
      <w:r w:rsidR="00820446" w:rsidRPr="006E3415">
        <w:rPr>
          <w:rFonts w:ascii="Times New Roman" w:hAnsi="Times New Roman" w:cs="Times New Roman"/>
          <w:color w:val="000000" w:themeColor="text1"/>
          <w:sz w:val="24"/>
          <w:szCs w:val="24"/>
        </w:rPr>
        <w:t>In view of these difficulties</w:t>
      </w:r>
      <w:r w:rsidR="00387C98" w:rsidRPr="006E3415">
        <w:rPr>
          <w:rFonts w:ascii="Times New Roman" w:hAnsi="Times New Roman" w:cs="Times New Roman"/>
          <w:color w:val="000000" w:themeColor="text1"/>
          <w:sz w:val="24"/>
          <w:szCs w:val="24"/>
        </w:rPr>
        <w:t>,</w:t>
      </w:r>
      <w:r w:rsidR="00820446" w:rsidRPr="006E3415">
        <w:rPr>
          <w:rFonts w:ascii="Times New Roman" w:hAnsi="Times New Roman" w:cs="Times New Roman"/>
          <w:color w:val="000000" w:themeColor="text1"/>
          <w:sz w:val="24"/>
          <w:szCs w:val="24"/>
        </w:rPr>
        <w:t xml:space="preserve"> it is perhaps not surprising that several different versions of the facts have </w:t>
      </w:r>
      <w:r w:rsidR="00820446" w:rsidRPr="006E3415">
        <w:rPr>
          <w:rFonts w:ascii="Times New Roman" w:hAnsi="Times New Roman" w:cs="Times New Roman"/>
          <w:sz w:val="24"/>
          <w:szCs w:val="24"/>
        </w:rPr>
        <w:t>been propagated.</w:t>
      </w:r>
      <w:r w:rsidR="00820446" w:rsidRPr="006E3415">
        <w:rPr>
          <w:rStyle w:val="FootnoteReference"/>
          <w:rFonts w:ascii="Times New Roman" w:hAnsi="Times New Roman" w:cs="Times New Roman"/>
          <w:sz w:val="24"/>
          <w:szCs w:val="24"/>
        </w:rPr>
        <w:footnoteReference w:id="17"/>
      </w:r>
      <w:r w:rsidR="000A43C1" w:rsidRPr="006E3415">
        <w:rPr>
          <w:rFonts w:ascii="Times New Roman" w:hAnsi="Times New Roman" w:cs="Times New Roman"/>
          <w:sz w:val="24"/>
          <w:szCs w:val="24"/>
        </w:rPr>
        <w:t xml:space="preserve"> </w:t>
      </w:r>
    </w:p>
    <w:p w:rsidR="00C85A2D" w:rsidRDefault="00C85A2D" w:rsidP="00746BFF">
      <w:pPr>
        <w:spacing w:after="0" w:line="360" w:lineRule="auto"/>
        <w:rPr>
          <w:rFonts w:ascii="Times New Roman" w:hAnsi="Times New Roman" w:cs="Times New Roman"/>
          <w:sz w:val="24"/>
          <w:szCs w:val="24"/>
        </w:rPr>
      </w:pPr>
    </w:p>
    <w:p w:rsidR="00E84FD2" w:rsidRPr="00C85A2D" w:rsidRDefault="000A43C1" w:rsidP="00746BFF">
      <w:pPr>
        <w:spacing w:after="0" w:line="360" w:lineRule="auto"/>
        <w:rPr>
          <w:rFonts w:ascii="Times New Roman" w:hAnsi="Times New Roman" w:cs="Times New Roman"/>
          <w:color w:val="FF0000"/>
          <w:sz w:val="24"/>
          <w:szCs w:val="24"/>
        </w:rPr>
      </w:pPr>
      <w:r w:rsidRPr="006E3415">
        <w:rPr>
          <w:rFonts w:ascii="Times New Roman" w:hAnsi="Times New Roman" w:cs="Times New Roman"/>
          <w:sz w:val="24"/>
          <w:szCs w:val="24"/>
        </w:rPr>
        <w:t>The first aim o</w:t>
      </w:r>
      <w:r w:rsidR="002E2EC9">
        <w:rPr>
          <w:rFonts w:ascii="Times New Roman" w:hAnsi="Times New Roman" w:cs="Times New Roman"/>
          <w:sz w:val="24"/>
          <w:szCs w:val="24"/>
        </w:rPr>
        <w:t xml:space="preserve">f this article </w:t>
      </w:r>
      <w:r w:rsidRPr="006E3415">
        <w:rPr>
          <w:rFonts w:ascii="Times New Roman" w:hAnsi="Times New Roman" w:cs="Times New Roman"/>
          <w:sz w:val="24"/>
          <w:szCs w:val="24"/>
        </w:rPr>
        <w:t>is to provide</w:t>
      </w:r>
      <w:r w:rsidR="003A1D37">
        <w:rPr>
          <w:rFonts w:ascii="Times New Roman" w:hAnsi="Times New Roman" w:cs="Times New Roman"/>
          <w:sz w:val="24"/>
          <w:szCs w:val="24"/>
        </w:rPr>
        <w:t>,</w:t>
      </w:r>
      <w:r w:rsidRPr="006E3415">
        <w:rPr>
          <w:rFonts w:ascii="Times New Roman" w:hAnsi="Times New Roman" w:cs="Times New Roman"/>
          <w:sz w:val="24"/>
          <w:szCs w:val="24"/>
        </w:rPr>
        <w:t xml:space="preserve"> for the first time, </w:t>
      </w:r>
      <w:r w:rsidR="00CE7165" w:rsidRPr="006E3415">
        <w:rPr>
          <w:rFonts w:ascii="Times New Roman" w:hAnsi="Times New Roman" w:cs="Times New Roman"/>
          <w:sz w:val="24"/>
          <w:szCs w:val="24"/>
        </w:rPr>
        <w:t xml:space="preserve">a full account and analysis of the facts and </w:t>
      </w:r>
      <w:r w:rsidR="001D5F3F">
        <w:rPr>
          <w:rFonts w:ascii="Times New Roman" w:hAnsi="Times New Roman" w:cs="Times New Roman"/>
          <w:sz w:val="24"/>
          <w:szCs w:val="24"/>
        </w:rPr>
        <w:t xml:space="preserve">factual background </w:t>
      </w:r>
      <w:r w:rsidR="002E2EC9">
        <w:rPr>
          <w:rFonts w:ascii="Times New Roman" w:hAnsi="Times New Roman" w:cs="Times New Roman"/>
          <w:sz w:val="24"/>
          <w:szCs w:val="24"/>
        </w:rPr>
        <w:t xml:space="preserve">of the case </w:t>
      </w:r>
      <w:r w:rsidRPr="006E3415">
        <w:rPr>
          <w:rFonts w:ascii="Times New Roman" w:hAnsi="Times New Roman" w:cs="Times New Roman"/>
          <w:sz w:val="24"/>
          <w:szCs w:val="24"/>
        </w:rPr>
        <w:t xml:space="preserve">through the use of all extant </w:t>
      </w:r>
      <w:r w:rsidR="008128DD" w:rsidRPr="006E3415">
        <w:rPr>
          <w:rFonts w:ascii="Times New Roman" w:hAnsi="Times New Roman" w:cs="Times New Roman"/>
          <w:sz w:val="24"/>
          <w:szCs w:val="24"/>
        </w:rPr>
        <w:t>law</w:t>
      </w:r>
      <w:r w:rsidRPr="006E3415">
        <w:rPr>
          <w:rFonts w:ascii="Times New Roman" w:hAnsi="Times New Roman" w:cs="Times New Roman"/>
          <w:sz w:val="24"/>
          <w:szCs w:val="24"/>
        </w:rPr>
        <w:t xml:space="preserve"> </w:t>
      </w:r>
      <w:r w:rsidR="00A12D32" w:rsidRPr="006E3415">
        <w:rPr>
          <w:rFonts w:ascii="Times New Roman" w:hAnsi="Times New Roman" w:cs="Times New Roman"/>
          <w:sz w:val="24"/>
          <w:szCs w:val="24"/>
        </w:rPr>
        <w:t>reports,</w:t>
      </w:r>
      <w:r w:rsidR="00A12D32" w:rsidRPr="006E3415">
        <w:rPr>
          <w:rStyle w:val="FootnoteReference"/>
          <w:rFonts w:ascii="Times New Roman" w:hAnsi="Times New Roman" w:cs="Times New Roman"/>
          <w:bCs/>
          <w:sz w:val="24"/>
          <w:szCs w:val="24"/>
        </w:rPr>
        <w:footnoteReference w:id="18"/>
      </w:r>
      <w:r w:rsidR="00A12D32" w:rsidRPr="006E3415">
        <w:rPr>
          <w:rFonts w:ascii="Times New Roman" w:hAnsi="Times New Roman" w:cs="Times New Roman"/>
          <w:sz w:val="24"/>
          <w:szCs w:val="24"/>
        </w:rPr>
        <w:t xml:space="preserve"> </w:t>
      </w:r>
      <w:r w:rsidR="008128DD" w:rsidRPr="006E3415">
        <w:rPr>
          <w:rFonts w:ascii="Times New Roman" w:hAnsi="Times New Roman" w:cs="Times New Roman"/>
          <w:sz w:val="24"/>
          <w:szCs w:val="24"/>
        </w:rPr>
        <w:t xml:space="preserve">contemporary newspaper reports </w:t>
      </w:r>
      <w:r w:rsidRPr="006E3415">
        <w:rPr>
          <w:rFonts w:ascii="Times New Roman" w:hAnsi="Times New Roman" w:cs="Times New Roman"/>
          <w:sz w:val="24"/>
          <w:szCs w:val="24"/>
        </w:rPr>
        <w:t>and archive materials</w:t>
      </w:r>
      <w:r w:rsidR="00D24846" w:rsidRPr="006E3415">
        <w:rPr>
          <w:rFonts w:ascii="Times New Roman" w:hAnsi="Times New Roman" w:cs="Times New Roman"/>
          <w:sz w:val="24"/>
          <w:szCs w:val="24"/>
        </w:rPr>
        <w:t xml:space="preserve"> </w:t>
      </w:r>
      <w:r w:rsidRPr="006E3415">
        <w:rPr>
          <w:rFonts w:ascii="Times New Roman" w:hAnsi="Times New Roman" w:cs="Times New Roman"/>
          <w:sz w:val="24"/>
          <w:szCs w:val="24"/>
        </w:rPr>
        <w:t xml:space="preserve">which have </w:t>
      </w:r>
      <w:r w:rsidR="006B5925" w:rsidRPr="006E3415">
        <w:rPr>
          <w:rFonts w:ascii="Times New Roman" w:hAnsi="Times New Roman" w:cs="Times New Roman"/>
          <w:sz w:val="24"/>
          <w:szCs w:val="24"/>
        </w:rPr>
        <w:t xml:space="preserve">hitherto never been cited </w:t>
      </w:r>
      <w:r w:rsidR="006B5925" w:rsidRPr="006E3415">
        <w:rPr>
          <w:rFonts w:ascii="Times New Roman" w:hAnsi="Times New Roman" w:cs="Times New Roman"/>
          <w:bCs/>
          <w:sz w:val="24"/>
          <w:szCs w:val="24"/>
        </w:rPr>
        <w:lastRenderedPageBreak/>
        <w:t xml:space="preserve">in relation to any discussion of </w:t>
      </w:r>
      <w:r w:rsidR="006B5925" w:rsidRPr="006E3415">
        <w:rPr>
          <w:rFonts w:ascii="Times New Roman" w:hAnsi="Times New Roman" w:cs="Times New Roman"/>
          <w:bCs/>
          <w:i/>
          <w:sz w:val="24"/>
          <w:szCs w:val="24"/>
        </w:rPr>
        <w:t>Rochefoucauld</w:t>
      </w:r>
      <w:r w:rsidR="00CE7165">
        <w:rPr>
          <w:rFonts w:ascii="Times New Roman" w:hAnsi="Times New Roman" w:cs="Times New Roman"/>
          <w:bCs/>
          <w:sz w:val="24"/>
          <w:szCs w:val="24"/>
        </w:rPr>
        <w:t>.</w:t>
      </w:r>
      <w:r w:rsidR="006B5925" w:rsidRPr="006E3415">
        <w:rPr>
          <w:rStyle w:val="FootnoteReference"/>
          <w:rFonts w:ascii="Times New Roman" w:hAnsi="Times New Roman" w:cs="Times New Roman"/>
          <w:bCs/>
          <w:sz w:val="24"/>
          <w:szCs w:val="24"/>
        </w:rPr>
        <w:footnoteReference w:id="19"/>
      </w:r>
      <w:r w:rsidRPr="006E3415">
        <w:rPr>
          <w:rFonts w:ascii="Times New Roman" w:hAnsi="Times New Roman" w:cs="Times New Roman"/>
          <w:sz w:val="24"/>
          <w:szCs w:val="24"/>
        </w:rPr>
        <w:t xml:space="preserve"> </w:t>
      </w:r>
      <w:r w:rsidR="003F1DC5">
        <w:rPr>
          <w:rFonts w:ascii="Times New Roman" w:hAnsi="Times New Roman" w:cs="Times New Roman"/>
          <w:color w:val="000000" w:themeColor="text1"/>
          <w:sz w:val="24"/>
          <w:szCs w:val="24"/>
        </w:rPr>
        <w:t>An associated</w:t>
      </w:r>
      <w:r w:rsidR="00C85A2D" w:rsidRPr="00C85A2D">
        <w:rPr>
          <w:rFonts w:ascii="Times New Roman" w:hAnsi="Times New Roman" w:cs="Times New Roman"/>
          <w:color w:val="000000" w:themeColor="text1"/>
          <w:sz w:val="24"/>
          <w:szCs w:val="24"/>
        </w:rPr>
        <w:t xml:space="preserve"> aim is to consider whether the factual analysis may provide </w:t>
      </w:r>
      <w:r w:rsidR="00C85A2D">
        <w:rPr>
          <w:rFonts w:ascii="Times New Roman" w:hAnsi="Times New Roman" w:cs="Times New Roman"/>
          <w:color w:val="000000" w:themeColor="text1"/>
          <w:sz w:val="24"/>
          <w:szCs w:val="24"/>
        </w:rPr>
        <w:t>interesting examples both of the operation of nineteenth century Roman-Dutch law</w:t>
      </w:r>
      <w:r w:rsidR="00C85A2D" w:rsidRPr="00C85A2D">
        <w:rPr>
          <w:rFonts w:ascii="Times New Roman" w:hAnsi="Times New Roman" w:cs="Times New Roman"/>
          <w:color w:val="000000" w:themeColor="text1"/>
          <w:sz w:val="24"/>
          <w:szCs w:val="24"/>
        </w:rPr>
        <w:t xml:space="preserve">, and of the practical issues which could face late nineteenth century litigants when seeking resolution of disputes concerning more than one jurisdiction. Moreover, as the complex legal schemes of the Comtesse were played out well over a hundred years ago, it may be interesting to observe the manner in which she set about seeking to achieve her aims, bearing in mind that she was operating </w:t>
      </w:r>
      <w:r w:rsidR="00F950C7">
        <w:rPr>
          <w:rFonts w:ascii="Times New Roman" w:hAnsi="Times New Roman" w:cs="Times New Roman"/>
          <w:color w:val="000000" w:themeColor="text1"/>
          <w:sz w:val="24"/>
          <w:szCs w:val="24"/>
        </w:rPr>
        <w:t>what appears from a modern perspective to have been an extremely patriarchal society</w:t>
      </w:r>
      <w:r w:rsidR="00C85A2D" w:rsidRPr="00C85A2D">
        <w:rPr>
          <w:rFonts w:ascii="Times New Roman" w:hAnsi="Times New Roman" w:cs="Times New Roman"/>
          <w:color w:val="000000" w:themeColor="text1"/>
          <w:sz w:val="24"/>
          <w:szCs w:val="24"/>
        </w:rPr>
        <w:t>.</w:t>
      </w:r>
      <w:r w:rsidR="00F950C7">
        <w:rPr>
          <w:rStyle w:val="FootnoteReference"/>
          <w:rFonts w:ascii="Times New Roman" w:hAnsi="Times New Roman" w:cs="Times New Roman"/>
          <w:color w:val="000000" w:themeColor="text1"/>
          <w:sz w:val="24"/>
          <w:szCs w:val="24"/>
        </w:rPr>
        <w:footnoteReference w:id="20"/>
      </w:r>
      <w:r w:rsidR="00C85A2D" w:rsidRPr="00C85A2D">
        <w:rPr>
          <w:rFonts w:ascii="Times New Roman" w:hAnsi="Times New Roman" w:cs="Times New Roman"/>
          <w:color w:val="000000" w:themeColor="text1"/>
          <w:sz w:val="24"/>
          <w:szCs w:val="24"/>
        </w:rPr>
        <w:t xml:space="preserve"> </w:t>
      </w:r>
      <w:r w:rsidR="008938A8">
        <w:rPr>
          <w:rFonts w:ascii="Times New Roman" w:hAnsi="Times New Roman" w:cs="Times New Roman"/>
          <w:color w:val="000000" w:themeColor="text1"/>
          <w:sz w:val="24"/>
          <w:szCs w:val="24"/>
        </w:rPr>
        <w:t xml:space="preserve">These aspects </w:t>
      </w:r>
      <w:r w:rsidR="002E2EC9" w:rsidRPr="00C85A2D">
        <w:rPr>
          <w:rFonts w:ascii="Times New Roman" w:hAnsi="Times New Roman" w:cs="Times New Roman"/>
          <w:color w:val="000000" w:themeColor="text1"/>
          <w:sz w:val="24"/>
          <w:szCs w:val="24"/>
        </w:rPr>
        <w:t>of the a</w:t>
      </w:r>
      <w:r w:rsidR="00171D42">
        <w:rPr>
          <w:rFonts w:ascii="Times New Roman" w:hAnsi="Times New Roman" w:cs="Times New Roman"/>
          <w:color w:val="000000" w:themeColor="text1"/>
          <w:sz w:val="24"/>
          <w:szCs w:val="24"/>
        </w:rPr>
        <w:t>rticle are</w:t>
      </w:r>
      <w:r w:rsidR="002E2EC9" w:rsidRPr="00C85A2D">
        <w:rPr>
          <w:rFonts w:ascii="Times New Roman" w:hAnsi="Times New Roman" w:cs="Times New Roman"/>
          <w:color w:val="000000" w:themeColor="text1"/>
          <w:sz w:val="24"/>
          <w:szCs w:val="24"/>
        </w:rPr>
        <w:t xml:space="preserve"> covered in parts I. to III., below.</w:t>
      </w:r>
    </w:p>
    <w:p w:rsidR="008E21B4" w:rsidRDefault="008E21B4" w:rsidP="00746BFF">
      <w:pPr>
        <w:spacing w:after="0" w:line="360" w:lineRule="auto"/>
        <w:rPr>
          <w:rFonts w:ascii="Times New Roman" w:hAnsi="Times New Roman" w:cs="Times New Roman"/>
          <w:sz w:val="24"/>
          <w:szCs w:val="24"/>
        </w:rPr>
      </w:pPr>
    </w:p>
    <w:p w:rsidR="00820446" w:rsidRDefault="00BC217E" w:rsidP="00746BFF">
      <w:pPr>
        <w:spacing w:after="0" w:line="360" w:lineRule="auto"/>
        <w:rPr>
          <w:rFonts w:ascii="Times New Roman" w:hAnsi="Times New Roman" w:cs="Times New Roman"/>
          <w:color w:val="000000" w:themeColor="text1"/>
          <w:sz w:val="24"/>
          <w:szCs w:val="24"/>
        </w:rPr>
      </w:pPr>
      <w:r w:rsidRPr="006E3415">
        <w:rPr>
          <w:rFonts w:ascii="Times New Roman" w:hAnsi="Times New Roman" w:cs="Times New Roman"/>
          <w:sz w:val="24"/>
          <w:szCs w:val="24"/>
        </w:rPr>
        <w:t>Certain parts</w:t>
      </w:r>
      <w:r w:rsidR="00FA6766" w:rsidRPr="006E3415">
        <w:rPr>
          <w:rFonts w:ascii="Times New Roman" w:hAnsi="Times New Roman" w:cs="Times New Roman"/>
          <w:sz w:val="24"/>
          <w:szCs w:val="24"/>
        </w:rPr>
        <w:t xml:space="preserve"> of the judgment itself also lend themselves to historical analysis</w:t>
      </w:r>
      <w:r w:rsidR="00820446" w:rsidRPr="006E3415">
        <w:rPr>
          <w:rFonts w:ascii="Times New Roman" w:hAnsi="Times New Roman" w:cs="Times New Roman"/>
          <w:sz w:val="24"/>
          <w:szCs w:val="24"/>
        </w:rPr>
        <w:t>. Lindley LJ, who delivered the Court of Appeal’s judgment,</w:t>
      </w:r>
      <w:r w:rsidR="000A43C1" w:rsidRPr="006E3415">
        <w:rPr>
          <w:rStyle w:val="FootnoteReference"/>
          <w:rFonts w:ascii="Times New Roman" w:hAnsi="Times New Roman" w:cs="Times New Roman"/>
          <w:sz w:val="24"/>
          <w:szCs w:val="24"/>
        </w:rPr>
        <w:footnoteReference w:id="21"/>
      </w:r>
      <w:r w:rsidR="00820446" w:rsidRPr="006E3415">
        <w:rPr>
          <w:rFonts w:ascii="Times New Roman" w:hAnsi="Times New Roman" w:cs="Times New Roman"/>
          <w:sz w:val="24"/>
          <w:szCs w:val="24"/>
        </w:rPr>
        <w:t xml:space="preserve"> described Boustead’s laches defence as ‘the most difficult part of the case’.</w:t>
      </w:r>
      <w:r w:rsidR="00820446" w:rsidRPr="006E3415">
        <w:rPr>
          <w:rStyle w:val="FootnoteReference"/>
          <w:rFonts w:ascii="Times New Roman" w:hAnsi="Times New Roman" w:cs="Times New Roman"/>
          <w:sz w:val="24"/>
          <w:szCs w:val="24"/>
        </w:rPr>
        <w:footnoteReference w:id="22"/>
      </w:r>
      <w:r w:rsidR="006B4374" w:rsidRPr="006E3415">
        <w:rPr>
          <w:rFonts w:ascii="Times New Roman" w:hAnsi="Times New Roman" w:cs="Times New Roman"/>
          <w:sz w:val="24"/>
          <w:szCs w:val="24"/>
        </w:rPr>
        <w:t xml:space="preserve"> </w:t>
      </w:r>
      <w:r w:rsidR="002A770A" w:rsidRPr="006E3415">
        <w:rPr>
          <w:rFonts w:ascii="Times New Roman" w:hAnsi="Times New Roman" w:cs="Times New Roman"/>
          <w:sz w:val="24"/>
          <w:szCs w:val="24"/>
        </w:rPr>
        <w:t xml:space="preserve">Of the other two </w:t>
      </w:r>
      <w:r w:rsidR="002E2EC9">
        <w:rPr>
          <w:rFonts w:ascii="Times New Roman" w:hAnsi="Times New Roman" w:cs="Times New Roman"/>
          <w:sz w:val="24"/>
          <w:szCs w:val="24"/>
        </w:rPr>
        <w:t xml:space="preserve">main </w:t>
      </w:r>
      <w:r w:rsidR="002A770A" w:rsidRPr="006E3415">
        <w:rPr>
          <w:rFonts w:ascii="Times New Roman" w:hAnsi="Times New Roman" w:cs="Times New Roman"/>
          <w:sz w:val="24"/>
          <w:szCs w:val="24"/>
        </w:rPr>
        <w:t>defences, the Court of Appeal’s judgment in respect of the applicability of s7 is</w:t>
      </w:r>
      <w:r w:rsidR="00416038">
        <w:rPr>
          <w:rFonts w:ascii="Times New Roman" w:hAnsi="Times New Roman" w:cs="Times New Roman"/>
          <w:sz w:val="24"/>
          <w:szCs w:val="24"/>
        </w:rPr>
        <w:t>, in a modern</w:t>
      </w:r>
      <w:r w:rsidR="00CE7165">
        <w:rPr>
          <w:rFonts w:ascii="Times New Roman" w:hAnsi="Times New Roman" w:cs="Times New Roman"/>
          <w:sz w:val="24"/>
          <w:szCs w:val="24"/>
        </w:rPr>
        <w:t xml:space="preserve"> context,</w:t>
      </w:r>
      <w:r w:rsidR="002A770A" w:rsidRPr="006E3415">
        <w:rPr>
          <w:rFonts w:ascii="Times New Roman" w:hAnsi="Times New Roman" w:cs="Times New Roman"/>
          <w:sz w:val="24"/>
          <w:szCs w:val="24"/>
        </w:rPr>
        <w:t xml:space="preserve"> regarded as the most important aspe</w:t>
      </w:r>
      <w:r w:rsidR="00A45249" w:rsidRPr="006E3415">
        <w:rPr>
          <w:rFonts w:ascii="Times New Roman" w:hAnsi="Times New Roman" w:cs="Times New Roman"/>
          <w:sz w:val="24"/>
          <w:szCs w:val="24"/>
        </w:rPr>
        <w:t>ct of the case</w:t>
      </w:r>
      <w:r w:rsidR="00820446" w:rsidRPr="006E3415">
        <w:rPr>
          <w:rFonts w:ascii="Times New Roman" w:hAnsi="Times New Roman" w:cs="Times New Roman"/>
          <w:sz w:val="24"/>
          <w:szCs w:val="24"/>
        </w:rPr>
        <w:t>,</w:t>
      </w:r>
      <w:r w:rsidR="008D58ED" w:rsidRPr="006E3415">
        <w:rPr>
          <w:rStyle w:val="FootnoteReference"/>
          <w:rFonts w:ascii="Times New Roman" w:hAnsi="Times New Roman" w:cs="Times New Roman"/>
          <w:sz w:val="24"/>
          <w:szCs w:val="24"/>
        </w:rPr>
        <w:footnoteReference w:id="23"/>
      </w:r>
      <w:r w:rsidR="00820446" w:rsidRPr="006E3415">
        <w:rPr>
          <w:rFonts w:ascii="Times New Roman" w:hAnsi="Times New Roman" w:cs="Times New Roman"/>
          <w:sz w:val="24"/>
          <w:szCs w:val="24"/>
        </w:rPr>
        <w:t xml:space="preserve"> whilst the limitation defence required the </w:t>
      </w:r>
      <w:r w:rsidR="006B4374" w:rsidRPr="006E3415">
        <w:rPr>
          <w:rFonts w:ascii="Times New Roman" w:hAnsi="Times New Roman" w:cs="Times New Roman"/>
          <w:sz w:val="24"/>
          <w:szCs w:val="24"/>
        </w:rPr>
        <w:t xml:space="preserve">Court of Appeal </w:t>
      </w:r>
      <w:r w:rsidR="00820446" w:rsidRPr="006E3415">
        <w:rPr>
          <w:rFonts w:ascii="Times New Roman" w:hAnsi="Times New Roman" w:cs="Times New Roman"/>
          <w:sz w:val="24"/>
          <w:szCs w:val="24"/>
        </w:rPr>
        <w:t xml:space="preserve">to set a new precedent. </w:t>
      </w:r>
      <w:r w:rsidR="00E062B8">
        <w:rPr>
          <w:rFonts w:ascii="Times New Roman" w:hAnsi="Times New Roman" w:cs="Times New Roman"/>
          <w:sz w:val="24"/>
          <w:szCs w:val="24"/>
        </w:rPr>
        <w:t>For lawyers</w:t>
      </w:r>
      <w:r w:rsidR="00E062B8" w:rsidRPr="006E3415">
        <w:rPr>
          <w:rFonts w:ascii="Times New Roman" w:hAnsi="Times New Roman" w:cs="Times New Roman"/>
          <w:sz w:val="24"/>
          <w:szCs w:val="24"/>
        </w:rPr>
        <w:t xml:space="preserve"> unacquainted with the law as it was in 1896, it may seem strange that Lindley LJ dealt with these </w:t>
      </w:r>
      <w:r w:rsidR="00E062B8">
        <w:rPr>
          <w:rFonts w:ascii="Times New Roman" w:hAnsi="Times New Roman" w:cs="Times New Roman"/>
          <w:sz w:val="24"/>
          <w:szCs w:val="24"/>
        </w:rPr>
        <w:t xml:space="preserve">latter </w:t>
      </w:r>
      <w:r w:rsidR="00E062B8" w:rsidRPr="006E3415">
        <w:rPr>
          <w:rFonts w:ascii="Times New Roman" w:hAnsi="Times New Roman" w:cs="Times New Roman"/>
          <w:sz w:val="24"/>
          <w:szCs w:val="24"/>
        </w:rPr>
        <w:t>two defences</w:t>
      </w:r>
      <w:r w:rsidR="00E062B8">
        <w:rPr>
          <w:rFonts w:ascii="Times New Roman" w:hAnsi="Times New Roman" w:cs="Times New Roman"/>
          <w:sz w:val="24"/>
          <w:szCs w:val="24"/>
        </w:rPr>
        <w:t>, both of which have attracted much academic debate,</w:t>
      </w:r>
      <w:r w:rsidR="00E062B8" w:rsidRPr="006E3415">
        <w:rPr>
          <w:rFonts w:ascii="Times New Roman" w:hAnsi="Times New Roman" w:cs="Times New Roman"/>
          <w:sz w:val="24"/>
          <w:szCs w:val="24"/>
        </w:rPr>
        <w:t xml:space="preserve"> in a routine manner, and regarded the laches issue, which is today readily comprehensible, as far trickier.</w:t>
      </w:r>
      <w:r w:rsidR="00E062B8" w:rsidRPr="006E3415">
        <w:rPr>
          <w:rStyle w:val="FootnoteReference"/>
          <w:rFonts w:ascii="Times New Roman" w:hAnsi="Times New Roman" w:cs="Times New Roman"/>
          <w:sz w:val="24"/>
          <w:szCs w:val="24"/>
        </w:rPr>
        <w:footnoteReference w:id="24"/>
      </w:r>
      <w:r w:rsidR="00E062B8" w:rsidRPr="006E3415">
        <w:rPr>
          <w:rFonts w:ascii="Times New Roman" w:hAnsi="Times New Roman" w:cs="Times New Roman"/>
          <w:sz w:val="24"/>
          <w:szCs w:val="24"/>
        </w:rPr>
        <w:t xml:space="preserve"> </w:t>
      </w:r>
      <w:r w:rsidR="000A43C1" w:rsidRPr="006E3415">
        <w:rPr>
          <w:rFonts w:ascii="Times New Roman" w:hAnsi="Times New Roman" w:cs="Times New Roman"/>
          <w:sz w:val="24"/>
          <w:szCs w:val="24"/>
        </w:rPr>
        <w:t>The second aim of this a</w:t>
      </w:r>
      <w:r w:rsidR="001D6F85" w:rsidRPr="006E3415">
        <w:rPr>
          <w:rFonts w:ascii="Times New Roman" w:hAnsi="Times New Roman" w:cs="Times New Roman"/>
          <w:sz w:val="24"/>
          <w:szCs w:val="24"/>
        </w:rPr>
        <w:t>rticle, therefore, is to</w:t>
      </w:r>
      <w:r w:rsidR="000A43C1" w:rsidRPr="006E3415">
        <w:rPr>
          <w:rFonts w:ascii="Times New Roman" w:hAnsi="Times New Roman" w:cs="Times New Roman"/>
          <w:sz w:val="24"/>
          <w:szCs w:val="24"/>
        </w:rPr>
        <w:t xml:space="preserve"> ascertain</w:t>
      </w:r>
      <w:r w:rsidR="001D6F85" w:rsidRPr="006E3415">
        <w:rPr>
          <w:rFonts w:ascii="Times New Roman" w:hAnsi="Times New Roman" w:cs="Times New Roman"/>
          <w:sz w:val="24"/>
          <w:szCs w:val="24"/>
        </w:rPr>
        <w:t xml:space="preserve">, through use of historical cases and texts, as well as the facts of </w:t>
      </w:r>
      <w:r w:rsidR="001D6F85" w:rsidRPr="006E3415">
        <w:rPr>
          <w:rFonts w:ascii="Times New Roman" w:hAnsi="Times New Roman" w:cs="Times New Roman"/>
          <w:i/>
          <w:sz w:val="24"/>
          <w:szCs w:val="24"/>
        </w:rPr>
        <w:t xml:space="preserve">Rochefocuauld </w:t>
      </w:r>
      <w:r w:rsidR="001D6F85" w:rsidRPr="006E3415">
        <w:rPr>
          <w:rFonts w:ascii="Times New Roman" w:hAnsi="Times New Roman" w:cs="Times New Roman"/>
          <w:sz w:val="24"/>
          <w:szCs w:val="24"/>
        </w:rPr>
        <w:t xml:space="preserve">as </w:t>
      </w:r>
      <w:r w:rsidR="001D6F85" w:rsidRPr="006E3415">
        <w:rPr>
          <w:rFonts w:ascii="Times New Roman" w:hAnsi="Times New Roman" w:cs="Times New Roman"/>
          <w:sz w:val="24"/>
          <w:szCs w:val="24"/>
        </w:rPr>
        <w:lastRenderedPageBreak/>
        <w:t>gleaned from</w:t>
      </w:r>
      <w:r w:rsidR="009E5DDB">
        <w:rPr>
          <w:rFonts w:ascii="Times New Roman" w:hAnsi="Times New Roman" w:cs="Times New Roman"/>
          <w:sz w:val="24"/>
          <w:szCs w:val="24"/>
        </w:rPr>
        <w:t xml:space="preserve"> the archive materials, how </w:t>
      </w:r>
      <w:r w:rsidR="00F02743" w:rsidRPr="006E3415">
        <w:rPr>
          <w:rFonts w:ascii="Times New Roman" w:hAnsi="Times New Roman" w:cs="Times New Roman"/>
          <w:sz w:val="24"/>
          <w:szCs w:val="24"/>
        </w:rPr>
        <w:t>Lindley LJ and his colleagues</w:t>
      </w:r>
      <w:r w:rsidR="001D6F85" w:rsidRPr="006E3415">
        <w:rPr>
          <w:rFonts w:ascii="Times New Roman" w:hAnsi="Times New Roman" w:cs="Times New Roman"/>
          <w:sz w:val="24"/>
          <w:szCs w:val="24"/>
        </w:rPr>
        <w:t xml:space="preserve"> understood and applied in the law </w:t>
      </w:r>
      <w:r w:rsidR="00354B27">
        <w:rPr>
          <w:rFonts w:ascii="Times New Roman" w:hAnsi="Times New Roman" w:cs="Times New Roman"/>
          <w:sz w:val="24"/>
          <w:szCs w:val="24"/>
        </w:rPr>
        <w:t xml:space="preserve">in </w:t>
      </w:r>
      <w:r w:rsidR="002D2836" w:rsidRPr="006E3415">
        <w:rPr>
          <w:rFonts w:ascii="Times New Roman" w:hAnsi="Times New Roman" w:cs="Times New Roman"/>
          <w:sz w:val="24"/>
          <w:szCs w:val="24"/>
        </w:rPr>
        <w:t xml:space="preserve">1896 and how the judgment was received, </w:t>
      </w:r>
      <w:r w:rsidR="00AB7B7B" w:rsidRPr="006E3415">
        <w:rPr>
          <w:rFonts w:ascii="Times New Roman" w:hAnsi="Times New Roman" w:cs="Times New Roman"/>
          <w:sz w:val="24"/>
          <w:szCs w:val="24"/>
        </w:rPr>
        <w:t xml:space="preserve">in the hope of </w:t>
      </w:r>
      <w:r w:rsidR="000A43C1" w:rsidRPr="006E3415">
        <w:rPr>
          <w:rFonts w:ascii="Times New Roman" w:hAnsi="Times New Roman" w:cs="Times New Roman"/>
          <w:sz w:val="24"/>
          <w:szCs w:val="24"/>
        </w:rPr>
        <w:t xml:space="preserve">establishing why </w:t>
      </w:r>
      <w:r w:rsidR="006B4374" w:rsidRPr="006E3415">
        <w:rPr>
          <w:rFonts w:ascii="Times New Roman" w:hAnsi="Times New Roman" w:cs="Times New Roman"/>
          <w:sz w:val="24"/>
          <w:szCs w:val="24"/>
        </w:rPr>
        <w:t>the</w:t>
      </w:r>
      <w:r w:rsidR="00A45249" w:rsidRPr="006E3415">
        <w:rPr>
          <w:rFonts w:ascii="Times New Roman" w:hAnsi="Times New Roman" w:cs="Times New Roman"/>
          <w:sz w:val="24"/>
          <w:szCs w:val="24"/>
        </w:rPr>
        <w:t xml:space="preserve"> most </w:t>
      </w:r>
      <w:r w:rsidR="00416038">
        <w:rPr>
          <w:rFonts w:ascii="Times New Roman" w:hAnsi="Times New Roman" w:cs="Times New Roman"/>
          <w:sz w:val="24"/>
          <w:szCs w:val="24"/>
        </w:rPr>
        <w:t xml:space="preserve">enduringly </w:t>
      </w:r>
      <w:r w:rsidR="00A45249" w:rsidRPr="006E3415">
        <w:rPr>
          <w:rFonts w:ascii="Times New Roman" w:hAnsi="Times New Roman" w:cs="Times New Roman"/>
          <w:sz w:val="24"/>
          <w:szCs w:val="24"/>
        </w:rPr>
        <w:t xml:space="preserve">significant and, from a modern perspective, </w:t>
      </w:r>
      <w:r w:rsidR="001D6F85" w:rsidRPr="006E3415">
        <w:rPr>
          <w:rFonts w:ascii="Times New Roman" w:hAnsi="Times New Roman" w:cs="Times New Roman"/>
          <w:sz w:val="24"/>
          <w:szCs w:val="24"/>
        </w:rPr>
        <w:t>complex aspects of the judgment</w:t>
      </w:r>
      <w:r w:rsidR="000A43C1" w:rsidRPr="006E3415">
        <w:rPr>
          <w:rFonts w:ascii="Times New Roman" w:hAnsi="Times New Roman" w:cs="Times New Roman"/>
          <w:sz w:val="24"/>
          <w:szCs w:val="24"/>
        </w:rPr>
        <w:t xml:space="preserve"> were treated by the C</w:t>
      </w:r>
      <w:r w:rsidR="00AB7B7B" w:rsidRPr="006E3415">
        <w:rPr>
          <w:rFonts w:ascii="Times New Roman" w:hAnsi="Times New Roman" w:cs="Times New Roman"/>
          <w:sz w:val="24"/>
          <w:szCs w:val="24"/>
        </w:rPr>
        <w:t>ourt of Appeal as uncontroversial</w:t>
      </w:r>
      <w:r w:rsidR="000A43C1" w:rsidRPr="006E3415">
        <w:rPr>
          <w:rFonts w:ascii="Times New Roman" w:hAnsi="Times New Roman" w:cs="Times New Roman"/>
          <w:color w:val="000000" w:themeColor="text1"/>
          <w:sz w:val="24"/>
          <w:szCs w:val="24"/>
        </w:rPr>
        <w:t>.</w:t>
      </w:r>
      <w:r w:rsidR="00CE7165" w:rsidRPr="006E3415">
        <w:rPr>
          <w:rStyle w:val="FootnoteReference"/>
          <w:rFonts w:ascii="Times New Roman" w:hAnsi="Times New Roman" w:cs="Times New Roman"/>
          <w:sz w:val="24"/>
          <w:szCs w:val="24"/>
        </w:rPr>
        <w:footnoteReference w:id="25"/>
      </w:r>
      <w:r w:rsidR="002E2EC9">
        <w:rPr>
          <w:rFonts w:ascii="Times New Roman" w:hAnsi="Times New Roman" w:cs="Times New Roman"/>
          <w:color w:val="000000" w:themeColor="text1"/>
          <w:sz w:val="24"/>
          <w:szCs w:val="24"/>
        </w:rPr>
        <w:t xml:space="preserve"> This limb of the article is covered in parts IV. and V., below.</w:t>
      </w:r>
    </w:p>
    <w:p w:rsidR="00617DDE" w:rsidRDefault="00617DDE" w:rsidP="00746BFF">
      <w:pPr>
        <w:spacing w:after="0" w:line="360" w:lineRule="auto"/>
        <w:rPr>
          <w:rFonts w:ascii="Times New Roman" w:hAnsi="Times New Roman" w:cs="Times New Roman"/>
          <w:color w:val="000000" w:themeColor="text1"/>
          <w:sz w:val="24"/>
          <w:szCs w:val="24"/>
        </w:rPr>
      </w:pPr>
    </w:p>
    <w:p w:rsidR="00E84FD2" w:rsidRPr="006E3415" w:rsidRDefault="00E84FD2" w:rsidP="00746BFF">
      <w:pPr>
        <w:spacing w:after="0" w:line="360" w:lineRule="auto"/>
        <w:rPr>
          <w:rFonts w:ascii="Times New Roman" w:hAnsi="Times New Roman" w:cs="Times New Roman"/>
          <w:b/>
          <w:sz w:val="24"/>
          <w:szCs w:val="24"/>
          <w:u w:val="single"/>
        </w:rPr>
      </w:pPr>
    </w:p>
    <w:p w:rsidR="003C7872" w:rsidRPr="006E3415" w:rsidRDefault="003C7872" w:rsidP="00746BFF">
      <w:pPr>
        <w:spacing w:after="0" w:line="360" w:lineRule="auto"/>
        <w:jc w:val="center"/>
        <w:rPr>
          <w:rFonts w:ascii="Times New Roman" w:hAnsi="Times New Roman" w:cs="Times New Roman"/>
          <w:b/>
          <w:sz w:val="24"/>
          <w:szCs w:val="24"/>
          <w:u w:val="single"/>
        </w:rPr>
      </w:pPr>
    </w:p>
    <w:p w:rsidR="003C7872" w:rsidRPr="006E3415" w:rsidRDefault="00F7285F" w:rsidP="00746BFF">
      <w:pPr>
        <w:pStyle w:val="ListParagraph"/>
        <w:numPr>
          <w:ilvl w:val="0"/>
          <w:numId w:val="2"/>
        </w:numPr>
        <w:spacing w:line="360" w:lineRule="auto"/>
        <w:jc w:val="center"/>
        <w:rPr>
          <w:rFonts w:cs="Times New Roman"/>
          <w:b/>
          <w:szCs w:val="24"/>
        </w:rPr>
      </w:pPr>
      <w:r w:rsidRPr="006E3415">
        <w:rPr>
          <w:rFonts w:cs="Times New Roman"/>
          <w:b/>
          <w:szCs w:val="24"/>
        </w:rPr>
        <w:t xml:space="preserve">THE </w:t>
      </w:r>
      <w:r w:rsidR="008E794A" w:rsidRPr="006E3415">
        <w:rPr>
          <w:rFonts w:cs="Times New Roman"/>
          <w:b/>
          <w:szCs w:val="24"/>
        </w:rPr>
        <w:t xml:space="preserve">FACTUAL </w:t>
      </w:r>
      <w:r w:rsidR="003C7872" w:rsidRPr="006E3415">
        <w:rPr>
          <w:rFonts w:cs="Times New Roman"/>
          <w:b/>
          <w:szCs w:val="24"/>
        </w:rPr>
        <w:t>BACKGROUND</w:t>
      </w:r>
    </w:p>
    <w:p w:rsidR="00F7285F" w:rsidRPr="006E3415" w:rsidRDefault="00F7285F" w:rsidP="00746BFF">
      <w:pPr>
        <w:pStyle w:val="ListParagraph"/>
        <w:spacing w:line="360" w:lineRule="auto"/>
        <w:ind w:left="1080"/>
        <w:rPr>
          <w:rFonts w:cs="Times New Roman"/>
          <w:b/>
          <w:szCs w:val="24"/>
        </w:rPr>
      </w:pPr>
    </w:p>
    <w:p w:rsidR="00F7285F" w:rsidRPr="006E3415" w:rsidRDefault="00C85A2D" w:rsidP="00746BFF">
      <w:pPr>
        <w:pStyle w:val="ListParagraph"/>
        <w:numPr>
          <w:ilvl w:val="0"/>
          <w:numId w:val="3"/>
        </w:numPr>
        <w:spacing w:line="360" w:lineRule="auto"/>
        <w:rPr>
          <w:rFonts w:cs="Times New Roman"/>
          <w:i/>
          <w:szCs w:val="24"/>
        </w:rPr>
      </w:pPr>
      <w:r>
        <w:rPr>
          <w:rFonts w:cs="Times New Roman"/>
          <w:i/>
          <w:szCs w:val="24"/>
        </w:rPr>
        <w:t>The Comtesse de la Rochefoucauld</w:t>
      </w:r>
      <w:r w:rsidR="009505C3" w:rsidRPr="006E3415">
        <w:rPr>
          <w:rFonts w:cs="Times New Roman"/>
          <w:i/>
          <w:szCs w:val="24"/>
        </w:rPr>
        <w:t>’s family b</w:t>
      </w:r>
      <w:r w:rsidR="00F7285F" w:rsidRPr="006E3415">
        <w:rPr>
          <w:rFonts w:cs="Times New Roman"/>
          <w:i/>
          <w:szCs w:val="24"/>
        </w:rPr>
        <w:t xml:space="preserve">ackground and </w:t>
      </w:r>
      <w:r w:rsidR="009505C3" w:rsidRPr="006E3415">
        <w:rPr>
          <w:rFonts w:cs="Times New Roman"/>
          <w:i/>
          <w:szCs w:val="24"/>
        </w:rPr>
        <w:t>d</w:t>
      </w:r>
      <w:r w:rsidR="00F7285F" w:rsidRPr="006E3415">
        <w:rPr>
          <w:rFonts w:cs="Times New Roman"/>
          <w:i/>
          <w:szCs w:val="24"/>
        </w:rPr>
        <w:t>ivorce</w:t>
      </w:r>
    </w:p>
    <w:p w:rsidR="00F7285F" w:rsidRPr="006E3415" w:rsidRDefault="00F7285F" w:rsidP="00746BFF">
      <w:pPr>
        <w:pStyle w:val="ListParagraph"/>
        <w:spacing w:line="360" w:lineRule="auto"/>
        <w:ind w:left="1080"/>
        <w:rPr>
          <w:rFonts w:cs="Times New Roman"/>
          <w:i/>
          <w:szCs w:val="24"/>
        </w:rPr>
      </w:pPr>
    </w:p>
    <w:p w:rsidR="00C0721E" w:rsidRDefault="00156B83"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Baron Ferdinand de Delmar was a Prussian whose hereditary title had originally been bestowed upon his father, a successful banker, by King Frederick William III of Prussia as a reward for granting unsecured loans to th</w:t>
      </w:r>
      <w:r w:rsidR="00782BFB" w:rsidRPr="006E3415">
        <w:rPr>
          <w:rFonts w:ascii="Times New Roman" w:hAnsi="Times New Roman" w:cs="Times New Roman"/>
          <w:sz w:val="24"/>
          <w:szCs w:val="24"/>
        </w:rPr>
        <w:t xml:space="preserve">e Prussian Crown. The Baron </w:t>
      </w:r>
      <w:r w:rsidRPr="006E3415">
        <w:rPr>
          <w:rFonts w:ascii="Times New Roman" w:hAnsi="Times New Roman" w:cs="Times New Roman"/>
          <w:sz w:val="24"/>
          <w:szCs w:val="24"/>
        </w:rPr>
        <w:t>followed his father into banking, but in 1815 he left the banking business and settled in Paris</w:t>
      </w:r>
      <w:r w:rsidR="00C85A2D">
        <w:rPr>
          <w:rFonts w:ascii="Times New Roman" w:hAnsi="Times New Roman" w:cs="Times New Roman"/>
          <w:sz w:val="24"/>
          <w:szCs w:val="24"/>
        </w:rPr>
        <w:t>, where he lived a luxurious lifestyle</w:t>
      </w:r>
      <w:r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26"/>
      </w:r>
      <w:r w:rsidRPr="006E3415">
        <w:rPr>
          <w:rFonts w:ascii="Times New Roman" w:hAnsi="Times New Roman" w:cs="Times New Roman"/>
          <w:sz w:val="24"/>
          <w:szCs w:val="24"/>
        </w:rPr>
        <w:t xml:space="preserve"> At some point before 1851, the Baron acquired </w:t>
      </w:r>
      <w:r w:rsidR="00194532">
        <w:rPr>
          <w:rFonts w:ascii="Times New Roman" w:hAnsi="Times New Roman" w:cs="Times New Roman"/>
          <w:sz w:val="24"/>
          <w:szCs w:val="24"/>
        </w:rPr>
        <w:t>the Estates</w:t>
      </w:r>
      <w:r w:rsidRPr="006E3415">
        <w:rPr>
          <w:rFonts w:ascii="Times New Roman" w:hAnsi="Times New Roman" w:cs="Times New Roman"/>
          <w:sz w:val="24"/>
          <w:szCs w:val="24"/>
        </w:rPr>
        <w:t xml:space="preserve">. </w:t>
      </w:r>
      <w:r w:rsidRPr="006E3415">
        <w:rPr>
          <w:rStyle w:val="FootnoteReference"/>
          <w:rFonts w:ascii="Times New Roman" w:hAnsi="Times New Roman" w:cs="Times New Roman"/>
          <w:sz w:val="24"/>
          <w:szCs w:val="24"/>
        </w:rPr>
        <w:footnoteReference w:id="27"/>
      </w:r>
      <w:r w:rsidRPr="006E3415">
        <w:rPr>
          <w:rFonts w:ascii="Times New Roman" w:hAnsi="Times New Roman" w:cs="Times New Roman"/>
          <w:sz w:val="24"/>
          <w:szCs w:val="24"/>
        </w:rPr>
        <w:t xml:space="preserve"> </w:t>
      </w:r>
      <w:r w:rsidR="007927CB" w:rsidRPr="006E3415">
        <w:rPr>
          <w:rFonts w:ascii="Times New Roman" w:hAnsi="Times New Roman" w:cs="Times New Roman"/>
          <w:sz w:val="24"/>
          <w:szCs w:val="24"/>
        </w:rPr>
        <w:t>In 1857</w:t>
      </w:r>
      <w:r w:rsidR="00782BFB" w:rsidRPr="006E3415">
        <w:rPr>
          <w:rFonts w:ascii="Times New Roman" w:hAnsi="Times New Roman" w:cs="Times New Roman"/>
          <w:sz w:val="24"/>
          <w:szCs w:val="24"/>
        </w:rPr>
        <w:t>, the Baron mortgaged the Estates to Barings</w:t>
      </w:r>
      <w:r w:rsidR="00C0721E">
        <w:rPr>
          <w:rFonts w:ascii="Times New Roman" w:hAnsi="Times New Roman" w:cs="Times New Roman"/>
          <w:sz w:val="24"/>
          <w:szCs w:val="24"/>
        </w:rPr>
        <w:t xml:space="preserve">. </w:t>
      </w:r>
    </w:p>
    <w:p w:rsidR="00C0721E" w:rsidRDefault="00C0721E" w:rsidP="00746BFF">
      <w:pPr>
        <w:spacing w:after="0" w:line="360" w:lineRule="auto"/>
        <w:rPr>
          <w:rFonts w:ascii="Times New Roman" w:hAnsi="Times New Roman" w:cs="Times New Roman"/>
          <w:sz w:val="24"/>
          <w:szCs w:val="24"/>
        </w:rPr>
      </w:pPr>
    </w:p>
    <w:p w:rsidR="00156B83" w:rsidRPr="006E3415" w:rsidRDefault="00156B83"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The Comtesse </w:t>
      </w:r>
      <w:r w:rsidR="003C7872" w:rsidRPr="006E3415">
        <w:rPr>
          <w:rFonts w:ascii="Times New Roman" w:hAnsi="Times New Roman" w:cs="Times New Roman"/>
          <w:sz w:val="24"/>
          <w:szCs w:val="24"/>
        </w:rPr>
        <w:t>de la Rochefoucauld</w:t>
      </w:r>
      <w:r w:rsidR="00A8078E" w:rsidRPr="00A8078E">
        <w:rPr>
          <w:rFonts w:ascii="Times New Roman" w:hAnsi="Times New Roman" w:cs="Times New Roman"/>
          <w:sz w:val="24"/>
          <w:szCs w:val="24"/>
        </w:rPr>
        <w:t xml:space="preserve">, </w:t>
      </w:r>
      <w:r w:rsidR="00A8078E" w:rsidRPr="00A8078E">
        <w:rPr>
          <w:rStyle w:val="Emphasis"/>
          <w:rFonts w:ascii="Times New Roman" w:hAnsi="Times New Roman" w:cs="Times New Roman"/>
          <w:i w:val="0"/>
          <w:sz w:val="24"/>
          <w:szCs w:val="24"/>
        </w:rPr>
        <w:t xml:space="preserve">née </w:t>
      </w:r>
      <w:r w:rsidR="00A8078E">
        <w:rPr>
          <w:rStyle w:val="Emphasis"/>
          <w:rFonts w:ascii="Times New Roman" w:hAnsi="Times New Roman" w:cs="Times New Roman"/>
          <w:i w:val="0"/>
          <w:sz w:val="24"/>
          <w:szCs w:val="24"/>
        </w:rPr>
        <w:t>Emily Rumbold,</w:t>
      </w:r>
      <w:r w:rsidR="00A8078E">
        <w:rPr>
          <w:rFonts w:ascii="Times New Roman" w:hAnsi="Times New Roman" w:cs="Times New Roman"/>
          <w:sz w:val="24"/>
          <w:szCs w:val="24"/>
        </w:rPr>
        <w:t xml:space="preserve"> </w:t>
      </w:r>
      <w:r w:rsidR="00194532">
        <w:rPr>
          <w:rFonts w:ascii="Times New Roman" w:hAnsi="Times New Roman" w:cs="Times New Roman"/>
          <w:sz w:val="24"/>
          <w:szCs w:val="24"/>
        </w:rPr>
        <w:t xml:space="preserve">(hereafter referred to as </w:t>
      </w:r>
      <w:r w:rsidR="009A64F1" w:rsidRPr="006E3415">
        <w:rPr>
          <w:rFonts w:ascii="Times New Roman" w:hAnsi="Times New Roman" w:cs="Times New Roman"/>
          <w:sz w:val="24"/>
          <w:szCs w:val="24"/>
        </w:rPr>
        <w:t>‘Emily’,</w:t>
      </w:r>
      <w:r w:rsidR="003C7872" w:rsidRPr="006E3415">
        <w:rPr>
          <w:rFonts w:ascii="Times New Roman" w:hAnsi="Times New Roman" w:cs="Times New Roman"/>
          <w:sz w:val="24"/>
          <w:szCs w:val="24"/>
        </w:rPr>
        <w:t xml:space="preserve"> </w:t>
      </w:r>
      <w:r w:rsidR="00FA6766" w:rsidRPr="006E3415">
        <w:rPr>
          <w:rFonts w:ascii="Times New Roman" w:hAnsi="Times New Roman" w:cs="Times New Roman"/>
          <w:sz w:val="24"/>
          <w:szCs w:val="24"/>
        </w:rPr>
        <w:t xml:space="preserve">on account of her </w:t>
      </w:r>
      <w:r w:rsidR="00E45A26" w:rsidRPr="006E3415">
        <w:rPr>
          <w:rFonts w:ascii="Times New Roman" w:hAnsi="Times New Roman" w:cs="Times New Roman"/>
          <w:sz w:val="24"/>
          <w:szCs w:val="24"/>
        </w:rPr>
        <w:t>having</w:t>
      </w:r>
      <w:r w:rsidR="00FA6766" w:rsidRPr="006E3415">
        <w:rPr>
          <w:rFonts w:ascii="Times New Roman" w:hAnsi="Times New Roman" w:cs="Times New Roman"/>
          <w:sz w:val="24"/>
          <w:szCs w:val="24"/>
        </w:rPr>
        <w:t xml:space="preserve"> had </w:t>
      </w:r>
      <w:r w:rsidR="00816A01">
        <w:rPr>
          <w:rFonts w:ascii="Times New Roman" w:hAnsi="Times New Roman" w:cs="Times New Roman"/>
          <w:sz w:val="24"/>
          <w:szCs w:val="24"/>
        </w:rPr>
        <w:t xml:space="preserve">at least </w:t>
      </w:r>
      <w:r w:rsidR="00FA6766" w:rsidRPr="006E3415">
        <w:rPr>
          <w:rFonts w:ascii="Times New Roman" w:hAnsi="Times New Roman" w:cs="Times New Roman"/>
          <w:sz w:val="24"/>
          <w:szCs w:val="24"/>
        </w:rPr>
        <w:t xml:space="preserve">three surnames </w:t>
      </w:r>
      <w:r w:rsidR="00A8078E">
        <w:rPr>
          <w:rFonts w:ascii="Times New Roman" w:hAnsi="Times New Roman" w:cs="Times New Roman"/>
          <w:sz w:val="24"/>
          <w:szCs w:val="24"/>
        </w:rPr>
        <w:t>during her lifetime</w:t>
      </w:r>
      <w:r w:rsidR="00194532">
        <w:rPr>
          <w:rFonts w:ascii="Times New Roman" w:hAnsi="Times New Roman" w:cs="Times New Roman"/>
          <w:sz w:val="24"/>
          <w:szCs w:val="24"/>
        </w:rPr>
        <w:t>)</w:t>
      </w:r>
      <w:r w:rsidR="00FA6766" w:rsidRPr="006E3415">
        <w:rPr>
          <w:rFonts w:ascii="Times New Roman" w:hAnsi="Times New Roman" w:cs="Times New Roman"/>
          <w:sz w:val="24"/>
          <w:szCs w:val="24"/>
        </w:rPr>
        <w:t xml:space="preserve">, </w:t>
      </w:r>
      <w:r w:rsidR="00A8078E">
        <w:rPr>
          <w:rFonts w:ascii="Times New Roman" w:hAnsi="Times New Roman" w:cs="Times New Roman"/>
          <w:sz w:val="24"/>
          <w:szCs w:val="24"/>
        </w:rPr>
        <w:t xml:space="preserve">was born in </w:t>
      </w:r>
      <w:r w:rsidRPr="006E3415">
        <w:rPr>
          <w:rFonts w:ascii="Times New Roman" w:hAnsi="Times New Roman" w:cs="Times New Roman"/>
          <w:sz w:val="24"/>
          <w:szCs w:val="24"/>
        </w:rPr>
        <w:t>1824 to affluent English parents, both of whom died prematurely.</w:t>
      </w:r>
      <w:r w:rsidRPr="006E3415">
        <w:rPr>
          <w:rStyle w:val="FootnoteReference"/>
          <w:rFonts w:ascii="Times New Roman" w:hAnsi="Times New Roman" w:cs="Times New Roman"/>
          <w:sz w:val="24"/>
          <w:szCs w:val="24"/>
        </w:rPr>
        <w:footnoteReference w:id="28"/>
      </w:r>
      <w:r w:rsidRPr="006E3415">
        <w:rPr>
          <w:rFonts w:ascii="Times New Roman" w:hAnsi="Times New Roman" w:cs="Times New Roman"/>
          <w:sz w:val="24"/>
          <w:szCs w:val="24"/>
        </w:rPr>
        <w:t xml:space="preserve"> Her paternal aunt was married to Baron de Delmar.</w:t>
      </w:r>
      <w:r w:rsidRPr="006E3415">
        <w:rPr>
          <w:rStyle w:val="FootnoteReference"/>
          <w:rFonts w:ascii="Times New Roman" w:hAnsi="Times New Roman" w:cs="Times New Roman"/>
          <w:sz w:val="24"/>
          <w:szCs w:val="24"/>
        </w:rPr>
        <w:footnoteReference w:id="29"/>
      </w:r>
      <w:r w:rsidRPr="006E3415">
        <w:rPr>
          <w:rFonts w:ascii="Times New Roman" w:hAnsi="Times New Roman" w:cs="Times New Roman"/>
          <w:sz w:val="24"/>
          <w:szCs w:val="24"/>
        </w:rPr>
        <w:t xml:space="preserve"> The Delmars ad</w:t>
      </w:r>
      <w:r w:rsidR="00CB1DC3">
        <w:rPr>
          <w:rFonts w:ascii="Times New Roman" w:hAnsi="Times New Roman" w:cs="Times New Roman"/>
          <w:sz w:val="24"/>
          <w:szCs w:val="24"/>
        </w:rPr>
        <w:t>opted Emily in 1836</w:t>
      </w:r>
      <w:r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30"/>
      </w:r>
      <w:r w:rsidRPr="006E3415">
        <w:rPr>
          <w:rFonts w:ascii="Times New Roman" w:hAnsi="Times New Roman" w:cs="Times New Roman"/>
          <w:sz w:val="24"/>
          <w:szCs w:val="24"/>
        </w:rPr>
        <w:t xml:space="preserve"> In 1848, Emily married George Henry Cavendish</w:t>
      </w:r>
      <w:r w:rsidR="00F81A82" w:rsidRPr="006E3415">
        <w:rPr>
          <w:rFonts w:ascii="Times New Roman" w:hAnsi="Times New Roman" w:cs="Times New Roman"/>
          <w:sz w:val="24"/>
          <w:szCs w:val="24"/>
        </w:rPr>
        <w:t xml:space="preserve">, son of </w:t>
      </w:r>
      <w:r w:rsidR="00F13B7A" w:rsidRPr="006E3415">
        <w:rPr>
          <w:rFonts w:ascii="Times New Roman" w:hAnsi="Times New Roman" w:cs="Times New Roman"/>
          <w:sz w:val="24"/>
          <w:szCs w:val="24"/>
        </w:rPr>
        <w:t>Major General Henry Cavendish</w:t>
      </w:r>
      <w:r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31"/>
      </w:r>
      <w:r w:rsidRPr="006E3415">
        <w:rPr>
          <w:rFonts w:ascii="Times New Roman" w:hAnsi="Times New Roman" w:cs="Times New Roman"/>
          <w:sz w:val="24"/>
          <w:szCs w:val="24"/>
        </w:rPr>
        <w:t xml:space="preserve"> </w:t>
      </w:r>
      <w:r w:rsidR="00064473">
        <w:rPr>
          <w:rFonts w:ascii="Times New Roman" w:hAnsi="Times New Roman" w:cs="Times New Roman"/>
          <w:sz w:val="24"/>
          <w:szCs w:val="24"/>
        </w:rPr>
        <w:t xml:space="preserve">The newlyweds </w:t>
      </w:r>
      <w:r w:rsidR="004D1CA8">
        <w:rPr>
          <w:rFonts w:ascii="Times New Roman" w:hAnsi="Times New Roman" w:cs="Times New Roman"/>
          <w:sz w:val="24"/>
          <w:szCs w:val="24"/>
        </w:rPr>
        <w:t xml:space="preserve">eventually </w:t>
      </w:r>
      <w:r w:rsidR="00064473">
        <w:rPr>
          <w:rFonts w:ascii="Times New Roman" w:hAnsi="Times New Roman" w:cs="Times New Roman"/>
          <w:sz w:val="24"/>
          <w:szCs w:val="24"/>
        </w:rPr>
        <w:t xml:space="preserve">took </w:t>
      </w:r>
      <w:r w:rsidR="00064473">
        <w:rPr>
          <w:rFonts w:ascii="Times New Roman" w:hAnsi="Times New Roman" w:cs="Times New Roman"/>
          <w:sz w:val="24"/>
          <w:szCs w:val="24"/>
        </w:rPr>
        <w:lastRenderedPageBreak/>
        <w:t>up residence in Paris.</w:t>
      </w:r>
      <w:r w:rsidR="00064473">
        <w:rPr>
          <w:rStyle w:val="FootnoteReference"/>
          <w:rFonts w:ascii="Times New Roman" w:hAnsi="Times New Roman" w:cs="Times New Roman"/>
          <w:sz w:val="24"/>
          <w:szCs w:val="24"/>
        </w:rPr>
        <w:footnoteReference w:id="32"/>
      </w:r>
      <w:r w:rsidR="00064473">
        <w:rPr>
          <w:rFonts w:ascii="Times New Roman" w:hAnsi="Times New Roman" w:cs="Times New Roman"/>
          <w:sz w:val="24"/>
          <w:szCs w:val="24"/>
        </w:rPr>
        <w:t xml:space="preserve"> </w:t>
      </w:r>
      <w:r w:rsidRPr="006E3415">
        <w:rPr>
          <w:rFonts w:ascii="Times New Roman" w:hAnsi="Times New Roman" w:cs="Times New Roman"/>
          <w:sz w:val="24"/>
          <w:szCs w:val="24"/>
        </w:rPr>
        <w:t>In 1858, the Baron predeceased his wife, who, by virtue of his will, inhe</w:t>
      </w:r>
      <w:r w:rsidR="00983C5C" w:rsidRPr="006E3415">
        <w:rPr>
          <w:rFonts w:ascii="Times New Roman" w:hAnsi="Times New Roman" w:cs="Times New Roman"/>
          <w:sz w:val="24"/>
          <w:szCs w:val="24"/>
        </w:rPr>
        <w:t>rited the Estates</w:t>
      </w:r>
      <w:r w:rsidRPr="006E3415">
        <w:rPr>
          <w:rFonts w:ascii="Times New Roman" w:hAnsi="Times New Roman" w:cs="Times New Roman"/>
          <w:sz w:val="24"/>
          <w:szCs w:val="24"/>
        </w:rPr>
        <w:t>. In 1861, the Baroness died, having bequeathed t</w:t>
      </w:r>
      <w:r w:rsidR="000C47E4" w:rsidRPr="006E3415">
        <w:rPr>
          <w:rFonts w:ascii="Times New Roman" w:hAnsi="Times New Roman" w:cs="Times New Roman"/>
          <w:sz w:val="24"/>
          <w:szCs w:val="24"/>
        </w:rPr>
        <w:t xml:space="preserve">he Estates to Emily, who thereby </w:t>
      </w:r>
      <w:r w:rsidRPr="006E3415">
        <w:rPr>
          <w:rFonts w:ascii="Times New Roman" w:hAnsi="Times New Roman" w:cs="Times New Roman"/>
          <w:sz w:val="24"/>
          <w:szCs w:val="24"/>
        </w:rPr>
        <w:t>became the registered owner of the Estates, which w</w:t>
      </w:r>
      <w:r w:rsidR="00E025CB" w:rsidRPr="006E3415">
        <w:rPr>
          <w:rFonts w:ascii="Times New Roman" w:hAnsi="Times New Roman" w:cs="Times New Roman"/>
          <w:sz w:val="24"/>
          <w:szCs w:val="24"/>
        </w:rPr>
        <w:t>ere still encumbered by the 1857</w:t>
      </w:r>
      <w:r w:rsidRPr="006E3415">
        <w:rPr>
          <w:rFonts w:ascii="Times New Roman" w:hAnsi="Times New Roman" w:cs="Times New Roman"/>
          <w:sz w:val="24"/>
          <w:szCs w:val="24"/>
        </w:rPr>
        <w:t xml:space="preserve"> mortgage. It should here be noted that, i</w:t>
      </w:r>
      <w:r w:rsidRPr="006E3415">
        <w:rPr>
          <w:rFonts w:ascii="Times New Roman" w:hAnsi="Times New Roman" w:cs="Times New Roman"/>
          <w:bCs/>
          <w:sz w:val="24"/>
          <w:szCs w:val="24"/>
        </w:rPr>
        <w:t>n the nineteenth century, Ceylon operated a system of registration of title deeds.</w:t>
      </w:r>
      <w:r w:rsidRPr="006E3415">
        <w:rPr>
          <w:rStyle w:val="FootnoteReference"/>
          <w:rFonts w:ascii="Times New Roman" w:hAnsi="Times New Roman" w:cs="Times New Roman"/>
          <w:bCs/>
          <w:sz w:val="24"/>
          <w:szCs w:val="24"/>
        </w:rPr>
        <w:footnoteReference w:id="33"/>
      </w:r>
      <w:r w:rsidRPr="006E3415">
        <w:rPr>
          <w:rFonts w:ascii="Times New Roman" w:hAnsi="Times New Roman" w:cs="Times New Roman"/>
          <w:bCs/>
          <w:sz w:val="24"/>
          <w:szCs w:val="24"/>
        </w:rPr>
        <w:t xml:space="preserve"> Emily, as registered owner, owned t</w:t>
      </w:r>
      <w:r w:rsidRPr="006E3415">
        <w:rPr>
          <w:rFonts w:ascii="Times New Roman" w:hAnsi="Times New Roman" w:cs="Times New Roman"/>
          <w:sz w:val="24"/>
          <w:szCs w:val="24"/>
        </w:rPr>
        <w:t>he Estates in her own right,</w:t>
      </w:r>
      <w:r w:rsidR="000059D5" w:rsidRPr="006E3415">
        <w:rPr>
          <w:rFonts w:ascii="Times New Roman" w:hAnsi="Times New Roman" w:cs="Times New Roman"/>
          <w:sz w:val="24"/>
          <w:szCs w:val="24"/>
        </w:rPr>
        <w:t xml:space="preserve"> i</w:t>
      </w:r>
      <w:r w:rsidRPr="006E3415">
        <w:rPr>
          <w:rFonts w:ascii="Times New Roman" w:hAnsi="Times New Roman" w:cs="Times New Roman"/>
          <w:sz w:val="24"/>
          <w:szCs w:val="24"/>
        </w:rPr>
        <w:t>ndependently of her husband.</w:t>
      </w:r>
      <w:r w:rsidRPr="006E3415">
        <w:rPr>
          <w:rStyle w:val="FootnoteReference"/>
          <w:rFonts w:ascii="Times New Roman" w:hAnsi="Times New Roman" w:cs="Times New Roman"/>
          <w:sz w:val="24"/>
          <w:szCs w:val="24"/>
        </w:rPr>
        <w:footnoteReference w:id="34"/>
      </w:r>
      <w:r w:rsidRPr="006E3415">
        <w:rPr>
          <w:rFonts w:ascii="Times New Roman" w:hAnsi="Times New Roman" w:cs="Times New Roman"/>
          <w:sz w:val="24"/>
          <w:szCs w:val="24"/>
        </w:rPr>
        <w:t xml:space="preserve"> The Baroness did, however, bequeath to Cavendish an annuity, to be paid out of the inco</w:t>
      </w:r>
      <w:r w:rsidR="00A8078E">
        <w:rPr>
          <w:rFonts w:ascii="Times New Roman" w:hAnsi="Times New Roman" w:cs="Times New Roman"/>
          <w:sz w:val="24"/>
          <w:szCs w:val="24"/>
        </w:rPr>
        <w:t>me from the Estates in the event that</w:t>
      </w:r>
      <w:r w:rsidR="000059D5" w:rsidRPr="006E3415">
        <w:rPr>
          <w:rFonts w:ascii="Times New Roman" w:hAnsi="Times New Roman" w:cs="Times New Roman"/>
          <w:sz w:val="24"/>
          <w:szCs w:val="24"/>
        </w:rPr>
        <w:t xml:space="preserve"> Emily</w:t>
      </w:r>
      <w:r w:rsidRPr="006E3415">
        <w:rPr>
          <w:rFonts w:ascii="Times New Roman" w:hAnsi="Times New Roman" w:cs="Times New Roman"/>
          <w:sz w:val="24"/>
          <w:szCs w:val="24"/>
        </w:rPr>
        <w:t xml:space="preserve"> pre-deceased him.</w:t>
      </w:r>
      <w:r w:rsidRPr="006E3415">
        <w:rPr>
          <w:rStyle w:val="FootnoteReference"/>
          <w:rFonts w:ascii="Times New Roman" w:hAnsi="Times New Roman" w:cs="Times New Roman"/>
          <w:sz w:val="24"/>
          <w:szCs w:val="24"/>
        </w:rPr>
        <w:footnoteReference w:id="35"/>
      </w:r>
      <w:r w:rsidRPr="006E3415">
        <w:rPr>
          <w:rFonts w:ascii="Times New Roman" w:hAnsi="Times New Roman" w:cs="Times New Roman"/>
          <w:sz w:val="24"/>
          <w:szCs w:val="24"/>
        </w:rPr>
        <w:t xml:space="preserve"> </w:t>
      </w:r>
    </w:p>
    <w:p w:rsidR="009A64F1" w:rsidRPr="006E3415" w:rsidRDefault="009A64F1" w:rsidP="00746BFF">
      <w:pPr>
        <w:spacing w:after="0" w:line="360" w:lineRule="auto"/>
        <w:rPr>
          <w:rFonts w:ascii="Times New Roman" w:hAnsi="Times New Roman" w:cs="Times New Roman"/>
          <w:sz w:val="24"/>
          <w:szCs w:val="24"/>
        </w:rPr>
      </w:pPr>
    </w:p>
    <w:p w:rsidR="00156B83" w:rsidRPr="006E3415" w:rsidRDefault="00156B83" w:rsidP="00746BFF">
      <w:pPr>
        <w:spacing w:after="0" w:line="360" w:lineRule="auto"/>
        <w:rPr>
          <w:rStyle w:val="mini"/>
          <w:rFonts w:ascii="Times New Roman" w:hAnsi="Times New Roman" w:cs="Times New Roman"/>
          <w:sz w:val="24"/>
          <w:szCs w:val="24"/>
        </w:rPr>
      </w:pPr>
      <w:r w:rsidRPr="006E3415">
        <w:rPr>
          <w:rFonts w:ascii="Times New Roman" w:hAnsi="Times New Roman" w:cs="Times New Roman"/>
          <w:sz w:val="24"/>
          <w:szCs w:val="24"/>
        </w:rPr>
        <w:t>Emily’s marriage to Cavendish was ultimately an unhappy one; in 1865, Cavendish filed for divorce.</w:t>
      </w:r>
      <w:r w:rsidRPr="006E3415">
        <w:rPr>
          <w:rStyle w:val="FootnoteReference"/>
          <w:rFonts w:ascii="Times New Roman" w:hAnsi="Times New Roman" w:cs="Times New Roman"/>
          <w:sz w:val="24"/>
          <w:szCs w:val="24"/>
        </w:rPr>
        <w:footnoteReference w:id="36"/>
      </w:r>
      <w:r w:rsidRPr="006E3415">
        <w:rPr>
          <w:rFonts w:ascii="Times New Roman" w:hAnsi="Times New Roman" w:cs="Times New Roman"/>
          <w:sz w:val="24"/>
          <w:szCs w:val="24"/>
        </w:rPr>
        <w:t xml:space="preserve"> The ground was ‘her adultery with Co</w:t>
      </w:r>
      <w:r w:rsidR="0080329B" w:rsidRPr="006E3415">
        <w:rPr>
          <w:rFonts w:ascii="Times New Roman" w:hAnsi="Times New Roman" w:cs="Times New Roman"/>
          <w:sz w:val="24"/>
          <w:szCs w:val="24"/>
        </w:rPr>
        <w:t>unt Gaston de la Rochefoucauld’,</w:t>
      </w:r>
      <w:r w:rsidRPr="006E3415">
        <w:rPr>
          <w:rStyle w:val="FootnoteReference"/>
          <w:rFonts w:ascii="Times New Roman" w:hAnsi="Times New Roman" w:cs="Times New Roman"/>
          <w:sz w:val="24"/>
          <w:szCs w:val="24"/>
        </w:rPr>
        <w:footnoteReference w:id="37"/>
      </w:r>
      <w:r w:rsidR="0080329B" w:rsidRPr="006E3415">
        <w:rPr>
          <w:rFonts w:ascii="Times New Roman" w:hAnsi="Times New Roman" w:cs="Times New Roman"/>
          <w:sz w:val="24"/>
          <w:szCs w:val="24"/>
        </w:rPr>
        <w:t xml:space="preserve"> whom she had met in 1857.</w:t>
      </w:r>
      <w:r w:rsidR="0080329B" w:rsidRPr="006E3415">
        <w:rPr>
          <w:rStyle w:val="FootnoteReference"/>
          <w:rFonts w:ascii="Times New Roman" w:hAnsi="Times New Roman" w:cs="Times New Roman"/>
          <w:sz w:val="24"/>
          <w:szCs w:val="24"/>
        </w:rPr>
        <w:footnoteReference w:id="38"/>
      </w:r>
      <w:r w:rsidR="0080329B" w:rsidRPr="006E3415">
        <w:rPr>
          <w:rFonts w:ascii="Times New Roman" w:hAnsi="Times New Roman" w:cs="Times New Roman"/>
          <w:sz w:val="24"/>
          <w:szCs w:val="24"/>
        </w:rPr>
        <w:t xml:space="preserve"> </w:t>
      </w:r>
      <w:r w:rsidRPr="006E3415">
        <w:rPr>
          <w:rFonts w:ascii="Times New Roman" w:hAnsi="Times New Roman" w:cs="Times New Roman"/>
          <w:sz w:val="24"/>
          <w:szCs w:val="24"/>
        </w:rPr>
        <w:t>The divorce was acrimonious, and caused a minor scandal.</w:t>
      </w:r>
      <w:r w:rsidRPr="006E3415">
        <w:rPr>
          <w:rStyle w:val="FootnoteReference"/>
          <w:rFonts w:ascii="Times New Roman" w:hAnsi="Times New Roman" w:cs="Times New Roman"/>
          <w:sz w:val="24"/>
          <w:szCs w:val="24"/>
        </w:rPr>
        <w:footnoteReference w:id="39"/>
      </w:r>
      <w:r w:rsidRPr="006E3415">
        <w:rPr>
          <w:rFonts w:ascii="Times New Roman" w:hAnsi="Times New Roman" w:cs="Times New Roman"/>
          <w:sz w:val="24"/>
          <w:szCs w:val="24"/>
        </w:rPr>
        <w:t xml:space="preserve"> It was claimed tha</w:t>
      </w:r>
      <w:r w:rsidR="00B32CEA" w:rsidRPr="006E3415">
        <w:rPr>
          <w:rFonts w:ascii="Times New Roman" w:hAnsi="Times New Roman" w:cs="Times New Roman"/>
          <w:sz w:val="24"/>
          <w:szCs w:val="24"/>
        </w:rPr>
        <w:t xml:space="preserve">t </w:t>
      </w:r>
      <w:r w:rsidR="004A0876" w:rsidRPr="006E3415">
        <w:rPr>
          <w:rFonts w:ascii="Times New Roman" w:hAnsi="Times New Roman" w:cs="Times New Roman"/>
          <w:sz w:val="24"/>
          <w:szCs w:val="24"/>
        </w:rPr>
        <w:t>soon</w:t>
      </w:r>
      <w:r w:rsidR="004A0876">
        <w:rPr>
          <w:rFonts w:ascii="Times New Roman" w:hAnsi="Times New Roman" w:cs="Times New Roman"/>
          <w:sz w:val="24"/>
          <w:szCs w:val="24"/>
        </w:rPr>
        <w:t xml:space="preserve"> after the Baroness’s death, Emily</w:t>
      </w:r>
      <w:r w:rsidR="004A0876" w:rsidRPr="006E3415">
        <w:rPr>
          <w:rFonts w:ascii="Times New Roman" w:hAnsi="Times New Roman" w:cs="Times New Roman"/>
          <w:sz w:val="24"/>
          <w:szCs w:val="24"/>
        </w:rPr>
        <w:t xml:space="preserve"> had persuaded Cavendish to return to England with their son</w:t>
      </w:r>
      <w:r w:rsidR="00064473">
        <w:rPr>
          <w:rFonts w:ascii="Times New Roman" w:hAnsi="Times New Roman" w:cs="Times New Roman"/>
          <w:sz w:val="24"/>
          <w:szCs w:val="24"/>
        </w:rPr>
        <w:t xml:space="preserve">, </w:t>
      </w:r>
      <w:r w:rsidR="004A0876">
        <w:rPr>
          <w:rFonts w:ascii="Times New Roman" w:hAnsi="Times New Roman" w:cs="Times New Roman"/>
          <w:sz w:val="24"/>
          <w:szCs w:val="24"/>
        </w:rPr>
        <w:t>and that</w:t>
      </w:r>
      <w:r w:rsidR="007067B5">
        <w:rPr>
          <w:rFonts w:ascii="Times New Roman" w:hAnsi="Times New Roman" w:cs="Times New Roman"/>
          <w:sz w:val="24"/>
          <w:szCs w:val="24"/>
        </w:rPr>
        <w:t xml:space="preserve"> she</w:t>
      </w:r>
      <w:r w:rsidR="00B32CEA" w:rsidRPr="006E3415">
        <w:rPr>
          <w:rFonts w:ascii="Times New Roman" w:hAnsi="Times New Roman" w:cs="Times New Roman"/>
          <w:sz w:val="24"/>
          <w:szCs w:val="24"/>
        </w:rPr>
        <w:t xml:space="preserve"> had for several years been co-habiting wit</w:t>
      </w:r>
      <w:r w:rsidR="004A0876">
        <w:rPr>
          <w:rFonts w:ascii="Times New Roman" w:hAnsi="Times New Roman" w:cs="Times New Roman"/>
          <w:sz w:val="24"/>
          <w:szCs w:val="24"/>
        </w:rPr>
        <w:t xml:space="preserve">h </w:t>
      </w:r>
      <w:r w:rsidR="00A0221A">
        <w:rPr>
          <w:rFonts w:ascii="Times New Roman" w:hAnsi="Times New Roman" w:cs="Times New Roman"/>
          <w:sz w:val="24"/>
          <w:szCs w:val="24"/>
        </w:rPr>
        <w:t>the Count</w:t>
      </w:r>
      <w:r w:rsidR="000C7708">
        <w:rPr>
          <w:rFonts w:ascii="Times New Roman" w:hAnsi="Times New Roman" w:cs="Times New Roman"/>
          <w:sz w:val="24"/>
          <w:szCs w:val="24"/>
        </w:rPr>
        <w:t>,</w:t>
      </w:r>
      <w:r w:rsidR="007067B5">
        <w:rPr>
          <w:rFonts w:ascii="Times New Roman" w:hAnsi="Times New Roman" w:cs="Times New Roman"/>
          <w:sz w:val="24"/>
          <w:szCs w:val="24"/>
        </w:rPr>
        <w:t xml:space="preserve"> </w:t>
      </w:r>
      <w:r w:rsidR="007067B5">
        <w:rPr>
          <w:rFonts w:ascii="Times New Roman" w:hAnsi="Times New Roman" w:cs="Times New Roman"/>
          <w:sz w:val="24"/>
          <w:szCs w:val="24"/>
        </w:rPr>
        <w:lastRenderedPageBreak/>
        <w:t>and her daughter by Cavendish</w:t>
      </w:r>
      <w:r w:rsidR="000C7708">
        <w:rPr>
          <w:rFonts w:ascii="Times New Roman" w:hAnsi="Times New Roman" w:cs="Times New Roman"/>
          <w:sz w:val="24"/>
          <w:szCs w:val="24"/>
        </w:rPr>
        <w:t>,</w:t>
      </w:r>
      <w:r w:rsidR="004A0876">
        <w:rPr>
          <w:rFonts w:ascii="Times New Roman" w:hAnsi="Times New Roman" w:cs="Times New Roman"/>
          <w:sz w:val="24"/>
          <w:szCs w:val="24"/>
        </w:rPr>
        <w:t xml:space="preserve"> in Baden Baden.</w:t>
      </w:r>
      <w:r w:rsidR="007067B5">
        <w:rPr>
          <w:rStyle w:val="FootnoteReference"/>
          <w:rFonts w:ascii="Times New Roman" w:hAnsi="Times New Roman" w:cs="Times New Roman"/>
          <w:sz w:val="24"/>
          <w:szCs w:val="24"/>
        </w:rPr>
        <w:footnoteReference w:id="40"/>
      </w:r>
      <w:r w:rsidR="004A0876">
        <w:rPr>
          <w:rFonts w:ascii="Times New Roman" w:hAnsi="Times New Roman" w:cs="Times New Roman"/>
          <w:sz w:val="24"/>
          <w:szCs w:val="24"/>
        </w:rPr>
        <w:t xml:space="preserve"> </w:t>
      </w:r>
      <w:r w:rsidR="00B32CEA" w:rsidRPr="006E3415">
        <w:rPr>
          <w:rFonts w:ascii="Times New Roman" w:hAnsi="Times New Roman" w:cs="Times New Roman"/>
          <w:sz w:val="24"/>
          <w:szCs w:val="24"/>
        </w:rPr>
        <w:t>She</w:t>
      </w:r>
      <w:r w:rsidR="007067B5">
        <w:rPr>
          <w:rFonts w:ascii="Times New Roman" w:hAnsi="Times New Roman" w:cs="Times New Roman"/>
          <w:sz w:val="24"/>
          <w:szCs w:val="24"/>
        </w:rPr>
        <w:t xml:space="preserve"> had refused Cavendish’s pleas to rejoin him in England on the ground that ‘</w:t>
      </w:r>
      <w:r w:rsidRPr="006E3415">
        <w:rPr>
          <w:rStyle w:val="mini"/>
          <w:rFonts w:ascii="Times New Roman" w:hAnsi="Times New Roman" w:cs="Times New Roman"/>
          <w:sz w:val="24"/>
          <w:szCs w:val="24"/>
        </w:rPr>
        <w:t>the coffee plantations in Ceylon which she had inherited from her uncle were involved in a litigation so complicated as to require her constant presence in Paris’.</w:t>
      </w:r>
      <w:r w:rsidRPr="006E3415">
        <w:rPr>
          <w:rStyle w:val="FootnoteReference"/>
          <w:rFonts w:ascii="Times New Roman" w:hAnsi="Times New Roman" w:cs="Times New Roman"/>
          <w:sz w:val="24"/>
          <w:szCs w:val="24"/>
        </w:rPr>
        <w:footnoteReference w:id="41"/>
      </w:r>
      <w:r w:rsidRPr="006E3415">
        <w:rPr>
          <w:rStyle w:val="mini"/>
          <w:rFonts w:ascii="Times New Roman" w:hAnsi="Times New Roman" w:cs="Times New Roman"/>
          <w:sz w:val="24"/>
          <w:szCs w:val="24"/>
        </w:rPr>
        <w:t xml:space="preserve"> Furthermore, l</w:t>
      </w:r>
      <w:r w:rsidRPr="006E3415">
        <w:rPr>
          <w:rFonts w:ascii="Times New Roman" w:hAnsi="Times New Roman" w:cs="Times New Roman"/>
          <w:sz w:val="24"/>
          <w:szCs w:val="24"/>
        </w:rPr>
        <w:t xml:space="preserve">etters purporting to have been written by </w:t>
      </w:r>
      <w:r w:rsidR="007D1E38">
        <w:rPr>
          <w:rFonts w:ascii="Times New Roman" w:hAnsi="Times New Roman" w:cs="Times New Roman"/>
          <w:sz w:val="24"/>
          <w:szCs w:val="24"/>
        </w:rPr>
        <w:t xml:space="preserve">the Comte </w:t>
      </w:r>
      <w:r w:rsidR="00BB0E7E">
        <w:rPr>
          <w:rFonts w:ascii="Times New Roman" w:hAnsi="Times New Roman" w:cs="Times New Roman"/>
          <w:sz w:val="24"/>
          <w:szCs w:val="24"/>
        </w:rPr>
        <w:t xml:space="preserve">Gaston </w:t>
      </w:r>
      <w:r w:rsidR="007D1E38">
        <w:rPr>
          <w:rFonts w:ascii="Times New Roman" w:hAnsi="Times New Roman" w:cs="Times New Roman"/>
          <w:sz w:val="24"/>
          <w:szCs w:val="24"/>
        </w:rPr>
        <w:t xml:space="preserve">de la </w:t>
      </w:r>
      <w:r w:rsidRPr="006E3415">
        <w:rPr>
          <w:rFonts w:ascii="Times New Roman" w:hAnsi="Times New Roman" w:cs="Times New Roman"/>
          <w:sz w:val="24"/>
          <w:szCs w:val="24"/>
        </w:rPr>
        <w:t>Rochefo</w:t>
      </w:r>
      <w:r w:rsidR="00B32CEA" w:rsidRPr="006E3415">
        <w:rPr>
          <w:rFonts w:ascii="Times New Roman" w:hAnsi="Times New Roman" w:cs="Times New Roman"/>
          <w:sz w:val="24"/>
          <w:szCs w:val="24"/>
        </w:rPr>
        <w:t>u</w:t>
      </w:r>
      <w:r w:rsidRPr="006E3415">
        <w:rPr>
          <w:rFonts w:ascii="Times New Roman" w:hAnsi="Times New Roman" w:cs="Times New Roman"/>
          <w:sz w:val="24"/>
          <w:szCs w:val="24"/>
        </w:rPr>
        <w:t xml:space="preserve">cauld </w:t>
      </w:r>
      <w:r w:rsidR="007D1E38">
        <w:rPr>
          <w:rFonts w:ascii="Times New Roman" w:hAnsi="Times New Roman" w:cs="Times New Roman"/>
          <w:sz w:val="24"/>
          <w:szCs w:val="24"/>
        </w:rPr>
        <w:t>(</w:t>
      </w:r>
      <w:r w:rsidR="00A5041D">
        <w:rPr>
          <w:rFonts w:ascii="Times New Roman" w:hAnsi="Times New Roman" w:cs="Times New Roman"/>
          <w:sz w:val="24"/>
          <w:szCs w:val="24"/>
        </w:rPr>
        <w:t xml:space="preserve">the same ‘Count’ with whom she had committed adultery, </w:t>
      </w:r>
      <w:r w:rsidR="007D1E38">
        <w:rPr>
          <w:rFonts w:ascii="Times New Roman" w:hAnsi="Times New Roman" w:cs="Times New Roman"/>
          <w:sz w:val="24"/>
          <w:szCs w:val="24"/>
        </w:rPr>
        <w:t>hereafter referred to as ‘Gaston’</w:t>
      </w:r>
      <w:r w:rsidR="00A5041D">
        <w:rPr>
          <w:rFonts w:ascii="Times New Roman" w:hAnsi="Times New Roman" w:cs="Times New Roman"/>
          <w:sz w:val="24"/>
          <w:szCs w:val="24"/>
        </w:rPr>
        <w:t xml:space="preserve">, rather than ‘Rochefoucauld’ so that he is not misidentified as the </w:t>
      </w:r>
      <w:r w:rsidR="007D1E38">
        <w:rPr>
          <w:rFonts w:ascii="Times New Roman" w:hAnsi="Times New Roman" w:cs="Times New Roman"/>
          <w:sz w:val="24"/>
          <w:szCs w:val="24"/>
        </w:rPr>
        <w:t xml:space="preserve">plaintiff in the case of </w:t>
      </w:r>
      <w:r w:rsidR="007D1E38">
        <w:rPr>
          <w:rFonts w:ascii="Times New Roman" w:hAnsi="Times New Roman" w:cs="Times New Roman"/>
          <w:i/>
          <w:sz w:val="24"/>
          <w:szCs w:val="24"/>
        </w:rPr>
        <w:t>Rochefoucauld</w:t>
      </w:r>
      <w:r w:rsidR="00A5041D">
        <w:rPr>
          <w:rFonts w:ascii="Times New Roman" w:hAnsi="Times New Roman" w:cs="Times New Roman"/>
          <w:sz w:val="24"/>
          <w:szCs w:val="24"/>
        </w:rPr>
        <w:t xml:space="preserve">) </w:t>
      </w:r>
      <w:r w:rsidRPr="007D1E38">
        <w:rPr>
          <w:rFonts w:ascii="Times New Roman" w:hAnsi="Times New Roman" w:cs="Times New Roman"/>
          <w:sz w:val="24"/>
          <w:szCs w:val="24"/>
        </w:rPr>
        <w:t>had</w:t>
      </w:r>
      <w:r w:rsidRPr="006E3415">
        <w:rPr>
          <w:rFonts w:ascii="Times New Roman" w:hAnsi="Times New Roman" w:cs="Times New Roman"/>
          <w:sz w:val="24"/>
          <w:szCs w:val="24"/>
        </w:rPr>
        <w:t xml:space="preserve"> been sent to Cavendish’s father</w:t>
      </w:r>
      <w:r w:rsidR="00C75D09" w:rsidRPr="006E3415">
        <w:rPr>
          <w:rFonts w:ascii="Times New Roman" w:hAnsi="Times New Roman" w:cs="Times New Roman"/>
          <w:sz w:val="24"/>
          <w:szCs w:val="24"/>
        </w:rPr>
        <w:t xml:space="preserve"> in September 1860</w:t>
      </w:r>
      <w:r w:rsidRPr="006E3415">
        <w:rPr>
          <w:rFonts w:ascii="Times New Roman" w:hAnsi="Times New Roman" w:cs="Times New Roman"/>
          <w:sz w:val="24"/>
          <w:szCs w:val="24"/>
        </w:rPr>
        <w:t xml:space="preserve">. They were described as being </w:t>
      </w:r>
      <w:r w:rsidR="00782BFB" w:rsidRPr="006E3415">
        <w:rPr>
          <w:rStyle w:val="mini"/>
          <w:rFonts w:ascii="Times New Roman" w:hAnsi="Times New Roman" w:cs="Times New Roman"/>
          <w:sz w:val="24"/>
          <w:szCs w:val="24"/>
        </w:rPr>
        <w:t>‘</w:t>
      </w:r>
      <w:r w:rsidRPr="006E3415">
        <w:rPr>
          <w:rStyle w:val="mini"/>
          <w:rFonts w:ascii="Times New Roman" w:hAnsi="Times New Roman" w:cs="Times New Roman"/>
          <w:sz w:val="24"/>
          <w:szCs w:val="24"/>
        </w:rPr>
        <w:t>full of the most horrible obscenity’</w:t>
      </w:r>
      <w:r w:rsidRPr="006E3415">
        <w:rPr>
          <w:rStyle w:val="FootnoteReference"/>
          <w:rFonts w:ascii="Times New Roman" w:hAnsi="Times New Roman" w:cs="Times New Roman"/>
          <w:sz w:val="24"/>
          <w:szCs w:val="24"/>
        </w:rPr>
        <w:footnoteReference w:id="42"/>
      </w:r>
      <w:r w:rsidRPr="006E3415">
        <w:rPr>
          <w:rStyle w:val="mini"/>
          <w:rFonts w:ascii="Times New Roman" w:hAnsi="Times New Roman" w:cs="Times New Roman"/>
          <w:sz w:val="24"/>
          <w:szCs w:val="24"/>
        </w:rPr>
        <w:t xml:space="preserve"> </w:t>
      </w:r>
      <w:r w:rsidRPr="006E3415">
        <w:rPr>
          <w:rFonts w:ascii="Times New Roman" w:hAnsi="Times New Roman" w:cs="Times New Roman"/>
          <w:sz w:val="24"/>
          <w:szCs w:val="24"/>
        </w:rPr>
        <w:t>and the Judge-Ordinary said that there was ‘no language strong enough to describe’ them.</w:t>
      </w:r>
      <w:r w:rsidRPr="006E3415">
        <w:rPr>
          <w:rStyle w:val="FootnoteReference"/>
          <w:rFonts w:ascii="Times New Roman" w:hAnsi="Times New Roman" w:cs="Times New Roman"/>
          <w:sz w:val="24"/>
          <w:szCs w:val="24"/>
        </w:rPr>
        <w:footnoteReference w:id="43"/>
      </w:r>
      <w:r w:rsidRPr="006E3415">
        <w:rPr>
          <w:rFonts w:ascii="Times New Roman" w:hAnsi="Times New Roman" w:cs="Times New Roman"/>
          <w:sz w:val="24"/>
          <w:szCs w:val="24"/>
        </w:rPr>
        <w:t xml:space="preserve"> </w:t>
      </w:r>
      <w:r w:rsidR="00C75D09" w:rsidRPr="006E3415">
        <w:rPr>
          <w:rFonts w:ascii="Times New Roman" w:hAnsi="Times New Roman" w:cs="Times New Roman"/>
          <w:sz w:val="24"/>
          <w:szCs w:val="24"/>
        </w:rPr>
        <w:t>The letters also apparently implied that Cavendish’s life was under threat.</w:t>
      </w:r>
      <w:r w:rsidR="00C75D09" w:rsidRPr="006E3415">
        <w:rPr>
          <w:rStyle w:val="FootnoteReference"/>
          <w:rFonts w:ascii="Times New Roman" w:hAnsi="Times New Roman" w:cs="Times New Roman"/>
          <w:sz w:val="24"/>
          <w:szCs w:val="24"/>
        </w:rPr>
        <w:footnoteReference w:id="44"/>
      </w:r>
      <w:r w:rsidR="00C75D09" w:rsidRPr="006E3415">
        <w:rPr>
          <w:rFonts w:ascii="Times New Roman" w:hAnsi="Times New Roman" w:cs="Times New Roman"/>
          <w:sz w:val="24"/>
          <w:szCs w:val="24"/>
        </w:rPr>
        <w:t xml:space="preserve"> </w:t>
      </w:r>
      <w:r w:rsidR="00E025CB" w:rsidRPr="006E3415">
        <w:rPr>
          <w:rStyle w:val="mini"/>
          <w:rFonts w:ascii="Times New Roman" w:hAnsi="Times New Roman" w:cs="Times New Roman"/>
          <w:sz w:val="24"/>
          <w:szCs w:val="24"/>
        </w:rPr>
        <w:t>I</w:t>
      </w:r>
      <w:r w:rsidRPr="006E3415">
        <w:rPr>
          <w:rStyle w:val="mini"/>
          <w:rFonts w:ascii="Times New Roman" w:hAnsi="Times New Roman" w:cs="Times New Roman"/>
          <w:sz w:val="24"/>
          <w:szCs w:val="24"/>
        </w:rPr>
        <w:t>t seems possible that the le</w:t>
      </w:r>
      <w:r w:rsidR="007D1E38">
        <w:rPr>
          <w:rStyle w:val="mini"/>
          <w:rFonts w:ascii="Times New Roman" w:hAnsi="Times New Roman" w:cs="Times New Roman"/>
          <w:sz w:val="24"/>
          <w:szCs w:val="24"/>
        </w:rPr>
        <w:t>tters were sent by Gaston</w:t>
      </w:r>
      <w:r w:rsidRPr="006E3415">
        <w:rPr>
          <w:rStyle w:val="mini"/>
          <w:rFonts w:ascii="Times New Roman" w:hAnsi="Times New Roman" w:cs="Times New Roman"/>
          <w:sz w:val="24"/>
          <w:szCs w:val="24"/>
        </w:rPr>
        <w:t xml:space="preserve"> and Emily in an attempt to provoke Cavendish into filing for divorce</w:t>
      </w:r>
      <w:r w:rsidR="00AB67EA" w:rsidRPr="006E3415">
        <w:rPr>
          <w:rStyle w:val="mini"/>
          <w:rFonts w:ascii="Times New Roman" w:hAnsi="Times New Roman" w:cs="Times New Roman"/>
          <w:sz w:val="24"/>
          <w:szCs w:val="24"/>
        </w:rPr>
        <w:t>, particularly as</w:t>
      </w:r>
      <w:r w:rsidR="007067B5">
        <w:rPr>
          <w:rStyle w:val="mini"/>
          <w:rFonts w:ascii="Times New Roman" w:hAnsi="Times New Roman" w:cs="Times New Roman"/>
          <w:sz w:val="24"/>
          <w:szCs w:val="24"/>
        </w:rPr>
        <w:t xml:space="preserve"> under the Matrimonial Causes Act 1857</w:t>
      </w:r>
      <w:r w:rsidR="00AB67EA" w:rsidRPr="006E3415">
        <w:rPr>
          <w:rStyle w:val="mini"/>
          <w:rFonts w:ascii="Times New Roman" w:hAnsi="Times New Roman" w:cs="Times New Roman"/>
          <w:sz w:val="24"/>
          <w:szCs w:val="24"/>
        </w:rPr>
        <w:t xml:space="preserve"> it was more difficult for a </w:t>
      </w:r>
      <w:r w:rsidR="00B86B56">
        <w:rPr>
          <w:rStyle w:val="mini"/>
          <w:rFonts w:ascii="Times New Roman" w:hAnsi="Times New Roman" w:cs="Times New Roman"/>
          <w:sz w:val="24"/>
          <w:szCs w:val="24"/>
        </w:rPr>
        <w:t xml:space="preserve">wife </w:t>
      </w:r>
      <w:r w:rsidR="00AB67EA" w:rsidRPr="006E3415">
        <w:rPr>
          <w:rStyle w:val="mini"/>
          <w:rFonts w:ascii="Times New Roman" w:hAnsi="Times New Roman" w:cs="Times New Roman"/>
          <w:sz w:val="24"/>
          <w:szCs w:val="24"/>
        </w:rPr>
        <w:t>to petition successfu</w:t>
      </w:r>
      <w:r w:rsidR="00B86B56">
        <w:rPr>
          <w:rStyle w:val="mini"/>
          <w:rFonts w:ascii="Times New Roman" w:hAnsi="Times New Roman" w:cs="Times New Roman"/>
          <w:sz w:val="24"/>
          <w:szCs w:val="24"/>
        </w:rPr>
        <w:t>lly for a divorce than it was for a husband to do so</w:t>
      </w:r>
      <w:r w:rsidRPr="006E3415">
        <w:rPr>
          <w:rStyle w:val="mini"/>
          <w:rFonts w:ascii="Times New Roman" w:hAnsi="Times New Roman" w:cs="Times New Roman"/>
          <w:sz w:val="24"/>
          <w:szCs w:val="24"/>
        </w:rPr>
        <w:t>.</w:t>
      </w:r>
      <w:r w:rsidR="00AB67EA" w:rsidRPr="006E3415">
        <w:rPr>
          <w:rStyle w:val="FootnoteReference"/>
          <w:rFonts w:ascii="Times New Roman" w:hAnsi="Times New Roman" w:cs="Times New Roman"/>
          <w:sz w:val="24"/>
          <w:szCs w:val="24"/>
        </w:rPr>
        <w:footnoteReference w:id="45"/>
      </w:r>
      <w:r w:rsidRPr="006E3415">
        <w:rPr>
          <w:rStyle w:val="mini"/>
          <w:rFonts w:ascii="Times New Roman" w:hAnsi="Times New Roman" w:cs="Times New Roman"/>
          <w:sz w:val="24"/>
          <w:szCs w:val="24"/>
        </w:rPr>
        <w:t xml:space="preserve"> </w:t>
      </w:r>
    </w:p>
    <w:p w:rsidR="00642887" w:rsidRPr="006E3415" w:rsidRDefault="00642887" w:rsidP="00746BFF">
      <w:pPr>
        <w:spacing w:after="0" w:line="360" w:lineRule="auto"/>
        <w:rPr>
          <w:rStyle w:val="mini"/>
          <w:rFonts w:ascii="Times New Roman" w:hAnsi="Times New Roman" w:cs="Times New Roman"/>
          <w:sz w:val="24"/>
          <w:szCs w:val="24"/>
        </w:rPr>
      </w:pPr>
    </w:p>
    <w:p w:rsidR="00156B83" w:rsidRPr="006E3415" w:rsidRDefault="00156B83" w:rsidP="00746BFF">
      <w:pPr>
        <w:spacing w:after="0" w:line="360" w:lineRule="auto"/>
        <w:rPr>
          <w:rStyle w:val="mini"/>
          <w:rFonts w:ascii="Times New Roman" w:hAnsi="Times New Roman" w:cs="Times New Roman"/>
          <w:sz w:val="24"/>
          <w:szCs w:val="24"/>
        </w:rPr>
      </w:pPr>
      <w:r w:rsidRPr="006E3415">
        <w:rPr>
          <w:rStyle w:val="mini"/>
          <w:rFonts w:ascii="Times New Roman" w:hAnsi="Times New Roman" w:cs="Times New Roman"/>
          <w:sz w:val="24"/>
          <w:szCs w:val="24"/>
        </w:rPr>
        <w:t xml:space="preserve">The </w:t>
      </w:r>
      <w:r w:rsidR="00200C62">
        <w:rPr>
          <w:rStyle w:val="mini"/>
          <w:rFonts w:ascii="Times New Roman" w:hAnsi="Times New Roman" w:cs="Times New Roman"/>
          <w:sz w:val="24"/>
          <w:szCs w:val="24"/>
        </w:rPr>
        <w:t xml:space="preserve">Court for Divorce and Matrimonial Causes </w:t>
      </w:r>
      <w:r w:rsidRPr="006E3415">
        <w:rPr>
          <w:rStyle w:val="mini"/>
          <w:rFonts w:ascii="Times New Roman" w:hAnsi="Times New Roman" w:cs="Times New Roman"/>
          <w:sz w:val="24"/>
          <w:szCs w:val="24"/>
        </w:rPr>
        <w:t xml:space="preserve">granted a decree </w:t>
      </w:r>
      <w:r w:rsidRPr="006E3415">
        <w:rPr>
          <w:rStyle w:val="mini"/>
          <w:rFonts w:ascii="Times New Roman" w:hAnsi="Times New Roman" w:cs="Times New Roman"/>
          <w:i/>
          <w:sz w:val="24"/>
          <w:szCs w:val="24"/>
        </w:rPr>
        <w:t xml:space="preserve">nisi </w:t>
      </w:r>
      <w:r w:rsidRPr="006E3415">
        <w:rPr>
          <w:rStyle w:val="mini"/>
          <w:rFonts w:ascii="Times New Roman" w:hAnsi="Times New Roman" w:cs="Times New Roman"/>
          <w:sz w:val="24"/>
          <w:szCs w:val="24"/>
        </w:rPr>
        <w:t xml:space="preserve">on </w:t>
      </w:r>
      <w:r w:rsidR="003C116E" w:rsidRPr="006E3415">
        <w:rPr>
          <w:rStyle w:val="mini"/>
          <w:rFonts w:ascii="Times New Roman" w:hAnsi="Times New Roman" w:cs="Times New Roman"/>
          <w:sz w:val="24"/>
          <w:szCs w:val="24"/>
        </w:rPr>
        <w:t xml:space="preserve">18 </w:t>
      </w:r>
      <w:r w:rsidRPr="006E3415">
        <w:rPr>
          <w:rStyle w:val="mini"/>
          <w:rFonts w:ascii="Times New Roman" w:hAnsi="Times New Roman" w:cs="Times New Roman"/>
          <w:sz w:val="24"/>
          <w:szCs w:val="24"/>
        </w:rPr>
        <w:t>June 1866. A decree absolute was</w:t>
      </w:r>
      <w:r w:rsidR="003C116E" w:rsidRPr="006E3415">
        <w:rPr>
          <w:rStyle w:val="mini"/>
          <w:rFonts w:ascii="Times New Roman" w:hAnsi="Times New Roman" w:cs="Times New Roman"/>
          <w:sz w:val="24"/>
          <w:szCs w:val="24"/>
        </w:rPr>
        <w:t xml:space="preserve"> granted in December 1867</w:t>
      </w:r>
      <w:r w:rsidRPr="006E3415">
        <w:rPr>
          <w:rStyle w:val="mini"/>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46"/>
      </w:r>
      <w:r w:rsidRPr="006E3415">
        <w:rPr>
          <w:rStyle w:val="mini"/>
          <w:rFonts w:ascii="Times New Roman" w:hAnsi="Times New Roman" w:cs="Times New Roman"/>
          <w:sz w:val="24"/>
          <w:szCs w:val="24"/>
        </w:rPr>
        <w:t xml:space="preserve"> </w:t>
      </w:r>
      <w:r w:rsidR="007067B5">
        <w:rPr>
          <w:rStyle w:val="mini"/>
          <w:rFonts w:ascii="Times New Roman" w:hAnsi="Times New Roman" w:cs="Times New Roman"/>
          <w:sz w:val="24"/>
          <w:szCs w:val="24"/>
        </w:rPr>
        <w:t>Emily married</w:t>
      </w:r>
      <w:r w:rsidR="00790146">
        <w:rPr>
          <w:rStyle w:val="mini"/>
          <w:rFonts w:ascii="Times New Roman" w:hAnsi="Times New Roman" w:cs="Times New Roman"/>
          <w:sz w:val="24"/>
          <w:szCs w:val="24"/>
        </w:rPr>
        <w:t xml:space="preserve"> Gaston</w:t>
      </w:r>
      <w:r w:rsidR="00D12C0F">
        <w:rPr>
          <w:rStyle w:val="mini"/>
          <w:rFonts w:ascii="Times New Roman" w:hAnsi="Times New Roman" w:cs="Times New Roman"/>
          <w:sz w:val="24"/>
          <w:szCs w:val="24"/>
        </w:rPr>
        <w:t xml:space="preserve"> on 20 August</w:t>
      </w:r>
      <w:r w:rsidR="002A770A" w:rsidRPr="006E3415">
        <w:rPr>
          <w:rStyle w:val="mini"/>
          <w:rFonts w:ascii="Times New Roman" w:hAnsi="Times New Roman" w:cs="Times New Roman"/>
          <w:sz w:val="24"/>
          <w:szCs w:val="24"/>
        </w:rPr>
        <w:t xml:space="preserve"> 1870,</w:t>
      </w:r>
      <w:r w:rsidRPr="006E3415">
        <w:rPr>
          <w:rStyle w:val="FootnoteReference"/>
          <w:rFonts w:ascii="Times New Roman" w:hAnsi="Times New Roman" w:cs="Times New Roman"/>
          <w:sz w:val="24"/>
          <w:szCs w:val="24"/>
        </w:rPr>
        <w:footnoteReference w:id="47"/>
      </w:r>
      <w:r w:rsidR="002A770A" w:rsidRPr="006E3415">
        <w:rPr>
          <w:rStyle w:val="mini"/>
          <w:rFonts w:ascii="Times New Roman" w:hAnsi="Times New Roman" w:cs="Times New Roman"/>
          <w:sz w:val="24"/>
          <w:szCs w:val="24"/>
        </w:rPr>
        <w:t xml:space="preserve"> as a result of which she became </w:t>
      </w:r>
      <w:r w:rsidRPr="006E3415">
        <w:rPr>
          <w:rFonts w:ascii="Times New Roman" w:hAnsi="Times New Roman" w:cs="Times New Roman"/>
          <w:sz w:val="24"/>
          <w:szCs w:val="24"/>
        </w:rPr>
        <w:t>Comtesse de la Rochefoucauld.</w:t>
      </w:r>
      <w:r w:rsidRPr="006E3415">
        <w:rPr>
          <w:rStyle w:val="mini"/>
          <w:rFonts w:ascii="Times New Roman" w:hAnsi="Times New Roman" w:cs="Times New Roman"/>
          <w:sz w:val="24"/>
          <w:szCs w:val="24"/>
        </w:rPr>
        <w:t xml:space="preserve"> It seems that, a</w:t>
      </w:r>
      <w:r w:rsidR="00790146">
        <w:rPr>
          <w:rStyle w:val="mini"/>
          <w:rFonts w:ascii="Times New Roman" w:hAnsi="Times New Roman" w:cs="Times New Roman"/>
          <w:sz w:val="24"/>
          <w:szCs w:val="24"/>
        </w:rPr>
        <w:t>t first, Emily and Gaston</w:t>
      </w:r>
      <w:r w:rsidRPr="006E3415">
        <w:rPr>
          <w:rStyle w:val="mini"/>
          <w:rFonts w:ascii="Times New Roman" w:hAnsi="Times New Roman" w:cs="Times New Roman"/>
          <w:sz w:val="24"/>
          <w:szCs w:val="24"/>
        </w:rPr>
        <w:t xml:space="preserve"> did not take their position as respondents in the</w:t>
      </w:r>
      <w:r w:rsidR="002A770A" w:rsidRPr="006E3415">
        <w:rPr>
          <w:rStyle w:val="mini"/>
          <w:rFonts w:ascii="Times New Roman" w:hAnsi="Times New Roman" w:cs="Times New Roman"/>
          <w:sz w:val="24"/>
          <w:szCs w:val="24"/>
        </w:rPr>
        <w:t xml:space="preserve"> divorce proceedings seriously, for </w:t>
      </w:r>
      <w:r w:rsidRPr="006E3415">
        <w:rPr>
          <w:rStyle w:val="mini"/>
          <w:rFonts w:ascii="Times New Roman" w:hAnsi="Times New Roman" w:cs="Times New Roman"/>
          <w:sz w:val="24"/>
          <w:szCs w:val="24"/>
        </w:rPr>
        <w:t>their counsel refused to plead because they had not been supplied by the respondents with any evidence or ‘materials for cross-examination’.</w:t>
      </w:r>
      <w:r w:rsidRPr="006E3415">
        <w:rPr>
          <w:rStyle w:val="FootnoteReference"/>
          <w:rFonts w:ascii="Times New Roman" w:hAnsi="Times New Roman" w:cs="Times New Roman"/>
          <w:sz w:val="24"/>
          <w:szCs w:val="24"/>
        </w:rPr>
        <w:footnoteReference w:id="48"/>
      </w:r>
      <w:r w:rsidR="00E04D95">
        <w:rPr>
          <w:rStyle w:val="mini"/>
          <w:rFonts w:ascii="Times New Roman" w:hAnsi="Times New Roman" w:cs="Times New Roman"/>
          <w:sz w:val="24"/>
          <w:szCs w:val="24"/>
        </w:rPr>
        <w:t xml:space="preserve"> I</w:t>
      </w:r>
      <w:r w:rsidRPr="006E3415">
        <w:rPr>
          <w:rStyle w:val="mini"/>
          <w:rFonts w:ascii="Times New Roman" w:hAnsi="Times New Roman" w:cs="Times New Roman"/>
          <w:sz w:val="24"/>
          <w:szCs w:val="24"/>
        </w:rPr>
        <w:t xml:space="preserve">n addition to the </w:t>
      </w:r>
      <w:r w:rsidRPr="006E3415">
        <w:rPr>
          <w:rStyle w:val="mini"/>
          <w:rFonts w:ascii="Times New Roman" w:hAnsi="Times New Roman" w:cs="Times New Roman"/>
          <w:sz w:val="24"/>
          <w:szCs w:val="24"/>
        </w:rPr>
        <w:lastRenderedPageBreak/>
        <w:t xml:space="preserve">decree </w:t>
      </w:r>
      <w:r w:rsidRPr="006E3415">
        <w:rPr>
          <w:rStyle w:val="mini"/>
          <w:rFonts w:ascii="Times New Roman" w:hAnsi="Times New Roman" w:cs="Times New Roman"/>
          <w:i/>
          <w:sz w:val="24"/>
          <w:szCs w:val="24"/>
        </w:rPr>
        <w:t>nisi</w:t>
      </w:r>
      <w:r w:rsidRPr="006E3415">
        <w:rPr>
          <w:rStyle w:val="mini"/>
          <w:rFonts w:ascii="Times New Roman" w:hAnsi="Times New Roman" w:cs="Times New Roman"/>
          <w:sz w:val="24"/>
          <w:szCs w:val="24"/>
        </w:rPr>
        <w:t>, Emily was ordered to</w:t>
      </w:r>
      <w:r w:rsidR="002A770A" w:rsidRPr="006E3415">
        <w:rPr>
          <w:rStyle w:val="mini"/>
          <w:rFonts w:ascii="Times New Roman" w:hAnsi="Times New Roman" w:cs="Times New Roman"/>
          <w:sz w:val="24"/>
          <w:szCs w:val="24"/>
        </w:rPr>
        <w:t xml:space="preserve"> surrender</w:t>
      </w:r>
      <w:r w:rsidRPr="006E3415">
        <w:rPr>
          <w:rStyle w:val="mini"/>
          <w:rFonts w:ascii="Times New Roman" w:hAnsi="Times New Roman" w:cs="Times New Roman"/>
          <w:sz w:val="24"/>
          <w:szCs w:val="24"/>
        </w:rPr>
        <w:t xml:space="preserve"> her daughter into Cavendish’s custody</w:t>
      </w:r>
      <w:r w:rsidR="005E41F6">
        <w:rPr>
          <w:rStyle w:val="mini"/>
          <w:rFonts w:ascii="Times New Roman" w:hAnsi="Times New Roman" w:cs="Times New Roman"/>
          <w:sz w:val="24"/>
          <w:szCs w:val="24"/>
        </w:rPr>
        <w:t>, as was usual for the time</w:t>
      </w:r>
      <w:r w:rsidRPr="006E3415">
        <w:rPr>
          <w:rStyle w:val="mini"/>
          <w:rFonts w:ascii="Times New Roman" w:hAnsi="Times New Roman" w:cs="Times New Roman"/>
          <w:sz w:val="24"/>
          <w:szCs w:val="24"/>
        </w:rPr>
        <w:t>.</w:t>
      </w:r>
      <w:r w:rsidR="00AA0E7C" w:rsidRPr="006E3415">
        <w:rPr>
          <w:rStyle w:val="FootnoteReference"/>
          <w:rFonts w:ascii="Times New Roman" w:hAnsi="Times New Roman" w:cs="Times New Roman"/>
          <w:sz w:val="24"/>
          <w:szCs w:val="24"/>
        </w:rPr>
        <w:footnoteReference w:id="49"/>
      </w:r>
      <w:r w:rsidR="007067B5">
        <w:rPr>
          <w:rStyle w:val="mini"/>
          <w:rFonts w:ascii="Times New Roman" w:hAnsi="Times New Roman" w:cs="Times New Roman"/>
          <w:sz w:val="24"/>
          <w:szCs w:val="24"/>
        </w:rPr>
        <w:t xml:space="preserve"> She failed </w:t>
      </w:r>
      <w:r w:rsidR="00662194">
        <w:rPr>
          <w:rStyle w:val="mini"/>
          <w:rFonts w:ascii="Times New Roman" w:hAnsi="Times New Roman" w:cs="Times New Roman"/>
          <w:sz w:val="24"/>
          <w:szCs w:val="24"/>
        </w:rPr>
        <w:t>to</w:t>
      </w:r>
      <w:r w:rsidR="007067B5">
        <w:rPr>
          <w:rStyle w:val="mini"/>
          <w:rFonts w:ascii="Times New Roman" w:hAnsi="Times New Roman" w:cs="Times New Roman"/>
          <w:sz w:val="24"/>
          <w:szCs w:val="24"/>
        </w:rPr>
        <w:t xml:space="preserve"> do this and was</w:t>
      </w:r>
      <w:r w:rsidR="00662194">
        <w:rPr>
          <w:rStyle w:val="mini"/>
          <w:rFonts w:ascii="Times New Roman" w:hAnsi="Times New Roman" w:cs="Times New Roman"/>
          <w:sz w:val="24"/>
          <w:szCs w:val="24"/>
        </w:rPr>
        <w:t xml:space="preserve"> </w:t>
      </w:r>
      <w:r w:rsidRPr="006E3415">
        <w:rPr>
          <w:rStyle w:val="mini"/>
          <w:rFonts w:ascii="Times New Roman" w:hAnsi="Times New Roman" w:cs="Times New Roman"/>
          <w:sz w:val="24"/>
          <w:szCs w:val="24"/>
        </w:rPr>
        <w:t>found to be in contempt of court.</w:t>
      </w:r>
      <w:r w:rsidRPr="006E3415">
        <w:rPr>
          <w:rStyle w:val="FootnoteReference"/>
          <w:rFonts w:ascii="Times New Roman" w:hAnsi="Times New Roman" w:cs="Times New Roman"/>
          <w:sz w:val="24"/>
          <w:szCs w:val="24"/>
        </w:rPr>
        <w:footnoteReference w:id="50"/>
      </w:r>
    </w:p>
    <w:p w:rsidR="00642887" w:rsidRPr="006E3415" w:rsidRDefault="00642887" w:rsidP="00746BFF">
      <w:pPr>
        <w:spacing w:after="0" w:line="360" w:lineRule="auto"/>
        <w:rPr>
          <w:rStyle w:val="mini"/>
          <w:rFonts w:ascii="Times New Roman" w:hAnsi="Times New Roman" w:cs="Times New Roman"/>
          <w:sz w:val="24"/>
          <w:szCs w:val="24"/>
        </w:rPr>
      </w:pPr>
    </w:p>
    <w:p w:rsidR="00A254E4" w:rsidRDefault="00156B83" w:rsidP="00746BFF">
      <w:pPr>
        <w:spacing w:after="0" w:line="360" w:lineRule="auto"/>
        <w:rPr>
          <w:rStyle w:val="mini"/>
          <w:rFonts w:ascii="Times New Roman" w:hAnsi="Times New Roman" w:cs="Times New Roman"/>
          <w:sz w:val="24"/>
          <w:szCs w:val="24"/>
        </w:rPr>
      </w:pPr>
      <w:r w:rsidRPr="006E3415">
        <w:rPr>
          <w:rStyle w:val="mini"/>
          <w:rFonts w:ascii="Times New Roman" w:hAnsi="Times New Roman" w:cs="Times New Roman"/>
          <w:sz w:val="24"/>
          <w:szCs w:val="24"/>
        </w:rPr>
        <w:t>Cavendish then petitioned the court to apply some or all of the property of the marriage settlement for the benefit of himself and their children. The court went further than this; on July 3</w:t>
      </w:r>
      <w:r w:rsidR="00720BCB" w:rsidRPr="006E3415">
        <w:rPr>
          <w:rStyle w:val="mini"/>
          <w:rFonts w:ascii="Times New Roman" w:hAnsi="Times New Roman" w:cs="Times New Roman"/>
          <w:sz w:val="24"/>
          <w:szCs w:val="24"/>
        </w:rPr>
        <w:t>1</w:t>
      </w:r>
      <w:r w:rsidRPr="006E3415">
        <w:rPr>
          <w:rStyle w:val="mini"/>
          <w:rFonts w:ascii="Times New Roman" w:hAnsi="Times New Roman" w:cs="Times New Roman"/>
          <w:sz w:val="24"/>
          <w:szCs w:val="24"/>
        </w:rPr>
        <w:t xml:space="preserve"> 1868, the Judge Ordinary ordered ‘certain property in Ceylon </w:t>
      </w:r>
      <w:r w:rsidR="00782BFB" w:rsidRPr="006E3415">
        <w:rPr>
          <w:rStyle w:val="mini"/>
          <w:rFonts w:ascii="Times New Roman" w:hAnsi="Times New Roman" w:cs="Times New Roman"/>
          <w:sz w:val="24"/>
          <w:szCs w:val="24"/>
        </w:rPr>
        <w:t>[the Estates] and in [a]</w:t>
      </w:r>
      <w:r w:rsidRPr="006E3415">
        <w:rPr>
          <w:rStyle w:val="mini"/>
          <w:rFonts w:ascii="Times New Roman" w:hAnsi="Times New Roman" w:cs="Times New Roman"/>
          <w:sz w:val="24"/>
          <w:szCs w:val="24"/>
        </w:rPr>
        <w:t xml:space="preserve"> Dutch company brought into the settlement by the respondent to be assigned by her to two trustees’.</w:t>
      </w:r>
      <w:r w:rsidRPr="006E3415">
        <w:rPr>
          <w:rStyle w:val="FootnoteReference"/>
          <w:rFonts w:ascii="Times New Roman" w:hAnsi="Times New Roman" w:cs="Times New Roman"/>
          <w:sz w:val="24"/>
          <w:szCs w:val="24"/>
        </w:rPr>
        <w:footnoteReference w:id="51"/>
      </w:r>
      <w:r w:rsidR="00782BFB" w:rsidRPr="006E3415">
        <w:rPr>
          <w:rStyle w:val="mini"/>
          <w:rFonts w:ascii="Times New Roman" w:hAnsi="Times New Roman" w:cs="Times New Roman"/>
          <w:sz w:val="24"/>
          <w:szCs w:val="24"/>
        </w:rPr>
        <w:t xml:space="preserve"> </w:t>
      </w:r>
      <w:r w:rsidR="00A254E4" w:rsidRPr="006E3415">
        <w:rPr>
          <w:rStyle w:val="mini"/>
          <w:rFonts w:ascii="Times New Roman" w:hAnsi="Times New Roman" w:cs="Times New Roman"/>
          <w:sz w:val="24"/>
          <w:szCs w:val="24"/>
        </w:rPr>
        <w:t xml:space="preserve">It seems that Emily did not take kindly to the 1868 decree. </w:t>
      </w:r>
      <w:r w:rsidR="007A2657">
        <w:rPr>
          <w:rStyle w:val="mini"/>
          <w:rFonts w:ascii="Times New Roman" w:hAnsi="Times New Roman" w:cs="Times New Roman"/>
          <w:sz w:val="24"/>
          <w:szCs w:val="24"/>
        </w:rPr>
        <w:t>Fortunately for her, she had numerous influential friends in France</w:t>
      </w:r>
      <w:r w:rsidR="003A1D37">
        <w:rPr>
          <w:rStyle w:val="mini"/>
          <w:rFonts w:ascii="Times New Roman" w:hAnsi="Times New Roman" w:cs="Times New Roman"/>
          <w:sz w:val="24"/>
          <w:szCs w:val="24"/>
        </w:rPr>
        <w:t>, the most notable of whom was the Emperor of France, Napoleon III.</w:t>
      </w:r>
      <w:r w:rsidR="003A1D37">
        <w:rPr>
          <w:rStyle w:val="FootnoteReference"/>
          <w:rFonts w:ascii="Times New Roman" w:hAnsi="Times New Roman" w:cs="Times New Roman"/>
          <w:sz w:val="24"/>
          <w:szCs w:val="24"/>
        </w:rPr>
        <w:footnoteReference w:id="52"/>
      </w:r>
      <w:r w:rsidR="00A254E4" w:rsidRPr="006E3415">
        <w:rPr>
          <w:rFonts w:ascii="Times New Roman" w:hAnsi="Times New Roman" w:cs="Times New Roman"/>
          <w:sz w:val="24"/>
          <w:szCs w:val="24"/>
        </w:rPr>
        <w:t xml:space="preserve">According to one report, ‘[o]n </w:t>
      </w:r>
      <w:r w:rsidR="00A254E4" w:rsidRPr="006E3415">
        <w:rPr>
          <w:rStyle w:val="mini"/>
          <w:rFonts w:ascii="Times New Roman" w:hAnsi="Times New Roman" w:cs="Times New Roman"/>
          <w:sz w:val="24"/>
          <w:szCs w:val="24"/>
        </w:rPr>
        <w:t>the Continent strong views were taken of the injustice of that judgment</w:t>
      </w:r>
      <w:r w:rsidR="007927CB" w:rsidRPr="006E3415">
        <w:rPr>
          <w:rStyle w:val="mini"/>
          <w:rFonts w:ascii="Times New Roman" w:hAnsi="Times New Roman" w:cs="Times New Roman"/>
          <w:sz w:val="24"/>
          <w:szCs w:val="24"/>
        </w:rPr>
        <w:t xml:space="preserve"> </w:t>
      </w:r>
      <w:r w:rsidR="00A254E4" w:rsidRPr="006E3415">
        <w:rPr>
          <w:rStyle w:val="mini"/>
          <w:rFonts w:ascii="Times New Roman" w:hAnsi="Times New Roman" w:cs="Times New Roman"/>
          <w:sz w:val="24"/>
          <w:szCs w:val="24"/>
        </w:rPr>
        <w:t>and Mrs. Cavendish was not only created Baroness Delmar in her own right, but steps were taken to put the estates outside the reach of the Divorce Court.’</w:t>
      </w:r>
      <w:r w:rsidR="00A254E4" w:rsidRPr="006E3415">
        <w:rPr>
          <w:rStyle w:val="FootnoteReference"/>
          <w:rFonts w:ascii="Times New Roman" w:hAnsi="Times New Roman" w:cs="Times New Roman"/>
          <w:iCs/>
          <w:sz w:val="24"/>
          <w:szCs w:val="24"/>
        </w:rPr>
        <w:footnoteReference w:id="53"/>
      </w:r>
      <w:r w:rsidR="00C753CE">
        <w:rPr>
          <w:rStyle w:val="mini"/>
          <w:rFonts w:ascii="Times New Roman" w:hAnsi="Times New Roman" w:cs="Times New Roman"/>
          <w:sz w:val="24"/>
          <w:szCs w:val="24"/>
        </w:rPr>
        <w:t xml:space="preserve"> </w:t>
      </w:r>
    </w:p>
    <w:p w:rsidR="007067B5" w:rsidRPr="006E3415" w:rsidRDefault="007067B5" w:rsidP="00746BFF">
      <w:pPr>
        <w:spacing w:after="0" w:line="360" w:lineRule="auto"/>
        <w:rPr>
          <w:rStyle w:val="mini"/>
          <w:rFonts w:ascii="Times New Roman" w:hAnsi="Times New Roman" w:cs="Times New Roman"/>
          <w:sz w:val="24"/>
          <w:szCs w:val="24"/>
        </w:rPr>
      </w:pPr>
    </w:p>
    <w:p w:rsidR="00156B83" w:rsidRPr="006E3415" w:rsidRDefault="00156B83"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Prior to analysi</w:t>
      </w:r>
      <w:r w:rsidR="00B71C5F" w:rsidRPr="006E3415">
        <w:rPr>
          <w:rFonts w:ascii="Times New Roman" w:hAnsi="Times New Roman" w:cs="Times New Roman"/>
          <w:sz w:val="24"/>
          <w:szCs w:val="24"/>
        </w:rPr>
        <w:t xml:space="preserve">ng </w:t>
      </w:r>
      <w:r w:rsidR="00E062B8" w:rsidRPr="006E3415">
        <w:rPr>
          <w:rFonts w:ascii="Times New Roman" w:hAnsi="Times New Roman" w:cs="Times New Roman"/>
          <w:sz w:val="24"/>
          <w:szCs w:val="24"/>
        </w:rPr>
        <w:t>th</w:t>
      </w:r>
      <w:r w:rsidR="00E062B8">
        <w:rPr>
          <w:rFonts w:ascii="Times New Roman" w:hAnsi="Times New Roman" w:cs="Times New Roman"/>
          <w:sz w:val="24"/>
          <w:szCs w:val="24"/>
        </w:rPr>
        <w:t>e</w:t>
      </w:r>
      <w:r w:rsidR="00E062B8" w:rsidRPr="006E3415">
        <w:rPr>
          <w:rFonts w:ascii="Times New Roman" w:hAnsi="Times New Roman" w:cs="Times New Roman"/>
          <w:sz w:val="24"/>
          <w:szCs w:val="24"/>
        </w:rPr>
        <w:t>se</w:t>
      </w:r>
      <w:r w:rsidR="00B71C5F" w:rsidRPr="006E3415">
        <w:rPr>
          <w:rFonts w:ascii="Times New Roman" w:hAnsi="Times New Roman" w:cs="Times New Roman"/>
          <w:sz w:val="24"/>
          <w:szCs w:val="24"/>
        </w:rPr>
        <w:t xml:space="preserve"> </w:t>
      </w:r>
      <w:r w:rsidR="00D96B67">
        <w:rPr>
          <w:rFonts w:ascii="Times New Roman" w:hAnsi="Times New Roman" w:cs="Times New Roman"/>
          <w:sz w:val="24"/>
          <w:szCs w:val="24"/>
        </w:rPr>
        <w:t>‘</w:t>
      </w:r>
      <w:r w:rsidR="009A64F1" w:rsidRPr="006E3415">
        <w:rPr>
          <w:rFonts w:ascii="Times New Roman" w:hAnsi="Times New Roman" w:cs="Times New Roman"/>
          <w:sz w:val="24"/>
          <w:szCs w:val="24"/>
        </w:rPr>
        <w:t>steps</w:t>
      </w:r>
      <w:r w:rsidR="00D96B67">
        <w:rPr>
          <w:rFonts w:ascii="Times New Roman" w:hAnsi="Times New Roman" w:cs="Times New Roman"/>
          <w:sz w:val="24"/>
          <w:szCs w:val="24"/>
        </w:rPr>
        <w:t>’</w:t>
      </w:r>
      <w:r w:rsidR="00B71C5F" w:rsidRPr="006E3415">
        <w:rPr>
          <w:rFonts w:ascii="Times New Roman" w:hAnsi="Times New Roman" w:cs="Times New Roman"/>
          <w:sz w:val="24"/>
          <w:szCs w:val="24"/>
        </w:rPr>
        <w:t xml:space="preserve">, </w:t>
      </w:r>
      <w:r w:rsidR="005923F3" w:rsidRPr="006E3415">
        <w:rPr>
          <w:rFonts w:ascii="Times New Roman" w:hAnsi="Times New Roman" w:cs="Times New Roman"/>
          <w:sz w:val="24"/>
          <w:szCs w:val="24"/>
        </w:rPr>
        <w:t xml:space="preserve">the </w:t>
      </w:r>
      <w:r w:rsidRPr="006E3415">
        <w:rPr>
          <w:rFonts w:ascii="Times New Roman" w:hAnsi="Times New Roman" w:cs="Times New Roman"/>
          <w:sz w:val="24"/>
          <w:szCs w:val="24"/>
        </w:rPr>
        <w:t>nature of both the mortgage</w:t>
      </w:r>
      <w:r w:rsidR="00D96B67">
        <w:rPr>
          <w:rFonts w:ascii="Times New Roman" w:hAnsi="Times New Roman" w:cs="Times New Roman"/>
          <w:sz w:val="24"/>
          <w:szCs w:val="24"/>
        </w:rPr>
        <w:t xml:space="preserve"> </w:t>
      </w:r>
      <w:r w:rsidRPr="006E3415">
        <w:rPr>
          <w:rFonts w:ascii="Times New Roman" w:hAnsi="Times New Roman" w:cs="Times New Roman"/>
          <w:sz w:val="24"/>
          <w:szCs w:val="24"/>
        </w:rPr>
        <w:t xml:space="preserve">and the </w:t>
      </w:r>
      <w:r w:rsidR="009A64F1" w:rsidRPr="006E3415">
        <w:rPr>
          <w:rFonts w:ascii="Times New Roman" w:hAnsi="Times New Roman" w:cs="Times New Roman"/>
          <w:sz w:val="24"/>
          <w:szCs w:val="24"/>
        </w:rPr>
        <w:t>mortgagee</w:t>
      </w:r>
      <w:r w:rsidRPr="006E3415">
        <w:rPr>
          <w:rFonts w:ascii="Times New Roman" w:hAnsi="Times New Roman" w:cs="Times New Roman"/>
          <w:sz w:val="24"/>
          <w:szCs w:val="24"/>
        </w:rPr>
        <w:t xml:space="preserve"> to which it was assigned</w:t>
      </w:r>
      <w:r w:rsidR="00D96B67">
        <w:rPr>
          <w:rFonts w:ascii="Times New Roman" w:hAnsi="Times New Roman" w:cs="Times New Roman"/>
          <w:sz w:val="24"/>
          <w:szCs w:val="24"/>
        </w:rPr>
        <w:t xml:space="preserve"> </w:t>
      </w:r>
      <w:r w:rsidR="00B71C5F" w:rsidRPr="006E3415">
        <w:rPr>
          <w:rFonts w:ascii="Times New Roman" w:hAnsi="Times New Roman" w:cs="Times New Roman"/>
          <w:sz w:val="24"/>
          <w:szCs w:val="24"/>
        </w:rPr>
        <w:t>will be considered</w:t>
      </w:r>
      <w:r w:rsidRPr="006E3415">
        <w:rPr>
          <w:rFonts w:ascii="Times New Roman" w:hAnsi="Times New Roman" w:cs="Times New Roman"/>
          <w:sz w:val="24"/>
          <w:szCs w:val="24"/>
        </w:rPr>
        <w:t>.</w:t>
      </w:r>
    </w:p>
    <w:p w:rsidR="00156B83" w:rsidRPr="006E3415" w:rsidRDefault="00156B83" w:rsidP="00746BFF">
      <w:pPr>
        <w:spacing w:after="0" w:line="360" w:lineRule="auto"/>
        <w:rPr>
          <w:rStyle w:val="mini"/>
          <w:rFonts w:ascii="Times New Roman" w:hAnsi="Times New Roman" w:cs="Times New Roman"/>
          <w:b/>
          <w:iCs/>
          <w:sz w:val="24"/>
          <w:szCs w:val="24"/>
        </w:rPr>
      </w:pPr>
    </w:p>
    <w:p w:rsidR="00F7285F" w:rsidRPr="006E3415" w:rsidRDefault="00F7285F" w:rsidP="00746BFF">
      <w:pPr>
        <w:pStyle w:val="ListParagraph"/>
        <w:numPr>
          <w:ilvl w:val="0"/>
          <w:numId w:val="3"/>
        </w:numPr>
        <w:spacing w:line="360" w:lineRule="auto"/>
        <w:rPr>
          <w:rStyle w:val="mini"/>
          <w:rFonts w:cs="Times New Roman"/>
          <w:i/>
          <w:iCs/>
          <w:szCs w:val="24"/>
        </w:rPr>
      </w:pPr>
      <w:r w:rsidRPr="006E3415">
        <w:rPr>
          <w:rStyle w:val="mini"/>
          <w:rFonts w:cs="Times New Roman"/>
          <w:i/>
          <w:iCs/>
          <w:szCs w:val="24"/>
        </w:rPr>
        <w:t>The mortgage: its nature and assignment</w:t>
      </w:r>
    </w:p>
    <w:p w:rsidR="00F7285F" w:rsidRPr="006E3415" w:rsidRDefault="00F7285F" w:rsidP="00746BFF">
      <w:pPr>
        <w:pStyle w:val="ListParagraph"/>
        <w:spacing w:line="360" w:lineRule="auto"/>
        <w:ind w:left="1080"/>
        <w:rPr>
          <w:rStyle w:val="mini"/>
          <w:rFonts w:cs="Times New Roman"/>
          <w:i/>
          <w:iCs/>
          <w:szCs w:val="24"/>
        </w:rPr>
      </w:pPr>
    </w:p>
    <w:p w:rsidR="00156B83" w:rsidRPr="006E3415" w:rsidRDefault="00156B83" w:rsidP="00746BFF">
      <w:pPr>
        <w:spacing w:after="0" w:line="360" w:lineRule="auto"/>
        <w:rPr>
          <w:rFonts w:ascii="Times New Roman" w:hAnsi="Times New Roman" w:cs="Times New Roman"/>
          <w:sz w:val="24"/>
          <w:szCs w:val="24"/>
        </w:rPr>
      </w:pPr>
      <w:r w:rsidRPr="006E3415">
        <w:rPr>
          <w:rStyle w:val="mini"/>
          <w:rFonts w:ascii="Times New Roman" w:hAnsi="Times New Roman" w:cs="Times New Roman"/>
          <w:iCs/>
          <w:sz w:val="24"/>
          <w:szCs w:val="24"/>
        </w:rPr>
        <w:t>The Estates were mortgaged on 2</w:t>
      </w:r>
      <w:r w:rsidR="00473389" w:rsidRPr="006E3415">
        <w:rPr>
          <w:rStyle w:val="mini"/>
          <w:rFonts w:ascii="Times New Roman" w:hAnsi="Times New Roman" w:cs="Times New Roman"/>
          <w:iCs/>
          <w:sz w:val="24"/>
          <w:szCs w:val="24"/>
        </w:rPr>
        <w:t>6</w:t>
      </w:r>
      <w:r w:rsidRPr="006E3415">
        <w:rPr>
          <w:rStyle w:val="mini"/>
          <w:rFonts w:ascii="Times New Roman" w:hAnsi="Times New Roman" w:cs="Times New Roman"/>
          <w:iCs/>
          <w:sz w:val="24"/>
          <w:szCs w:val="24"/>
        </w:rPr>
        <w:t xml:space="preserve"> June 1857 in Ceylon for </w:t>
      </w:r>
      <w:r w:rsidR="00E04D95">
        <w:rPr>
          <w:rStyle w:val="mini"/>
          <w:rFonts w:ascii="Times New Roman" w:hAnsi="Times New Roman" w:cs="Times New Roman"/>
          <w:iCs/>
          <w:sz w:val="24"/>
          <w:szCs w:val="24"/>
        </w:rPr>
        <w:t xml:space="preserve">a </w:t>
      </w:r>
      <w:r w:rsidRPr="006E3415">
        <w:rPr>
          <w:rStyle w:val="mini"/>
          <w:rFonts w:ascii="Times New Roman" w:hAnsi="Times New Roman" w:cs="Times New Roman"/>
          <w:iCs/>
          <w:sz w:val="24"/>
          <w:szCs w:val="24"/>
        </w:rPr>
        <w:t>sum of £50,000.</w:t>
      </w:r>
      <w:r w:rsidR="009062A1" w:rsidRPr="006E3415">
        <w:rPr>
          <w:rStyle w:val="FootnoteReference"/>
          <w:rFonts w:ascii="Times New Roman" w:hAnsi="Times New Roman" w:cs="Times New Roman"/>
          <w:iCs/>
          <w:sz w:val="24"/>
          <w:szCs w:val="24"/>
        </w:rPr>
        <w:footnoteReference w:id="54"/>
      </w:r>
      <w:r w:rsidRPr="006E3415">
        <w:rPr>
          <w:rStyle w:val="mini"/>
          <w:rFonts w:ascii="Times New Roman" w:hAnsi="Times New Roman" w:cs="Times New Roman"/>
          <w:iCs/>
          <w:sz w:val="24"/>
          <w:szCs w:val="24"/>
        </w:rPr>
        <w:t xml:space="preserve"> </w:t>
      </w:r>
      <w:r w:rsidR="009062A1" w:rsidRPr="006E3415">
        <w:rPr>
          <w:rStyle w:val="mini"/>
          <w:rFonts w:ascii="Times New Roman" w:hAnsi="Times New Roman" w:cs="Times New Roman"/>
          <w:iCs/>
          <w:sz w:val="24"/>
          <w:szCs w:val="24"/>
        </w:rPr>
        <w:t xml:space="preserve">The mortgage </w:t>
      </w:r>
      <w:r w:rsidRPr="006E3415">
        <w:rPr>
          <w:rStyle w:val="mini"/>
          <w:rFonts w:ascii="Times New Roman" w:hAnsi="Times New Roman" w:cs="Times New Roman"/>
          <w:iCs/>
          <w:sz w:val="24"/>
          <w:szCs w:val="24"/>
        </w:rPr>
        <w:t>agreement</w:t>
      </w:r>
      <w:r w:rsidR="00493454">
        <w:rPr>
          <w:rStyle w:val="mini"/>
          <w:rFonts w:ascii="Times New Roman" w:hAnsi="Times New Roman" w:cs="Times New Roman"/>
          <w:iCs/>
          <w:sz w:val="24"/>
          <w:szCs w:val="24"/>
        </w:rPr>
        <w:t>, which describes the security as a ‘mortgage and hypothecation’</w:t>
      </w:r>
      <w:r w:rsidRPr="006E3415">
        <w:rPr>
          <w:rStyle w:val="mini"/>
          <w:rFonts w:ascii="Times New Roman" w:hAnsi="Times New Roman" w:cs="Times New Roman"/>
          <w:iCs/>
          <w:sz w:val="24"/>
          <w:szCs w:val="24"/>
        </w:rPr>
        <w:t xml:space="preserve"> entitled Barings to manage the Estates</w:t>
      </w:r>
      <w:r w:rsidR="00C76BB7" w:rsidRPr="006E3415">
        <w:rPr>
          <w:rStyle w:val="mini"/>
          <w:rFonts w:ascii="Times New Roman" w:hAnsi="Times New Roman" w:cs="Times New Roman"/>
          <w:iCs/>
          <w:sz w:val="24"/>
          <w:szCs w:val="24"/>
        </w:rPr>
        <w:t>,</w:t>
      </w:r>
      <w:r w:rsidRPr="006E3415">
        <w:rPr>
          <w:rStyle w:val="mini"/>
          <w:rFonts w:ascii="Times New Roman" w:hAnsi="Times New Roman" w:cs="Times New Roman"/>
          <w:iCs/>
          <w:sz w:val="24"/>
          <w:szCs w:val="24"/>
        </w:rPr>
        <w:t xml:space="preserve"> and assign</w:t>
      </w:r>
      <w:r w:rsidR="00C76BB7" w:rsidRPr="006E3415">
        <w:rPr>
          <w:rStyle w:val="mini"/>
          <w:rFonts w:ascii="Times New Roman" w:hAnsi="Times New Roman" w:cs="Times New Roman"/>
          <w:iCs/>
          <w:sz w:val="24"/>
          <w:szCs w:val="24"/>
        </w:rPr>
        <w:t>ed</w:t>
      </w:r>
      <w:r w:rsidRPr="006E3415">
        <w:rPr>
          <w:rStyle w:val="mini"/>
          <w:rFonts w:ascii="Times New Roman" w:hAnsi="Times New Roman" w:cs="Times New Roman"/>
          <w:iCs/>
          <w:sz w:val="24"/>
          <w:szCs w:val="24"/>
        </w:rPr>
        <w:t xml:space="preserve"> all produce of the Estates arising until 3</w:t>
      </w:r>
      <w:r w:rsidR="00720BCB" w:rsidRPr="006E3415">
        <w:rPr>
          <w:rStyle w:val="mini"/>
          <w:rFonts w:ascii="Times New Roman" w:hAnsi="Times New Roman" w:cs="Times New Roman"/>
          <w:iCs/>
          <w:sz w:val="24"/>
          <w:szCs w:val="24"/>
        </w:rPr>
        <w:t>0</w:t>
      </w:r>
      <w:r w:rsidRPr="006E3415">
        <w:rPr>
          <w:rStyle w:val="mini"/>
          <w:rFonts w:ascii="Times New Roman" w:hAnsi="Times New Roman" w:cs="Times New Roman"/>
          <w:iCs/>
          <w:sz w:val="24"/>
          <w:szCs w:val="24"/>
        </w:rPr>
        <w:t xml:space="preserve"> June </w:t>
      </w:r>
      <w:r w:rsidRPr="006E3415">
        <w:rPr>
          <w:rStyle w:val="mini"/>
          <w:rFonts w:ascii="Times New Roman" w:hAnsi="Times New Roman" w:cs="Times New Roman"/>
          <w:iCs/>
          <w:sz w:val="24"/>
          <w:szCs w:val="24"/>
        </w:rPr>
        <w:lastRenderedPageBreak/>
        <w:t xml:space="preserve">1863 to Barings, to be used in repayment of the interest and capital. </w:t>
      </w:r>
      <w:r w:rsidRPr="006E3415">
        <w:rPr>
          <w:rFonts w:ascii="Times New Roman" w:hAnsi="Times New Roman" w:cs="Times New Roman"/>
          <w:sz w:val="24"/>
          <w:szCs w:val="24"/>
        </w:rPr>
        <w:t>It was agreed that this and any further outstanding sums would be repaid by 3</w:t>
      </w:r>
      <w:r w:rsidR="00720BCB" w:rsidRPr="006E3415">
        <w:rPr>
          <w:rFonts w:ascii="Times New Roman" w:hAnsi="Times New Roman" w:cs="Times New Roman"/>
          <w:sz w:val="24"/>
          <w:szCs w:val="24"/>
        </w:rPr>
        <w:t>0</w:t>
      </w:r>
      <w:r w:rsidRPr="006E3415">
        <w:rPr>
          <w:rFonts w:ascii="Times New Roman" w:hAnsi="Times New Roman" w:cs="Times New Roman"/>
          <w:sz w:val="24"/>
          <w:szCs w:val="24"/>
        </w:rPr>
        <w:t xml:space="preserve"> June 1863.</w:t>
      </w:r>
      <w:r w:rsidRPr="006E3415">
        <w:rPr>
          <w:rStyle w:val="FootnoteReference"/>
          <w:rFonts w:ascii="Times New Roman" w:hAnsi="Times New Roman" w:cs="Times New Roman"/>
          <w:sz w:val="24"/>
          <w:szCs w:val="24"/>
        </w:rPr>
        <w:footnoteReference w:id="55"/>
      </w:r>
    </w:p>
    <w:p w:rsidR="00642887" w:rsidRPr="006E3415" w:rsidRDefault="00642887" w:rsidP="00746BFF">
      <w:pPr>
        <w:spacing w:after="0" w:line="360" w:lineRule="auto"/>
        <w:rPr>
          <w:rStyle w:val="mini"/>
          <w:rFonts w:ascii="Times New Roman" w:hAnsi="Times New Roman" w:cs="Times New Roman"/>
          <w:iCs/>
          <w:sz w:val="24"/>
          <w:szCs w:val="24"/>
        </w:rPr>
      </w:pPr>
    </w:p>
    <w:p w:rsidR="00156B83" w:rsidRPr="006E3415" w:rsidRDefault="00156B83" w:rsidP="00746BFF">
      <w:pPr>
        <w:spacing w:after="0" w:line="360" w:lineRule="auto"/>
        <w:rPr>
          <w:rStyle w:val="mini"/>
          <w:rFonts w:ascii="Times New Roman" w:hAnsi="Times New Roman" w:cs="Times New Roman"/>
          <w:iCs/>
          <w:sz w:val="24"/>
          <w:szCs w:val="24"/>
        </w:rPr>
      </w:pPr>
      <w:r w:rsidRPr="006E3415">
        <w:rPr>
          <w:rStyle w:val="mini"/>
          <w:rFonts w:ascii="Times New Roman" w:hAnsi="Times New Roman" w:cs="Times New Roman"/>
          <w:iCs/>
          <w:sz w:val="24"/>
          <w:szCs w:val="24"/>
        </w:rPr>
        <w:t xml:space="preserve">The </w:t>
      </w:r>
      <w:r w:rsidR="001E3285">
        <w:rPr>
          <w:rStyle w:val="mini"/>
          <w:rFonts w:ascii="Times New Roman" w:hAnsi="Times New Roman" w:cs="Times New Roman"/>
          <w:iCs/>
          <w:sz w:val="24"/>
          <w:szCs w:val="24"/>
        </w:rPr>
        <w:t xml:space="preserve">contemporary </w:t>
      </w:r>
      <w:r w:rsidRPr="006E3415">
        <w:rPr>
          <w:rStyle w:val="mini"/>
          <w:rFonts w:ascii="Times New Roman" w:hAnsi="Times New Roman" w:cs="Times New Roman"/>
          <w:iCs/>
          <w:sz w:val="24"/>
          <w:szCs w:val="24"/>
        </w:rPr>
        <w:t>nature of Roman-Dut</w:t>
      </w:r>
      <w:r w:rsidR="00493454">
        <w:rPr>
          <w:rStyle w:val="mini"/>
          <w:rFonts w:ascii="Times New Roman" w:hAnsi="Times New Roman" w:cs="Times New Roman"/>
          <w:iCs/>
          <w:sz w:val="24"/>
          <w:szCs w:val="24"/>
        </w:rPr>
        <w:t xml:space="preserve">ch mortgages was explained </w:t>
      </w:r>
      <w:r w:rsidRPr="006E3415">
        <w:rPr>
          <w:rStyle w:val="mini"/>
          <w:rFonts w:ascii="Times New Roman" w:hAnsi="Times New Roman" w:cs="Times New Roman"/>
          <w:iCs/>
          <w:sz w:val="24"/>
          <w:szCs w:val="24"/>
        </w:rPr>
        <w:t>by Thomson:</w:t>
      </w:r>
    </w:p>
    <w:p w:rsidR="00642887" w:rsidRPr="006E3415" w:rsidRDefault="00642887" w:rsidP="00746BFF">
      <w:pPr>
        <w:spacing w:after="0" w:line="360" w:lineRule="auto"/>
        <w:rPr>
          <w:rStyle w:val="mini"/>
          <w:rFonts w:ascii="Times New Roman" w:hAnsi="Times New Roman" w:cs="Times New Roman"/>
          <w:iCs/>
          <w:sz w:val="24"/>
          <w:szCs w:val="24"/>
        </w:rPr>
      </w:pPr>
    </w:p>
    <w:p w:rsidR="00156B83" w:rsidRPr="006E3415" w:rsidRDefault="00156B83" w:rsidP="00746BFF">
      <w:pPr>
        <w:spacing w:after="0" w:line="360" w:lineRule="auto"/>
        <w:ind w:left="720"/>
        <w:rPr>
          <w:rFonts w:ascii="Times New Roman" w:hAnsi="Times New Roman" w:cs="Times New Roman"/>
          <w:sz w:val="24"/>
          <w:szCs w:val="24"/>
        </w:rPr>
      </w:pPr>
      <w:r w:rsidRPr="006E3415">
        <w:rPr>
          <w:rFonts w:ascii="Times New Roman" w:hAnsi="Times New Roman" w:cs="Times New Roman"/>
          <w:sz w:val="24"/>
          <w:szCs w:val="24"/>
        </w:rPr>
        <w:t xml:space="preserve">In the law of Ceylon, the English mortgage, which conveys the legal estate to the mortgagee, does not exist, but is replaced by a simple deed of hypothecation, which has the effect of tacking the debt to the property, so that a creditor obtains a right to follow it through whatever hands it may happen to pass, and may obtain a decree for its attachment and sale in satisfaction and discharge of the debt; so that by a very simple deed the Ceylon mortgage obtains all the advantages of the English mortgage, but with one exception, that the Ceylon mortgage, in general, gives to the mortgagee no power of sale on failure of </w:t>
      </w:r>
      <w:r w:rsidR="00E45A26" w:rsidRPr="006E3415">
        <w:rPr>
          <w:rFonts w:ascii="Times New Roman" w:hAnsi="Times New Roman" w:cs="Times New Roman"/>
          <w:sz w:val="24"/>
          <w:szCs w:val="24"/>
        </w:rPr>
        <w:t>interest</w:t>
      </w:r>
      <w:r w:rsidRPr="006E3415">
        <w:rPr>
          <w:rFonts w:ascii="Times New Roman" w:hAnsi="Times New Roman" w:cs="Times New Roman"/>
          <w:sz w:val="24"/>
          <w:szCs w:val="24"/>
        </w:rPr>
        <w:t xml:space="preserve"> or redemption ; b</w:t>
      </w:r>
      <w:r w:rsidR="001E3285">
        <w:rPr>
          <w:rFonts w:ascii="Times New Roman" w:hAnsi="Times New Roman" w:cs="Times New Roman"/>
          <w:sz w:val="24"/>
          <w:szCs w:val="24"/>
        </w:rPr>
        <w:t>ut he must foreclose in court.</w:t>
      </w:r>
      <w:r w:rsidRPr="006E3415">
        <w:rPr>
          <w:rStyle w:val="FootnoteReference"/>
          <w:rFonts w:ascii="Times New Roman" w:hAnsi="Times New Roman" w:cs="Times New Roman"/>
          <w:sz w:val="24"/>
          <w:szCs w:val="24"/>
        </w:rPr>
        <w:footnoteReference w:id="56"/>
      </w:r>
    </w:p>
    <w:p w:rsidR="00642887" w:rsidRPr="006E3415" w:rsidRDefault="00642887" w:rsidP="00746BFF">
      <w:pPr>
        <w:spacing w:after="0" w:line="360" w:lineRule="auto"/>
        <w:ind w:left="720"/>
        <w:rPr>
          <w:rStyle w:val="mini"/>
          <w:rFonts w:ascii="Times New Roman" w:hAnsi="Times New Roman" w:cs="Times New Roman"/>
          <w:iCs/>
          <w:sz w:val="24"/>
          <w:szCs w:val="24"/>
        </w:rPr>
      </w:pPr>
    </w:p>
    <w:p w:rsidR="00EE7C63" w:rsidRPr="006E3415" w:rsidRDefault="00156B83" w:rsidP="00746BFF">
      <w:pPr>
        <w:spacing w:after="0" w:line="360" w:lineRule="auto"/>
        <w:rPr>
          <w:rFonts w:ascii="Times New Roman" w:hAnsi="Times New Roman" w:cs="Times New Roman"/>
          <w:sz w:val="24"/>
          <w:szCs w:val="24"/>
        </w:rPr>
      </w:pPr>
      <w:r w:rsidRPr="006E3415">
        <w:rPr>
          <w:rStyle w:val="mini"/>
          <w:rFonts w:ascii="Times New Roman" w:hAnsi="Times New Roman" w:cs="Times New Roman"/>
          <w:iCs/>
          <w:sz w:val="24"/>
          <w:szCs w:val="24"/>
        </w:rPr>
        <w:t>Thomson</w:t>
      </w:r>
      <w:r w:rsidR="00493454">
        <w:rPr>
          <w:rStyle w:val="mini"/>
          <w:rFonts w:ascii="Times New Roman" w:hAnsi="Times New Roman" w:cs="Times New Roman"/>
          <w:iCs/>
          <w:sz w:val="24"/>
          <w:szCs w:val="24"/>
        </w:rPr>
        <w:t xml:space="preserve"> was almost certainly not using the term ‘foreclose’ </w:t>
      </w:r>
      <w:r w:rsidRPr="006E3415">
        <w:rPr>
          <w:rStyle w:val="mini"/>
          <w:rFonts w:ascii="Times New Roman" w:hAnsi="Times New Roman" w:cs="Times New Roman"/>
          <w:iCs/>
          <w:sz w:val="24"/>
          <w:szCs w:val="24"/>
        </w:rPr>
        <w:t xml:space="preserve">in the </w:t>
      </w:r>
      <w:r w:rsidR="00D87968" w:rsidRPr="006E3415">
        <w:rPr>
          <w:rStyle w:val="mini"/>
          <w:rFonts w:ascii="Times New Roman" w:hAnsi="Times New Roman" w:cs="Times New Roman"/>
          <w:iCs/>
          <w:sz w:val="24"/>
          <w:szCs w:val="24"/>
        </w:rPr>
        <w:t xml:space="preserve">technical </w:t>
      </w:r>
      <w:r w:rsidRPr="006E3415">
        <w:rPr>
          <w:rStyle w:val="mini"/>
          <w:rFonts w:ascii="Times New Roman" w:hAnsi="Times New Roman" w:cs="Times New Roman"/>
          <w:iCs/>
          <w:sz w:val="24"/>
          <w:szCs w:val="24"/>
        </w:rPr>
        <w:t>sense</w:t>
      </w:r>
      <w:r w:rsidR="00493454">
        <w:rPr>
          <w:rStyle w:val="mini"/>
          <w:rFonts w:ascii="Times New Roman" w:hAnsi="Times New Roman" w:cs="Times New Roman"/>
          <w:iCs/>
          <w:sz w:val="24"/>
          <w:szCs w:val="24"/>
        </w:rPr>
        <w:t xml:space="preserve">; i.e. </w:t>
      </w:r>
      <w:r w:rsidR="00566E2F" w:rsidRPr="006E3415">
        <w:rPr>
          <w:rStyle w:val="mini"/>
          <w:rFonts w:ascii="Times New Roman" w:hAnsi="Times New Roman" w:cs="Times New Roman"/>
          <w:iCs/>
          <w:sz w:val="24"/>
          <w:szCs w:val="24"/>
        </w:rPr>
        <w:t>the c</w:t>
      </w:r>
      <w:r w:rsidR="00D87968" w:rsidRPr="006E3415">
        <w:rPr>
          <w:rStyle w:val="mini"/>
          <w:rFonts w:ascii="Times New Roman" w:hAnsi="Times New Roman" w:cs="Times New Roman"/>
          <w:iCs/>
          <w:sz w:val="24"/>
          <w:szCs w:val="24"/>
        </w:rPr>
        <w:t>ancel</w:t>
      </w:r>
      <w:r w:rsidR="00566E2F" w:rsidRPr="006E3415">
        <w:rPr>
          <w:rStyle w:val="mini"/>
          <w:rFonts w:ascii="Times New Roman" w:hAnsi="Times New Roman" w:cs="Times New Roman"/>
          <w:iCs/>
          <w:sz w:val="24"/>
          <w:szCs w:val="24"/>
        </w:rPr>
        <w:t>lation of</w:t>
      </w:r>
      <w:r w:rsidR="00D87968" w:rsidRPr="006E3415">
        <w:rPr>
          <w:rStyle w:val="mini"/>
          <w:rFonts w:ascii="Times New Roman" w:hAnsi="Times New Roman" w:cs="Times New Roman"/>
          <w:iCs/>
          <w:sz w:val="24"/>
          <w:szCs w:val="24"/>
        </w:rPr>
        <w:t xml:space="preserve"> the mortgagor’s equity of redemption</w:t>
      </w:r>
      <w:r w:rsidR="00566E2F" w:rsidRPr="006E3415">
        <w:rPr>
          <w:rStyle w:val="mini"/>
          <w:rFonts w:ascii="Times New Roman" w:hAnsi="Times New Roman" w:cs="Times New Roman"/>
          <w:iCs/>
          <w:sz w:val="24"/>
          <w:szCs w:val="24"/>
        </w:rPr>
        <w:t xml:space="preserve">. </w:t>
      </w:r>
      <w:r w:rsidRPr="006E3415">
        <w:rPr>
          <w:rStyle w:val="mini"/>
          <w:rFonts w:ascii="Times New Roman" w:hAnsi="Times New Roman" w:cs="Times New Roman"/>
          <w:iCs/>
          <w:sz w:val="24"/>
          <w:szCs w:val="24"/>
        </w:rPr>
        <w:t>Rather, this was a reference to the mortgagee’s power to obtain a court-sanctioned sale of the mortgaged land.</w:t>
      </w:r>
      <w:r w:rsidR="00566E2F" w:rsidRPr="006E3415">
        <w:rPr>
          <w:rStyle w:val="mini"/>
          <w:rFonts w:ascii="Times New Roman" w:hAnsi="Times New Roman" w:cs="Times New Roman"/>
          <w:iCs/>
          <w:sz w:val="24"/>
          <w:szCs w:val="24"/>
        </w:rPr>
        <w:t xml:space="preserve"> </w:t>
      </w:r>
      <w:r w:rsidRPr="006E3415">
        <w:rPr>
          <w:rFonts w:ascii="Times New Roman" w:hAnsi="Times New Roman" w:cs="Times New Roman"/>
          <w:sz w:val="24"/>
          <w:szCs w:val="24"/>
        </w:rPr>
        <w:t>Elsewhere</w:t>
      </w:r>
      <w:r w:rsidR="00C521F0" w:rsidRPr="006E3415">
        <w:rPr>
          <w:rFonts w:ascii="Times New Roman" w:hAnsi="Times New Roman" w:cs="Times New Roman"/>
          <w:sz w:val="24"/>
          <w:szCs w:val="24"/>
        </w:rPr>
        <w:t>,</w:t>
      </w:r>
      <w:r w:rsidRPr="006E3415">
        <w:rPr>
          <w:rFonts w:ascii="Times New Roman" w:hAnsi="Times New Roman" w:cs="Times New Roman"/>
          <w:sz w:val="24"/>
          <w:szCs w:val="24"/>
        </w:rPr>
        <w:t xml:space="preserve"> </w:t>
      </w:r>
      <w:r w:rsidR="008A1AE5" w:rsidRPr="006E3415">
        <w:rPr>
          <w:rFonts w:ascii="Times New Roman" w:hAnsi="Times New Roman" w:cs="Times New Roman"/>
          <w:sz w:val="24"/>
          <w:szCs w:val="24"/>
        </w:rPr>
        <w:t xml:space="preserve">Thomson </w:t>
      </w:r>
      <w:r w:rsidR="00C76BB7" w:rsidRPr="006E3415">
        <w:rPr>
          <w:rFonts w:ascii="Times New Roman" w:hAnsi="Times New Roman" w:cs="Times New Roman"/>
          <w:sz w:val="24"/>
          <w:szCs w:val="24"/>
        </w:rPr>
        <w:t xml:space="preserve">refers to </w:t>
      </w:r>
      <w:r w:rsidR="007A75FD" w:rsidRPr="006E3415">
        <w:rPr>
          <w:rFonts w:ascii="Times New Roman" w:hAnsi="Times New Roman" w:cs="Times New Roman"/>
          <w:sz w:val="24"/>
          <w:szCs w:val="24"/>
        </w:rPr>
        <w:t xml:space="preserve">the </w:t>
      </w:r>
      <w:r w:rsidR="00B54575" w:rsidRPr="006E3415">
        <w:rPr>
          <w:rFonts w:ascii="Times New Roman" w:hAnsi="Times New Roman" w:cs="Times New Roman"/>
          <w:sz w:val="24"/>
          <w:szCs w:val="24"/>
        </w:rPr>
        <w:t xml:space="preserve">only </w:t>
      </w:r>
      <w:r w:rsidR="007A75FD" w:rsidRPr="006E3415">
        <w:rPr>
          <w:rFonts w:ascii="Times New Roman" w:hAnsi="Times New Roman" w:cs="Times New Roman"/>
          <w:sz w:val="24"/>
          <w:szCs w:val="24"/>
        </w:rPr>
        <w:t xml:space="preserve">purpose of </w:t>
      </w:r>
      <w:r w:rsidRPr="006E3415">
        <w:rPr>
          <w:rFonts w:ascii="Times New Roman" w:hAnsi="Times New Roman" w:cs="Times New Roman"/>
          <w:sz w:val="24"/>
          <w:szCs w:val="24"/>
        </w:rPr>
        <w:t xml:space="preserve">a ‘foreclosure suit’ </w:t>
      </w:r>
      <w:r w:rsidR="007A75FD" w:rsidRPr="006E3415">
        <w:rPr>
          <w:rFonts w:ascii="Times New Roman" w:hAnsi="Times New Roman" w:cs="Times New Roman"/>
          <w:sz w:val="24"/>
          <w:szCs w:val="24"/>
        </w:rPr>
        <w:t xml:space="preserve">being to obtain </w:t>
      </w:r>
      <w:r w:rsidRPr="006E3415">
        <w:rPr>
          <w:rFonts w:ascii="Times New Roman" w:hAnsi="Times New Roman" w:cs="Times New Roman"/>
          <w:sz w:val="24"/>
          <w:szCs w:val="24"/>
        </w:rPr>
        <w:t xml:space="preserve">a ‘sale in execution’ of </w:t>
      </w:r>
      <w:r w:rsidR="00E45A26" w:rsidRPr="006E3415">
        <w:rPr>
          <w:rFonts w:ascii="Times New Roman" w:hAnsi="Times New Roman" w:cs="Times New Roman"/>
          <w:sz w:val="24"/>
          <w:szCs w:val="24"/>
        </w:rPr>
        <w:t>mortgaged</w:t>
      </w:r>
      <w:r w:rsidRPr="006E3415">
        <w:rPr>
          <w:rFonts w:ascii="Times New Roman" w:hAnsi="Times New Roman" w:cs="Times New Roman"/>
          <w:sz w:val="24"/>
          <w:szCs w:val="24"/>
        </w:rPr>
        <w:t xml:space="preserve"> land,</w:t>
      </w:r>
      <w:r w:rsidRPr="006E3415">
        <w:rPr>
          <w:rStyle w:val="FootnoteReference"/>
          <w:rFonts w:ascii="Times New Roman" w:hAnsi="Times New Roman" w:cs="Times New Roman"/>
          <w:sz w:val="24"/>
          <w:szCs w:val="24"/>
        </w:rPr>
        <w:footnoteReference w:id="57"/>
      </w:r>
      <w:r w:rsidRPr="006E3415">
        <w:rPr>
          <w:rFonts w:ascii="Times New Roman" w:hAnsi="Times New Roman" w:cs="Times New Roman"/>
          <w:sz w:val="24"/>
          <w:szCs w:val="24"/>
        </w:rPr>
        <w:t xml:space="preserve"> and also explains in detail the procedure for obtaining a sale in execution.</w:t>
      </w:r>
      <w:r w:rsidRPr="006E3415">
        <w:rPr>
          <w:rStyle w:val="FootnoteReference"/>
          <w:rFonts w:ascii="Times New Roman" w:hAnsi="Times New Roman" w:cs="Times New Roman"/>
          <w:sz w:val="24"/>
          <w:szCs w:val="24"/>
        </w:rPr>
        <w:footnoteReference w:id="58"/>
      </w:r>
      <w:r w:rsidRPr="006E3415">
        <w:rPr>
          <w:rFonts w:ascii="Times New Roman" w:hAnsi="Times New Roman" w:cs="Times New Roman"/>
          <w:sz w:val="24"/>
          <w:szCs w:val="24"/>
        </w:rPr>
        <w:t xml:space="preserve"> </w:t>
      </w:r>
      <w:r w:rsidR="00CD58CE" w:rsidRPr="006E3415">
        <w:rPr>
          <w:rFonts w:ascii="Times New Roman" w:hAnsi="Times New Roman" w:cs="Times New Roman"/>
          <w:sz w:val="24"/>
          <w:szCs w:val="24"/>
        </w:rPr>
        <w:t>I</w:t>
      </w:r>
      <w:r w:rsidR="00566E2F" w:rsidRPr="006E3415">
        <w:rPr>
          <w:rStyle w:val="FootnoteTextChar"/>
          <w:rFonts w:cs="Times New Roman"/>
          <w:sz w:val="24"/>
          <w:szCs w:val="24"/>
        </w:rPr>
        <w:t>n England, the most common mortgagee’s remedy at the time was ‘</w:t>
      </w:r>
      <w:r w:rsidR="00CD58CE" w:rsidRPr="006E3415">
        <w:rPr>
          <w:rStyle w:val="FootnoteTextChar"/>
          <w:rFonts w:cs="Times New Roman"/>
          <w:sz w:val="24"/>
          <w:szCs w:val="24"/>
        </w:rPr>
        <w:t>a bill for a foreclosure</w:t>
      </w:r>
      <w:r w:rsidR="008A1AE5" w:rsidRPr="006E3415">
        <w:rPr>
          <w:rStyle w:val="FootnoteTextChar"/>
          <w:rFonts w:cs="Times New Roman"/>
          <w:sz w:val="24"/>
          <w:szCs w:val="24"/>
        </w:rPr>
        <w:t>’</w:t>
      </w:r>
      <w:r w:rsidR="00CD58CE" w:rsidRPr="006E3415">
        <w:rPr>
          <w:rStyle w:val="FootnoteTextChar"/>
          <w:rFonts w:cs="Times New Roman"/>
          <w:sz w:val="24"/>
          <w:szCs w:val="24"/>
        </w:rPr>
        <w:t>.</w:t>
      </w:r>
      <w:r w:rsidR="00566E2F" w:rsidRPr="006E3415">
        <w:rPr>
          <w:rStyle w:val="FootnoteReference"/>
          <w:rFonts w:ascii="Times New Roman" w:hAnsi="Times New Roman" w:cs="Times New Roman"/>
          <w:iCs/>
          <w:sz w:val="24"/>
          <w:szCs w:val="24"/>
        </w:rPr>
        <w:footnoteReference w:id="59"/>
      </w:r>
      <w:r w:rsidR="00566E2F" w:rsidRPr="006E3415">
        <w:rPr>
          <w:rStyle w:val="FootnoteTextChar"/>
          <w:rFonts w:cs="Times New Roman"/>
          <w:sz w:val="24"/>
          <w:szCs w:val="24"/>
        </w:rPr>
        <w:t xml:space="preserve"> </w:t>
      </w:r>
      <w:r w:rsidR="00493454">
        <w:rPr>
          <w:rStyle w:val="FootnoteTextChar"/>
          <w:rFonts w:cs="Times New Roman"/>
          <w:sz w:val="24"/>
          <w:szCs w:val="24"/>
        </w:rPr>
        <w:t>T</w:t>
      </w:r>
      <w:r w:rsidR="003A1666" w:rsidRPr="006E3415">
        <w:rPr>
          <w:rStyle w:val="FootnoteTextChar"/>
          <w:rFonts w:cs="Times New Roman"/>
          <w:sz w:val="24"/>
          <w:szCs w:val="24"/>
        </w:rPr>
        <w:t>he Court of Chancery Procedure Act 1852</w:t>
      </w:r>
      <w:r w:rsidR="00671C69">
        <w:rPr>
          <w:rStyle w:val="FootnoteTextChar"/>
          <w:rFonts w:cs="Times New Roman"/>
          <w:sz w:val="24"/>
          <w:szCs w:val="24"/>
        </w:rPr>
        <w:t xml:space="preserve"> gave</w:t>
      </w:r>
      <w:r w:rsidR="003A1666" w:rsidRPr="006E3415">
        <w:rPr>
          <w:rStyle w:val="FootnoteTextChar"/>
          <w:rFonts w:cs="Times New Roman"/>
          <w:sz w:val="24"/>
          <w:szCs w:val="24"/>
        </w:rPr>
        <w:t xml:space="preserve"> the Court of Chancery a general power to order a sale in response to a foreclosure suit.</w:t>
      </w:r>
      <w:r w:rsidR="003A1666" w:rsidRPr="006E3415">
        <w:rPr>
          <w:rStyle w:val="FootnoteReference"/>
          <w:rFonts w:ascii="Times New Roman" w:eastAsia="SimSun" w:hAnsi="Times New Roman" w:cs="Times New Roman"/>
          <w:kern w:val="3"/>
          <w:sz w:val="24"/>
          <w:szCs w:val="24"/>
          <w:lang w:eastAsia="hi-IN" w:bidi="hi-IN"/>
        </w:rPr>
        <w:footnoteReference w:id="60"/>
      </w:r>
      <w:r w:rsidR="003A1666" w:rsidRPr="006E3415">
        <w:rPr>
          <w:rStyle w:val="FootnoteTextChar"/>
          <w:rFonts w:cs="Times New Roman"/>
          <w:sz w:val="24"/>
          <w:szCs w:val="24"/>
        </w:rPr>
        <w:t xml:space="preserve"> Perhaps</w:t>
      </w:r>
      <w:r w:rsidRPr="006E3415">
        <w:rPr>
          <w:rStyle w:val="FootnoteTextChar"/>
          <w:rFonts w:cs="Times New Roman"/>
          <w:sz w:val="24"/>
          <w:szCs w:val="24"/>
        </w:rPr>
        <w:t xml:space="preserve">, </w:t>
      </w:r>
      <w:r w:rsidR="003A1666" w:rsidRPr="006E3415">
        <w:rPr>
          <w:rStyle w:val="FootnoteTextChar"/>
          <w:rFonts w:cs="Times New Roman"/>
          <w:sz w:val="24"/>
          <w:szCs w:val="24"/>
        </w:rPr>
        <w:t xml:space="preserve">therefore, </w:t>
      </w:r>
      <w:r w:rsidRPr="006E3415">
        <w:rPr>
          <w:rStyle w:val="FootnoteTextChar"/>
          <w:rFonts w:cs="Times New Roman"/>
          <w:sz w:val="24"/>
          <w:szCs w:val="24"/>
        </w:rPr>
        <w:t xml:space="preserve">in the </w:t>
      </w:r>
      <w:r w:rsidR="00493454">
        <w:rPr>
          <w:rStyle w:val="FootnoteTextChar"/>
          <w:rFonts w:cs="Times New Roman"/>
          <w:sz w:val="24"/>
          <w:szCs w:val="24"/>
        </w:rPr>
        <w:t xml:space="preserve">second half of the </w:t>
      </w:r>
      <w:r w:rsidRPr="006E3415">
        <w:rPr>
          <w:rStyle w:val="FootnoteTextChar"/>
          <w:rFonts w:cs="Times New Roman"/>
          <w:sz w:val="24"/>
          <w:szCs w:val="24"/>
        </w:rPr>
        <w:t xml:space="preserve">nineteenth century, </w:t>
      </w:r>
      <w:r w:rsidR="0033021A" w:rsidRPr="006E3415">
        <w:rPr>
          <w:rStyle w:val="FootnoteTextChar"/>
          <w:rFonts w:cs="Times New Roman"/>
          <w:sz w:val="24"/>
          <w:szCs w:val="24"/>
        </w:rPr>
        <w:t xml:space="preserve">it </w:t>
      </w:r>
      <w:r w:rsidR="003A1666" w:rsidRPr="006E3415">
        <w:rPr>
          <w:rStyle w:val="FootnoteTextChar"/>
          <w:rFonts w:cs="Times New Roman"/>
          <w:sz w:val="24"/>
          <w:szCs w:val="24"/>
        </w:rPr>
        <w:t xml:space="preserve">was customary to refer to any suit which could result in a judicial sale as a foreclosure suit. </w:t>
      </w:r>
      <w:r w:rsidR="00671C69">
        <w:rPr>
          <w:rStyle w:val="FootnoteTextChar"/>
          <w:rFonts w:cs="Times New Roman"/>
          <w:sz w:val="24"/>
          <w:szCs w:val="24"/>
        </w:rPr>
        <w:t xml:space="preserve">In 1915, Lee commented that, </w:t>
      </w:r>
      <w:r w:rsidR="00671C69" w:rsidRPr="006E3415">
        <w:rPr>
          <w:rFonts w:ascii="Times New Roman" w:hAnsi="Times New Roman" w:cs="Times New Roman"/>
          <w:sz w:val="24"/>
          <w:szCs w:val="24"/>
        </w:rPr>
        <w:t xml:space="preserve">under Roman-Dutch law, </w:t>
      </w:r>
      <w:r w:rsidR="00671C69" w:rsidRPr="006E3415">
        <w:rPr>
          <w:rStyle w:val="mini"/>
          <w:rFonts w:ascii="Times New Roman" w:hAnsi="Times New Roman" w:cs="Times New Roman"/>
          <w:iCs/>
          <w:sz w:val="24"/>
          <w:szCs w:val="24"/>
        </w:rPr>
        <w:t>‘</w:t>
      </w:r>
      <w:r w:rsidR="00671C69">
        <w:rPr>
          <w:rFonts w:ascii="Times New Roman" w:hAnsi="Times New Roman" w:cs="Times New Roman"/>
          <w:sz w:val="24"/>
          <w:szCs w:val="24"/>
        </w:rPr>
        <w:t xml:space="preserve">[f[oreclosure </w:t>
      </w:r>
      <w:r w:rsidR="00671C69" w:rsidRPr="006E3415">
        <w:rPr>
          <w:rFonts w:ascii="Times New Roman" w:hAnsi="Times New Roman" w:cs="Times New Roman"/>
          <w:sz w:val="24"/>
          <w:szCs w:val="24"/>
        </w:rPr>
        <w:t>is unknown, and sale cannot be effected except with the consent of the debtor. The proper and only mode of realizing a mortgage is by obtaining a judgment of the court upon the mortgage debt and taking out a writ of execution against the property.’</w:t>
      </w:r>
      <w:r w:rsidR="00671C69" w:rsidRPr="006E3415">
        <w:rPr>
          <w:rStyle w:val="FootnoteReference"/>
          <w:rFonts w:ascii="Times New Roman" w:hAnsi="Times New Roman" w:cs="Times New Roman"/>
          <w:sz w:val="24"/>
          <w:szCs w:val="24"/>
        </w:rPr>
        <w:footnoteReference w:id="61"/>
      </w:r>
      <w:r w:rsidR="00671C69">
        <w:rPr>
          <w:rFonts w:ascii="Times New Roman" w:hAnsi="Times New Roman" w:cs="Times New Roman"/>
          <w:sz w:val="24"/>
          <w:szCs w:val="24"/>
        </w:rPr>
        <w:t xml:space="preserve"> Lee’s </w:t>
      </w:r>
      <w:r w:rsidR="00671C69">
        <w:rPr>
          <w:rFonts w:ascii="Times New Roman" w:hAnsi="Times New Roman" w:cs="Times New Roman"/>
          <w:sz w:val="24"/>
          <w:szCs w:val="24"/>
        </w:rPr>
        <w:lastRenderedPageBreak/>
        <w:t>comments appear irreconcilable with those of Thomson unless, as seems likely, Thomson was using the term ‘foreclose’ in the non-technical sense described above, whilst Lee was referring to technical foreclosures. T</w:t>
      </w:r>
      <w:r w:rsidR="00EE7C63" w:rsidRPr="006E3415">
        <w:rPr>
          <w:rFonts w:ascii="Times New Roman" w:hAnsi="Times New Roman" w:cs="Times New Roman"/>
          <w:sz w:val="24"/>
          <w:szCs w:val="24"/>
        </w:rPr>
        <w:t>he term ‘foreclose’ is also used in reference to the sale of the Es</w:t>
      </w:r>
      <w:r w:rsidR="007A75FD" w:rsidRPr="006E3415">
        <w:rPr>
          <w:rFonts w:ascii="Times New Roman" w:hAnsi="Times New Roman" w:cs="Times New Roman"/>
          <w:sz w:val="24"/>
          <w:szCs w:val="24"/>
        </w:rPr>
        <w:t xml:space="preserve">tates in </w:t>
      </w:r>
      <w:r w:rsidR="00354B27">
        <w:rPr>
          <w:rFonts w:ascii="Times New Roman" w:hAnsi="Times New Roman" w:cs="Times New Roman"/>
          <w:i/>
          <w:sz w:val="24"/>
          <w:szCs w:val="24"/>
        </w:rPr>
        <w:t>Rochefo</w:t>
      </w:r>
      <w:r w:rsidR="00EE7C63" w:rsidRPr="006E3415">
        <w:rPr>
          <w:rFonts w:ascii="Times New Roman" w:hAnsi="Times New Roman" w:cs="Times New Roman"/>
          <w:i/>
          <w:sz w:val="24"/>
          <w:szCs w:val="24"/>
        </w:rPr>
        <w:t>u</w:t>
      </w:r>
      <w:r w:rsidR="00354B27">
        <w:rPr>
          <w:rFonts w:ascii="Times New Roman" w:hAnsi="Times New Roman" w:cs="Times New Roman"/>
          <w:i/>
          <w:sz w:val="24"/>
          <w:szCs w:val="24"/>
        </w:rPr>
        <w:t>c</w:t>
      </w:r>
      <w:r w:rsidR="00EE7C63" w:rsidRPr="006E3415">
        <w:rPr>
          <w:rFonts w:ascii="Times New Roman" w:hAnsi="Times New Roman" w:cs="Times New Roman"/>
          <w:i/>
          <w:sz w:val="24"/>
          <w:szCs w:val="24"/>
        </w:rPr>
        <w:t>auld</w:t>
      </w:r>
      <w:r w:rsidR="00EE7C63" w:rsidRPr="006E3415">
        <w:rPr>
          <w:rStyle w:val="FootnoteReference"/>
          <w:rFonts w:ascii="Times New Roman" w:hAnsi="Times New Roman" w:cs="Times New Roman"/>
          <w:sz w:val="24"/>
          <w:szCs w:val="24"/>
        </w:rPr>
        <w:footnoteReference w:id="62"/>
      </w:r>
      <w:r w:rsidR="00EE7C63" w:rsidRPr="006E3415">
        <w:rPr>
          <w:rFonts w:ascii="Times New Roman" w:hAnsi="Times New Roman" w:cs="Times New Roman"/>
          <w:sz w:val="24"/>
          <w:szCs w:val="24"/>
        </w:rPr>
        <w:t xml:space="preserve">and in </w:t>
      </w:r>
      <w:r w:rsidR="00504F3F" w:rsidRPr="006E3415">
        <w:rPr>
          <w:rFonts w:ascii="Times New Roman" w:hAnsi="Times New Roman" w:cs="Times New Roman"/>
          <w:sz w:val="24"/>
          <w:szCs w:val="24"/>
        </w:rPr>
        <w:t xml:space="preserve">the </w:t>
      </w:r>
      <w:r w:rsidR="00EE7C63" w:rsidRPr="006E3415">
        <w:rPr>
          <w:rStyle w:val="FootnoteTextChar"/>
          <w:rFonts w:cs="Times New Roman"/>
          <w:sz w:val="24"/>
          <w:szCs w:val="24"/>
        </w:rPr>
        <w:t xml:space="preserve">correspondence </w:t>
      </w:r>
      <w:r w:rsidR="00504F3F" w:rsidRPr="006E3415">
        <w:rPr>
          <w:rStyle w:val="FootnoteTextChar"/>
          <w:rFonts w:cs="Times New Roman"/>
          <w:sz w:val="24"/>
          <w:szCs w:val="24"/>
        </w:rPr>
        <w:t>of the interested parties</w:t>
      </w:r>
      <w:r w:rsidR="008A1AE5" w:rsidRPr="006E3415">
        <w:rPr>
          <w:rStyle w:val="FootnoteTextChar"/>
          <w:rFonts w:cs="Times New Roman"/>
          <w:sz w:val="24"/>
          <w:szCs w:val="24"/>
        </w:rPr>
        <w:t>,</w:t>
      </w:r>
      <w:r w:rsidR="007A75FD" w:rsidRPr="006E3415">
        <w:rPr>
          <w:rStyle w:val="FootnoteReference"/>
          <w:rFonts w:ascii="Times New Roman" w:eastAsia="SimSun" w:hAnsi="Times New Roman" w:cs="Times New Roman"/>
          <w:kern w:val="3"/>
          <w:sz w:val="24"/>
          <w:szCs w:val="24"/>
          <w:lang w:eastAsia="hi-IN" w:bidi="hi-IN"/>
        </w:rPr>
        <w:footnoteReference w:id="63"/>
      </w:r>
      <w:r w:rsidR="008A1AE5" w:rsidRPr="006E3415">
        <w:rPr>
          <w:rStyle w:val="FootnoteTextChar"/>
          <w:rFonts w:cs="Times New Roman"/>
          <w:sz w:val="24"/>
          <w:szCs w:val="24"/>
        </w:rPr>
        <w:t xml:space="preserve"> presumably also in this informal sense</w:t>
      </w:r>
      <w:r w:rsidR="007A75FD" w:rsidRPr="006E3415">
        <w:rPr>
          <w:rStyle w:val="FootnoteTextChar"/>
          <w:rFonts w:cs="Times New Roman"/>
          <w:sz w:val="24"/>
          <w:szCs w:val="24"/>
        </w:rPr>
        <w:t xml:space="preserve">, for </w:t>
      </w:r>
      <w:r w:rsidR="00504F3F" w:rsidRPr="006E3415">
        <w:rPr>
          <w:rStyle w:val="FootnoteTextChar"/>
          <w:rFonts w:cs="Times New Roman"/>
          <w:sz w:val="24"/>
          <w:szCs w:val="24"/>
        </w:rPr>
        <w:t xml:space="preserve">it was known to </w:t>
      </w:r>
      <w:r w:rsidR="007A75FD" w:rsidRPr="006E3415">
        <w:rPr>
          <w:rStyle w:val="FootnoteTextChar"/>
          <w:rFonts w:cs="Times New Roman"/>
          <w:sz w:val="24"/>
          <w:szCs w:val="24"/>
        </w:rPr>
        <w:t xml:space="preserve">the </w:t>
      </w:r>
      <w:r w:rsidR="00504F3F" w:rsidRPr="006E3415">
        <w:rPr>
          <w:rStyle w:val="FootnoteTextChar"/>
          <w:rFonts w:cs="Times New Roman"/>
          <w:sz w:val="24"/>
          <w:szCs w:val="24"/>
        </w:rPr>
        <w:t xml:space="preserve">Court of Appeal and the </w:t>
      </w:r>
      <w:r w:rsidR="003D7D5F" w:rsidRPr="006E3415">
        <w:rPr>
          <w:rStyle w:val="FootnoteTextChar"/>
          <w:rFonts w:cs="Times New Roman"/>
          <w:sz w:val="24"/>
          <w:szCs w:val="24"/>
        </w:rPr>
        <w:t xml:space="preserve">parties concerned </w:t>
      </w:r>
      <w:r w:rsidR="007A75FD" w:rsidRPr="006E3415">
        <w:rPr>
          <w:rStyle w:val="FootnoteTextChar"/>
          <w:rFonts w:cs="Times New Roman"/>
          <w:sz w:val="24"/>
          <w:szCs w:val="24"/>
        </w:rPr>
        <w:t xml:space="preserve">that the </w:t>
      </w:r>
      <w:r w:rsidR="00105B7A">
        <w:rPr>
          <w:rStyle w:val="FootnoteTextChar"/>
          <w:rFonts w:cs="Times New Roman"/>
          <w:sz w:val="24"/>
          <w:szCs w:val="24"/>
        </w:rPr>
        <w:t>Estates had been</w:t>
      </w:r>
      <w:r w:rsidR="007A75FD" w:rsidRPr="006E3415">
        <w:rPr>
          <w:rStyle w:val="FootnoteTextChar"/>
          <w:rFonts w:cs="Times New Roman"/>
          <w:sz w:val="24"/>
          <w:szCs w:val="24"/>
        </w:rPr>
        <w:t xml:space="preserve"> sold</w:t>
      </w:r>
      <w:r w:rsidR="005D7F98" w:rsidRPr="006E3415">
        <w:rPr>
          <w:rStyle w:val="FootnoteTextChar"/>
          <w:rFonts w:cs="Times New Roman"/>
          <w:sz w:val="24"/>
          <w:szCs w:val="24"/>
        </w:rPr>
        <w:t xml:space="preserve">, and that no technical foreclosure </w:t>
      </w:r>
      <w:r w:rsidR="00093B39">
        <w:rPr>
          <w:rStyle w:val="FootnoteTextChar"/>
          <w:rFonts w:cs="Times New Roman"/>
          <w:sz w:val="24"/>
          <w:szCs w:val="24"/>
        </w:rPr>
        <w:t>had taken</w:t>
      </w:r>
      <w:r w:rsidR="005D7F98" w:rsidRPr="006E3415">
        <w:rPr>
          <w:rStyle w:val="FootnoteTextChar"/>
          <w:rFonts w:cs="Times New Roman"/>
          <w:sz w:val="24"/>
          <w:szCs w:val="24"/>
        </w:rPr>
        <w:t xml:space="preserve"> place</w:t>
      </w:r>
      <w:r w:rsidR="007A75FD" w:rsidRPr="006E3415">
        <w:rPr>
          <w:rStyle w:val="FootnoteTextChar"/>
          <w:rFonts w:cs="Times New Roman"/>
          <w:sz w:val="24"/>
          <w:szCs w:val="24"/>
        </w:rPr>
        <w:t>.</w:t>
      </w:r>
    </w:p>
    <w:p w:rsidR="00EE7C63" w:rsidRPr="006E3415" w:rsidRDefault="00EE7C63" w:rsidP="00746BFF">
      <w:pPr>
        <w:spacing w:after="0" w:line="360" w:lineRule="auto"/>
        <w:rPr>
          <w:rFonts w:ascii="Times New Roman" w:hAnsi="Times New Roman" w:cs="Times New Roman"/>
          <w:sz w:val="24"/>
          <w:szCs w:val="24"/>
        </w:rPr>
      </w:pPr>
    </w:p>
    <w:p w:rsidR="00156B83" w:rsidRPr="006E3415" w:rsidRDefault="00184CB7"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Differences </w:t>
      </w:r>
      <w:r w:rsidR="009062A1" w:rsidRPr="006E3415">
        <w:rPr>
          <w:rFonts w:ascii="Times New Roman" w:hAnsi="Times New Roman" w:cs="Times New Roman"/>
          <w:sz w:val="24"/>
          <w:szCs w:val="24"/>
        </w:rPr>
        <w:t xml:space="preserve">in nomenclature aside, </w:t>
      </w:r>
      <w:r w:rsidR="00156B83" w:rsidRPr="006E3415">
        <w:rPr>
          <w:rFonts w:ascii="Times New Roman" w:hAnsi="Times New Roman" w:cs="Times New Roman"/>
          <w:sz w:val="24"/>
          <w:szCs w:val="24"/>
        </w:rPr>
        <w:t xml:space="preserve">both Thomson and Lee concurred that the normal way of enforcing a mortgage in Roman-Dutch jurisdictions was to obtain a judicial sale. The wording of the 1857 mortgage agreement, which makes no mention of any </w:t>
      </w:r>
      <w:r w:rsidR="00980767" w:rsidRPr="006E3415">
        <w:rPr>
          <w:rFonts w:ascii="Times New Roman" w:hAnsi="Times New Roman" w:cs="Times New Roman"/>
          <w:sz w:val="24"/>
          <w:szCs w:val="24"/>
        </w:rPr>
        <w:t>power of sale, nor of any confe</w:t>
      </w:r>
      <w:r w:rsidR="00156B83" w:rsidRPr="006E3415">
        <w:rPr>
          <w:rFonts w:ascii="Times New Roman" w:hAnsi="Times New Roman" w:cs="Times New Roman"/>
          <w:sz w:val="24"/>
          <w:szCs w:val="24"/>
        </w:rPr>
        <w:t>rment of legal title upon Barings, and the location in which</w:t>
      </w:r>
      <w:r w:rsidR="006775CB">
        <w:rPr>
          <w:rFonts w:ascii="Times New Roman" w:hAnsi="Times New Roman" w:cs="Times New Roman"/>
          <w:sz w:val="24"/>
          <w:szCs w:val="24"/>
        </w:rPr>
        <w:t xml:space="preserve"> the agreement </w:t>
      </w:r>
      <w:r w:rsidR="00156B83" w:rsidRPr="006E3415">
        <w:rPr>
          <w:rFonts w:ascii="Times New Roman" w:hAnsi="Times New Roman" w:cs="Times New Roman"/>
          <w:sz w:val="24"/>
          <w:szCs w:val="24"/>
        </w:rPr>
        <w:t xml:space="preserve">was executed, both </w:t>
      </w:r>
      <w:r w:rsidR="00493454">
        <w:rPr>
          <w:rFonts w:ascii="Times New Roman" w:hAnsi="Times New Roman" w:cs="Times New Roman"/>
          <w:sz w:val="24"/>
          <w:szCs w:val="24"/>
        </w:rPr>
        <w:t xml:space="preserve">show that the </w:t>
      </w:r>
      <w:r w:rsidR="00E062B8">
        <w:rPr>
          <w:rFonts w:ascii="Times New Roman" w:hAnsi="Times New Roman" w:cs="Times New Roman"/>
          <w:sz w:val="24"/>
          <w:szCs w:val="24"/>
        </w:rPr>
        <w:t>mortgage</w:t>
      </w:r>
      <w:r w:rsidR="00493454">
        <w:rPr>
          <w:rFonts w:ascii="Times New Roman" w:hAnsi="Times New Roman" w:cs="Times New Roman"/>
          <w:sz w:val="24"/>
          <w:szCs w:val="24"/>
        </w:rPr>
        <w:t xml:space="preserve"> was a C</w:t>
      </w:r>
      <w:r w:rsidR="00156B83" w:rsidRPr="006E3415">
        <w:rPr>
          <w:rFonts w:ascii="Times New Roman" w:hAnsi="Times New Roman" w:cs="Times New Roman"/>
          <w:sz w:val="24"/>
          <w:szCs w:val="24"/>
        </w:rPr>
        <w:t>eylonese mort</w:t>
      </w:r>
      <w:r w:rsidRPr="006E3415">
        <w:rPr>
          <w:rFonts w:ascii="Times New Roman" w:hAnsi="Times New Roman" w:cs="Times New Roman"/>
          <w:sz w:val="24"/>
          <w:szCs w:val="24"/>
        </w:rPr>
        <w:t>gage subject to Roman-Dutch law.</w:t>
      </w:r>
    </w:p>
    <w:p w:rsidR="00642887" w:rsidRPr="006E3415" w:rsidRDefault="00642887" w:rsidP="00746BFF">
      <w:pPr>
        <w:spacing w:after="0" w:line="360" w:lineRule="auto"/>
        <w:rPr>
          <w:rFonts w:ascii="Times New Roman" w:hAnsi="Times New Roman" w:cs="Times New Roman"/>
          <w:sz w:val="24"/>
          <w:szCs w:val="24"/>
        </w:rPr>
      </w:pPr>
    </w:p>
    <w:p w:rsidR="001C0E05" w:rsidRPr="006E3415" w:rsidRDefault="001C0E05" w:rsidP="00746BFF">
      <w:pPr>
        <w:spacing w:after="0" w:line="360" w:lineRule="auto"/>
        <w:rPr>
          <w:rFonts w:ascii="Times New Roman" w:hAnsi="Times New Roman" w:cs="Times New Roman"/>
          <w:sz w:val="24"/>
          <w:szCs w:val="24"/>
        </w:rPr>
      </w:pPr>
      <w:r w:rsidRPr="006E3415">
        <w:rPr>
          <w:rStyle w:val="mini"/>
          <w:rFonts w:ascii="Times New Roman" w:hAnsi="Times New Roman" w:cs="Times New Roman"/>
          <w:iCs/>
          <w:sz w:val="24"/>
          <w:szCs w:val="24"/>
        </w:rPr>
        <w:t>On 1</w:t>
      </w:r>
      <w:r w:rsidR="00720BCB" w:rsidRPr="006E3415">
        <w:rPr>
          <w:rStyle w:val="mini"/>
          <w:rFonts w:ascii="Times New Roman" w:hAnsi="Times New Roman" w:cs="Times New Roman"/>
          <w:iCs/>
          <w:sz w:val="24"/>
          <w:szCs w:val="24"/>
        </w:rPr>
        <w:t>0</w:t>
      </w:r>
      <w:r w:rsidRPr="006E3415">
        <w:rPr>
          <w:rStyle w:val="mini"/>
          <w:rFonts w:ascii="Times New Roman" w:hAnsi="Times New Roman" w:cs="Times New Roman"/>
          <w:iCs/>
          <w:sz w:val="24"/>
          <w:szCs w:val="24"/>
        </w:rPr>
        <w:t xml:space="preserve"> October 1862, on account of there being large sums still owed to Barings, and in return for further advances,</w:t>
      </w:r>
      <w:r w:rsidRPr="006E3415">
        <w:rPr>
          <w:rStyle w:val="FootnoteReference"/>
          <w:rFonts w:ascii="Times New Roman" w:hAnsi="Times New Roman" w:cs="Times New Roman"/>
          <w:iCs/>
          <w:sz w:val="24"/>
          <w:szCs w:val="24"/>
        </w:rPr>
        <w:footnoteReference w:id="64"/>
      </w:r>
      <w:r w:rsidRPr="006E3415">
        <w:rPr>
          <w:rStyle w:val="mini"/>
          <w:rFonts w:ascii="Times New Roman" w:hAnsi="Times New Roman" w:cs="Times New Roman"/>
          <w:iCs/>
          <w:sz w:val="24"/>
          <w:szCs w:val="24"/>
        </w:rPr>
        <w:t xml:space="preserve"> </w:t>
      </w:r>
      <w:r w:rsidRPr="006E3415">
        <w:rPr>
          <w:rFonts w:ascii="Times New Roman" w:hAnsi="Times New Roman" w:cs="Times New Roman"/>
          <w:sz w:val="24"/>
          <w:szCs w:val="24"/>
        </w:rPr>
        <w:t>a power of attorney was executed by Emily and Cavendish.</w:t>
      </w:r>
      <w:r w:rsidRPr="006E3415">
        <w:rPr>
          <w:rStyle w:val="FootnoteReference"/>
          <w:rFonts w:ascii="Times New Roman" w:hAnsi="Times New Roman" w:cs="Times New Roman"/>
          <w:sz w:val="24"/>
          <w:szCs w:val="24"/>
        </w:rPr>
        <w:footnoteReference w:id="65"/>
      </w:r>
      <w:r w:rsidRPr="006E3415">
        <w:rPr>
          <w:rFonts w:ascii="Times New Roman" w:hAnsi="Times New Roman" w:cs="Times New Roman"/>
          <w:sz w:val="24"/>
          <w:szCs w:val="24"/>
        </w:rPr>
        <w:t xml:space="preserve"> </w:t>
      </w:r>
      <w:r w:rsidRPr="006E3415">
        <w:rPr>
          <w:rStyle w:val="mini"/>
          <w:rFonts w:ascii="Times New Roman" w:hAnsi="Times New Roman" w:cs="Times New Roman"/>
          <w:iCs/>
          <w:sz w:val="24"/>
          <w:szCs w:val="24"/>
        </w:rPr>
        <w:t xml:space="preserve">The firm of J M Robertson &amp; Co of Colombo </w:t>
      </w:r>
      <w:r w:rsidR="009A64F1" w:rsidRPr="006E3415">
        <w:rPr>
          <w:rStyle w:val="mini"/>
          <w:rFonts w:ascii="Times New Roman" w:hAnsi="Times New Roman" w:cs="Times New Roman"/>
          <w:iCs/>
          <w:sz w:val="24"/>
          <w:szCs w:val="24"/>
        </w:rPr>
        <w:t xml:space="preserve">(hereafter referred to as ‘Robertsons’) </w:t>
      </w:r>
      <w:r w:rsidRPr="006E3415">
        <w:rPr>
          <w:rStyle w:val="mini"/>
          <w:rFonts w:ascii="Times New Roman" w:hAnsi="Times New Roman" w:cs="Times New Roman"/>
          <w:iCs/>
          <w:sz w:val="24"/>
          <w:szCs w:val="24"/>
        </w:rPr>
        <w:t>and its partners was appointed by Emily and Cavendish as their attorneys,</w:t>
      </w:r>
      <w:r w:rsidRPr="006E3415">
        <w:rPr>
          <w:rStyle w:val="FootnoteReference"/>
          <w:rFonts w:ascii="Times New Roman" w:hAnsi="Times New Roman" w:cs="Times New Roman"/>
          <w:iCs/>
          <w:sz w:val="24"/>
          <w:szCs w:val="24"/>
        </w:rPr>
        <w:footnoteReference w:id="66"/>
      </w:r>
      <w:r w:rsidRPr="006E3415">
        <w:rPr>
          <w:rStyle w:val="mini"/>
          <w:rFonts w:ascii="Times New Roman" w:hAnsi="Times New Roman" w:cs="Times New Roman"/>
          <w:iCs/>
          <w:sz w:val="24"/>
          <w:szCs w:val="24"/>
        </w:rPr>
        <w:t xml:space="preserve"> ‘for so long as any money should remain due [to Barings]’ to cultivate crops on the Estates and sell the produce thereof until satisfaction of the debts</w:t>
      </w:r>
      <w:r w:rsidR="001E3285">
        <w:rPr>
          <w:rStyle w:val="mini"/>
          <w:rFonts w:ascii="Times New Roman" w:hAnsi="Times New Roman" w:cs="Times New Roman"/>
          <w:iCs/>
          <w:sz w:val="24"/>
          <w:szCs w:val="24"/>
        </w:rPr>
        <w:t>’</w:t>
      </w:r>
      <w:r w:rsidRPr="006E3415">
        <w:rPr>
          <w:rStyle w:val="mini"/>
          <w:rFonts w:ascii="Times New Roman" w:hAnsi="Times New Roman" w:cs="Times New Roman"/>
          <w:iCs/>
          <w:sz w:val="24"/>
          <w:szCs w:val="24"/>
        </w:rPr>
        <w:t>, and ‘</w:t>
      </w:r>
      <w:r w:rsidRPr="006E3415">
        <w:rPr>
          <w:rFonts w:ascii="Times New Roman" w:hAnsi="Times New Roman" w:cs="Times New Roman"/>
          <w:sz w:val="24"/>
          <w:szCs w:val="24"/>
        </w:rPr>
        <w:t xml:space="preserve">to mortgage or convey or assign the said several estates or plantations to the said Barings for further or better securing the repayment of the said several monies’. James Murray Robertson, the founding partner of Robertsons, and one of those to </w:t>
      </w:r>
      <w:r w:rsidRPr="006E3415">
        <w:rPr>
          <w:rFonts w:ascii="Times New Roman" w:hAnsi="Times New Roman" w:cs="Times New Roman"/>
          <w:sz w:val="24"/>
          <w:szCs w:val="24"/>
        </w:rPr>
        <w:lastRenderedPageBreak/>
        <w:t>whom the power of attorney was granted, had been appointed in 1849 as the agent of Barings in Ceylon.</w:t>
      </w:r>
      <w:r w:rsidRPr="006E3415">
        <w:rPr>
          <w:rStyle w:val="FootnoteReference"/>
          <w:rFonts w:ascii="Times New Roman" w:hAnsi="Times New Roman" w:cs="Times New Roman"/>
          <w:iCs/>
          <w:sz w:val="24"/>
          <w:szCs w:val="24"/>
        </w:rPr>
        <w:footnoteReference w:id="67"/>
      </w:r>
      <w:r w:rsidRPr="006E3415">
        <w:rPr>
          <w:rStyle w:val="mini"/>
          <w:rFonts w:ascii="Times New Roman" w:hAnsi="Times New Roman" w:cs="Times New Roman"/>
          <w:iCs/>
          <w:sz w:val="24"/>
          <w:szCs w:val="24"/>
        </w:rPr>
        <w:t xml:space="preserve"> </w:t>
      </w:r>
      <w:r w:rsidR="009A64F1" w:rsidRPr="006E3415">
        <w:rPr>
          <w:rFonts w:ascii="Times New Roman" w:hAnsi="Times New Roman" w:cs="Times New Roman"/>
          <w:sz w:val="24"/>
          <w:szCs w:val="24"/>
        </w:rPr>
        <w:t xml:space="preserve">The firm of Robertsons </w:t>
      </w:r>
      <w:r w:rsidRPr="006E3415">
        <w:rPr>
          <w:rFonts w:ascii="Times New Roman" w:hAnsi="Times New Roman" w:cs="Times New Roman"/>
          <w:sz w:val="24"/>
          <w:szCs w:val="24"/>
        </w:rPr>
        <w:t>acted also in this capacity.</w:t>
      </w:r>
    </w:p>
    <w:p w:rsidR="00642887" w:rsidRPr="006E3415" w:rsidRDefault="00642887" w:rsidP="00746BFF">
      <w:pPr>
        <w:spacing w:after="0" w:line="360" w:lineRule="auto"/>
        <w:rPr>
          <w:rStyle w:val="mini"/>
          <w:rFonts w:ascii="Times New Roman" w:hAnsi="Times New Roman" w:cs="Times New Roman"/>
          <w:iCs/>
          <w:sz w:val="24"/>
          <w:szCs w:val="24"/>
        </w:rPr>
      </w:pPr>
    </w:p>
    <w:p w:rsidR="001C0E05" w:rsidRPr="006E3415" w:rsidRDefault="005D7D61" w:rsidP="00746BFF">
      <w:pPr>
        <w:pStyle w:val="western"/>
        <w:spacing w:before="0" w:beforeAutospacing="0" w:after="0" w:line="360" w:lineRule="auto"/>
      </w:pPr>
      <w:r w:rsidRPr="006E3415">
        <w:rPr>
          <w:rStyle w:val="mini"/>
          <w:iCs/>
        </w:rPr>
        <w:t xml:space="preserve">The decision of Barings to strengthen its security by empowering Robertsons to sell the Estates may well have been brought about by </w:t>
      </w:r>
      <w:r w:rsidR="00DD6AE1" w:rsidRPr="006E3415">
        <w:rPr>
          <w:rStyle w:val="mini"/>
          <w:iCs/>
        </w:rPr>
        <w:t xml:space="preserve">concerns regarding </w:t>
      </w:r>
      <w:r w:rsidRPr="006E3415">
        <w:rPr>
          <w:rStyle w:val="mini"/>
          <w:iCs/>
        </w:rPr>
        <w:t>the state of Ceylonese law</w:t>
      </w:r>
      <w:r w:rsidR="001C0E05" w:rsidRPr="006E3415">
        <w:t xml:space="preserve">. </w:t>
      </w:r>
      <w:r w:rsidR="001C0E05" w:rsidRPr="006E3415">
        <w:rPr>
          <w:bCs/>
        </w:rPr>
        <w:t>Owing to the codification of Dutch law,</w:t>
      </w:r>
      <w:r w:rsidR="001C0E05" w:rsidRPr="006E3415">
        <w:rPr>
          <w:rStyle w:val="FootnoteReference"/>
          <w:bCs/>
        </w:rPr>
        <w:footnoteReference w:id="68"/>
      </w:r>
      <w:r w:rsidR="001C0E05" w:rsidRPr="006E3415">
        <w:rPr>
          <w:bCs/>
        </w:rPr>
        <w:t xml:space="preserve"> which caused the pre-codification law</w:t>
      </w:r>
      <w:r w:rsidR="00FE42EB">
        <w:rPr>
          <w:bCs/>
        </w:rPr>
        <w:t xml:space="preserve"> </w:t>
      </w:r>
      <w:r w:rsidR="00127F02">
        <w:rPr>
          <w:bCs/>
        </w:rPr>
        <w:t xml:space="preserve">which continued to apply </w:t>
      </w:r>
      <w:r w:rsidR="00FE42EB">
        <w:rPr>
          <w:bCs/>
        </w:rPr>
        <w:t>in Ceylon</w:t>
      </w:r>
      <w:r w:rsidR="001C0E05" w:rsidRPr="006E3415">
        <w:rPr>
          <w:bCs/>
        </w:rPr>
        <w:t xml:space="preserve"> to become obsolete and inaccessible, and the British propensity towards appointing British-trained legal officers in Ceylon, the Roman-Dutch law in Ceylon came to be ‘</w:t>
      </w:r>
      <w:r w:rsidR="001C0E05" w:rsidRPr="006E3415">
        <w:t>mangled by the legislature, and administered in great measure by judges ignorant and sometimes frankly contemptuous of its principles.’</w:t>
      </w:r>
      <w:r w:rsidR="001C0E05" w:rsidRPr="006E3415">
        <w:rPr>
          <w:rStyle w:val="FootnoteReference"/>
        </w:rPr>
        <w:footnoteReference w:id="69"/>
      </w:r>
      <w:r w:rsidR="001C0E05" w:rsidRPr="006E3415">
        <w:t xml:space="preserve"> It seems that one of the areas most afflicted was the law of mortgages;</w:t>
      </w:r>
      <w:r w:rsidR="001C0E05" w:rsidRPr="006E3415">
        <w:rPr>
          <w:rStyle w:val="FootnoteReference"/>
        </w:rPr>
        <w:footnoteReference w:id="70"/>
      </w:r>
      <w:r w:rsidR="001C0E05" w:rsidRPr="006E3415">
        <w:t xml:space="preserve"> Ceylonese law had caused ‘much hardship… in the case of European mortgages on coffee or other estates, and many an English investor ha[d] found cause to rue it.’</w:t>
      </w:r>
      <w:r w:rsidR="001C0E05" w:rsidRPr="006E3415">
        <w:rPr>
          <w:rStyle w:val="FootnoteReference"/>
        </w:rPr>
        <w:footnoteReference w:id="71"/>
      </w:r>
      <w:r w:rsidR="001C0E05" w:rsidRPr="006E3415">
        <w:t xml:space="preserve"> </w:t>
      </w:r>
    </w:p>
    <w:p w:rsidR="00DD6AE1" w:rsidRPr="006E3415" w:rsidRDefault="00DD6AE1" w:rsidP="00746BFF">
      <w:pPr>
        <w:pStyle w:val="western"/>
        <w:spacing w:before="0" w:beforeAutospacing="0" w:after="0" w:line="360" w:lineRule="auto"/>
      </w:pPr>
    </w:p>
    <w:p w:rsidR="001C0E05" w:rsidRPr="006E3415" w:rsidRDefault="00DD6AE1" w:rsidP="00746BFF">
      <w:pPr>
        <w:pStyle w:val="western"/>
        <w:spacing w:before="0" w:beforeAutospacing="0" w:after="0" w:line="360" w:lineRule="auto"/>
        <w:rPr>
          <w:rStyle w:val="mini"/>
          <w:iCs/>
        </w:rPr>
      </w:pPr>
      <w:r w:rsidRPr="006E3415">
        <w:t>The next development came o</w:t>
      </w:r>
      <w:r w:rsidR="001C0E05" w:rsidRPr="006E3415">
        <w:t>n 2</w:t>
      </w:r>
      <w:r w:rsidR="00473389" w:rsidRPr="006E3415">
        <w:t>8</w:t>
      </w:r>
      <w:r w:rsidRPr="006E3415">
        <w:t xml:space="preserve"> December 1863. B</w:t>
      </w:r>
      <w:r w:rsidR="001C0E05" w:rsidRPr="006E3415">
        <w:t xml:space="preserve">y deeds executed in London and France, the debt and mortgage were assigned by Barings to the </w:t>
      </w:r>
      <w:r w:rsidR="009A64F1" w:rsidRPr="006E3415">
        <w:t>Société Genéralé de Commerce et d’Industrie of Amsterdam</w:t>
      </w:r>
      <w:r w:rsidR="001E3285">
        <w:t xml:space="preserve"> (hereafter referred to as ‘</w:t>
      </w:r>
      <w:r w:rsidR="001E3285" w:rsidRPr="006E3415">
        <w:t>the Société</w:t>
      </w:r>
      <w:r w:rsidR="001E3285">
        <w:t>’)</w:t>
      </w:r>
      <w:r w:rsidR="009A64F1" w:rsidRPr="006E3415">
        <w:t>, in consideration of £12,000, and a</w:t>
      </w:r>
      <w:r w:rsidR="001C0E05" w:rsidRPr="006E3415">
        <w:t xml:space="preserve"> new power of attorney, which essentially mirrored the 1862 power, was executed by Barings</w:t>
      </w:r>
      <w:r w:rsidR="005E55E4" w:rsidRPr="006E3415">
        <w:t>, Emily and Cavendish</w:t>
      </w:r>
      <w:r w:rsidR="001C0E05" w:rsidRPr="006E3415">
        <w:t xml:space="preserve"> in favour of Robertsons.</w:t>
      </w:r>
      <w:r w:rsidR="001C0E05" w:rsidRPr="006E3415">
        <w:rPr>
          <w:rStyle w:val="FootnoteReference"/>
        </w:rPr>
        <w:footnoteReference w:id="72"/>
      </w:r>
      <w:r w:rsidR="001C0E05" w:rsidRPr="006E3415">
        <w:t xml:space="preserve"> </w:t>
      </w:r>
      <w:r w:rsidR="005E55E4" w:rsidRPr="006E3415">
        <w:t>Cavendish’s participation was</w:t>
      </w:r>
      <w:r w:rsidR="00877C1A" w:rsidRPr="006E3415">
        <w:t xml:space="preserve"> stated </w:t>
      </w:r>
      <w:r w:rsidRPr="006E3415">
        <w:t xml:space="preserve">in the documentation </w:t>
      </w:r>
      <w:r w:rsidR="00877C1A" w:rsidRPr="006E3415">
        <w:t>to have been</w:t>
      </w:r>
      <w:r w:rsidR="005E55E4" w:rsidRPr="006E3415">
        <w:t xml:space="preserve"> a mere formality.</w:t>
      </w:r>
      <w:r w:rsidR="005E55E4" w:rsidRPr="006E3415">
        <w:rPr>
          <w:rStyle w:val="FootnoteReference"/>
        </w:rPr>
        <w:footnoteReference w:id="73"/>
      </w:r>
      <w:r w:rsidR="005E55E4" w:rsidRPr="006E3415">
        <w:t xml:space="preserve"> </w:t>
      </w:r>
    </w:p>
    <w:p w:rsidR="00156B83" w:rsidRPr="006E3415" w:rsidRDefault="00156B83" w:rsidP="00746BFF">
      <w:pPr>
        <w:spacing w:after="0" w:line="360" w:lineRule="auto"/>
        <w:rPr>
          <w:rStyle w:val="mini"/>
          <w:rFonts w:ascii="Times New Roman" w:hAnsi="Times New Roman" w:cs="Times New Roman"/>
          <w:iCs/>
          <w:sz w:val="24"/>
          <w:szCs w:val="24"/>
        </w:rPr>
      </w:pPr>
    </w:p>
    <w:p w:rsidR="00156B83" w:rsidRPr="006E3415" w:rsidRDefault="00F7285F" w:rsidP="00746BFF">
      <w:pPr>
        <w:pStyle w:val="ListParagraph"/>
        <w:numPr>
          <w:ilvl w:val="0"/>
          <w:numId w:val="3"/>
        </w:numPr>
        <w:spacing w:line="360" w:lineRule="auto"/>
        <w:rPr>
          <w:rFonts w:cs="Times New Roman"/>
          <w:i/>
          <w:iCs/>
          <w:szCs w:val="24"/>
        </w:rPr>
      </w:pPr>
      <w:r w:rsidRPr="006E3415">
        <w:rPr>
          <w:rStyle w:val="mini"/>
          <w:rFonts w:cs="Times New Roman"/>
          <w:i/>
          <w:iCs/>
          <w:szCs w:val="24"/>
        </w:rPr>
        <w:t xml:space="preserve">The </w:t>
      </w:r>
      <w:r w:rsidRPr="006E3415">
        <w:rPr>
          <w:rFonts w:cs="Times New Roman"/>
          <w:i/>
          <w:szCs w:val="24"/>
        </w:rPr>
        <w:t>Société and its liquidation</w:t>
      </w:r>
    </w:p>
    <w:p w:rsidR="00F7285F" w:rsidRPr="006E3415" w:rsidRDefault="00F7285F" w:rsidP="00746BFF">
      <w:pPr>
        <w:pStyle w:val="ListParagraph"/>
        <w:spacing w:line="360" w:lineRule="auto"/>
        <w:ind w:left="1080"/>
        <w:rPr>
          <w:rStyle w:val="mini"/>
          <w:rFonts w:cs="Times New Roman"/>
          <w:i/>
          <w:iCs/>
          <w:szCs w:val="24"/>
        </w:rPr>
      </w:pPr>
    </w:p>
    <w:p w:rsidR="00156B83" w:rsidRPr="006E3415" w:rsidRDefault="009A64F1"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Little information about the Société</w:t>
      </w:r>
      <w:r w:rsidR="00EC1520" w:rsidRPr="006E3415">
        <w:rPr>
          <w:rFonts w:ascii="Times New Roman" w:hAnsi="Times New Roman" w:cs="Times New Roman"/>
          <w:sz w:val="24"/>
          <w:szCs w:val="24"/>
        </w:rPr>
        <w:t xml:space="preserve"> </w:t>
      </w:r>
      <w:r w:rsidRPr="006E3415">
        <w:rPr>
          <w:rFonts w:ascii="Times New Roman" w:hAnsi="Times New Roman" w:cs="Times New Roman"/>
          <w:sz w:val="24"/>
          <w:szCs w:val="24"/>
        </w:rPr>
        <w:t xml:space="preserve">can be gleaned from the law reports of </w:t>
      </w:r>
      <w:r w:rsidRPr="006E3415">
        <w:rPr>
          <w:rFonts w:ascii="Times New Roman" w:hAnsi="Times New Roman" w:cs="Times New Roman"/>
          <w:i/>
          <w:sz w:val="24"/>
          <w:szCs w:val="24"/>
        </w:rPr>
        <w:t>Rochefoucauld</w:t>
      </w:r>
      <w:r w:rsidRPr="006E3415">
        <w:rPr>
          <w:rFonts w:ascii="Times New Roman" w:hAnsi="Times New Roman" w:cs="Times New Roman"/>
          <w:sz w:val="24"/>
          <w:szCs w:val="24"/>
        </w:rPr>
        <w:t xml:space="preserve">, other than that the Société was in liquidation by 1871, and that the liquidators were </w:t>
      </w:r>
      <w:r w:rsidRPr="006E3415">
        <w:rPr>
          <w:rFonts w:ascii="Times New Roman" w:hAnsi="Times New Roman" w:cs="Times New Roman"/>
          <w:sz w:val="24"/>
          <w:szCs w:val="24"/>
        </w:rPr>
        <w:lastRenderedPageBreak/>
        <w:t xml:space="preserve">apparently keen to call in the security. </w:t>
      </w:r>
      <w:r w:rsidR="00156B83" w:rsidRPr="006E3415">
        <w:rPr>
          <w:rFonts w:ascii="Times New Roman" w:hAnsi="Times New Roman" w:cs="Times New Roman"/>
          <w:sz w:val="24"/>
          <w:szCs w:val="24"/>
        </w:rPr>
        <w:t>The Dutch name of the Société was the Algemeene Maatschap</w:t>
      </w:r>
      <w:r w:rsidR="006874CF" w:rsidRPr="006E3415">
        <w:rPr>
          <w:rFonts w:ascii="Times New Roman" w:hAnsi="Times New Roman" w:cs="Times New Roman"/>
          <w:sz w:val="24"/>
          <w:szCs w:val="24"/>
        </w:rPr>
        <w:t xml:space="preserve">pij voor Handel en </w:t>
      </w:r>
      <w:r w:rsidR="006874CF" w:rsidRPr="00C933D7">
        <w:rPr>
          <w:rFonts w:ascii="Times New Roman" w:hAnsi="Times New Roman" w:cs="Times New Roman"/>
          <w:sz w:val="24"/>
          <w:szCs w:val="24"/>
        </w:rPr>
        <w:t>Nijverheid NV.</w:t>
      </w:r>
      <w:r w:rsidR="00156B83" w:rsidRPr="00C933D7">
        <w:rPr>
          <w:rFonts w:ascii="Times New Roman" w:hAnsi="Times New Roman" w:cs="Times New Roman"/>
          <w:sz w:val="24"/>
          <w:szCs w:val="24"/>
        </w:rPr>
        <w:t xml:space="preserve"> </w:t>
      </w:r>
      <w:r w:rsidR="00C933D7" w:rsidRPr="00C933D7">
        <w:rPr>
          <w:rFonts w:ascii="Times New Roman" w:hAnsi="Times New Roman" w:cs="Times New Roman"/>
          <w:sz w:val="24"/>
          <w:szCs w:val="24"/>
        </w:rPr>
        <w:t>Extensive records concerning the Société  and its affairs are held in the Stadsarcheif Amsterdam.</w:t>
      </w:r>
      <w:r w:rsidR="00C933D7" w:rsidRPr="00C933D7">
        <w:rPr>
          <w:rStyle w:val="FootnoteReference"/>
          <w:rFonts w:ascii="Times New Roman" w:hAnsi="Times New Roman" w:cs="Times New Roman"/>
          <w:sz w:val="24"/>
          <w:szCs w:val="24"/>
        </w:rPr>
        <w:footnoteReference w:id="74"/>
      </w:r>
      <w:r w:rsidR="00C933D7" w:rsidRPr="00C933D7">
        <w:rPr>
          <w:rFonts w:ascii="Times New Roman" w:hAnsi="Times New Roman" w:cs="Times New Roman"/>
          <w:sz w:val="24"/>
          <w:szCs w:val="24"/>
        </w:rPr>
        <w:t xml:space="preserve"> </w:t>
      </w:r>
      <w:r w:rsidR="00156B83" w:rsidRPr="00C933D7">
        <w:rPr>
          <w:rFonts w:ascii="Times New Roman" w:hAnsi="Times New Roman" w:cs="Times New Roman"/>
          <w:sz w:val="24"/>
          <w:szCs w:val="24"/>
        </w:rPr>
        <w:t>It was a bank founded in 1863</w:t>
      </w:r>
      <w:r w:rsidR="00156B83" w:rsidRPr="00C933D7">
        <w:rPr>
          <w:rStyle w:val="FootnoteReference"/>
          <w:rFonts w:ascii="Times New Roman" w:hAnsi="Times New Roman" w:cs="Times New Roman"/>
          <w:sz w:val="24"/>
          <w:szCs w:val="24"/>
        </w:rPr>
        <w:footnoteReference w:id="75"/>
      </w:r>
      <w:r w:rsidR="00156B83" w:rsidRPr="00C933D7">
        <w:rPr>
          <w:rFonts w:ascii="Times New Roman" w:hAnsi="Times New Roman" w:cs="Times New Roman"/>
          <w:sz w:val="24"/>
          <w:szCs w:val="24"/>
        </w:rPr>
        <w:t xml:space="preserve"> with the aim of promoting industrial development.</w:t>
      </w:r>
      <w:r w:rsidR="00156B83" w:rsidRPr="00C933D7">
        <w:rPr>
          <w:rStyle w:val="FootnoteReference"/>
          <w:rFonts w:ascii="Times New Roman" w:hAnsi="Times New Roman" w:cs="Times New Roman"/>
          <w:sz w:val="24"/>
          <w:szCs w:val="24"/>
        </w:rPr>
        <w:footnoteReference w:id="76"/>
      </w:r>
      <w:r w:rsidR="00156B83" w:rsidRPr="00C933D7">
        <w:rPr>
          <w:rFonts w:ascii="Times New Roman" w:hAnsi="Times New Roman" w:cs="Times New Roman"/>
          <w:sz w:val="24"/>
          <w:szCs w:val="24"/>
        </w:rPr>
        <w:t xml:space="preserve"> It</w:t>
      </w:r>
      <w:r w:rsidR="005E55E4" w:rsidRPr="00C933D7">
        <w:rPr>
          <w:rFonts w:ascii="Times New Roman" w:hAnsi="Times New Roman" w:cs="Times New Roman"/>
          <w:sz w:val="24"/>
          <w:szCs w:val="24"/>
        </w:rPr>
        <w:t>s majority</w:t>
      </w:r>
      <w:r w:rsidR="005E55E4" w:rsidRPr="006E3415">
        <w:rPr>
          <w:rFonts w:ascii="Times New Roman" w:hAnsi="Times New Roman" w:cs="Times New Roman"/>
          <w:sz w:val="24"/>
          <w:szCs w:val="24"/>
        </w:rPr>
        <w:t xml:space="preserve"> shareholder </w:t>
      </w:r>
      <w:r w:rsidR="00C0721E">
        <w:rPr>
          <w:rFonts w:ascii="Times New Roman" w:hAnsi="Times New Roman" w:cs="Times New Roman"/>
          <w:sz w:val="24"/>
          <w:szCs w:val="24"/>
        </w:rPr>
        <w:t xml:space="preserve">from the outset </w:t>
      </w:r>
      <w:r w:rsidR="00156B83" w:rsidRPr="006E3415">
        <w:rPr>
          <w:rFonts w:ascii="Times New Roman" w:hAnsi="Times New Roman" w:cs="Times New Roman"/>
          <w:sz w:val="24"/>
          <w:szCs w:val="24"/>
        </w:rPr>
        <w:t>was a French bank called Crédit Mobilier.</w:t>
      </w:r>
      <w:r w:rsidR="00156B83" w:rsidRPr="006E3415">
        <w:rPr>
          <w:rStyle w:val="FootnoteReference"/>
          <w:rFonts w:ascii="Times New Roman" w:hAnsi="Times New Roman" w:cs="Times New Roman"/>
          <w:sz w:val="24"/>
          <w:szCs w:val="24"/>
        </w:rPr>
        <w:footnoteReference w:id="77"/>
      </w:r>
      <w:r w:rsidR="00156B83" w:rsidRPr="006E3415">
        <w:rPr>
          <w:rFonts w:ascii="Times New Roman" w:hAnsi="Times New Roman" w:cs="Times New Roman"/>
          <w:sz w:val="24"/>
          <w:szCs w:val="24"/>
        </w:rPr>
        <w:t xml:space="preserve"> </w:t>
      </w:r>
      <w:r w:rsidR="005E55E4" w:rsidRPr="006E3415">
        <w:rPr>
          <w:rFonts w:ascii="Times New Roman" w:hAnsi="Times New Roman" w:cs="Times New Roman"/>
          <w:sz w:val="24"/>
          <w:szCs w:val="24"/>
        </w:rPr>
        <w:t xml:space="preserve">The </w:t>
      </w:r>
      <w:r w:rsidR="00156B83" w:rsidRPr="006E3415">
        <w:rPr>
          <w:rFonts w:ascii="Times New Roman" w:hAnsi="Times New Roman" w:cs="Times New Roman"/>
          <w:sz w:val="24"/>
          <w:szCs w:val="24"/>
        </w:rPr>
        <w:t>Société was not a success; it was embroiled in financial scandals almost immediately and on 2</w:t>
      </w:r>
      <w:r w:rsidR="00473389" w:rsidRPr="006E3415">
        <w:rPr>
          <w:rFonts w:ascii="Times New Roman" w:hAnsi="Times New Roman" w:cs="Times New Roman"/>
          <w:sz w:val="24"/>
          <w:szCs w:val="24"/>
        </w:rPr>
        <w:t>4</w:t>
      </w:r>
      <w:r w:rsidR="00156B83" w:rsidRPr="006E3415">
        <w:rPr>
          <w:rFonts w:ascii="Times New Roman" w:hAnsi="Times New Roman" w:cs="Times New Roman"/>
          <w:sz w:val="24"/>
          <w:szCs w:val="24"/>
        </w:rPr>
        <w:t xml:space="preserve"> October 1864, the Société’s members received notice that its president, Alexander Mendel, had fled abroad having withdrawn </w:t>
      </w:r>
      <w:r w:rsidR="00E45A26" w:rsidRPr="006E3415">
        <w:rPr>
          <w:rFonts w:ascii="Times New Roman" w:hAnsi="Times New Roman" w:cs="Times New Roman"/>
          <w:sz w:val="24"/>
          <w:szCs w:val="24"/>
        </w:rPr>
        <w:t>substantial</w:t>
      </w:r>
      <w:r w:rsidR="00156B83" w:rsidRPr="006E3415">
        <w:rPr>
          <w:rFonts w:ascii="Times New Roman" w:hAnsi="Times New Roman" w:cs="Times New Roman"/>
          <w:sz w:val="24"/>
          <w:szCs w:val="24"/>
        </w:rPr>
        <w:t xml:space="preserve"> sums from the Société’s account in dubious circumstances.</w:t>
      </w:r>
      <w:r w:rsidR="00156B83" w:rsidRPr="006E3415">
        <w:rPr>
          <w:rStyle w:val="FootnoteReference"/>
          <w:rFonts w:ascii="Times New Roman" w:hAnsi="Times New Roman" w:cs="Times New Roman"/>
          <w:sz w:val="24"/>
          <w:szCs w:val="24"/>
        </w:rPr>
        <w:footnoteReference w:id="78"/>
      </w:r>
      <w:r w:rsidR="00156B83" w:rsidRPr="006E3415">
        <w:rPr>
          <w:rFonts w:ascii="Times New Roman" w:hAnsi="Times New Roman" w:cs="Times New Roman"/>
          <w:sz w:val="24"/>
          <w:szCs w:val="24"/>
        </w:rPr>
        <w:t xml:space="preserve"> According to one source, part of the reason for the </w:t>
      </w:r>
      <w:r w:rsidR="00E45A26" w:rsidRPr="006E3415">
        <w:rPr>
          <w:rFonts w:ascii="Times New Roman" w:hAnsi="Times New Roman" w:cs="Times New Roman"/>
          <w:sz w:val="24"/>
          <w:szCs w:val="24"/>
        </w:rPr>
        <w:t>difficulties</w:t>
      </w:r>
      <w:r w:rsidR="00156B83" w:rsidRPr="006E3415">
        <w:rPr>
          <w:rFonts w:ascii="Times New Roman" w:hAnsi="Times New Roman" w:cs="Times New Roman"/>
          <w:sz w:val="24"/>
          <w:szCs w:val="24"/>
        </w:rPr>
        <w:t xml:space="preserve"> encountered by the Société was a ‘reckless policy… [of] over-investing in foreign securities’.</w:t>
      </w:r>
      <w:r w:rsidR="00156B83" w:rsidRPr="006E3415">
        <w:rPr>
          <w:rStyle w:val="FootnoteReference"/>
          <w:rFonts w:ascii="Times New Roman" w:hAnsi="Times New Roman" w:cs="Times New Roman"/>
          <w:sz w:val="24"/>
          <w:szCs w:val="24"/>
        </w:rPr>
        <w:footnoteReference w:id="79"/>
      </w:r>
      <w:r w:rsidR="00156B83" w:rsidRPr="006E3415">
        <w:rPr>
          <w:rFonts w:ascii="Times New Roman" w:hAnsi="Times New Roman" w:cs="Times New Roman"/>
          <w:sz w:val="24"/>
          <w:szCs w:val="24"/>
        </w:rPr>
        <w:t xml:space="preserve"> </w:t>
      </w:r>
      <w:r w:rsidR="005E55E4" w:rsidRPr="006E3415">
        <w:rPr>
          <w:rFonts w:ascii="Times New Roman" w:hAnsi="Times New Roman" w:cs="Times New Roman"/>
          <w:sz w:val="24"/>
          <w:szCs w:val="24"/>
        </w:rPr>
        <w:t xml:space="preserve">It is distinctly possible that the Société’s purchase of the mortgage of the Estates was a result of </w:t>
      </w:r>
      <w:r w:rsidR="00156B83" w:rsidRPr="006E3415">
        <w:rPr>
          <w:rFonts w:ascii="Times New Roman" w:hAnsi="Times New Roman" w:cs="Times New Roman"/>
          <w:sz w:val="24"/>
          <w:szCs w:val="24"/>
        </w:rPr>
        <w:t>the</w:t>
      </w:r>
      <w:r w:rsidR="005E55E4" w:rsidRPr="006E3415">
        <w:rPr>
          <w:rFonts w:ascii="Times New Roman" w:hAnsi="Times New Roman" w:cs="Times New Roman"/>
          <w:sz w:val="24"/>
          <w:szCs w:val="24"/>
        </w:rPr>
        <w:t xml:space="preserve">se </w:t>
      </w:r>
      <w:r w:rsidR="00156B83" w:rsidRPr="006E3415">
        <w:rPr>
          <w:rFonts w:ascii="Times New Roman" w:hAnsi="Times New Roman" w:cs="Times New Roman"/>
          <w:sz w:val="24"/>
          <w:szCs w:val="24"/>
        </w:rPr>
        <w:t>over-enthusiastic spending habits. On 2</w:t>
      </w:r>
      <w:r w:rsidR="00473389" w:rsidRPr="006E3415">
        <w:rPr>
          <w:rFonts w:ascii="Times New Roman" w:hAnsi="Times New Roman" w:cs="Times New Roman"/>
          <w:sz w:val="24"/>
          <w:szCs w:val="24"/>
        </w:rPr>
        <w:t>4</w:t>
      </w:r>
      <w:r w:rsidR="00156B83" w:rsidRPr="006E3415">
        <w:rPr>
          <w:rFonts w:ascii="Times New Roman" w:hAnsi="Times New Roman" w:cs="Times New Roman"/>
          <w:sz w:val="24"/>
          <w:szCs w:val="24"/>
        </w:rPr>
        <w:t xml:space="preserve"> October 1864, it was reported to its shareholders that the Société had accumulated huge debts, which it had little prospect of </w:t>
      </w:r>
      <w:r w:rsidR="00877C1A" w:rsidRPr="006E3415">
        <w:rPr>
          <w:rFonts w:ascii="Times New Roman" w:hAnsi="Times New Roman" w:cs="Times New Roman"/>
          <w:sz w:val="24"/>
          <w:szCs w:val="24"/>
        </w:rPr>
        <w:t>repaying</w:t>
      </w:r>
      <w:r w:rsidR="00156B83" w:rsidRPr="006E3415">
        <w:rPr>
          <w:rFonts w:ascii="Times New Roman" w:hAnsi="Times New Roman" w:cs="Times New Roman"/>
          <w:sz w:val="24"/>
          <w:szCs w:val="24"/>
        </w:rPr>
        <w:t>.</w:t>
      </w:r>
      <w:r w:rsidR="00156B83" w:rsidRPr="006E3415">
        <w:rPr>
          <w:rStyle w:val="FootnoteReference"/>
          <w:rFonts w:ascii="Times New Roman" w:hAnsi="Times New Roman" w:cs="Times New Roman"/>
          <w:sz w:val="24"/>
          <w:szCs w:val="24"/>
        </w:rPr>
        <w:footnoteReference w:id="80"/>
      </w:r>
    </w:p>
    <w:p w:rsidR="00DD6AE1" w:rsidRPr="006E3415" w:rsidRDefault="00DD6AE1" w:rsidP="00746BFF">
      <w:pPr>
        <w:spacing w:after="0" w:line="360" w:lineRule="auto"/>
        <w:rPr>
          <w:rFonts w:ascii="Times New Roman" w:hAnsi="Times New Roman" w:cs="Times New Roman"/>
          <w:sz w:val="24"/>
          <w:szCs w:val="24"/>
        </w:rPr>
      </w:pPr>
    </w:p>
    <w:p w:rsidR="00156B83" w:rsidRPr="006E3415" w:rsidRDefault="00156B83" w:rsidP="00746BFF">
      <w:pPr>
        <w:pStyle w:val="Heading1"/>
        <w:spacing w:before="0" w:beforeAutospacing="0" w:after="0" w:afterAutospacing="0" w:line="360" w:lineRule="auto"/>
        <w:rPr>
          <w:b w:val="0"/>
          <w:sz w:val="24"/>
          <w:szCs w:val="24"/>
        </w:rPr>
      </w:pPr>
      <w:r w:rsidRPr="006E3415">
        <w:rPr>
          <w:b w:val="0"/>
          <w:sz w:val="24"/>
          <w:szCs w:val="24"/>
        </w:rPr>
        <w:t>At its annual general meeting of shareholders on 2</w:t>
      </w:r>
      <w:r w:rsidR="00473389" w:rsidRPr="006E3415">
        <w:rPr>
          <w:b w:val="0"/>
          <w:sz w:val="24"/>
          <w:szCs w:val="24"/>
        </w:rPr>
        <w:t>9</w:t>
      </w:r>
      <w:r w:rsidRPr="006E3415">
        <w:rPr>
          <w:b w:val="0"/>
          <w:sz w:val="24"/>
          <w:szCs w:val="24"/>
        </w:rPr>
        <w:t xml:space="preserve"> March 1865, the Société resolved to appoint Antide Martin as its president and Frans </w:t>
      </w:r>
      <w:r w:rsidR="00CD0645" w:rsidRPr="006E3415">
        <w:rPr>
          <w:b w:val="0"/>
          <w:sz w:val="24"/>
          <w:szCs w:val="24"/>
        </w:rPr>
        <w:t xml:space="preserve">Müller </w:t>
      </w:r>
      <w:r w:rsidRPr="006E3415">
        <w:rPr>
          <w:b w:val="0"/>
          <w:sz w:val="24"/>
          <w:szCs w:val="24"/>
        </w:rPr>
        <w:t>as its ‘Secrétaire de la Direction’.</w:t>
      </w:r>
      <w:r w:rsidRPr="006E3415">
        <w:rPr>
          <w:rStyle w:val="FootnoteReference"/>
          <w:b w:val="0"/>
          <w:sz w:val="24"/>
          <w:szCs w:val="24"/>
        </w:rPr>
        <w:footnoteReference w:id="81"/>
      </w:r>
      <w:r w:rsidRPr="006E3415">
        <w:rPr>
          <w:b w:val="0"/>
          <w:sz w:val="24"/>
          <w:szCs w:val="24"/>
        </w:rPr>
        <w:t xml:space="preserve"> The Société also indicated that it was to focus its operations on its affairs in the Dutch East Indies.</w:t>
      </w:r>
      <w:r w:rsidRPr="006E3415">
        <w:rPr>
          <w:rStyle w:val="FootnoteReference"/>
          <w:b w:val="0"/>
          <w:sz w:val="24"/>
          <w:szCs w:val="24"/>
        </w:rPr>
        <w:footnoteReference w:id="82"/>
      </w:r>
      <w:r w:rsidRPr="006E3415">
        <w:rPr>
          <w:b w:val="0"/>
          <w:sz w:val="24"/>
          <w:szCs w:val="24"/>
        </w:rPr>
        <w:t xml:space="preserve"> </w:t>
      </w:r>
      <w:r w:rsidR="00CD0645" w:rsidRPr="006E3415">
        <w:rPr>
          <w:b w:val="0"/>
          <w:sz w:val="24"/>
          <w:szCs w:val="24"/>
        </w:rPr>
        <w:t>No biographical information concerning Martin has been forthcoming,</w:t>
      </w:r>
      <w:r w:rsidRPr="006E3415">
        <w:rPr>
          <w:b w:val="0"/>
          <w:sz w:val="24"/>
          <w:szCs w:val="24"/>
        </w:rPr>
        <w:t xml:space="preserve"> other than that h</w:t>
      </w:r>
      <w:r w:rsidR="00BF0335" w:rsidRPr="006E3415">
        <w:rPr>
          <w:b w:val="0"/>
          <w:sz w:val="24"/>
          <w:szCs w:val="24"/>
        </w:rPr>
        <w:t>e was apparently based in Paris.</w:t>
      </w:r>
      <w:r w:rsidRPr="006E3415">
        <w:rPr>
          <w:rStyle w:val="FootnoteReference"/>
          <w:b w:val="0"/>
          <w:sz w:val="24"/>
          <w:szCs w:val="24"/>
        </w:rPr>
        <w:footnoteReference w:id="83"/>
      </w:r>
      <w:r w:rsidR="00CD0645" w:rsidRPr="006E3415">
        <w:rPr>
          <w:b w:val="0"/>
          <w:sz w:val="24"/>
          <w:szCs w:val="24"/>
        </w:rPr>
        <w:t xml:space="preserve"> Müller </w:t>
      </w:r>
      <w:r w:rsidRPr="006E3415">
        <w:rPr>
          <w:b w:val="0"/>
          <w:sz w:val="24"/>
          <w:szCs w:val="24"/>
        </w:rPr>
        <w:t>was a director of  the Rotterdamsche Bank</w:t>
      </w:r>
      <w:r w:rsidR="00CD0645" w:rsidRPr="006E3415">
        <w:rPr>
          <w:b w:val="0"/>
          <w:sz w:val="24"/>
          <w:szCs w:val="24"/>
        </w:rPr>
        <w:t>, which was active in the Dutch East Indies,</w:t>
      </w:r>
      <w:r w:rsidR="00BF0335" w:rsidRPr="006E3415">
        <w:rPr>
          <w:b w:val="0"/>
          <w:sz w:val="24"/>
          <w:szCs w:val="24"/>
        </w:rPr>
        <w:t xml:space="preserve"> from 1869 to 1882,</w:t>
      </w:r>
      <w:r w:rsidRPr="006E3415">
        <w:rPr>
          <w:rStyle w:val="FootnoteReference"/>
          <w:b w:val="0"/>
          <w:sz w:val="24"/>
          <w:szCs w:val="24"/>
        </w:rPr>
        <w:footnoteReference w:id="84"/>
      </w:r>
      <w:r w:rsidR="00BF0335" w:rsidRPr="006E3415">
        <w:rPr>
          <w:b w:val="0"/>
          <w:sz w:val="24"/>
          <w:szCs w:val="24"/>
        </w:rPr>
        <w:t xml:space="preserve"> also serving as its </w:t>
      </w:r>
      <w:r w:rsidR="00CD0645" w:rsidRPr="006E3415">
        <w:rPr>
          <w:b w:val="0"/>
          <w:sz w:val="24"/>
          <w:szCs w:val="24"/>
        </w:rPr>
        <w:t xml:space="preserve">president. At </w:t>
      </w:r>
      <w:r w:rsidR="00BE0BDB">
        <w:rPr>
          <w:b w:val="0"/>
          <w:sz w:val="24"/>
          <w:szCs w:val="24"/>
        </w:rPr>
        <w:t xml:space="preserve">the </w:t>
      </w:r>
      <w:r w:rsidR="00CD0645" w:rsidRPr="006E3415">
        <w:rPr>
          <w:b w:val="0"/>
          <w:sz w:val="24"/>
          <w:szCs w:val="24"/>
        </w:rPr>
        <w:t xml:space="preserve">Société’s </w:t>
      </w:r>
      <w:r w:rsidRPr="006E3415">
        <w:rPr>
          <w:b w:val="0"/>
          <w:sz w:val="24"/>
          <w:szCs w:val="24"/>
        </w:rPr>
        <w:t>annual general meeting on 2</w:t>
      </w:r>
      <w:r w:rsidR="00473389" w:rsidRPr="006E3415">
        <w:rPr>
          <w:b w:val="0"/>
          <w:sz w:val="24"/>
          <w:szCs w:val="24"/>
        </w:rPr>
        <w:t>5</w:t>
      </w:r>
      <w:r w:rsidRPr="006E3415">
        <w:rPr>
          <w:b w:val="0"/>
          <w:sz w:val="24"/>
          <w:szCs w:val="24"/>
        </w:rPr>
        <w:t xml:space="preserve"> March 1868, Martin and </w:t>
      </w:r>
      <w:r w:rsidR="00CD0645" w:rsidRPr="006E3415">
        <w:rPr>
          <w:b w:val="0"/>
          <w:sz w:val="24"/>
          <w:szCs w:val="24"/>
        </w:rPr>
        <w:t xml:space="preserve">Müller </w:t>
      </w:r>
      <w:r w:rsidRPr="006E3415">
        <w:rPr>
          <w:b w:val="0"/>
          <w:sz w:val="24"/>
          <w:szCs w:val="24"/>
        </w:rPr>
        <w:t xml:space="preserve">were </w:t>
      </w:r>
      <w:r w:rsidRPr="006E3415">
        <w:rPr>
          <w:b w:val="0"/>
          <w:sz w:val="24"/>
          <w:szCs w:val="24"/>
        </w:rPr>
        <w:lastRenderedPageBreak/>
        <w:t>appointed as its liquidators.</w:t>
      </w:r>
      <w:r w:rsidRPr="006E3415">
        <w:rPr>
          <w:rStyle w:val="FootnoteReference"/>
          <w:b w:val="0"/>
          <w:sz w:val="24"/>
          <w:szCs w:val="24"/>
        </w:rPr>
        <w:footnoteReference w:id="85"/>
      </w:r>
      <w:r w:rsidRPr="006E3415">
        <w:rPr>
          <w:b w:val="0"/>
          <w:sz w:val="24"/>
          <w:szCs w:val="24"/>
        </w:rPr>
        <w:t xml:space="preserve"> The duration of the liquidation is difficult to ascertain for certain. The Société certainly failed eventually, and was wound up, although sources are not consistent as to precisely when this </w:t>
      </w:r>
      <w:r w:rsidR="00E45A26" w:rsidRPr="006E3415">
        <w:rPr>
          <w:b w:val="0"/>
          <w:sz w:val="24"/>
          <w:szCs w:val="24"/>
        </w:rPr>
        <w:t>occurred</w:t>
      </w:r>
      <w:r w:rsidRPr="006E3415">
        <w:rPr>
          <w:b w:val="0"/>
          <w:sz w:val="24"/>
          <w:szCs w:val="24"/>
        </w:rPr>
        <w:t>.</w:t>
      </w:r>
      <w:r w:rsidRPr="006E3415">
        <w:rPr>
          <w:rStyle w:val="FootnoteReference"/>
          <w:b w:val="0"/>
          <w:sz w:val="24"/>
          <w:szCs w:val="24"/>
        </w:rPr>
        <w:footnoteReference w:id="86"/>
      </w:r>
      <w:r w:rsidRPr="006E3415">
        <w:rPr>
          <w:b w:val="0"/>
          <w:sz w:val="24"/>
          <w:szCs w:val="24"/>
        </w:rPr>
        <w:t xml:space="preserve">  In fact, it seems that the Société came out of liquidation some time between 1</w:t>
      </w:r>
      <w:r w:rsidR="00473389" w:rsidRPr="006E3415">
        <w:rPr>
          <w:b w:val="0"/>
          <w:sz w:val="24"/>
          <w:szCs w:val="24"/>
        </w:rPr>
        <w:t>8</w:t>
      </w:r>
      <w:r w:rsidRPr="006E3415">
        <w:rPr>
          <w:b w:val="0"/>
          <w:sz w:val="24"/>
          <w:szCs w:val="24"/>
        </w:rPr>
        <w:t xml:space="preserve"> August 1872 and 1</w:t>
      </w:r>
      <w:r w:rsidR="00473389" w:rsidRPr="006E3415">
        <w:rPr>
          <w:b w:val="0"/>
          <w:sz w:val="24"/>
          <w:szCs w:val="24"/>
        </w:rPr>
        <w:t>5</w:t>
      </w:r>
      <w:r w:rsidRPr="006E3415">
        <w:rPr>
          <w:b w:val="0"/>
          <w:sz w:val="24"/>
          <w:szCs w:val="24"/>
        </w:rPr>
        <w:t xml:space="preserve"> October 1872,</w:t>
      </w:r>
      <w:r w:rsidRPr="006E3415">
        <w:rPr>
          <w:rStyle w:val="FootnoteReference"/>
          <w:b w:val="0"/>
          <w:sz w:val="24"/>
          <w:szCs w:val="24"/>
        </w:rPr>
        <w:footnoteReference w:id="87"/>
      </w:r>
      <w:r w:rsidRPr="006E3415">
        <w:rPr>
          <w:b w:val="0"/>
          <w:sz w:val="24"/>
          <w:szCs w:val="24"/>
        </w:rPr>
        <w:t xml:space="preserve"> and it certainly produced ledger entries and current account records until 1878,</w:t>
      </w:r>
      <w:r w:rsidRPr="006E3415">
        <w:rPr>
          <w:rStyle w:val="FootnoteReference"/>
          <w:b w:val="0"/>
          <w:sz w:val="24"/>
          <w:szCs w:val="24"/>
        </w:rPr>
        <w:footnoteReference w:id="88"/>
      </w:r>
      <w:r w:rsidRPr="006E3415">
        <w:rPr>
          <w:b w:val="0"/>
          <w:sz w:val="24"/>
          <w:szCs w:val="24"/>
        </w:rPr>
        <w:t xml:space="preserve"> although the </w:t>
      </w:r>
      <w:r w:rsidR="00E45A26" w:rsidRPr="006E3415">
        <w:rPr>
          <w:b w:val="0"/>
          <w:sz w:val="24"/>
          <w:szCs w:val="24"/>
        </w:rPr>
        <w:t>scarcity</w:t>
      </w:r>
      <w:r w:rsidRPr="006E3415">
        <w:rPr>
          <w:b w:val="0"/>
          <w:sz w:val="24"/>
          <w:szCs w:val="24"/>
        </w:rPr>
        <w:t xml:space="preserve"> of records from that period in the archiv</w:t>
      </w:r>
      <w:r w:rsidR="00E45A26" w:rsidRPr="006E3415">
        <w:rPr>
          <w:b w:val="0"/>
          <w:sz w:val="24"/>
          <w:szCs w:val="24"/>
        </w:rPr>
        <w:t>e would suggest that its activities</w:t>
      </w:r>
      <w:r w:rsidRPr="006E3415">
        <w:rPr>
          <w:b w:val="0"/>
          <w:sz w:val="24"/>
          <w:szCs w:val="24"/>
        </w:rPr>
        <w:t xml:space="preserve"> were much reduced after the commencement of the liquidation. Narula and van Hosel report that after the Société failed, one of its subsidiaries, the Nederlandsch-Indische Spoorweg Maatschaapij ‘was carried on by private individuals’</w:t>
      </w:r>
      <w:r w:rsidR="00C933D7">
        <w:rPr>
          <w:b w:val="0"/>
          <w:sz w:val="24"/>
          <w:szCs w:val="24"/>
        </w:rPr>
        <w:t>.</w:t>
      </w:r>
      <w:r w:rsidRPr="006E3415">
        <w:rPr>
          <w:rStyle w:val="FootnoteReference"/>
          <w:b w:val="0"/>
          <w:sz w:val="24"/>
          <w:szCs w:val="24"/>
        </w:rPr>
        <w:footnoteReference w:id="89"/>
      </w:r>
      <w:r w:rsidRPr="006E3415">
        <w:rPr>
          <w:b w:val="0"/>
          <w:sz w:val="24"/>
          <w:szCs w:val="24"/>
        </w:rPr>
        <w:t xml:space="preserve"> Similarly</w:t>
      </w:r>
      <w:r w:rsidR="007A2657">
        <w:rPr>
          <w:b w:val="0"/>
          <w:sz w:val="24"/>
          <w:szCs w:val="24"/>
        </w:rPr>
        <w:t xml:space="preserve">, Pohl and Freitag report that </w:t>
      </w:r>
      <w:r w:rsidRPr="006E3415">
        <w:rPr>
          <w:b w:val="0"/>
          <w:sz w:val="24"/>
          <w:szCs w:val="24"/>
        </w:rPr>
        <w:t xml:space="preserve">‘a few subsidiaries survived [the Société’s demise], such as the </w:t>
      </w:r>
      <w:r w:rsidRPr="006E3415">
        <w:rPr>
          <w:b w:val="0"/>
          <w:i/>
          <w:sz w:val="24"/>
          <w:szCs w:val="24"/>
        </w:rPr>
        <w:t>Netherlandsch-Indische Handelsbank</w:t>
      </w:r>
      <w:r w:rsidRPr="006E3415">
        <w:rPr>
          <w:b w:val="0"/>
          <w:sz w:val="24"/>
          <w:szCs w:val="24"/>
        </w:rPr>
        <w:t>, which, amongst other things, as a colonial agricultural bank, concentrated on the banking opportunities in the Netherlands Indies’.</w:t>
      </w:r>
      <w:r w:rsidRPr="006E3415">
        <w:rPr>
          <w:rStyle w:val="FootnoteReference"/>
          <w:b w:val="0"/>
          <w:sz w:val="24"/>
          <w:szCs w:val="24"/>
        </w:rPr>
        <w:footnoteReference w:id="90"/>
      </w:r>
      <w:r w:rsidRPr="006E3415">
        <w:rPr>
          <w:b w:val="0"/>
          <w:sz w:val="24"/>
          <w:szCs w:val="24"/>
        </w:rPr>
        <w:t xml:space="preserve"> It therefore seems likely that the Société’s operations in Ceylon continued for several years after it entered liquidation, and that its activities in that part of the world were ultimately carried on by one or more of its subsidiaries or, indeed, by the Rotterdamsche B</w:t>
      </w:r>
      <w:r w:rsidR="00877C1A" w:rsidRPr="006E3415">
        <w:rPr>
          <w:b w:val="0"/>
          <w:sz w:val="24"/>
          <w:szCs w:val="24"/>
        </w:rPr>
        <w:t xml:space="preserve">ank, with which the Société became </w:t>
      </w:r>
      <w:r w:rsidR="00FE42EB">
        <w:rPr>
          <w:b w:val="0"/>
          <w:sz w:val="24"/>
          <w:szCs w:val="24"/>
        </w:rPr>
        <w:t xml:space="preserve">very closely linked through </w:t>
      </w:r>
      <w:r w:rsidR="00FE42EB" w:rsidRPr="006E3415">
        <w:rPr>
          <w:b w:val="0"/>
          <w:sz w:val="24"/>
          <w:szCs w:val="24"/>
        </w:rPr>
        <w:t>Müller</w:t>
      </w:r>
      <w:r w:rsidR="00FE42EB">
        <w:rPr>
          <w:b w:val="0"/>
          <w:sz w:val="24"/>
          <w:szCs w:val="24"/>
        </w:rPr>
        <w:t>.</w:t>
      </w:r>
    </w:p>
    <w:p w:rsidR="00156B83" w:rsidRDefault="00156B83" w:rsidP="00746BFF">
      <w:pPr>
        <w:pStyle w:val="Heading1"/>
        <w:spacing w:before="0" w:beforeAutospacing="0" w:after="0" w:afterAutospacing="0" w:line="360" w:lineRule="auto"/>
        <w:rPr>
          <w:b w:val="0"/>
          <w:sz w:val="24"/>
          <w:szCs w:val="24"/>
        </w:rPr>
      </w:pPr>
    </w:p>
    <w:p w:rsidR="001A4A24" w:rsidRPr="006E3415" w:rsidRDefault="001A4A24" w:rsidP="00746BFF">
      <w:pPr>
        <w:pStyle w:val="Heading1"/>
        <w:spacing w:before="0" w:beforeAutospacing="0" w:after="0" w:afterAutospacing="0" w:line="360" w:lineRule="auto"/>
        <w:rPr>
          <w:b w:val="0"/>
          <w:sz w:val="24"/>
          <w:szCs w:val="24"/>
        </w:rPr>
      </w:pPr>
    </w:p>
    <w:p w:rsidR="00156B83" w:rsidRPr="006E3415" w:rsidRDefault="00F7285F" w:rsidP="00746BFF">
      <w:pPr>
        <w:pStyle w:val="ListParagraph"/>
        <w:numPr>
          <w:ilvl w:val="0"/>
          <w:numId w:val="2"/>
        </w:numPr>
        <w:spacing w:line="360" w:lineRule="auto"/>
        <w:jc w:val="center"/>
        <w:rPr>
          <w:rStyle w:val="mini"/>
          <w:rFonts w:cs="Times New Roman"/>
          <w:b/>
          <w:iCs/>
          <w:szCs w:val="24"/>
        </w:rPr>
      </w:pPr>
      <w:r w:rsidRPr="006E3415">
        <w:rPr>
          <w:rStyle w:val="mini"/>
          <w:rFonts w:cs="Times New Roman"/>
          <w:b/>
          <w:iCs/>
          <w:szCs w:val="24"/>
        </w:rPr>
        <w:t>THE SALE OF THE ESTATES</w:t>
      </w:r>
    </w:p>
    <w:p w:rsidR="00F7285F" w:rsidRPr="006E3415" w:rsidRDefault="00F7285F" w:rsidP="00746BFF">
      <w:pPr>
        <w:spacing w:after="0" w:line="360" w:lineRule="auto"/>
        <w:jc w:val="center"/>
        <w:rPr>
          <w:rStyle w:val="mini"/>
          <w:rFonts w:ascii="Times New Roman" w:hAnsi="Times New Roman" w:cs="Times New Roman"/>
          <w:b/>
          <w:iCs/>
          <w:color w:val="FF0000"/>
          <w:sz w:val="24"/>
          <w:szCs w:val="24"/>
        </w:rPr>
      </w:pPr>
    </w:p>
    <w:p w:rsidR="00337738" w:rsidRPr="006E3415" w:rsidRDefault="00337738" w:rsidP="00746BFF">
      <w:pPr>
        <w:spacing w:after="0" w:line="360" w:lineRule="auto"/>
        <w:rPr>
          <w:rStyle w:val="mini"/>
          <w:rFonts w:ascii="Times New Roman" w:hAnsi="Times New Roman" w:cs="Times New Roman"/>
          <w:iCs/>
          <w:sz w:val="24"/>
          <w:szCs w:val="24"/>
        </w:rPr>
      </w:pPr>
      <w:r w:rsidRPr="006E3415">
        <w:rPr>
          <w:rStyle w:val="mini"/>
          <w:rFonts w:ascii="Times New Roman" w:hAnsi="Times New Roman" w:cs="Times New Roman"/>
          <w:iCs/>
          <w:color w:val="000000" w:themeColor="text1"/>
          <w:sz w:val="24"/>
          <w:szCs w:val="24"/>
        </w:rPr>
        <w:t>The law reports give relatively little information regarding precisely how and why the sale of the Estates came about. It is variously stated that they were sold ‘under a power of sale’,</w:t>
      </w:r>
      <w:r w:rsidRPr="006E3415">
        <w:rPr>
          <w:rStyle w:val="FootnoteReference"/>
          <w:rFonts w:ascii="Times New Roman" w:hAnsi="Times New Roman" w:cs="Times New Roman"/>
          <w:iCs/>
          <w:color w:val="000000" w:themeColor="text1"/>
          <w:sz w:val="24"/>
          <w:szCs w:val="24"/>
        </w:rPr>
        <w:footnoteReference w:id="91"/>
      </w:r>
      <w:r w:rsidRPr="006E3415">
        <w:rPr>
          <w:rStyle w:val="mini"/>
          <w:rFonts w:ascii="Times New Roman" w:hAnsi="Times New Roman" w:cs="Times New Roman"/>
          <w:iCs/>
          <w:color w:val="000000" w:themeColor="text1"/>
          <w:sz w:val="24"/>
          <w:szCs w:val="24"/>
        </w:rPr>
        <w:t xml:space="preserve"> by the ‘liquidators’ of the company,</w:t>
      </w:r>
      <w:r w:rsidRPr="006E3415">
        <w:rPr>
          <w:rStyle w:val="FootnoteReference"/>
          <w:rFonts w:ascii="Times New Roman" w:hAnsi="Times New Roman" w:cs="Times New Roman"/>
          <w:iCs/>
          <w:color w:val="000000" w:themeColor="text1"/>
          <w:sz w:val="24"/>
          <w:szCs w:val="24"/>
        </w:rPr>
        <w:footnoteReference w:id="92"/>
      </w:r>
      <w:r w:rsidRPr="006E3415">
        <w:rPr>
          <w:rStyle w:val="mini"/>
          <w:rFonts w:ascii="Times New Roman" w:hAnsi="Times New Roman" w:cs="Times New Roman"/>
          <w:iCs/>
          <w:color w:val="000000" w:themeColor="text1"/>
          <w:sz w:val="24"/>
          <w:szCs w:val="24"/>
        </w:rPr>
        <w:t xml:space="preserve"> by ‘the mortgagees’,</w:t>
      </w:r>
      <w:r w:rsidRPr="006E3415">
        <w:rPr>
          <w:rStyle w:val="FootnoteReference"/>
          <w:rFonts w:ascii="Times New Roman" w:hAnsi="Times New Roman" w:cs="Times New Roman"/>
          <w:iCs/>
          <w:color w:val="000000" w:themeColor="text1"/>
          <w:sz w:val="24"/>
          <w:szCs w:val="24"/>
        </w:rPr>
        <w:footnoteReference w:id="93"/>
      </w:r>
      <w:r w:rsidRPr="006E3415">
        <w:rPr>
          <w:rStyle w:val="mini"/>
          <w:rFonts w:ascii="Times New Roman" w:hAnsi="Times New Roman" w:cs="Times New Roman"/>
          <w:iCs/>
          <w:color w:val="000000" w:themeColor="text1"/>
          <w:sz w:val="24"/>
          <w:szCs w:val="24"/>
        </w:rPr>
        <w:t xml:space="preserve"> and als</w:t>
      </w:r>
      <w:r w:rsidR="001A4A24">
        <w:rPr>
          <w:rStyle w:val="mini"/>
          <w:rFonts w:ascii="Times New Roman" w:hAnsi="Times New Roman" w:cs="Times New Roman"/>
          <w:iCs/>
          <w:color w:val="000000" w:themeColor="text1"/>
          <w:sz w:val="24"/>
          <w:szCs w:val="24"/>
        </w:rPr>
        <w:t xml:space="preserve">o </w:t>
      </w:r>
      <w:r w:rsidRPr="006E3415">
        <w:rPr>
          <w:rStyle w:val="mini"/>
          <w:rFonts w:ascii="Times New Roman" w:hAnsi="Times New Roman" w:cs="Times New Roman"/>
          <w:iCs/>
          <w:color w:val="000000" w:themeColor="text1"/>
          <w:sz w:val="24"/>
          <w:szCs w:val="24"/>
        </w:rPr>
        <w:t xml:space="preserve">that they were sold, but </w:t>
      </w:r>
      <w:r w:rsidRPr="006E3415">
        <w:rPr>
          <w:rStyle w:val="mini"/>
          <w:rFonts w:ascii="Times New Roman" w:hAnsi="Times New Roman" w:cs="Times New Roman"/>
          <w:iCs/>
          <w:color w:val="000000" w:themeColor="text1"/>
          <w:sz w:val="24"/>
          <w:szCs w:val="24"/>
        </w:rPr>
        <w:lastRenderedPageBreak/>
        <w:t>without reference to the identity of the seller.</w:t>
      </w:r>
      <w:r w:rsidRPr="006E3415">
        <w:rPr>
          <w:rStyle w:val="FootnoteReference"/>
          <w:rFonts w:ascii="Times New Roman" w:hAnsi="Times New Roman" w:cs="Times New Roman"/>
          <w:iCs/>
          <w:color w:val="000000" w:themeColor="text1"/>
          <w:sz w:val="24"/>
          <w:szCs w:val="24"/>
        </w:rPr>
        <w:footnoteReference w:id="94"/>
      </w:r>
      <w:r w:rsidRPr="006E3415">
        <w:rPr>
          <w:rStyle w:val="mini"/>
          <w:rFonts w:ascii="Times New Roman" w:hAnsi="Times New Roman" w:cs="Times New Roman"/>
          <w:iCs/>
          <w:color w:val="000000" w:themeColor="text1"/>
          <w:sz w:val="24"/>
          <w:szCs w:val="24"/>
        </w:rPr>
        <w:t xml:space="preserve"> </w:t>
      </w:r>
      <w:r w:rsidRPr="006E3415">
        <w:rPr>
          <w:rStyle w:val="mini"/>
          <w:rFonts w:ascii="Times New Roman" w:hAnsi="Times New Roman" w:cs="Times New Roman"/>
          <w:iCs/>
          <w:sz w:val="24"/>
          <w:szCs w:val="24"/>
        </w:rPr>
        <w:t xml:space="preserve">It </w:t>
      </w:r>
      <w:r w:rsidR="009A64F1" w:rsidRPr="006E3415">
        <w:rPr>
          <w:rStyle w:val="mini"/>
          <w:rFonts w:ascii="Times New Roman" w:hAnsi="Times New Roman" w:cs="Times New Roman"/>
          <w:iCs/>
          <w:sz w:val="24"/>
          <w:szCs w:val="24"/>
        </w:rPr>
        <w:t xml:space="preserve">is also stated </w:t>
      </w:r>
      <w:r w:rsidRPr="006E3415">
        <w:rPr>
          <w:rStyle w:val="mini"/>
          <w:rFonts w:ascii="Times New Roman" w:hAnsi="Times New Roman" w:cs="Times New Roman"/>
          <w:iCs/>
          <w:sz w:val="24"/>
          <w:szCs w:val="24"/>
        </w:rPr>
        <w:t xml:space="preserve">that Emily entered the </w:t>
      </w:r>
      <w:r w:rsidR="00ED5376">
        <w:rPr>
          <w:rStyle w:val="mini"/>
          <w:rFonts w:ascii="Times New Roman" w:hAnsi="Times New Roman" w:cs="Times New Roman"/>
          <w:iCs/>
          <w:sz w:val="24"/>
          <w:szCs w:val="24"/>
        </w:rPr>
        <w:t>parol agreement whereby</w:t>
      </w:r>
      <w:r w:rsidRPr="006E3415">
        <w:rPr>
          <w:rStyle w:val="mini"/>
          <w:rFonts w:ascii="Times New Roman" w:hAnsi="Times New Roman" w:cs="Times New Roman"/>
          <w:iCs/>
          <w:sz w:val="24"/>
          <w:szCs w:val="24"/>
        </w:rPr>
        <w:t xml:space="preserve"> Boustead </w:t>
      </w:r>
      <w:r w:rsidR="00ED5376">
        <w:rPr>
          <w:rStyle w:val="mini"/>
          <w:rFonts w:ascii="Times New Roman" w:hAnsi="Times New Roman" w:cs="Times New Roman"/>
          <w:iCs/>
          <w:sz w:val="24"/>
          <w:szCs w:val="24"/>
        </w:rPr>
        <w:t xml:space="preserve">would purchase the Estates as trustee for her </w:t>
      </w:r>
      <w:r w:rsidRPr="006E3415">
        <w:rPr>
          <w:rStyle w:val="mini"/>
          <w:rFonts w:ascii="Times New Roman" w:hAnsi="Times New Roman" w:cs="Times New Roman"/>
          <w:iCs/>
          <w:sz w:val="24"/>
          <w:szCs w:val="24"/>
        </w:rPr>
        <w:t xml:space="preserve">because the </w:t>
      </w:r>
      <w:r w:rsidRPr="006E3415">
        <w:rPr>
          <w:rFonts w:ascii="Times New Roman" w:hAnsi="Times New Roman" w:cs="Times New Roman"/>
          <w:sz w:val="24"/>
          <w:szCs w:val="24"/>
        </w:rPr>
        <w:t xml:space="preserve">Dutch company wished to call in the mortgage, and </w:t>
      </w:r>
      <w:r w:rsidR="00C933D7">
        <w:rPr>
          <w:rFonts w:ascii="Times New Roman" w:hAnsi="Times New Roman" w:cs="Times New Roman"/>
          <w:sz w:val="24"/>
          <w:szCs w:val="24"/>
        </w:rPr>
        <w:t>‘</w:t>
      </w:r>
      <w:r w:rsidRPr="006E3415">
        <w:rPr>
          <w:rFonts w:ascii="Times New Roman" w:hAnsi="Times New Roman" w:cs="Times New Roman"/>
          <w:sz w:val="24"/>
          <w:szCs w:val="24"/>
        </w:rPr>
        <w:t>[Emily was] not… in a position to find the money’.</w:t>
      </w:r>
      <w:r w:rsidRPr="006E3415">
        <w:rPr>
          <w:rStyle w:val="FootnoteReference"/>
          <w:rFonts w:ascii="Times New Roman" w:hAnsi="Times New Roman" w:cs="Times New Roman"/>
          <w:sz w:val="24"/>
          <w:szCs w:val="24"/>
        </w:rPr>
        <w:footnoteReference w:id="95"/>
      </w:r>
      <w:r w:rsidRPr="006E3415">
        <w:rPr>
          <w:rFonts w:ascii="Times New Roman" w:hAnsi="Times New Roman" w:cs="Times New Roman"/>
          <w:sz w:val="24"/>
          <w:szCs w:val="24"/>
        </w:rPr>
        <w:t xml:space="preserve"> One of the reports also hints at some conspiracy, stating that ‘it was a great object of the plaintiff and her friends to prevent Mr Cavendish from deriving any benefit from these estates’.</w:t>
      </w:r>
      <w:r w:rsidRPr="006E3415">
        <w:rPr>
          <w:rStyle w:val="FootnoteReference"/>
          <w:rFonts w:ascii="Times New Roman" w:hAnsi="Times New Roman" w:cs="Times New Roman"/>
          <w:sz w:val="24"/>
          <w:szCs w:val="24"/>
        </w:rPr>
        <w:footnoteReference w:id="96"/>
      </w:r>
      <w:r w:rsidRPr="006E3415">
        <w:rPr>
          <w:rFonts w:ascii="Times New Roman" w:hAnsi="Times New Roman" w:cs="Times New Roman"/>
          <w:sz w:val="24"/>
          <w:szCs w:val="24"/>
        </w:rPr>
        <w:t xml:space="preserve"> </w:t>
      </w:r>
      <w:r w:rsidRPr="006E3415">
        <w:rPr>
          <w:rStyle w:val="mini"/>
          <w:rFonts w:ascii="Times New Roman" w:hAnsi="Times New Roman" w:cs="Times New Roman"/>
          <w:iCs/>
          <w:sz w:val="24"/>
          <w:szCs w:val="24"/>
        </w:rPr>
        <w:t>From various sources, it has been possib</w:t>
      </w:r>
      <w:r w:rsidR="00C933D7">
        <w:rPr>
          <w:rStyle w:val="mini"/>
          <w:rFonts w:ascii="Times New Roman" w:hAnsi="Times New Roman" w:cs="Times New Roman"/>
          <w:iCs/>
          <w:sz w:val="24"/>
          <w:szCs w:val="24"/>
        </w:rPr>
        <w:t xml:space="preserve">le to piece together a </w:t>
      </w:r>
      <w:r w:rsidRPr="006E3415">
        <w:rPr>
          <w:rStyle w:val="mini"/>
          <w:rFonts w:ascii="Times New Roman" w:hAnsi="Times New Roman" w:cs="Times New Roman"/>
          <w:iCs/>
          <w:sz w:val="24"/>
          <w:szCs w:val="24"/>
        </w:rPr>
        <w:t xml:space="preserve">detailed account of the circumstances </w:t>
      </w:r>
      <w:r w:rsidR="00E45A26" w:rsidRPr="006E3415">
        <w:rPr>
          <w:rStyle w:val="mini"/>
          <w:rFonts w:ascii="Times New Roman" w:hAnsi="Times New Roman" w:cs="Times New Roman"/>
          <w:iCs/>
          <w:sz w:val="24"/>
          <w:szCs w:val="24"/>
        </w:rPr>
        <w:t>preceding</w:t>
      </w:r>
      <w:r w:rsidRPr="006E3415">
        <w:rPr>
          <w:rStyle w:val="mini"/>
          <w:rFonts w:ascii="Times New Roman" w:hAnsi="Times New Roman" w:cs="Times New Roman"/>
          <w:iCs/>
          <w:sz w:val="24"/>
          <w:szCs w:val="24"/>
        </w:rPr>
        <w:t xml:space="preserve"> and surrounding the sale of the Estates and the purchase thereof by Boustead.</w:t>
      </w:r>
      <w:r w:rsidR="009B3830" w:rsidRPr="006E3415">
        <w:rPr>
          <w:rStyle w:val="mini"/>
          <w:rFonts w:ascii="Times New Roman" w:hAnsi="Times New Roman" w:cs="Times New Roman"/>
          <w:iCs/>
          <w:sz w:val="24"/>
          <w:szCs w:val="24"/>
        </w:rPr>
        <w:t xml:space="preserve"> </w:t>
      </w:r>
    </w:p>
    <w:p w:rsidR="00337738" w:rsidRPr="006E3415" w:rsidRDefault="00337738" w:rsidP="00746BFF">
      <w:pPr>
        <w:spacing w:after="0" w:line="360" w:lineRule="auto"/>
        <w:rPr>
          <w:rStyle w:val="mini"/>
          <w:rFonts w:ascii="Times New Roman" w:hAnsi="Times New Roman" w:cs="Times New Roman"/>
          <w:i/>
          <w:iCs/>
          <w:sz w:val="24"/>
          <w:szCs w:val="24"/>
        </w:rPr>
      </w:pPr>
    </w:p>
    <w:p w:rsidR="00337738" w:rsidRPr="006E3415" w:rsidRDefault="00337738" w:rsidP="00746BFF">
      <w:pPr>
        <w:pStyle w:val="ListParagraph"/>
        <w:numPr>
          <w:ilvl w:val="0"/>
          <w:numId w:val="6"/>
        </w:numPr>
        <w:spacing w:line="360" w:lineRule="auto"/>
        <w:rPr>
          <w:rStyle w:val="mini"/>
          <w:rFonts w:cs="Times New Roman"/>
          <w:i/>
          <w:iCs/>
          <w:szCs w:val="24"/>
        </w:rPr>
      </w:pPr>
      <w:r w:rsidRPr="006E3415">
        <w:rPr>
          <w:rStyle w:val="mini"/>
          <w:rFonts w:cs="Times New Roman"/>
          <w:i/>
          <w:iCs/>
          <w:szCs w:val="24"/>
        </w:rPr>
        <w:t>The facts leading to the sale</w:t>
      </w:r>
    </w:p>
    <w:p w:rsidR="00337738" w:rsidRPr="006E3415" w:rsidRDefault="00337738" w:rsidP="00746BFF">
      <w:pPr>
        <w:spacing w:after="0" w:line="360" w:lineRule="auto"/>
        <w:rPr>
          <w:rStyle w:val="mini"/>
          <w:rFonts w:ascii="Times New Roman" w:hAnsi="Times New Roman" w:cs="Times New Roman"/>
          <w:iCs/>
          <w:sz w:val="24"/>
          <w:szCs w:val="24"/>
        </w:rPr>
      </w:pPr>
    </w:p>
    <w:p w:rsidR="00337738" w:rsidRPr="006E3415" w:rsidRDefault="00337738" w:rsidP="00746BFF">
      <w:pPr>
        <w:spacing w:after="0" w:line="360" w:lineRule="auto"/>
        <w:rPr>
          <w:rFonts w:ascii="Times New Roman" w:hAnsi="Times New Roman" w:cs="Times New Roman"/>
          <w:sz w:val="24"/>
          <w:szCs w:val="24"/>
        </w:rPr>
      </w:pPr>
      <w:r w:rsidRPr="006E3415">
        <w:rPr>
          <w:rStyle w:val="mini"/>
          <w:rFonts w:ascii="Times New Roman" w:hAnsi="Times New Roman" w:cs="Times New Roman"/>
          <w:iCs/>
          <w:sz w:val="24"/>
          <w:szCs w:val="24"/>
        </w:rPr>
        <w:t xml:space="preserve">On </w:t>
      </w:r>
      <w:r w:rsidR="00CF73F7" w:rsidRPr="006E3415">
        <w:rPr>
          <w:rStyle w:val="mini"/>
          <w:rFonts w:ascii="Times New Roman" w:hAnsi="Times New Roman" w:cs="Times New Roman"/>
          <w:iCs/>
          <w:sz w:val="24"/>
          <w:szCs w:val="24"/>
        </w:rPr>
        <w:t>9 November</w:t>
      </w:r>
      <w:r w:rsidR="00354B27">
        <w:rPr>
          <w:rStyle w:val="mini"/>
          <w:rFonts w:ascii="Times New Roman" w:hAnsi="Times New Roman" w:cs="Times New Roman"/>
          <w:iCs/>
          <w:sz w:val="24"/>
          <w:szCs w:val="24"/>
        </w:rPr>
        <w:t xml:space="preserve"> 1866, a solicitor </w:t>
      </w:r>
      <w:r w:rsidR="00354B27" w:rsidRPr="006E3415">
        <w:rPr>
          <w:rStyle w:val="mini"/>
          <w:rFonts w:ascii="Times New Roman" w:hAnsi="Times New Roman" w:cs="Times New Roman"/>
          <w:iCs/>
          <w:sz w:val="24"/>
          <w:szCs w:val="24"/>
        </w:rPr>
        <w:t>named Mr Hodgson</w:t>
      </w:r>
      <w:r w:rsidR="00354B27">
        <w:rPr>
          <w:rStyle w:val="mini"/>
          <w:rFonts w:ascii="Times New Roman" w:hAnsi="Times New Roman" w:cs="Times New Roman"/>
          <w:iCs/>
          <w:sz w:val="24"/>
          <w:szCs w:val="24"/>
        </w:rPr>
        <w:t>,</w:t>
      </w:r>
      <w:r w:rsidR="00354B27" w:rsidRPr="006E3415">
        <w:rPr>
          <w:rStyle w:val="mini"/>
          <w:rFonts w:ascii="Times New Roman" w:hAnsi="Times New Roman" w:cs="Times New Roman"/>
          <w:iCs/>
          <w:sz w:val="24"/>
          <w:szCs w:val="24"/>
        </w:rPr>
        <w:t xml:space="preserve"> </w:t>
      </w:r>
      <w:r w:rsidR="00354B27">
        <w:rPr>
          <w:rStyle w:val="mini"/>
          <w:rFonts w:ascii="Times New Roman" w:hAnsi="Times New Roman" w:cs="Times New Roman"/>
          <w:iCs/>
          <w:sz w:val="24"/>
          <w:szCs w:val="24"/>
        </w:rPr>
        <w:t>acting for</w:t>
      </w:r>
      <w:r w:rsidRPr="006E3415">
        <w:rPr>
          <w:rStyle w:val="mini"/>
          <w:rFonts w:ascii="Times New Roman" w:hAnsi="Times New Roman" w:cs="Times New Roman"/>
          <w:iCs/>
          <w:sz w:val="24"/>
          <w:szCs w:val="24"/>
        </w:rPr>
        <w:t xml:space="preserve"> Cavendish</w:t>
      </w:r>
      <w:r w:rsidR="00354B27">
        <w:rPr>
          <w:rStyle w:val="mini"/>
          <w:rFonts w:ascii="Times New Roman" w:hAnsi="Times New Roman" w:cs="Times New Roman"/>
          <w:iCs/>
          <w:sz w:val="24"/>
          <w:szCs w:val="24"/>
        </w:rPr>
        <w:t>,</w:t>
      </w:r>
      <w:r w:rsidRPr="006E3415">
        <w:rPr>
          <w:rStyle w:val="mini"/>
          <w:rFonts w:ascii="Times New Roman" w:hAnsi="Times New Roman" w:cs="Times New Roman"/>
          <w:iCs/>
          <w:sz w:val="24"/>
          <w:szCs w:val="24"/>
        </w:rPr>
        <w:t xml:space="preserve"> wrote from London to Robertsons in Ceylon explaining that his client had presented a </w:t>
      </w:r>
      <w:r w:rsidR="00E45A26" w:rsidRPr="006E3415">
        <w:rPr>
          <w:rStyle w:val="mini"/>
          <w:rFonts w:ascii="Times New Roman" w:hAnsi="Times New Roman" w:cs="Times New Roman"/>
          <w:iCs/>
          <w:sz w:val="24"/>
          <w:szCs w:val="24"/>
        </w:rPr>
        <w:t>petition</w:t>
      </w:r>
      <w:r w:rsidRPr="006E3415">
        <w:rPr>
          <w:rStyle w:val="mini"/>
          <w:rFonts w:ascii="Times New Roman" w:hAnsi="Times New Roman" w:cs="Times New Roman"/>
          <w:iCs/>
          <w:sz w:val="24"/>
          <w:szCs w:val="24"/>
        </w:rPr>
        <w:t xml:space="preserve"> to the Divorce Court</w:t>
      </w:r>
      <w:r w:rsidRPr="006E3415">
        <w:rPr>
          <w:rStyle w:val="mini"/>
          <w:rFonts w:ascii="Times New Roman" w:hAnsi="Times New Roman" w:cs="Times New Roman"/>
          <w:sz w:val="24"/>
          <w:szCs w:val="24"/>
        </w:rPr>
        <w:t>, warning that the court possessed a statutory power, ‘</w:t>
      </w:r>
      <w:r w:rsidRPr="006E3415">
        <w:rPr>
          <w:rFonts w:ascii="Times New Roman" w:hAnsi="Times New Roman" w:cs="Times New Roman"/>
          <w:sz w:val="24"/>
          <w:szCs w:val="24"/>
        </w:rPr>
        <w:t>upon Divorce being pronounced for adultery of the wife, to settle her fortune as it may think reasonable for the benefit of the innocent party, and the children’.</w:t>
      </w:r>
      <w:r w:rsidRPr="006E3415">
        <w:rPr>
          <w:rStyle w:val="FootnoteReference"/>
          <w:rFonts w:ascii="Times New Roman" w:hAnsi="Times New Roman" w:cs="Times New Roman"/>
          <w:sz w:val="24"/>
          <w:szCs w:val="24"/>
        </w:rPr>
        <w:footnoteReference w:id="97"/>
      </w:r>
      <w:r w:rsidRPr="006E3415">
        <w:rPr>
          <w:rFonts w:ascii="Times New Roman" w:hAnsi="Times New Roman" w:cs="Times New Roman"/>
          <w:sz w:val="24"/>
          <w:szCs w:val="24"/>
        </w:rPr>
        <w:t xml:space="preserve"> Hodgson commented that although Emily, who was at that time in Baden Baden, had refused to acknowledge service of an </w:t>
      </w:r>
      <w:r w:rsidR="00E45A26" w:rsidRPr="006E3415">
        <w:rPr>
          <w:rFonts w:ascii="Times New Roman" w:hAnsi="Times New Roman" w:cs="Times New Roman"/>
          <w:sz w:val="24"/>
          <w:szCs w:val="24"/>
        </w:rPr>
        <w:t>official</w:t>
      </w:r>
      <w:r w:rsidRPr="006E3415">
        <w:rPr>
          <w:rFonts w:ascii="Times New Roman" w:hAnsi="Times New Roman" w:cs="Times New Roman"/>
          <w:sz w:val="24"/>
          <w:szCs w:val="24"/>
        </w:rPr>
        <w:t xml:space="preserve"> copy of the petition, such a copy had been served upon the Société. He provided reassurance that the Société’s rights as mortgagees would not be compromised by any order of the Divorce Court, but threatened that ‘no payment made by the Society to Mrs Cavendish in opposition to the order of the Court here would be recognised in any manner’.</w:t>
      </w:r>
      <w:r w:rsidRPr="006E3415">
        <w:rPr>
          <w:rStyle w:val="FootnoteReference"/>
          <w:rFonts w:ascii="Times New Roman" w:hAnsi="Times New Roman" w:cs="Times New Roman"/>
          <w:sz w:val="24"/>
          <w:szCs w:val="24"/>
        </w:rPr>
        <w:footnoteReference w:id="98"/>
      </w:r>
      <w:r w:rsidRPr="006E3415">
        <w:rPr>
          <w:rFonts w:ascii="Times New Roman" w:hAnsi="Times New Roman" w:cs="Times New Roman"/>
          <w:sz w:val="24"/>
          <w:szCs w:val="24"/>
        </w:rPr>
        <w:t xml:space="preserve"> Hodgson also reminded Robertsons that ‘by the ordinance of your Government dated 23</w:t>
      </w:r>
      <w:r w:rsidRPr="006E3415">
        <w:rPr>
          <w:rFonts w:ascii="Times New Roman" w:hAnsi="Times New Roman" w:cs="Times New Roman"/>
          <w:sz w:val="24"/>
          <w:szCs w:val="24"/>
          <w:vertAlign w:val="superscript"/>
        </w:rPr>
        <w:t>rd</w:t>
      </w:r>
      <w:r w:rsidRPr="006E3415">
        <w:rPr>
          <w:rFonts w:ascii="Times New Roman" w:hAnsi="Times New Roman" w:cs="Times New Roman"/>
          <w:sz w:val="24"/>
          <w:szCs w:val="24"/>
        </w:rPr>
        <w:t xml:space="preserve"> December 1844 there will be no difficulty in carrying out the settlement whatever that may be.’</w:t>
      </w:r>
      <w:r w:rsidRPr="006E3415">
        <w:rPr>
          <w:rStyle w:val="FootnoteReference"/>
          <w:rFonts w:ascii="Times New Roman" w:hAnsi="Times New Roman" w:cs="Times New Roman"/>
          <w:sz w:val="24"/>
          <w:szCs w:val="24"/>
        </w:rPr>
        <w:footnoteReference w:id="99"/>
      </w:r>
      <w:r w:rsidRPr="006E3415">
        <w:rPr>
          <w:rFonts w:ascii="Times New Roman" w:hAnsi="Times New Roman" w:cs="Times New Roman"/>
          <w:sz w:val="24"/>
          <w:szCs w:val="24"/>
        </w:rPr>
        <w:t xml:space="preserve"> The tenor of this letter </w:t>
      </w:r>
      <w:r w:rsidR="00C933D7">
        <w:rPr>
          <w:rFonts w:ascii="Times New Roman" w:hAnsi="Times New Roman" w:cs="Times New Roman"/>
          <w:sz w:val="24"/>
          <w:szCs w:val="24"/>
        </w:rPr>
        <w:t>sug</w:t>
      </w:r>
      <w:r w:rsidR="00245B5A">
        <w:rPr>
          <w:rFonts w:ascii="Times New Roman" w:hAnsi="Times New Roman" w:cs="Times New Roman"/>
          <w:sz w:val="24"/>
          <w:szCs w:val="24"/>
        </w:rPr>
        <w:t>gests</w:t>
      </w:r>
      <w:r w:rsidR="007056B2" w:rsidRPr="006E3415">
        <w:rPr>
          <w:rFonts w:ascii="Times New Roman" w:hAnsi="Times New Roman" w:cs="Times New Roman"/>
          <w:sz w:val="24"/>
          <w:szCs w:val="24"/>
        </w:rPr>
        <w:t xml:space="preserve"> that Cavendish </w:t>
      </w:r>
      <w:r w:rsidRPr="006E3415">
        <w:rPr>
          <w:rFonts w:ascii="Times New Roman" w:hAnsi="Times New Roman" w:cs="Times New Roman"/>
          <w:sz w:val="24"/>
          <w:szCs w:val="24"/>
        </w:rPr>
        <w:t xml:space="preserve">expected that the Divorce Court’s decree would be carried into effect irrespective of the several jurisdictions involved. </w:t>
      </w:r>
    </w:p>
    <w:p w:rsidR="00642887" w:rsidRPr="006E3415" w:rsidRDefault="00642887" w:rsidP="00746BFF">
      <w:pPr>
        <w:spacing w:after="0" w:line="360" w:lineRule="auto"/>
        <w:rPr>
          <w:rFonts w:ascii="Times New Roman" w:hAnsi="Times New Roman" w:cs="Times New Roman"/>
          <w:sz w:val="24"/>
          <w:szCs w:val="24"/>
        </w:rPr>
      </w:pPr>
    </w:p>
    <w:p w:rsidR="00337738" w:rsidRPr="006E3415" w:rsidRDefault="00337738" w:rsidP="00746BFF">
      <w:pPr>
        <w:spacing w:after="0" w:line="360" w:lineRule="auto"/>
        <w:rPr>
          <w:rFonts w:ascii="Times New Roman" w:hAnsi="Times New Roman" w:cs="Times New Roman"/>
          <w:sz w:val="24"/>
          <w:szCs w:val="24"/>
        </w:rPr>
      </w:pPr>
      <w:r w:rsidRPr="006E3415">
        <w:rPr>
          <w:rStyle w:val="mini"/>
          <w:rFonts w:ascii="Times New Roman" w:hAnsi="Times New Roman" w:cs="Times New Roman"/>
          <w:iCs/>
          <w:sz w:val="24"/>
          <w:szCs w:val="24"/>
        </w:rPr>
        <w:t xml:space="preserve">Despite Hodgson’s letter, the Estates were never transferred </w:t>
      </w:r>
      <w:r w:rsidR="003A2C8F">
        <w:rPr>
          <w:rStyle w:val="mini"/>
          <w:rFonts w:ascii="Times New Roman" w:hAnsi="Times New Roman" w:cs="Times New Roman"/>
          <w:iCs/>
          <w:sz w:val="24"/>
          <w:szCs w:val="24"/>
        </w:rPr>
        <w:t xml:space="preserve">to </w:t>
      </w:r>
      <w:r w:rsidRPr="006E3415">
        <w:rPr>
          <w:rStyle w:val="mini"/>
          <w:rFonts w:ascii="Times New Roman" w:hAnsi="Times New Roman" w:cs="Times New Roman"/>
          <w:iCs/>
          <w:sz w:val="24"/>
          <w:szCs w:val="24"/>
        </w:rPr>
        <w:t xml:space="preserve">the English trustees in accordance with the 1868 decree. There is a wealth of correspondence from as early as </w:t>
      </w:r>
      <w:r w:rsidRPr="006E3415">
        <w:rPr>
          <w:rStyle w:val="mini"/>
          <w:rFonts w:ascii="Times New Roman" w:hAnsi="Times New Roman" w:cs="Times New Roman"/>
          <w:iCs/>
          <w:sz w:val="24"/>
          <w:szCs w:val="24"/>
        </w:rPr>
        <w:lastRenderedPageBreak/>
        <w:t xml:space="preserve">August 1870, which indicates that, soon after the 1868 decree, the </w:t>
      </w:r>
      <w:r w:rsidRPr="006E3415">
        <w:rPr>
          <w:rFonts w:ascii="Times New Roman" w:hAnsi="Times New Roman" w:cs="Times New Roman"/>
          <w:sz w:val="24"/>
          <w:szCs w:val="24"/>
        </w:rPr>
        <w:t>Société became extremely keen to realise its security</w:t>
      </w:r>
      <w:r w:rsidRPr="006E3415">
        <w:rPr>
          <w:rStyle w:val="FootnoteReference"/>
          <w:rFonts w:ascii="Times New Roman" w:hAnsi="Times New Roman" w:cs="Times New Roman"/>
          <w:sz w:val="24"/>
          <w:szCs w:val="24"/>
        </w:rPr>
        <w:footnoteReference w:id="100"/>
      </w:r>
      <w:r w:rsidRPr="006E3415">
        <w:rPr>
          <w:rFonts w:ascii="Times New Roman" w:hAnsi="Times New Roman" w:cs="Times New Roman"/>
          <w:sz w:val="24"/>
          <w:szCs w:val="24"/>
        </w:rPr>
        <w:t xml:space="preserve"> by causing the Estates to be sold.</w:t>
      </w:r>
      <w:r w:rsidRPr="006E3415">
        <w:rPr>
          <w:rStyle w:val="FootnoteReference"/>
          <w:rFonts w:ascii="Times New Roman" w:hAnsi="Times New Roman" w:cs="Times New Roman"/>
          <w:sz w:val="24"/>
          <w:szCs w:val="24"/>
        </w:rPr>
        <w:footnoteReference w:id="101"/>
      </w:r>
      <w:r w:rsidRPr="006E3415">
        <w:rPr>
          <w:rFonts w:ascii="Times New Roman" w:hAnsi="Times New Roman" w:cs="Times New Roman"/>
          <w:sz w:val="24"/>
          <w:szCs w:val="24"/>
        </w:rPr>
        <w:t xml:space="preserve"> Furthermore, some time before 23</w:t>
      </w:r>
      <w:r w:rsidRPr="006E3415">
        <w:rPr>
          <w:rFonts w:ascii="Times New Roman" w:hAnsi="Times New Roman" w:cs="Times New Roman"/>
          <w:sz w:val="24"/>
          <w:szCs w:val="24"/>
          <w:vertAlign w:val="superscript"/>
        </w:rPr>
        <w:t>rd</w:t>
      </w:r>
      <w:r w:rsidRPr="006E3415">
        <w:rPr>
          <w:rFonts w:ascii="Times New Roman" w:hAnsi="Times New Roman" w:cs="Times New Roman"/>
          <w:sz w:val="24"/>
          <w:szCs w:val="24"/>
        </w:rPr>
        <w:t xml:space="preserve"> February 1871,</w:t>
      </w:r>
      <w:r w:rsidR="00EC1520" w:rsidRPr="006E3415">
        <w:rPr>
          <w:rFonts w:ascii="Times New Roman" w:hAnsi="Times New Roman" w:cs="Times New Roman"/>
          <w:sz w:val="24"/>
          <w:szCs w:val="24"/>
        </w:rPr>
        <w:t xml:space="preserve"> Emily revoked the</w:t>
      </w:r>
      <w:r w:rsidRPr="006E3415">
        <w:rPr>
          <w:rFonts w:ascii="Times New Roman" w:hAnsi="Times New Roman" w:cs="Times New Roman"/>
          <w:sz w:val="24"/>
          <w:szCs w:val="24"/>
        </w:rPr>
        <w:t xml:space="preserve"> power of attorney that had been granted to Robertsons</w:t>
      </w:r>
      <w:r w:rsidR="00EC1520" w:rsidRPr="006E3415">
        <w:rPr>
          <w:rFonts w:ascii="Times New Roman" w:hAnsi="Times New Roman" w:cs="Times New Roman"/>
          <w:sz w:val="24"/>
          <w:szCs w:val="24"/>
        </w:rPr>
        <w:t xml:space="preserve"> in December 1863</w:t>
      </w:r>
      <w:r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102"/>
      </w:r>
      <w:r w:rsidRPr="006E3415">
        <w:rPr>
          <w:rFonts w:ascii="Times New Roman" w:hAnsi="Times New Roman" w:cs="Times New Roman"/>
          <w:sz w:val="24"/>
          <w:szCs w:val="24"/>
        </w:rPr>
        <w:t xml:space="preserve"> Accordingly</w:t>
      </w:r>
      <w:r w:rsidR="009B48D6">
        <w:rPr>
          <w:rFonts w:ascii="Times New Roman" w:hAnsi="Times New Roman" w:cs="Times New Roman"/>
          <w:sz w:val="24"/>
          <w:szCs w:val="24"/>
        </w:rPr>
        <w:t>,</w:t>
      </w:r>
      <w:r w:rsidRPr="006E3415">
        <w:rPr>
          <w:rFonts w:ascii="Times New Roman" w:hAnsi="Times New Roman" w:cs="Times New Roman"/>
          <w:sz w:val="24"/>
          <w:szCs w:val="24"/>
        </w:rPr>
        <w:t xml:space="preserve"> Robertsons informed Müller that it would now act in the exclusive interests of the Société.</w:t>
      </w:r>
      <w:r w:rsidRPr="006E3415">
        <w:rPr>
          <w:rStyle w:val="FootnoteReference"/>
          <w:rFonts w:ascii="Times New Roman" w:hAnsi="Times New Roman" w:cs="Times New Roman"/>
          <w:sz w:val="24"/>
          <w:szCs w:val="24"/>
        </w:rPr>
        <w:footnoteReference w:id="103"/>
      </w:r>
    </w:p>
    <w:p w:rsidR="00642887" w:rsidRPr="006E3415" w:rsidRDefault="00642887" w:rsidP="00746BFF">
      <w:pPr>
        <w:spacing w:after="0" w:line="360" w:lineRule="auto"/>
        <w:rPr>
          <w:rFonts w:ascii="Times New Roman" w:hAnsi="Times New Roman" w:cs="Times New Roman"/>
          <w:sz w:val="24"/>
          <w:szCs w:val="24"/>
        </w:rPr>
      </w:pPr>
    </w:p>
    <w:p w:rsidR="00642887" w:rsidRPr="006E3415" w:rsidRDefault="00337738"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At around this time, Emily began negotiations with a view</w:t>
      </w:r>
      <w:r w:rsidR="00E0711D">
        <w:rPr>
          <w:rFonts w:ascii="Times New Roman" w:hAnsi="Times New Roman" w:cs="Times New Roman"/>
          <w:sz w:val="24"/>
          <w:szCs w:val="24"/>
        </w:rPr>
        <w:t xml:space="preserve"> to obtaining control over the E</w:t>
      </w:r>
      <w:r w:rsidRPr="006E3415">
        <w:rPr>
          <w:rFonts w:ascii="Times New Roman" w:hAnsi="Times New Roman" w:cs="Times New Roman"/>
          <w:sz w:val="24"/>
          <w:szCs w:val="24"/>
        </w:rPr>
        <w:t xml:space="preserve">states. These negotiations culminated in a written agreement of </w:t>
      </w:r>
      <w:r w:rsidR="00720BCB" w:rsidRPr="006E3415">
        <w:rPr>
          <w:rFonts w:ascii="Times New Roman" w:hAnsi="Times New Roman" w:cs="Times New Roman"/>
          <w:sz w:val="24"/>
          <w:szCs w:val="24"/>
        </w:rPr>
        <w:t>1</w:t>
      </w:r>
      <w:r w:rsidRPr="006E3415">
        <w:rPr>
          <w:rFonts w:ascii="Times New Roman" w:hAnsi="Times New Roman" w:cs="Times New Roman"/>
          <w:sz w:val="24"/>
          <w:szCs w:val="24"/>
        </w:rPr>
        <w:t xml:space="preserve"> July 1871 between the Société</w:t>
      </w:r>
      <w:r w:rsidRPr="006E3415">
        <w:rPr>
          <w:rStyle w:val="mini"/>
          <w:rFonts w:ascii="Times New Roman" w:hAnsi="Times New Roman" w:cs="Times New Roman"/>
          <w:sz w:val="24"/>
          <w:szCs w:val="24"/>
        </w:rPr>
        <w:t xml:space="preserve"> on the one hand and two gentlemen by the names of Duff and Boustead on the other hand.</w:t>
      </w:r>
      <w:r w:rsidRPr="006E3415">
        <w:rPr>
          <w:rStyle w:val="FootnoteReference"/>
          <w:rFonts w:ascii="Times New Roman" w:hAnsi="Times New Roman" w:cs="Times New Roman"/>
          <w:sz w:val="24"/>
          <w:szCs w:val="24"/>
        </w:rPr>
        <w:t xml:space="preserve"> </w:t>
      </w:r>
      <w:r w:rsidRPr="006E3415">
        <w:rPr>
          <w:rStyle w:val="FootnoteReference"/>
          <w:rFonts w:ascii="Times New Roman" w:hAnsi="Times New Roman" w:cs="Times New Roman"/>
          <w:sz w:val="24"/>
          <w:szCs w:val="24"/>
        </w:rPr>
        <w:footnoteReference w:id="104"/>
      </w:r>
      <w:r w:rsidRPr="006E3415">
        <w:rPr>
          <w:rStyle w:val="mini"/>
          <w:rFonts w:ascii="Times New Roman" w:hAnsi="Times New Roman" w:cs="Times New Roman"/>
          <w:sz w:val="24"/>
          <w:szCs w:val="24"/>
        </w:rPr>
        <w:t xml:space="preserve"> </w:t>
      </w:r>
      <w:r w:rsidRPr="006E3415">
        <w:rPr>
          <w:rFonts w:ascii="Times New Roman" w:hAnsi="Times New Roman" w:cs="Times New Roman"/>
          <w:bCs/>
          <w:sz w:val="24"/>
          <w:szCs w:val="24"/>
        </w:rPr>
        <w:t>Duff was a friend of Emily.</w:t>
      </w:r>
      <w:r w:rsidRPr="006E3415">
        <w:rPr>
          <w:rStyle w:val="FootnoteReference"/>
          <w:rFonts w:ascii="Times New Roman" w:hAnsi="Times New Roman" w:cs="Times New Roman"/>
          <w:bCs/>
          <w:sz w:val="24"/>
          <w:szCs w:val="24"/>
        </w:rPr>
        <w:footnoteReference w:id="105"/>
      </w:r>
      <w:r w:rsidRPr="006E3415">
        <w:rPr>
          <w:rFonts w:ascii="Times New Roman" w:hAnsi="Times New Roman" w:cs="Times New Roman"/>
          <w:bCs/>
          <w:sz w:val="24"/>
          <w:szCs w:val="24"/>
        </w:rPr>
        <w:t xml:space="preserve"> Either Duff or Emily’s agent in Ceylon, Mr </w:t>
      </w:r>
      <w:r w:rsidR="00B17354" w:rsidRPr="006E3415">
        <w:rPr>
          <w:rFonts w:ascii="Times New Roman" w:hAnsi="Times New Roman" w:cs="Times New Roman"/>
          <w:sz w:val="24"/>
          <w:szCs w:val="24"/>
        </w:rPr>
        <w:t>Sabonadiè</w:t>
      </w:r>
      <w:r w:rsidRPr="006E3415">
        <w:rPr>
          <w:rFonts w:ascii="Times New Roman" w:hAnsi="Times New Roman" w:cs="Times New Roman"/>
          <w:sz w:val="24"/>
          <w:szCs w:val="24"/>
        </w:rPr>
        <w:t>re,</w:t>
      </w:r>
      <w:r w:rsidRPr="006E3415">
        <w:rPr>
          <w:rStyle w:val="FootnoteReference"/>
          <w:rFonts w:ascii="Times New Roman" w:hAnsi="Times New Roman" w:cs="Times New Roman"/>
          <w:bCs/>
          <w:sz w:val="24"/>
          <w:szCs w:val="24"/>
        </w:rPr>
        <w:footnoteReference w:id="106"/>
      </w:r>
      <w:r w:rsidRPr="006E3415">
        <w:rPr>
          <w:rFonts w:ascii="Times New Roman" w:hAnsi="Times New Roman" w:cs="Times New Roman"/>
          <w:bCs/>
          <w:sz w:val="24"/>
          <w:szCs w:val="24"/>
        </w:rPr>
        <w:t xml:space="preserve"> brought the defendant, Boustead, </w:t>
      </w:r>
      <w:r w:rsidR="00D31659" w:rsidRPr="006E3415">
        <w:rPr>
          <w:rFonts w:ascii="Times New Roman" w:hAnsi="Times New Roman" w:cs="Times New Roman"/>
          <w:bCs/>
          <w:sz w:val="24"/>
          <w:szCs w:val="24"/>
        </w:rPr>
        <w:t xml:space="preserve">with whom </w:t>
      </w:r>
      <w:r w:rsidR="00B17354" w:rsidRPr="006E3415">
        <w:rPr>
          <w:rFonts w:ascii="Times New Roman" w:hAnsi="Times New Roman" w:cs="Times New Roman"/>
          <w:sz w:val="24"/>
          <w:szCs w:val="24"/>
        </w:rPr>
        <w:t>Sabonadière</w:t>
      </w:r>
      <w:r w:rsidR="00D31659" w:rsidRPr="006E3415">
        <w:rPr>
          <w:rFonts w:ascii="Times New Roman" w:hAnsi="Times New Roman" w:cs="Times New Roman"/>
          <w:bCs/>
          <w:sz w:val="24"/>
          <w:szCs w:val="24"/>
        </w:rPr>
        <w:t xml:space="preserve"> had had past business dealings, </w:t>
      </w:r>
      <w:r w:rsidRPr="006E3415">
        <w:rPr>
          <w:rFonts w:ascii="Times New Roman" w:hAnsi="Times New Roman" w:cs="Times New Roman"/>
          <w:bCs/>
          <w:sz w:val="24"/>
          <w:szCs w:val="24"/>
        </w:rPr>
        <w:t xml:space="preserve">into the scheme on account of his </w:t>
      </w:r>
      <w:r w:rsidR="00384291">
        <w:rPr>
          <w:rFonts w:ascii="Times New Roman" w:hAnsi="Times New Roman" w:cs="Times New Roman"/>
          <w:bCs/>
          <w:sz w:val="24"/>
          <w:szCs w:val="24"/>
        </w:rPr>
        <w:t xml:space="preserve">experience </w:t>
      </w:r>
      <w:r w:rsidR="00D31659" w:rsidRPr="006E3415">
        <w:rPr>
          <w:rFonts w:ascii="Times New Roman" w:hAnsi="Times New Roman" w:cs="Times New Roman"/>
          <w:bCs/>
          <w:sz w:val="24"/>
          <w:szCs w:val="24"/>
        </w:rPr>
        <w:t>as a manager an</w:t>
      </w:r>
      <w:r w:rsidR="00AC52B1">
        <w:rPr>
          <w:rFonts w:ascii="Times New Roman" w:hAnsi="Times New Roman" w:cs="Times New Roman"/>
          <w:bCs/>
          <w:sz w:val="24"/>
          <w:szCs w:val="24"/>
        </w:rPr>
        <w:t>d</w:t>
      </w:r>
      <w:r w:rsidR="00D31659" w:rsidRPr="006E3415">
        <w:rPr>
          <w:rFonts w:ascii="Times New Roman" w:hAnsi="Times New Roman" w:cs="Times New Roman"/>
          <w:bCs/>
          <w:sz w:val="24"/>
          <w:szCs w:val="24"/>
        </w:rPr>
        <w:t xml:space="preserve"> consignee of coffee estates.</w:t>
      </w:r>
      <w:r w:rsidRPr="006E3415">
        <w:rPr>
          <w:rStyle w:val="FootnoteReference"/>
          <w:rFonts w:ascii="Times New Roman" w:hAnsi="Times New Roman" w:cs="Times New Roman"/>
          <w:bCs/>
          <w:sz w:val="24"/>
          <w:szCs w:val="24"/>
        </w:rPr>
        <w:footnoteReference w:id="107"/>
      </w:r>
      <w:r w:rsidRPr="006E3415">
        <w:rPr>
          <w:rFonts w:ascii="Times New Roman" w:hAnsi="Times New Roman" w:cs="Times New Roman"/>
          <w:bCs/>
          <w:sz w:val="24"/>
          <w:szCs w:val="24"/>
        </w:rPr>
        <w:t xml:space="preserve"> John Boustead was a partner in the firm Price, Boustead and Co. Although he was born in Ceylon, Boustead relocated to London, where his father co-founded the</w:t>
      </w:r>
      <w:r w:rsidR="0046348C" w:rsidRPr="006E3415">
        <w:rPr>
          <w:rFonts w:ascii="Times New Roman" w:hAnsi="Times New Roman" w:cs="Times New Roman"/>
          <w:bCs/>
          <w:sz w:val="24"/>
          <w:szCs w:val="24"/>
        </w:rPr>
        <w:t xml:space="preserve"> firm</w:t>
      </w:r>
      <w:r w:rsidRPr="006E3415">
        <w:rPr>
          <w:rFonts w:ascii="Times New Roman" w:hAnsi="Times New Roman" w:cs="Times New Roman"/>
          <w:bCs/>
          <w:sz w:val="24"/>
          <w:szCs w:val="24"/>
        </w:rPr>
        <w:t>.</w:t>
      </w:r>
      <w:r w:rsidRPr="006E3415">
        <w:rPr>
          <w:rStyle w:val="FootnoteReference"/>
          <w:rFonts w:ascii="Times New Roman" w:hAnsi="Times New Roman" w:cs="Times New Roman"/>
          <w:bCs/>
          <w:sz w:val="24"/>
          <w:szCs w:val="24"/>
        </w:rPr>
        <w:footnoteReference w:id="108"/>
      </w:r>
      <w:r w:rsidRPr="006E3415">
        <w:rPr>
          <w:rFonts w:ascii="Times New Roman" w:hAnsi="Times New Roman" w:cs="Times New Roman"/>
          <w:bCs/>
          <w:sz w:val="24"/>
          <w:szCs w:val="24"/>
        </w:rPr>
        <w:t xml:space="preserve"> The firm managed coffee estates in Ceylon from London through agents.</w:t>
      </w:r>
      <w:r w:rsidRPr="006E3415">
        <w:rPr>
          <w:rStyle w:val="FootnoteReference"/>
          <w:rFonts w:ascii="Times New Roman" w:hAnsi="Times New Roman" w:cs="Times New Roman"/>
          <w:bCs/>
          <w:sz w:val="24"/>
          <w:szCs w:val="24"/>
        </w:rPr>
        <w:footnoteReference w:id="109"/>
      </w:r>
      <w:r w:rsidR="00770D2B" w:rsidRPr="006E3415">
        <w:rPr>
          <w:rFonts w:ascii="Times New Roman" w:hAnsi="Times New Roman" w:cs="Times New Roman"/>
          <w:bCs/>
          <w:sz w:val="24"/>
          <w:szCs w:val="24"/>
        </w:rPr>
        <w:t xml:space="preserve"> </w:t>
      </w:r>
      <w:r w:rsidRPr="006E3415">
        <w:rPr>
          <w:rFonts w:ascii="Times New Roman" w:hAnsi="Times New Roman" w:cs="Times New Roman"/>
          <w:sz w:val="24"/>
          <w:szCs w:val="24"/>
        </w:rPr>
        <w:t>The July 1871 agreement provided that the liquidators would sell the estates by auction.</w:t>
      </w:r>
      <w:r w:rsidRPr="006E3415">
        <w:rPr>
          <w:rStyle w:val="FootnoteReference"/>
          <w:rFonts w:ascii="Times New Roman" w:hAnsi="Times New Roman" w:cs="Times New Roman"/>
          <w:sz w:val="24"/>
          <w:szCs w:val="24"/>
        </w:rPr>
        <w:footnoteReference w:id="110"/>
      </w:r>
      <w:r w:rsidRPr="006E3415">
        <w:rPr>
          <w:rFonts w:ascii="Times New Roman" w:hAnsi="Times New Roman" w:cs="Times New Roman"/>
          <w:sz w:val="24"/>
          <w:szCs w:val="24"/>
        </w:rPr>
        <w:t xml:space="preserve"> If there was no tender that bettered </w:t>
      </w:r>
      <w:r w:rsidR="000C3D83">
        <w:rPr>
          <w:rFonts w:ascii="Times New Roman" w:hAnsi="Times New Roman" w:cs="Times New Roman"/>
          <w:sz w:val="24"/>
          <w:szCs w:val="24"/>
        </w:rPr>
        <w:t xml:space="preserve">that of Duff and Boustead, </w:t>
      </w:r>
      <w:r w:rsidRPr="006E3415">
        <w:rPr>
          <w:rFonts w:ascii="Times New Roman" w:hAnsi="Times New Roman" w:cs="Times New Roman"/>
          <w:sz w:val="24"/>
          <w:szCs w:val="24"/>
        </w:rPr>
        <w:t xml:space="preserve">the estates were to be sold to them for </w:t>
      </w:r>
      <w:r w:rsidRPr="006E3415">
        <w:rPr>
          <w:rFonts w:ascii="Times New Roman" w:hAnsi="Times New Roman" w:cs="Times New Roman"/>
          <w:sz w:val="24"/>
          <w:szCs w:val="24"/>
        </w:rPr>
        <w:lastRenderedPageBreak/>
        <w:t>an amount sufficient to discharge the mortga</w:t>
      </w:r>
      <w:r w:rsidR="00466EEB" w:rsidRPr="006E3415">
        <w:rPr>
          <w:rFonts w:ascii="Times New Roman" w:hAnsi="Times New Roman" w:cs="Times New Roman"/>
          <w:sz w:val="24"/>
          <w:szCs w:val="24"/>
        </w:rPr>
        <w:t xml:space="preserve">ge. There </w:t>
      </w:r>
      <w:r w:rsidR="00245B5A">
        <w:rPr>
          <w:rFonts w:ascii="Times New Roman" w:hAnsi="Times New Roman" w:cs="Times New Roman"/>
          <w:sz w:val="24"/>
          <w:szCs w:val="24"/>
        </w:rPr>
        <w:t xml:space="preserve">was no mention </w:t>
      </w:r>
      <w:r w:rsidRPr="006E3415">
        <w:rPr>
          <w:rFonts w:ascii="Times New Roman" w:hAnsi="Times New Roman" w:cs="Times New Roman"/>
          <w:sz w:val="24"/>
          <w:szCs w:val="24"/>
        </w:rPr>
        <w:t xml:space="preserve">of any beneficial </w:t>
      </w:r>
      <w:r w:rsidR="00EC1520" w:rsidRPr="006E3415">
        <w:rPr>
          <w:rFonts w:ascii="Times New Roman" w:hAnsi="Times New Roman" w:cs="Times New Roman"/>
          <w:sz w:val="24"/>
          <w:szCs w:val="24"/>
        </w:rPr>
        <w:t>interest being vested in Emily, even t</w:t>
      </w:r>
      <w:r w:rsidR="003043AD" w:rsidRPr="006E3415">
        <w:rPr>
          <w:rFonts w:ascii="Times New Roman" w:hAnsi="Times New Roman" w:cs="Times New Roman"/>
          <w:sz w:val="24"/>
          <w:szCs w:val="24"/>
        </w:rPr>
        <w:t xml:space="preserve">hough </w:t>
      </w:r>
      <w:r w:rsidR="008A1A4C" w:rsidRPr="006E3415">
        <w:rPr>
          <w:rFonts w:ascii="Times New Roman" w:hAnsi="Times New Roman" w:cs="Times New Roman"/>
          <w:sz w:val="24"/>
          <w:szCs w:val="24"/>
        </w:rPr>
        <w:t xml:space="preserve">she had reached an understanding with </w:t>
      </w:r>
      <w:r w:rsidR="00466EEB" w:rsidRPr="006E3415">
        <w:rPr>
          <w:rFonts w:ascii="Times New Roman" w:hAnsi="Times New Roman" w:cs="Times New Roman"/>
          <w:sz w:val="24"/>
          <w:szCs w:val="24"/>
        </w:rPr>
        <w:t xml:space="preserve">Boustead </w:t>
      </w:r>
      <w:r w:rsidR="008A1A4C" w:rsidRPr="006E3415">
        <w:rPr>
          <w:rFonts w:ascii="Times New Roman" w:hAnsi="Times New Roman" w:cs="Times New Roman"/>
          <w:sz w:val="24"/>
          <w:szCs w:val="24"/>
        </w:rPr>
        <w:t>and Duff</w:t>
      </w:r>
      <w:r w:rsidR="00EC1520" w:rsidRPr="006E3415">
        <w:rPr>
          <w:rFonts w:ascii="Times New Roman" w:hAnsi="Times New Roman" w:cs="Times New Roman"/>
          <w:sz w:val="24"/>
          <w:szCs w:val="24"/>
        </w:rPr>
        <w:t xml:space="preserve">, probably through </w:t>
      </w:r>
      <w:r w:rsidR="00BC217E" w:rsidRPr="006E3415">
        <w:rPr>
          <w:rFonts w:ascii="Times New Roman" w:hAnsi="Times New Roman" w:cs="Times New Roman"/>
          <w:sz w:val="24"/>
          <w:szCs w:val="24"/>
        </w:rPr>
        <w:t xml:space="preserve">their </w:t>
      </w:r>
      <w:r w:rsidR="00EC1520" w:rsidRPr="006E3415">
        <w:rPr>
          <w:rFonts w:ascii="Times New Roman" w:hAnsi="Times New Roman" w:cs="Times New Roman"/>
          <w:sz w:val="24"/>
          <w:szCs w:val="24"/>
        </w:rPr>
        <w:t>agents</w:t>
      </w:r>
      <w:r w:rsidR="008B7EAA" w:rsidRPr="006E3415">
        <w:rPr>
          <w:rFonts w:ascii="Times New Roman" w:hAnsi="Times New Roman" w:cs="Times New Roman"/>
          <w:sz w:val="24"/>
          <w:szCs w:val="24"/>
        </w:rPr>
        <w:t xml:space="preserve"> in Ceylon</w:t>
      </w:r>
      <w:r w:rsidR="00EC1520" w:rsidRPr="006E3415">
        <w:rPr>
          <w:rFonts w:ascii="Times New Roman" w:hAnsi="Times New Roman" w:cs="Times New Roman"/>
          <w:sz w:val="24"/>
          <w:szCs w:val="24"/>
        </w:rPr>
        <w:t>,</w:t>
      </w:r>
      <w:r w:rsidR="008B7EAA" w:rsidRPr="006E3415">
        <w:rPr>
          <w:rStyle w:val="FootnoteReference"/>
          <w:rFonts w:ascii="Times New Roman" w:hAnsi="Times New Roman" w:cs="Times New Roman"/>
          <w:sz w:val="24"/>
          <w:szCs w:val="24"/>
        </w:rPr>
        <w:footnoteReference w:id="111"/>
      </w:r>
      <w:r w:rsidR="00EC1520" w:rsidRPr="006E3415">
        <w:rPr>
          <w:rFonts w:ascii="Times New Roman" w:hAnsi="Times New Roman" w:cs="Times New Roman"/>
          <w:sz w:val="24"/>
          <w:szCs w:val="24"/>
        </w:rPr>
        <w:t xml:space="preserve"> that </w:t>
      </w:r>
      <w:r w:rsidR="00384291">
        <w:rPr>
          <w:rFonts w:ascii="Times New Roman" w:hAnsi="Times New Roman" w:cs="Times New Roman"/>
          <w:sz w:val="24"/>
          <w:szCs w:val="24"/>
        </w:rPr>
        <w:t>they</w:t>
      </w:r>
      <w:r w:rsidR="000230BC" w:rsidRPr="006E3415">
        <w:rPr>
          <w:rFonts w:ascii="Times New Roman" w:hAnsi="Times New Roman" w:cs="Times New Roman"/>
          <w:sz w:val="24"/>
          <w:szCs w:val="24"/>
        </w:rPr>
        <w:t xml:space="preserve"> were to</w:t>
      </w:r>
      <w:r w:rsidR="00EC1520" w:rsidRPr="006E3415">
        <w:rPr>
          <w:rFonts w:ascii="Times New Roman" w:hAnsi="Times New Roman" w:cs="Times New Roman"/>
          <w:sz w:val="24"/>
          <w:szCs w:val="24"/>
        </w:rPr>
        <w:t xml:space="preserve"> take as trustee</w:t>
      </w:r>
      <w:r w:rsidR="000230BC" w:rsidRPr="006E3415">
        <w:rPr>
          <w:rFonts w:ascii="Times New Roman" w:hAnsi="Times New Roman" w:cs="Times New Roman"/>
          <w:sz w:val="24"/>
          <w:szCs w:val="24"/>
        </w:rPr>
        <w:t>s</w:t>
      </w:r>
      <w:r w:rsidR="00EC1520" w:rsidRPr="006E3415">
        <w:rPr>
          <w:rFonts w:ascii="Times New Roman" w:hAnsi="Times New Roman" w:cs="Times New Roman"/>
          <w:sz w:val="24"/>
          <w:szCs w:val="24"/>
        </w:rPr>
        <w:t xml:space="preserve"> for her</w:t>
      </w:r>
      <w:r w:rsidR="000230BC" w:rsidRPr="006E3415">
        <w:rPr>
          <w:rFonts w:ascii="Times New Roman" w:hAnsi="Times New Roman" w:cs="Times New Roman"/>
          <w:sz w:val="24"/>
          <w:szCs w:val="24"/>
        </w:rPr>
        <w:t>, subject to a charge for repayment of their advances and expenses</w:t>
      </w:r>
      <w:r w:rsidR="00EC1520" w:rsidRPr="006E3415">
        <w:rPr>
          <w:rFonts w:ascii="Times New Roman" w:hAnsi="Times New Roman" w:cs="Times New Roman"/>
          <w:sz w:val="24"/>
          <w:szCs w:val="24"/>
        </w:rPr>
        <w:t>.</w:t>
      </w:r>
      <w:r w:rsidR="000230BC" w:rsidRPr="006E3415">
        <w:rPr>
          <w:rStyle w:val="FootnoteReference"/>
          <w:rFonts w:ascii="Times New Roman" w:hAnsi="Times New Roman" w:cs="Times New Roman"/>
          <w:sz w:val="24"/>
          <w:szCs w:val="24"/>
        </w:rPr>
        <w:footnoteReference w:id="112"/>
      </w:r>
      <w:r w:rsidR="00466EEB" w:rsidRPr="006E3415">
        <w:rPr>
          <w:rFonts w:ascii="Times New Roman" w:hAnsi="Times New Roman" w:cs="Times New Roman"/>
          <w:sz w:val="24"/>
          <w:szCs w:val="24"/>
        </w:rPr>
        <w:t xml:space="preserve"> </w:t>
      </w:r>
    </w:p>
    <w:p w:rsidR="00EC1520" w:rsidRPr="006E3415" w:rsidRDefault="00EC1520" w:rsidP="00746BFF">
      <w:pPr>
        <w:spacing w:after="0" w:line="360" w:lineRule="auto"/>
        <w:rPr>
          <w:rFonts w:ascii="Times New Roman" w:hAnsi="Times New Roman" w:cs="Times New Roman"/>
          <w:bCs/>
          <w:sz w:val="24"/>
          <w:szCs w:val="24"/>
        </w:rPr>
      </w:pPr>
    </w:p>
    <w:p w:rsidR="00337738" w:rsidRPr="006E3415" w:rsidRDefault="00337738" w:rsidP="00746BFF">
      <w:pPr>
        <w:spacing w:after="0" w:line="360" w:lineRule="auto"/>
        <w:rPr>
          <w:rFonts w:ascii="Times New Roman" w:hAnsi="Times New Roman" w:cs="Times New Roman"/>
          <w:bCs/>
          <w:sz w:val="24"/>
          <w:szCs w:val="24"/>
        </w:rPr>
      </w:pPr>
      <w:r w:rsidRPr="006E3415">
        <w:rPr>
          <w:rStyle w:val="mini"/>
          <w:rFonts w:ascii="Times New Roman" w:hAnsi="Times New Roman" w:cs="Times New Roman"/>
          <w:sz w:val="24"/>
          <w:szCs w:val="24"/>
        </w:rPr>
        <w:t xml:space="preserve">Prior to the </w:t>
      </w:r>
      <w:r w:rsidR="00C96970">
        <w:rPr>
          <w:rStyle w:val="mini"/>
          <w:rFonts w:ascii="Times New Roman" w:hAnsi="Times New Roman" w:cs="Times New Roman"/>
          <w:sz w:val="24"/>
          <w:szCs w:val="24"/>
        </w:rPr>
        <w:t>agreement of July 1871</w:t>
      </w:r>
      <w:r w:rsidRPr="006E3415">
        <w:rPr>
          <w:rStyle w:val="mini"/>
          <w:rFonts w:ascii="Times New Roman" w:hAnsi="Times New Roman" w:cs="Times New Roman"/>
          <w:sz w:val="24"/>
          <w:szCs w:val="24"/>
        </w:rPr>
        <w:t xml:space="preserve">, Duff and Boustead had planned to take an assignment of the mortgage from the </w:t>
      </w:r>
      <w:r w:rsidRPr="006E3415">
        <w:rPr>
          <w:rFonts w:ascii="Times New Roman" w:hAnsi="Times New Roman" w:cs="Times New Roman"/>
          <w:bCs/>
          <w:sz w:val="24"/>
          <w:szCs w:val="24"/>
        </w:rPr>
        <w:t>Société. It was reported that</w:t>
      </w:r>
      <w:r w:rsidRPr="006E3415">
        <w:rPr>
          <w:rFonts w:ascii="Times New Roman" w:hAnsi="Times New Roman" w:cs="Times New Roman"/>
          <w:iCs/>
          <w:sz w:val="24"/>
          <w:szCs w:val="24"/>
        </w:rPr>
        <w:t xml:space="preserve"> </w:t>
      </w:r>
      <w:r w:rsidRPr="006E3415">
        <w:rPr>
          <w:rFonts w:ascii="Times New Roman" w:hAnsi="Times New Roman" w:cs="Times New Roman"/>
          <w:bCs/>
          <w:sz w:val="24"/>
          <w:szCs w:val="24"/>
        </w:rPr>
        <w:t xml:space="preserve">Duff had objected to some of the details pertaining to the mortgage transfer, which is why it was agreed that he and Boustead would </w:t>
      </w:r>
      <w:r w:rsidR="000C3D83">
        <w:rPr>
          <w:rFonts w:ascii="Times New Roman" w:hAnsi="Times New Roman" w:cs="Times New Roman"/>
          <w:bCs/>
          <w:sz w:val="24"/>
          <w:szCs w:val="24"/>
        </w:rPr>
        <w:t xml:space="preserve">instead </w:t>
      </w:r>
      <w:r w:rsidRPr="006E3415">
        <w:rPr>
          <w:rFonts w:ascii="Times New Roman" w:hAnsi="Times New Roman" w:cs="Times New Roman"/>
          <w:bCs/>
          <w:sz w:val="24"/>
          <w:szCs w:val="24"/>
        </w:rPr>
        <w:t>purchase the Estates from the Société.</w:t>
      </w:r>
      <w:r w:rsidRPr="006E3415">
        <w:rPr>
          <w:rStyle w:val="FootnoteReference"/>
          <w:rFonts w:ascii="Times New Roman" w:hAnsi="Times New Roman" w:cs="Times New Roman"/>
          <w:bCs/>
          <w:sz w:val="24"/>
          <w:szCs w:val="24"/>
        </w:rPr>
        <w:footnoteReference w:id="113"/>
      </w:r>
      <w:r w:rsidRPr="006E3415">
        <w:rPr>
          <w:rFonts w:ascii="Times New Roman" w:hAnsi="Times New Roman" w:cs="Times New Roman"/>
          <w:bCs/>
          <w:sz w:val="24"/>
          <w:szCs w:val="24"/>
        </w:rPr>
        <w:t xml:space="preserve"> In fact, the Société had commenced legal action in Ceylon against Emily</w:t>
      </w:r>
      <w:r w:rsidR="006E11FB">
        <w:rPr>
          <w:rFonts w:ascii="Times New Roman" w:hAnsi="Times New Roman" w:cs="Times New Roman"/>
          <w:bCs/>
          <w:sz w:val="24"/>
          <w:szCs w:val="24"/>
        </w:rPr>
        <w:t>,</w:t>
      </w:r>
      <w:r w:rsidR="005A093A" w:rsidRPr="005A093A">
        <w:rPr>
          <w:rStyle w:val="FootnoteReference"/>
          <w:rFonts w:ascii="Times New Roman" w:hAnsi="Times New Roman" w:cs="Times New Roman"/>
          <w:bCs/>
          <w:sz w:val="24"/>
          <w:szCs w:val="24"/>
        </w:rPr>
        <w:t xml:space="preserve"> </w:t>
      </w:r>
      <w:r w:rsidR="005A093A" w:rsidRPr="006E3415">
        <w:rPr>
          <w:rStyle w:val="FootnoteReference"/>
          <w:rFonts w:ascii="Times New Roman" w:hAnsi="Times New Roman" w:cs="Times New Roman"/>
          <w:bCs/>
          <w:sz w:val="24"/>
          <w:szCs w:val="24"/>
        </w:rPr>
        <w:footnoteReference w:id="114"/>
      </w:r>
      <w:r w:rsidR="005A093A" w:rsidRPr="006E3415">
        <w:rPr>
          <w:rFonts w:ascii="Times New Roman" w:hAnsi="Times New Roman" w:cs="Times New Roman"/>
          <w:bCs/>
          <w:sz w:val="24"/>
          <w:szCs w:val="24"/>
        </w:rPr>
        <w:t xml:space="preserve"> </w:t>
      </w:r>
      <w:r w:rsidR="00790146">
        <w:rPr>
          <w:rFonts w:ascii="Times New Roman" w:hAnsi="Times New Roman" w:cs="Times New Roman"/>
          <w:bCs/>
          <w:sz w:val="24"/>
          <w:szCs w:val="24"/>
        </w:rPr>
        <w:t>Gaston</w:t>
      </w:r>
      <w:r w:rsidR="006E11FB">
        <w:rPr>
          <w:rStyle w:val="FootnoteReference"/>
          <w:rFonts w:ascii="Times New Roman" w:hAnsi="Times New Roman" w:cs="Times New Roman"/>
          <w:bCs/>
          <w:sz w:val="24"/>
          <w:szCs w:val="24"/>
        </w:rPr>
        <w:footnoteReference w:id="115"/>
      </w:r>
      <w:r w:rsidRPr="006E3415">
        <w:rPr>
          <w:rFonts w:ascii="Times New Roman" w:hAnsi="Times New Roman" w:cs="Times New Roman"/>
          <w:bCs/>
          <w:sz w:val="24"/>
          <w:szCs w:val="24"/>
        </w:rPr>
        <w:t xml:space="preserve"> and Cavendish,</w:t>
      </w:r>
      <w:r w:rsidRPr="006E3415">
        <w:rPr>
          <w:rStyle w:val="FootnoteReference"/>
          <w:rFonts w:ascii="Times New Roman" w:hAnsi="Times New Roman" w:cs="Times New Roman"/>
          <w:bCs/>
          <w:sz w:val="24"/>
          <w:szCs w:val="24"/>
        </w:rPr>
        <w:t xml:space="preserve"> </w:t>
      </w:r>
      <w:r w:rsidRPr="006E3415">
        <w:rPr>
          <w:rFonts w:ascii="Times New Roman" w:hAnsi="Times New Roman" w:cs="Times New Roman"/>
          <w:bCs/>
          <w:sz w:val="24"/>
          <w:szCs w:val="24"/>
        </w:rPr>
        <w:t xml:space="preserve">seeking a judicial sale of the Estates. </w:t>
      </w:r>
      <w:r w:rsidR="00077045" w:rsidRPr="006E3415">
        <w:rPr>
          <w:rFonts w:ascii="Times New Roman" w:hAnsi="Times New Roman" w:cs="Times New Roman"/>
          <w:bCs/>
          <w:sz w:val="24"/>
          <w:szCs w:val="24"/>
        </w:rPr>
        <w:t xml:space="preserve">Cavendish was </w:t>
      </w:r>
      <w:r w:rsidR="0087130C" w:rsidRPr="006E3415">
        <w:rPr>
          <w:rFonts w:ascii="Times New Roman" w:hAnsi="Times New Roman" w:cs="Times New Roman"/>
          <w:bCs/>
          <w:sz w:val="24"/>
          <w:szCs w:val="24"/>
        </w:rPr>
        <w:t xml:space="preserve">a defendant </w:t>
      </w:r>
      <w:r w:rsidR="00077045" w:rsidRPr="006E3415">
        <w:rPr>
          <w:rFonts w:ascii="Times New Roman" w:hAnsi="Times New Roman" w:cs="Times New Roman"/>
          <w:bCs/>
          <w:sz w:val="24"/>
          <w:szCs w:val="24"/>
        </w:rPr>
        <w:t xml:space="preserve">seemingly </w:t>
      </w:r>
      <w:r w:rsidR="0087130C" w:rsidRPr="006E3415">
        <w:rPr>
          <w:rFonts w:ascii="Times New Roman" w:hAnsi="Times New Roman" w:cs="Times New Roman"/>
          <w:bCs/>
          <w:sz w:val="24"/>
          <w:szCs w:val="24"/>
        </w:rPr>
        <w:t>on account of his cla</w:t>
      </w:r>
      <w:r w:rsidR="00863692" w:rsidRPr="006E3415">
        <w:rPr>
          <w:rFonts w:ascii="Times New Roman" w:hAnsi="Times New Roman" w:cs="Times New Roman"/>
          <w:bCs/>
          <w:sz w:val="24"/>
          <w:szCs w:val="24"/>
        </w:rPr>
        <w:t>im to an interest in the Estates</w:t>
      </w:r>
      <w:r w:rsidR="00077045" w:rsidRPr="006E3415">
        <w:rPr>
          <w:rFonts w:ascii="Times New Roman" w:hAnsi="Times New Roman" w:cs="Times New Roman"/>
          <w:bCs/>
          <w:sz w:val="24"/>
          <w:szCs w:val="24"/>
        </w:rPr>
        <w:t xml:space="preserve"> as annuitant under </w:t>
      </w:r>
      <w:r w:rsidR="00863692" w:rsidRPr="006E3415">
        <w:rPr>
          <w:rFonts w:ascii="Times New Roman" w:hAnsi="Times New Roman" w:cs="Times New Roman"/>
          <w:sz w:val="24"/>
          <w:szCs w:val="24"/>
        </w:rPr>
        <w:t>the Baroness’s will, rather than upon the 1868 decree</w:t>
      </w:r>
      <w:r w:rsidR="0087130C" w:rsidRPr="006E3415">
        <w:rPr>
          <w:rFonts w:ascii="Times New Roman" w:hAnsi="Times New Roman" w:cs="Times New Roman"/>
          <w:bCs/>
          <w:sz w:val="24"/>
          <w:szCs w:val="24"/>
        </w:rPr>
        <w:t>.</w:t>
      </w:r>
      <w:r w:rsidR="00863692" w:rsidRPr="006E3415">
        <w:rPr>
          <w:rStyle w:val="FootnoteReference"/>
          <w:rFonts w:ascii="Times New Roman" w:hAnsi="Times New Roman" w:cs="Times New Roman"/>
          <w:bCs/>
          <w:sz w:val="24"/>
          <w:szCs w:val="24"/>
        </w:rPr>
        <w:footnoteReference w:id="116"/>
      </w:r>
      <w:r w:rsidR="0087130C" w:rsidRPr="006E3415">
        <w:rPr>
          <w:rFonts w:ascii="Times New Roman" w:hAnsi="Times New Roman" w:cs="Times New Roman"/>
          <w:bCs/>
          <w:sz w:val="24"/>
          <w:szCs w:val="24"/>
        </w:rPr>
        <w:t xml:space="preserve"> </w:t>
      </w:r>
      <w:r w:rsidRPr="006E3415">
        <w:rPr>
          <w:rFonts w:ascii="Times New Roman" w:hAnsi="Times New Roman" w:cs="Times New Roman"/>
          <w:bCs/>
          <w:sz w:val="24"/>
          <w:szCs w:val="24"/>
        </w:rPr>
        <w:t>The first reference to the suit in the correspondence that has been obtained for the purposes of this article appears in the letter from Robertsons of 13</w:t>
      </w:r>
      <w:r w:rsidRPr="006E3415">
        <w:rPr>
          <w:rFonts w:ascii="Times New Roman" w:hAnsi="Times New Roman" w:cs="Times New Roman"/>
          <w:bCs/>
          <w:sz w:val="24"/>
          <w:szCs w:val="24"/>
          <w:vertAlign w:val="superscript"/>
        </w:rPr>
        <w:t>th</w:t>
      </w:r>
      <w:r w:rsidRPr="006E3415">
        <w:rPr>
          <w:rFonts w:ascii="Times New Roman" w:hAnsi="Times New Roman" w:cs="Times New Roman"/>
          <w:bCs/>
          <w:sz w:val="24"/>
          <w:szCs w:val="24"/>
        </w:rPr>
        <w:t xml:space="preserve"> May 1871.</w:t>
      </w:r>
      <w:r w:rsidRPr="006E3415">
        <w:rPr>
          <w:rStyle w:val="FootnoteReference"/>
          <w:rFonts w:ascii="Times New Roman" w:hAnsi="Times New Roman" w:cs="Times New Roman"/>
          <w:bCs/>
          <w:sz w:val="24"/>
          <w:szCs w:val="24"/>
        </w:rPr>
        <w:footnoteReference w:id="117"/>
      </w:r>
      <w:r w:rsidRPr="006E3415">
        <w:rPr>
          <w:rFonts w:ascii="Times New Roman" w:hAnsi="Times New Roman" w:cs="Times New Roman"/>
          <w:bCs/>
          <w:sz w:val="24"/>
          <w:szCs w:val="24"/>
        </w:rPr>
        <w:t xml:space="preserve"> </w:t>
      </w:r>
    </w:p>
    <w:p w:rsidR="00CA5C5D" w:rsidRPr="006E3415" w:rsidRDefault="00CA5C5D" w:rsidP="00746BFF">
      <w:pPr>
        <w:spacing w:after="0" w:line="360" w:lineRule="auto"/>
        <w:rPr>
          <w:rFonts w:ascii="Times New Roman" w:hAnsi="Times New Roman" w:cs="Times New Roman"/>
          <w:bCs/>
          <w:sz w:val="24"/>
          <w:szCs w:val="24"/>
        </w:rPr>
      </w:pPr>
    </w:p>
    <w:p w:rsidR="00337738" w:rsidRPr="006E3415" w:rsidRDefault="00337738" w:rsidP="00746BFF">
      <w:pPr>
        <w:spacing w:after="0" w:line="360" w:lineRule="auto"/>
        <w:rPr>
          <w:rFonts w:ascii="Times New Roman" w:hAnsi="Times New Roman" w:cs="Times New Roman"/>
          <w:bCs/>
          <w:sz w:val="24"/>
          <w:szCs w:val="24"/>
        </w:rPr>
      </w:pPr>
      <w:r w:rsidRPr="006E3415">
        <w:rPr>
          <w:rFonts w:ascii="Times New Roman" w:hAnsi="Times New Roman" w:cs="Times New Roman"/>
          <w:bCs/>
          <w:sz w:val="24"/>
          <w:szCs w:val="24"/>
        </w:rPr>
        <w:t xml:space="preserve">The Société’s action to secure a judicial sale </w:t>
      </w:r>
      <w:r w:rsidR="00B50FDA" w:rsidRPr="006E3415">
        <w:rPr>
          <w:rFonts w:ascii="Times New Roman" w:hAnsi="Times New Roman" w:cs="Times New Roman"/>
          <w:bCs/>
          <w:sz w:val="24"/>
          <w:szCs w:val="24"/>
        </w:rPr>
        <w:t xml:space="preserve">suggests that </w:t>
      </w:r>
      <w:r w:rsidRPr="006E3415">
        <w:rPr>
          <w:rFonts w:ascii="Times New Roman" w:hAnsi="Times New Roman" w:cs="Times New Roman"/>
          <w:bCs/>
          <w:sz w:val="24"/>
          <w:szCs w:val="24"/>
        </w:rPr>
        <w:t xml:space="preserve">the </w:t>
      </w:r>
      <w:r w:rsidR="000C3D83">
        <w:rPr>
          <w:rFonts w:ascii="Times New Roman" w:hAnsi="Times New Roman" w:cs="Times New Roman"/>
          <w:bCs/>
          <w:sz w:val="24"/>
          <w:szCs w:val="24"/>
        </w:rPr>
        <w:t xml:space="preserve">agreement of </w:t>
      </w:r>
      <w:r w:rsidRPr="006E3415">
        <w:rPr>
          <w:rFonts w:ascii="Times New Roman" w:hAnsi="Times New Roman" w:cs="Times New Roman"/>
          <w:bCs/>
          <w:sz w:val="24"/>
          <w:szCs w:val="24"/>
        </w:rPr>
        <w:t xml:space="preserve">July 1871 </w:t>
      </w:r>
      <w:r w:rsidR="00B50FDA" w:rsidRPr="006E3415">
        <w:rPr>
          <w:rFonts w:ascii="Times New Roman" w:hAnsi="Times New Roman" w:cs="Times New Roman"/>
          <w:bCs/>
          <w:sz w:val="24"/>
          <w:szCs w:val="24"/>
        </w:rPr>
        <w:t xml:space="preserve">was of little </w:t>
      </w:r>
      <w:r w:rsidRPr="006E3415">
        <w:rPr>
          <w:rFonts w:ascii="Times New Roman" w:hAnsi="Times New Roman" w:cs="Times New Roman"/>
          <w:bCs/>
          <w:sz w:val="24"/>
          <w:szCs w:val="24"/>
        </w:rPr>
        <w:t xml:space="preserve">legal significance. This is because, once a sale of immovable property had been ordered by the District Court, the </w:t>
      </w:r>
      <w:r w:rsidR="000C3D83">
        <w:rPr>
          <w:rFonts w:ascii="Times New Roman" w:hAnsi="Times New Roman" w:cs="Times New Roman"/>
          <w:bCs/>
          <w:sz w:val="24"/>
          <w:szCs w:val="24"/>
        </w:rPr>
        <w:t>‘</w:t>
      </w:r>
      <w:r w:rsidRPr="006E3415">
        <w:rPr>
          <w:rFonts w:ascii="Times New Roman" w:hAnsi="Times New Roman" w:cs="Times New Roman"/>
          <w:bCs/>
          <w:sz w:val="24"/>
          <w:szCs w:val="24"/>
        </w:rPr>
        <w:t>fiscal</w:t>
      </w:r>
      <w:r w:rsidR="000C3D83">
        <w:rPr>
          <w:rFonts w:ascii="Times New Roman" w:hAnsi="Times New Roman" w:cs="Times New Roman"/>
          <w:bCs/>
          <w:sz w:val="24"/>
          <w:szCs w:val="24"/>
        </w:rPr>
        <w:t>’</w:t>
      </w:r>
      <w:r w:rsidRPr="006E3415">
        <w:rPr>
          <w:rStyle w:val="FootnoteReference"/>
          <w:rFonts w:ascii="Times New Roman" w:hAnsi="Times New Roman" w:cs="Times New Roman"/>
          <w:bCs/>
          <w:sz w:val="24"/>
          <w:szCs w:val="24"/>
        </w:rPr>
        <w:footnoteReference w:id="118"/>
      </w:r>
      <w:r w:rsidRPr="006E3415">
        <w:rPr>
          <w:rFonts w:ascii="Times New Roman" w:hAnsi="Times New Roman" w:cs="Times New Roman"/>
          <w:bCs/>
          <w:sz w:val="24"/>
          <w:szCs w:val="24"/>
        </w:rPr>
        <w:t xml:space="preserve"> responsible for carrying into effect the court’s judgment was required by law to advertise details of the impending sale ‘in the Government Gazette, and in any other Ceylon newspaper’.</w:t>
      </w:r>
      <w:r w:rsidRPr="006E3415">
        <w:rPr>
          <w:rStyle w:val="FootnoteReference"/>
          <w:rFonts w:ascii="Times New Roman" w:hAnsi="Times New Roman" w:cs="Times New Roman"/>
          <w:bCs/>
          <w:sz w:val="24"/>
          <w:szCs w:val="24"/>
        </w:rPr>
        <w:footnoteReference w:id="119"/>
      </w:r>
      <w:r w:rsidRPr="006E3415">
        <w:rPr>
          <w:rFonts w:ascii="Times New Roman" w:hAnsi="Times New Roman" w:cs="Times New Roman"/>
          <w:bCs/>
          <w:sz w:val="24"/>
          <w:szCs w:val="24"/>
        </w:rPr>
        <w:t xml:space="preserve"> Furthermore, ‘a sale in execution [was] an assignment by operation of law’,</w:t>
      </w:r>
      <w:r w:rsidRPr="006E3415">
        <w:rPr>
          <w:rStyle w:val="FootnoteReference"/>
          <w:rFonts w:ascii="Times New Roman" w:hAnsi="Times New Roman" w:cs="Times New Roman"/>
          <w:bCs/>
          <w:sz w:val="24"/>
          <w:szCs w:val="24"/>
        </w:rPr>
        <w:footnoteReference w:id="120"/>
      </w:r>
      <w:r w:rsidR="000C3D83">
        <w:rPr>
          <w:rFonts w:ascii="Times New Roman" w:hAnsi="Times New Roman" w:cs="Times New Roman"/>
          <w:bCs/>
          <w:sz w:val="24"/>
          <w:szCs w:val="24"/>
        </w:rPr>
        <w:t xml:space="preserve"> conducted by </w:t>
      </w:r>
      <w:r w:rsidRPr="006E3415">
        <w:rPr>
          <w:rFonts w:ascii="Times New Roman" w:hAnsi="Times New Roman" w:cs="Times New Roman"/>
          <w:bCs/>
          <w:sz w:val="24"/>
          <w:szCs w:val="24"/>
        </w:rPr>
        <w:t>the fiscal, who was responsible for conveying the land to the eventual purchaser.</w:t>
      </w:r>
      <w:r w:rsidRPr="006E3415">
        <w:rPr>
          <w:rStyle w:val="FootnoteReference"/>
          <w:rFonts w:ascii="Times New Roman" w:hAnsi="Times New Roman" w:cs="Times New Roman"/>
          <w:bCs/>
          <w:sz w:val="24"/>
          <w:szCs w:val="24"/>
        </w:rPr>
        <w:footnoteReference w:id="121"/>
      </w:r>
      <w:r w:rsidRPr="006E3415">
        <w:rPr>
          <w:rFonts w:ascii="Times New Roman" w:hAnsi="Times New Roman" w:cs="Times New Roman"/>
          <w:bCs/>
          <w:sz w:val="24"/>
          <w:szCs w:val="24"/>
        </w:rPr>
        <w:t xml:space="preserve"> Therefore, any sale arising out of the </w:t>
      </w:r>
      <w:r w:rsidRPr="006E3415">
        <w:rPr>
          <w:rFonts w:ascii="Times New Roman" w:hAnsi="Times New Roman" w:cs="Times New Roman"/>
          <w:bCs/>
          <w:sz w:val="24"/>
          <w:szCs w:val="24"/>
        </w:rPr>
        <w:lastRenderedPageBreak/>
        <w:t>Société’s suit in Ceylon would be conducted not by the Société on its terms, but by the fiscal who would sell to the highest bidder a</w:t>
      </w:r>
      <w:r w:rsidR="004E355F" w:rsidRPr="006E3415">
        <w:rPr>
          <w:rFonts w:ascii="Times New Roman" w:hAnsi="Times New Roman" w:cs="Times New Roman"/>
          <w:bCs/>
          <w:sz w:val="24"/>
          <w:szCs w:val="24"/>
        </w:rPr>
        <w:t>f</w:t>
      </w:r>
      <w:r w:rsidRPr="006E3415">
        <w:rPr>
          <w:rFonts w:ascii="Times New Roman" w:hAnsi="Times New Roman" w:cs="Times New Roman"/>
          <w:bCs/>
          <w:sz w:val="24"/>
          <w:szCs w:val="24"/>
        </w:rPr>
        <w:t>ter public advertisement of the sale.</w:t>
      </w:r>
    </w:p>
    <w:p w:rsidR="00CA5C5D" w:rsidRPr="006E3415" w:rsidRDefault="00CA5C5D" w:rsidP="00746BFF">
      <w:pPr>
        <w:spacing w:after="0" w:line="360" w:lineRule="auto"/>
        <w:rPr>
          <w:rFonts w:ascii="Times New Roman" w:hAnsi="Times New Roman" w:cs="Times New Roman"/>
          <w:bCs/>
          <w:sz w:val="24"/>
          <w:szCs w:val="24"/>
        </w:rPr>
      </w:pPr>
    </w:p>
    <w:p w:rsidR="00337738" w:rsidRPr="006E3415" w:rsidRDefault="00337738" w:rsidP="00746BFF">
      <w:pPr>
        <w:spacing w:after="0" w:line="360" w:lineRule="auto"/>
        <w:rPr>
          <w:rFonts w:ascii="Times New Roman" w:hAnsi="Times New Roman" w:cs="Times New Roman"/>
          <w:bCs/>
          <w:sz w:val="24"/>
          <w:szCs w:val="24"/>
        </w:rPr>
      </w:pPr>
      <w:r w:rsidRPr="006E3415">
        <w:rPr>
          <w:rFonts w:ascii="Times New Roman" w:hAnsi="Times New Roman" w:cs="Times New Roman"/>
          <w:bCs/>
          <w:sz w:val="24"/>
          <w:szCs w:val="24"/>
        </w:rPr>
        <w:t>By 12</w:t>
      </w:r>
      <w:r w:rsidRPr="006E3415">
        <w:rPr>
          <w:rFonts w:ascii="Times New Roman" w:hAnsi="Times New Roman" w:cs="Times New Roman"/>
          <w:bCs/>
          <w:sz w:val="24"/>
          <w:szCs w:val="24"/>
          <w:vertAlign w:val="superscript"/>
        </w:rPr>
        <w:t>th</w:t>
      </w:r>
      <w:r w:rsidRPr="006E3415">
        <w:rPr>
          <w:rFonts w:ascii="Times New Roman" w:hAnsi="Times New Roman" w:cs="Times New Roman"/>
          <w:bCs/>
          <w:sz w:val="24"/>
          <w:szCs w:val="24"/>
        </w:rPr>
        <w:t xml:space="preserve"> February 1872, Robertsons, on behalf of the Société, had been granted sequestration of the Estates pending the final hearing.</w:t>
      </w:r>
      <w:r w:rsidRPr="006E3415">
        <w:rPr>
          <w:rStyle w:val="FootnoteReference"/>
          <w:rFonts w:ascii="Times New Roman" w:hAnsi="Times New Roman" w:cs="Times New Roman"/>
          <w:bCs/>
          <w:sz w:val="24"/>
          <w:szCs w:val="24"/>
        </w:rPr>
        <w:footnoteReference w:id="122"/>
      </w:r>
      <w:r w:rsidRPr="006E3415">
        <w:rPr>
          <w:rFonts w:ascii="Times New Roman" w:hAnsi="Times New Roman" w:cs="Times New Roman"/>
          <w:bCs/>
          <w:sz w:val="24"/>
          <w:szCs w:val="24"/>
        </w:rPr>
        <w:t xml:space="preserve"> It should be noted that, although Robertsons regarded it as a formality,</w:t>
      </w:r>
      <w:r w:rsidRPr="006E3415">
        <w:rPr>
          <w:rStyle w:val="FootnoteReference"/>
          <w:rFonts w:ascii="Times New Roman" w:hAnsi="Times New Roman" w:cs="Times New Roman"/>
          <w:bCs/>
          <w:sz w:val="24"/>
          <w:szCs w:val="24"/>
        </w:rPr>
        <w:footnoteReference w:id="123"/>
      </w:r>
      <w:r w:rsidRPr="006E3415">
        <w:rPr>
          <w:rFonts w:ascii="Times New Roman" w:hAnsi="Times New Roman" w:cs="Times New Roman"/>
          <w:bCs/>
          <w:sz w:val="24"/>
          <w:szCs w:val="24"/>
        </w:rPr>
        <w:t xml:space="preserve"> sequestration was not part of the usual procedure in a suit for a sale in execution. According to Thomson, sequestration would only be ordered if the court was persuaded that ‘the defendant [was] fraudulently alienating his property to avoid payment of the debt’.</w:t>
      </w:r>
      <w:r w:rsidRPr="006E3415">
        <w:rPr>
          <w:rStyle w:val="FootnoteReference"/>
          <w:rFonts w:ascii="Times New Roman" w:hAnsi="Times New Roman" w:cs="Times New Roman"/>
          <w:bCs/>
          <w:sz w:val="24"/>
          <w:szCs w:val="24"/>
        </w:rPr>
        <w:footnoteReference w:id="124"/>
      </w:r>
      <w:r w:rsidRPr="006E3415">
        <w:rPr>
          <w:rFonts w:ascii="Times New Roman" w:hAnsi="Times New Roman" w:cs="Times New Roman"/>
          <w:bCs/>
          <w:sz w:val="24"/>
          <w:szCs w:val="24"/>
        </w:rPr>
        <w:t xml:space="preserve"> The sequestration, therefore, appears to be a sign that relations between Emily and the Société had deteriorated. This is corroborated </w:t>
      </w:r>
      <w:r w:rsidR="005A093A">
        <w:rPr>
          <w:rFonts w:ascii="Times New Roman" w:hAnsi="Times New Roman" w:cs="Times New Roman"/>
          <w:bCs/>
          <w:sz w:val="24"/>
          <w:szCs w:val="24"/>
        </w:rPr>
        <w:t xml:space="preserve">by suggestions by Robertsons </w:t>
      </w:r>
      <w:r w:rsidRPr="006E3415">
        <w:rPr>
          <w:rFonts w:ascii="Times New Roman" w:hAnsi="Times New Roman" w:cs="Times New Roman"/>
          <w:bCs/>
          <w:sz w:val="24"/>
          <w:szCs w:val="24"/>
        </w:rPr>
        <w:t>that Emily caused delays in the litigation by refusing to admit accounts of sales of produce that had been produced on the Estates.</w:t>
      </w:r>
      <w:r w:rsidRPr="006E3415">
        <w:rPr>
          <w:rStyle w:val="FootnoteReference"/>
          <w:rFonts w:ascii="Times New Roman" w:hAnsi="Times New Roman" w:cs="Times New Roman"/>
          <w:bCs/>
          <w:sz w:val="24"/>
          <w:szCs w:val="24"/>
        </w:rPr>
        <w:footnoteReference w:id="125"/>
      </w:r>
    </w:p>
    <w:p w:rsidR="00CA5C5D" w:rsidRPr="006E3415" w:rsidRDefault="00CA5C5D" w:rsidP="00746BFF">
      <w:pPr>
        <w:spacing w:after="0" w:line="360" w:lineRule="auto"/>
        <w:rPr>
          <w:rFonts w:ascii="Times New Roman" w:hAnsi="Times New Roman" w:cs="Times New Roman"/>
          <w:bCs/>
          <w:sz w:val="24"/>
          <w:szCs w:val="24"/>
        </w:rPr>
      </w:pPr>
    </w:p>
    <w:p w:rsidR="00337738" w:rsidRPr="006E3415" w:rsidRDefault="00337738" w:rsidP="00746BFF">
      <w:pPr>
        <w:spacing w:after="0" w:line="360" w:lineRule="auto"/>
        <w:rPr>
          <w:rFonts w:ascii="Times New Roman" w:hAnsi="Times New Roman" w:cs="Times New Roman"/>
          <w:bCs/>
          <w:sz w:val="24"/>
          <w:szCs w:val="24"/>
        </w:rPr>
      </w:pPr>
      <w:r w:rsidRPr="006E3415">
        <w:rPr>
          <w:rFonts w:ascii="Times New Roman" w:hAnsi="Times New Roman" w:cs="Times New Roman"/>
          <w:bCs/>
          <w:sz w:val="24"/>
          <w:szCs w:val="24"/>
        </w:rPr>
        <w:t>Interestingly, letters sent by Robertsons to the Société in April 1872 state that Cavendish was to be unrepresented in the Ceylon suit, and that, as against him, the case would be heard ‘ex parte’.</w:t>
      </w:r>
      <w:r w:rsidRPr="006E3415">
        <w:rPr>
          <w:rStyle w:val="FootnoteReference"/>
          <w:rFonts w:ascii="Times New Roman" w:hAnsi="Times New Roman" w:cs="Times New Roman"/>
          <w:bCs/>
          <w:sz w:val="24"/>
          <w:szCs w:val="24"/>
        </w:rPr>
        <w:footnoteReference w:id="126"/>
      </w:r>
      <w:r w:rsidRPr="006E3415">
        <w:rPr>
          <w:rFonts w:ascii="Times New Roman" w:hAnsi="Times New Roman" w:cs="Times New Roman"/>
          <w:bCs/>
          <w:sz w:val="24"/>
          <w:szCs w:val="24"/>
        </w:rPr>
        <w:t xml:space="preserve"> It seems odd that Cavendish all but abandoned his pursuit of the Estates; earlier correspondence suggests that he was intent upon securing them for himself. In letters to the Société dated 1</w:t>
      </w:r>
      <w:r w:rsidR="00473389" w:rsidRPr="006E3415">
        <w:rPr>
          <w:rFonts w:ascii="Times New Roman" w:hAnsi="Times New Roman" w:cs="Times New Roman"/>
          <w:bCs/>
          <w:sz w:val="24"/>
          <w:szCs w:val="24"/>
        </w:rPr>
        <w:t>8</w:t>
      </w:r>
      <w:r w:rsidRPr="006E3415">
        <w:rPr>
          <w:rFonts w:ascii="Times New Roman" w:hAnsi="Times New Roman" w:cs="Times New Roman"/>
          <w:bCs/>
          <w:sz w:val="24"/>
          <w:szCs w:val="24"/>
        </w:rPr>
        <w:t xml:space="preserve"> October and 11</w:t>
      </w:r>
      <w:r w:rsidRPr="006E3415">
        <w:rPr>
          <w:rFonts w:ascii="Times New Roman" w:hAnsi="Times New Roman" w:cs="Times New Roman"/>
          <w:bCs/>
          <w:sz w:val="24"/>
          <w:szCs w:val="24"/>
          <w:vertAlign w:val="superscript"/>
        </w:rPr>
        <w:t>th</w:t>
      </w:r>
      <w:r w:rsidRPr="006E3415">
        <w:rPr>
          <w:rFonts w:ascii="Times New Roman" w:hAnsi="Times New Roman" w:cs="Times New Roman"/>
          <w:bCs/>
          <w:sz w:val="24"/>
          <w:szCs w:val="24"/>
        </w:rPr>
        <w:t xml:space="preserve"> November 1871, Cavendish had requested permission for his agents to inspect the Estate and also a statement as to how much was outstanding to the Société so that he could make arrangements for the repayment of the debt.</w:t>
      </w:r>
      <w:r w:rsidRPr="006E3415">
        <w:rPr>
          <w:rStyle w:val="FootnoteReference"/>
          <w:rFonts w:ascii="Times New Roman" w:hAnsi="Times New Roman" w:cs="Times New Roman"/>
          <w:bCs/>
          <w:sz w:val="24"/>
          <w:szCs w:val="24"/>
        </w:rPr>
        <w:footnoteReference w:id="127"/>
      </w:r>
      <w:r w:rsidRPr="006E3415">
        <w:rPr>
          <w:rFonts w:ascii="Times New Roman" w:hAnsi="Times New Roman" w:cs="Times New Roman"/>
          <w:bCs/>
          <w:sz w:val="24"/>
          <w:szCs w:val="24"/>
        </w:rPr>
        <w:t xml:space="preserve"> </w:t>
      </w:r>
      <w:r w:rsidR="00813CAF">
        <w:rPr>
          <w:rFonts w:ascii="Times New Roman" w:hAnsi="Times New Roman" w:cs="Times New Roman"/>
          <w:bCs/>
          <w:sz w:val="24"/>
          <w:szCs w:val="24"/>
        </w:rPr>
        <w:t xml:space="preserve">The liquidators did not act in accordance with Cavendish’s </w:t>
      </w:r>
      <w:r w:rsidR="00354B27">
        <w:rPr>
          <w:rFonts w:ascii="Times New Roman" w:hAnsi="Times New Roman" w:cs="Times New Roman"/>
          <w:bCs/>
          <w:sz w:val="24"/>
          <w:szCs w:val="24"/>
        </w:rPr>
        <w:t xml:space="preserve">requests </w:t>
      </w:r>
      <w:r w:rsidR="00813CAF">
        <w:rPr>
          <w:rFonts w:ascii="Times New Roman" w:hAnsi="Times New Roman" w:cs="Times New Roman"/>
          <w:bCs/>
          <w:sz w:val="24"/>
          <w:szCs w:val="24"/>
        </w:rPr>
        <w:t xml:space="preserve">so on </w:t>
      </w:r>
      <w:r w:rsidR="00720BCB" w:rsidRPr="006E3415">
        <w:rPr>
          <w:rFonts w:ascii="Times New Roman" w:hAnsi="Times New Roman" w:cs="Times New Roman"/>
          <w:bCs/>
          <w:sz w:val="24"/>
          <w:szCs w:val="24"/>
        </w:rPr>
        <w:t>1</w:t>
      </w:r>
      <w:r w:rsidRPr="006E3415">
        <w:rPr>
          <w:rFonts w:ascii="Times New Roman" w:hAnsi="Times New Roman" w:cs="Times New Roman"/>
          <w:bCs/>
          <w:sz w:val="24"/>
          <w:szCs w:val="24"/>
        </w:rPr>
        <w:t xml:space="preserve"> February 1872, he wrote a furious letter to the liquidators threatening legal action and demanding that his requests be acceded to. He also referred to himself as a ‘mortgagor anxious to pay off his debt’, and to the Estates as ‘</w:t>
      </w:r>
      <w:r w:rsidRPr="006E3415">
        <w:rPr>
          <w:rFonts w:ascii="Times New Roman" w:hAnsi="Times New Roman" w:cs="Times New Roman"/>
          <w:bCs/>
          <w:sz w:val="24"/>
          <w:szCs w:val="24"/>
          <w:u w:val="single"/>
        </w:rPr>
        <w:t xml:space="preserve">my own property </w:t>
      </w:r>
      <w:r w:rsidRPr="006E3415">
        <w:rPr>
          <w:rFonts w:ascii="Times New Roman" w:hAnsi="Times New Roman" w:cs="Times New Roman"/>
          <w:bCs/>
          <w:sz w:val="24"/>
          <w:szCs w:val="24"/>
        </w:rPr>
        <w:t>[underlining in original].’</w:t>
      </w:r>
      <w:r w:rsidRPr="006E3415">
        <w:rPr>
          <w:rStyle w:val="FootnoteReference"/>
          <w:rFonts w:ascii="Times New Roman" w:hAnsi="Times New Roman" w:cs="Times New Roman"/>
          <w:bCs/>
          <w:sz w:val="24"/>
          <w:szCs w:val="24"/>
        </w:rPr>
        <w:footnoteReference w:id="128"/>
      </w:r>
      <w:r w:rsidR="00813CAF">
        <w:rPr>
          <w:rFonts w:ascii="Times New Roman" w:hAnsi="Times New Roman" w:cs="Times New Roman"/>
          <w:bCs/>
          <w:sz w:val="24"/>
          <w:szCs w:val="24"/>
        </w:rPr>
        <w:t xml:space="preserve"> </w:t>
      </w:r>
    </w:p>
    <w:p w:rsidR="0010676B" w:rsidRPr="006E3415" w:rsidRDefault="0010676B" w:rsidP="00746BFF">
      <w:pPr>
        <w:spacing w:after="0" w:line="360" w:lineRule="auto"/>
        <w:rPr>
          <w:rFonts w:ascii="Times New Roman" w:hAnsi="Times New Roman" w:cs="Times New Roman"/>
          <w:bCs/>
          <w:sz w:val="24"/>
          <w:szCs w:val="24"/>
        </w:rPr>
      </w:pPr>
    </w:p>
    <w:p w:rsidR="00337738" w:rsidRPr="006E3415" w:rsidRDefault="00337738" w:rsidP="00746BFF">
      <w:pPr>
        <w:spacing w:after="0" w:line="360" w:lineRule="auto"/>
        <w:rPr>
          <w:rFonts w:ascii="Times New Roman" w:hAnsi="Times New Roman" w:cs="Times New Roman"/>
          <w:sz w:val="24"/>
          <w:szCs w:val="24"/>
        </w:rPr>
      </w:pPr>
      <w:r w:rsidRPr="006E3415">
        <w:rPr>
          <w:rFonts w:ascii="Times New Roman" w:hAnsi="Times New Roman" w:cs="Times New Roman"/>
          <w:bCs/>
          <w:sz w:val="24"/>
          <w:szCs w:val="24"/>
        </w:rPr>
        <w:lastRenderedPageBreak/>
        <w:t>Despite his posturing, it seems that Cavendish lacked the funds to redeem the mortgage himself. On 1</w:t>
      </w:r>
      <w:r w:rsidR="00473389" w:rsidRPr="006E3415">
        <w:rPr>
          <w:rFonts w:ascii="Times New Roman" w:hAnsi="Times New Roman" w:cs="Times New Roman"/>
          <w:bCs/>
          <w:sz w:val="24"/>
          <w:szCs w:val="24"/>
        </w:rPr>
        <w:t>5</w:t>
      </w:r>
      <w:r w:rsidRPr="006E3415">
        <w:rPr>
          <w:rFonts w:ascii="Times New Roman" w:hAnsi="Times New Roman" w:cs="Times New Roman"/>
          <w:bCs/>
          <w:sz w:val="24"/>
          <w:szCs w:val="24"/>
        </w:rPr>
        <w:t xml:space="preserve"> January 1872, he wrote to Barings, requesting that they </w:t>
      </w:r>
      <w:r w:rsidRPr="006E3415">
        <w:rPr>
          <w:rStyle w:val="mini"/>
          <w:rFonts w:ascii="Times New Roman" w:hAnsi="Times New Roman" w:cs="Times New Roman"/>
          <w:sz w:val="24"/>
          <w:szCs w:val="24"/>
        </w:rPr>
        <w:t xml:space="preserve">take an assignment of the mortgage from the </w:t>
      </w:r>
      <w:r w:rsidRPr="006E3415">
        <w:rPr>
          <w:rFonts w:ascii="Times New Roman" w:hAnsi="Times New Roman" w:cs="Times New Roman"/>
          <w:bCs/>
          <w:sz w:val="24"/>
          <w:szCs w:val="24"/>
        </w:rPr>
        <w:t>Société</w:t>
      </w:r>
      <w:r w:rsidRPr="006E3415">
        <w:rPr>
          <w:rFonts w:ascii="Times New Roman" w:hAnsi="Times New Roman" w:cs="Times New Roman"/>
          <w:sz w:val="24"/>
          <w:szCs w:val="24"/>
        </w:rPr>
        <w:t xml:space="preserve"> in order to allay his fear that ‘the Estates will be irrecoverably lost to myself and my family’.</w:t>
      </w:r>
      <w:r w:rsidRPr="006E3415">
        <w:rPr>
          <w:rStyle w:val="FootnoteReference"/>
          <w:rFonts w:ascii="Times New Roman" w:hAnsi="Times New Roman" w:cs="Times New Roman"/>
          <w:sz w:val="24"/>
          <w:szCs w:val="24"/>
        </w:rPr>
        <w:footnoteReference w:id="129"/>
      </w:r>
      <w:r w:rsidRPr="006E3415">
        <w:rPr>
          <w:rFonts w:ascii="Times New Roman" w:hAnsi="Times New Roman" w:cs="Times New Roman"/>
          <w:sz w:val="24"/>
          <w:szCs w:val="24"/>
        </w:rPr>
        <w:t xml:space="preserve"> The threat, he wrote, derived from the fact that the Société was </w:t>
      </w:r>
      <w:r w:rsidRPr="006E3415">
        <w:rPr>
          <w:rFonts w:ascii="Times New Roman" w:hAnsi="Times New Roman" w:cs="Times New Roman"/>
          <w:bCs/>
          <w:sz w:val="24"/>
          <w:szCs w:val="24"/>
        </w:rPr>
        <w:t>‘now foreclosing their mortgage’ as it was ‘anxious to wind up their affairs’.</w:t>
      </w:r>
      <w:r w:rsidRPr="006E3415">
        <w:rPr>
          <w:rStyle w:val="FootnoteReference"/>
          <w:rFonts w:ascii="Times New Roman" w:hAnsi="Times New Roman" w:cs="Times New Roman"/>
          <w:bCs/>
          <w:sz w:val="24"/>
          <w:szCs w:val="24"/>
        </w:rPr>
        <w:footnoteReference w:id="130"/>
      </w:r>
      <w:r w:rsidRPr="006E3415">
        <w:rPr>
          <w:rFonts w:ascii="Times New Roman" w:hAnsi="Times New Roman" w:cs="Times New Roman"/>
          <w:bCs/>
          <w:sz w:val="24"/>
          <w:szCs w:val="24"/>
        </w:rPr>
        <w:t xml:space="preserve"> Barings’s response is unknown, but there is no evidenc</w:t>
      </w:r>
      <w:r w:rsidR="005A093A">
        <w:rPr>
          <w:rFonts w:ascii="Times New Roman" w:hAnsi="Times New Roman" w:cs="Times New Roman"/>
          <w:bCs/>
          <w:sz w:val="24"/>
          <w:szCs w:val="24"/>
        </w:rPr>
        <w:t xml:space="preserve">e in either the Baring Archive </w:t>
      </w:r>
      <w:r w:rsidRPr="006E3415">
        <w:rPr>
          <w:rFonts w:ascii="Times New Roman" w:hAnsi="Times New Roman" w:cs="Times New Roman"/>
          <w:bCs/>
          <w:sz w:val="24"/>
          <w:szCs w:val="24"/>
        </w:rPr>
        <w:t>or the records of the</w:t>
      </w:r>
      <w:r w:rsidRPr="006E3415">
        <w:rPr>
          <w:rFonts w:ascii="Times New Roman" w:hAnsi="Times New Roman" w:cs="Times New Roman"/>
          <w:sz w:val="24"/>
          <w:szCs w:val="24"/>
        </w:rPr>
        <w:t xml:space="preserve"> Société</w:t>
      </w:r>
      <w:r w:rsidR="005A093A">
        <w:rPr>
          <w:rFonts w:ascii="Times New Roman" w:hAnsi="Times New Roman" w:cs="Times New Roman"/>
          <w:kern w:val="2"/>
          <w:sz w:val="24"/>
          <w:szCs w:val="24"/>
        </w:rPr>
        <w:t xml:space="preserve"> </w:t>
      </w:r>
      <w:r w:rsidRPr="006E3415">
        <w:rPr>
          <w:rFonts w:ascii="Times New Roman" w:hAnsi="Times New Roman" w:cs="Times New Roman"/>
          <w:bCs/>
          <w:sz w:val="24"/>
          <w:szCs w:val="24"/>
        </w:rPr>
        <w:t xml:space="preserve">that Barings </w:t>
      </w:r>
      <w:r w:rsidR="004E355F" w:rsidRPr="006E3415">
        <w:rPr>
          <w:rFonts w:ascii="Times New Roman" w:hAnsi="Times New Roman" w:cs="Times New Roman"/>
          <w:bCs/>
          <w:sz w:val="24"/>
          <w:szCs w:val="24"/>
        </w:rPr>
        <w:t>sought to act upon Cavendish’s request</w:t>
      </w:r>
      <w:r w:rsidRPr="006E3415">
        <w:rPr>
          <w:rFonts w:ascii="Times New Roman" w:hAnsi="Times New Roman" w:cs="Times New Roman"/>
          <w:sz w:val="24"/>
          <w:szCs w:val="24"/>
        </w:rPr>
        <w:t>,</w:t>
      </w:r>
      <w:r w:rsidR="004E355F" w:rsidRPr="006E3415">
        <w:rPr>
          <w:rFonts w:ascii="Times New Roman" w:hAnsi="Times New Roman" w:cs="Times New Roman"/>
          <w:sz w:val="24"/>
          <w:szCs w:val="24"/>
        </w:rPr>
        <w:t xml:space="preserve"> </w:t>
      </w:r>
      <w:r w:rsidRPr="006E3415">
        <w:rPr>
          <w:rFonts w:ascii="Times New Roman" w:hAnsi="Times New Roman" w:cs="Times New Roman"/>
          <w:sz w:val="24"/>
          <w:szCs w:val="24"/>
        </w:rPr>
        <w:t>nor is there any evidence that Cavendish obtained the required funds or assistance elsewhere. It is also notable that, in his letter of 1</w:t>
      </w:r>
      <w:r w:rsidR="00473389" w:rsidRPr="006E3415">
        <w:rPr>
          <w:rFonts w:ascii="Times New Roman" w:hAnsi="Times New Roman" w:cs="Times New Roman"/>
          <w:sz w:val="24"/>
          <w:szCs w:val="24"/>
        </w:rPr>
        <w:t>5</w:t>
      </w:r>
      <w:r w:rsidRPr="006E3415">
        <w:rPr>
          <w:rFonts w:ascii="Times New Roman" w:hAnsi="Times New Roman" w:cs="Times New Roman"/>
          <w:sz w:val="24"/>
          <w:szCs w:val="24"/>
        </w:rPr>
        <w:t xml:space="preserve"> January 1872, Cavendish assured Barings that, should they take the mortgage, they would ‘only have to deal with the Trustees appointed by the Court of Chancery</w:t>
      </w:r>
      <w:r w:rsidR="00900432">
        <w:rPr>
          <w:rFonts w:ascii="Times New Roman" w:hAnsi="Times New Roman" w:cs="Times New Roman"/>
          <w:sz w:val="24"/>
          <w:szCs w:val="24"/>
        </w:rPr>
        <w:t>, by which you will perceive that you will have no dealings whatsoever with my former wife</w:t>
      </w:r>
      <w:r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131"/>
      </w:r>
      <w:r w:rsidRPr="006E3415">
        <w:rPr>
          <w:rFonts w:ascii="Times New Roman" w:hAnsi="Times New Roman" w:cs="Times New Roman"/>
          <w:sz w:val="24"/>
          <w:szCs w:val="24"/>
        </w:rPr>
        <w:t xml:space="preserve"> </w:t>
      </w:r>
      <w:r w:rsidR="008D1310" w:rsidRPr="006E3415">
        <w:rPr>
          <w:rFonts w:ascii="Times New Roman" w:hAnsi="Times New Roman" w:cs="Times New Roman"/>
          <w:sz w:val="24"/>
          <w:szCs w:val="24"/>
        </w:rPr>
        <w:t>All evidence suggests that this was</w:t>
      </w:r>
      <w:r w:rsidRPr="006E3415">
        <w:rPr>
          <w:rFonts w:ascii="Times New Roman" w:hAnsi="Times New Roman" w:cs="Times New Roman"/>
          <w:sz w:val="24"/>
          <w:szCs w:val="24"/>
        </w:rPr>
        <w:t xml:space="preserve"> </w:t>
      </w:r>
      <w:r w:rsidR="004E355F" w:rsidRPr="006E3415">
        <w:rPr>
          <w:rFonts w:ascii="Times New Roman" w:hAnsi="Times New Roman" w:cs="Times New Roman"/>
          <w:sz w:val="24"/>
          <w:szCs w:val="24"/>
        </w:rPr>
        <w:t>wishful thinking on his behalf.</w:t>
      </w:r>
      <w:r w:rsidRPr="006E3415">
        <w:rPr>
          <w:rFonts w:ascii="Times New Roman" w:hAnsi="Times New Roman" w:cs="Times New Roman"/>
          <w:sz w:val="24"/>
          <w:szCs w:val="24"/>
        </w:rPr>
        <w:t xml:space="preserve"> </w:t>
      </w:r>
    </w:p>
    <w:p w:rsidR="00337738" w:rsidRPr="006E3415" w:rsidRDefault="00337738" w:rsidP="00746BFF">
      <w:pPr>
        <w:spacing w:after="0" w:line="360" w:lineRule="auto"/>
        <w:rPr>
          <w:rFonts w:ascii="Times New Roman" w:hAnsi="Times New Roman" w:cs="Times New Roman"/>
          <w:sz w:val="24"/>
          <w:szCs w:val="24"/>
        </w:rPr>
      </w:pPr>
    </w:p>
    <w:p w:rsidR="00337738" w:rsidRPr="006E3415" w:rsidRDefault="00337738" w:rsidP="00746BFF">
      <w:pPr>
        <w:pStyle w:val="ListParagraph"/>
        <w:numPr>
          <w:ilvl w:val="0"/>
          <w:numId w:val="6"/>
        </w:numPr>
        <w:spacing w:line="360" w:lineRule="auto"/>
        <w:rPr>
          <w:rFonts w:cs="Times New Roman"/>
          <w:i/>
          <w:szCs w:val="24"/>
        </w:rPr>
      </w:pPr>
      <w:r w:rsidRPr="006E3415">
        <w:rPr>
          <w:rFonts w:cs="Times New Roman"/>
          <w:i/>
          <w:szCs w:val="24"/>
        </w:rPr>
        <w:t>The Ceylon trial and the sale of the Estates</w:t>
      </w:r>
    </w:p>
    <w:p w:rsidR="00337738" w:rsidRPr="006E3415" w:rsidRDefault="00337738" w:rsidP="00746BFF">
      <w:pPr>
        <w:pStyle w:val="ListParagraph"/>
        <w:spacing w:line="360" w:lineRule="auto"/>
        <w:ind w:left="1080"/>
        <w:rPr>
          <w:rFonts w:cs="Times New Roman"/>
          <w:i/>
          <w:szCs w:val="24"/>
        </w:rPr>
      </w:pPr>
    </w:p>
    <w:p w:rsidR="004E355F" w:rsidRPr="006E3415" w:rsidRDefault="00337738" w:rsidP="00746BFF">
      <w:pPr>
        <w:spacing w:after="0" w:line="360" w:lineRule="auto"/>
        <w:rPr>
          <w:rFonts w:ascii="Times New Roman" w:hAnsi="Times New Roman" w:cs="Times New Roman"/>
          <w:bCs/>
          <w:sz w:val="24"/>
          <w:szCs w:val="24"/>
        </w:rPr>
      </w:pPr>
      <w:r w:rsidRPr="006E3415">
        <w:rPr>
          <w:rFonts w:ascii="Times New Roman" w:hAnsi="Times New Roman" w:cs="Times New Roman"/>
          <w:sz w:val="24"/>
          <w:szCs w:val="24"/>
        </w:rPr>
        <w:t xml:space="preserve">The Société’s Ceylon suit was heard in the District Court on </w:t>
      </w:r>
      <w:r w:rsidR="00473389" w:rsidRPr="006E3415">
        <w:rPr>
          <w:rFonts w:ascii="Times New Roman" w:hAnsi="Times New Roman" w:cs="Times New Roman"/>
          <w:sz w:val="24"/>
          <w:szCs w:val="24"/>
        </w:rPr>
        <w:t>4</w:t>
      </w:r>
      <w:r w:rsidRPr="006E3415">
        <w:rPr>
          <w:rFonts w:ascii="Times New Roman" w:hAnsi="Times New Roman" w:cs="Times New Roman"/>
          <w:sz w:val="24"/>
          <w:szCs w:val="24"/>
        </w:rPr>
        <w:t xml:space="preserve"> October 1872. </w:t>
      </w:r>
      <w:r w:rsidR="001B4A8D" w:rsidRPr="006E3415">
        <w:rPr>
          <w:rFonts w:ascii="Times New Roman" w:hAnsi="Times New Roman" w:cs="Times New Roman"/>
          <w:sz w:val="24"/>
          <w:szCs w:val="24"/>
        </w:rPr>
        <w:t xml:space="preserve">Robertsons </w:t>
      </w:r>
      <w:r w:rsidR="008D1310" w:rsidRPr="006E3415">
        <w:rPr>
          <w:rFonts w:ascii="Times New Roman" w:hAnsi="Times New Roman" w:cs="Times New Roman"/>
          <w:sz w:val="24"/>
          <w:szCs w:val="24"/>
        </w:rPr>
        <w:t xml:space="preserve">provided the Société with a </w:t>
      </w:r>
      <w:r w:rsidRPr="006E3415">
        <w:rPr>
          <w:rFonts w:ascii="Times New Roman" w:hAnsi="Times New Roman" w:cs="Times New Roman"/>
          <w:sz w:val="24"/>
          <w:szCs w:val="24"/>
        </w:rPr>
        <w:t>detailed account of the trial.</w:t>
      </w:r>
      <w:r w:rsidR="008D1310" w:rsidRPr="006E3415">
        <w:rPr>
          <w:rStyle w:val="FootnoteReference"/>
          <w:rFonts w:ascii="Times New Roman" w:hAnsi="Times New Roman" w:cs="Times New Roman"/>
          <w:sz w:val="24"/>
          <w:szCs w:val="24"/>
        </w:rPr>
        <w:footnoteReference w:id="132"/>
      </w:r>
      <w:r w:rsidRPr="006E3415">
        <w:rPr>
          <w:rFonts w:ascii="Times New Roman" w:hAnsi="Times New Roman" w:cs="Times New Roman"/>
          <w:sz w:val="24"/>
          <w:szCs w:val="24"/>
        </w:rPr>
        <w:t xml:space="preserve"> On the day of the </w:t>
      </w:r>
      <w:r w:rsidR="00790146">
        <w:rPr>
          <w:rFonts w:ascii="Times New Roman" w:hAnsi="Times New Roman" w:cs="Times New Roman"/>
          <w:sz w:val="24"/>
          <w:szCs w:val="24"/>
        </w:rPr>
        <w:t>hearing, Emily and Gaston</w:t>
      </w:r>
      <w:r w:rsidRPr="006E3415">
        <w:rPr>
          <w:rFonts w:ascii="Times New Roman" w:hAnsi="Times New Roman" w:cs="Times New Roman"/>
          <w:sz w:val="24"/>
          <w:szCs w:val="24"/>
        </w:rPr>
        <w:t xml:space="preserve"> ‘filed an admission of the debt’.</w:t>
      </w:r>
      <w:r w:rsidR="001B4A8D" w:rsidRPr="006E3415">
        <w:rPr>
          <w:rFonts w:ascii="Times New Roman" w:hAnsi="Times New Roman" w:cs="Times New Roman"/>
          <w:sz w:val="24"/>
          <w:szCs w:val="24"/>
        </w:rPr>
        <w:t xml:space="preserve"> The judge </w:t>
      </w:r>
      <w:r w:rsidRPr="006E3415">
        <w:rPr>
          <w:rFonts w:ascii="Times New Roman" w:hAnsi="Times New Roman" w:cs="Times New Roman"/>
          <w:sz w:val="24"/>
          <w:szCs w:val="24"/>
        </w:rPr>
        <w:t>gave judgment against them and ordered that the Estates be sold. Owing to some technical details, judgment against Cavendish</w:t>
      </w:r>
      <w:r w:rsidR="00863692" w:rsidRPr="006E3415">
        <w:rPr>
          <w:rFonts w:ascii="Times New Roman" w:hAnsi="Times New Roman" w:cs="Times New Roman"/>
          <w:sz w:val="24"/>
          <w:szCs w:val="24"/>
        </w:rPr>
        <w:t xml:space="preserve"> </w:t>
      </w:r>
      <w:r w:rsidRPr="006E3415">
        <w:rPr>
          <w:rFonts w:ascii="Times New Roman" w:hAnsi="Times New Roman" w:cs="Times New Roman"/>
          <w:sz w:val="24"/>
          <w:szCs w:val="24"/>
        </w:rPr>
        <w:t>was reserved. T</w:t>
      </w:r>
      <w:r w:rsidRPr="006E3415">
        <w:rPr>
          <w:rFonts w:ascii="Times New Roman" w:hAnsi="Times New Roman" w:cs="Times New Roman"/>
          <w:bCs/>
          <w:sz w:val="24"/>
          <w:szCs w:val="24"/>
        </w:rPr>
        <w:t xml:space="preserve">hree months’ notice of the impending sale was given, longer than would usually be afforded, </w:t>
      </w:r>
      <w:r w:rsidR="004E355F" w:rsidRPr="006E3415">
        <w:rPr>
          <w:rFonts w:ascii="Times New Roman" w:hAnsi="Times New Roman" w:cs="Times New Roman"/>
          <w:bCs/>
          <w:sz w:val="24"/>
          <w:szCs w:val="24"/>
        </w:rPr>
        <w:t>so</w:t>
      </w:r>
      <w:r w:rsidRPr="006E3415">
        <w:rPr>
          <w:rFonts w:ascii="Times New Roman" w:hAnsi="Times New Roman" w:cs="Times New Roman"/>
          <w:bCs/>
          <w:sz w:val="24"/>
          <w:szCs w:val="24"/>
        </w:rPr>
        <w:t xml:space="preserve"> that Cavendish and another claimant</w:t>
      </w:r>
      <w:r w:rsidRPr="006E3415">
        <w:rPr>
          <w:rStyle w:val="FootnoteReference"/>
          <w:rFonts w:ascii="Times New Roman" w:hAnsi="Times New Roman" w:cs="Times New Roman"/>
          <w:bCs/>
          <w:sz w:val="24"/>
          <w:szCs w:val="24"/>
        </w:rPr>
        <w:footnoteReference w:id="133"/>
      </w:r>
      <w:r w:rsidRPr="006E3415">
        <w:rPr>
          <w:rFonts w:ascii="Times New Roman" w:hAnsi="Times New Roman" w:cs="Times New Roman"/>
          <w:bCs/>
          <w:sz w:val="24"/>
          <w:szCs w:val="24"/>
        </w:rPr>
        <w:t xml:space="preserve"> could claim any interests that they possessed. The District Court’s decision in respect of the alleged annuities is unknown. As Robertsons did not report any details of any such judgment to the Société, it </w:t>
      </w:r>
      <w:r w:rsidRPr="006E3415">
        <w:rPr>
          <w:rFonts w:ascii="Times New Roman" w:hAnsi="Times New Roman" w:cs="Times New Roman"/>
          <w:bCs/>
          <w:sz w:val="24"/>
          <w:szCs w:val="24"/>
        </w:rPr>
        <w:lastRenderedPageBreak/>
        <w:t>seems likely that either these claims were abandoned or that there was some sort of settlement reached.</w:t>
      </w:r>
    </w:p>
    <w:p w:rsidR="00BE5B2F" w:rsidRPr="006E3415" w:rsidRDefault="00BE5B2F" w:rsidP="00746BFF">
      <w:pPr>
        <w:spacing w:after="0" w:line="360" w:lineRule="auto"/>
        <w:rPr>
          <w:rFonts w:ascii="Times New Roman" w:hAnsi="Times New Roman" w:cs="Times New Roman"/>
          <w:bCs/>
          <w:sz w:val="24"/>
          <w:szCs w:val="24"/>
        </w:rPr>
      </w:pPr>
    </w:p>
    <w:p w:rsidR="00337738" w:rsidRPr="006E3415" w:rsidRDefault="00337738" w:rsidP="00746BFF">
      <w:pPr>
        <w:spacing w:after="0" w:line="360" w:lineRule="auto"/>
        <w:rPr>
          <w:rFonts w:ascii="Times New Roman" w:hAnsi="Times New Roman" w:cs="Times New Roman"/>
          <w:bCs/>
          <w:sz w:val="24"/>
          <w:szCs w:val="24"/>
        </w:rPr>
      </w:pPr>
      <w:r w:rsidRPr="006E3415">
        <w:rPr>
          <w:rFonts w:ascii="Times New Roman" w:hAnsi="Times New Roman" w:cs="Times New Roman"/>
          <w:bCs/>
          <w:sz w:val="24"/>
          <w:szCs w:val="24"/>
        </w:rPr>
        <w:t>The Estates were sold on 1</w:t>
      </w:r>
      <w:r w:rsidR="00473389" w:rsidRPr="006E3415">
        <w:rPr>
          <w:rFonts w:ascii="Times New Roman" w:hAnsi="Times New Roman" w:cs="Times New Roman"/>
          <w:bCs/>
          <w:sz w:val="24"/>
          <w:szCs w:val="24"/>
        </w:rPr>
        <w:t>8</w:t>
      </w:r>
      <w:r w:rsidRPr="006E3415">
        <w:rPr>
          <w:rFonts w:ascii="Times New Roman" w:hAnsi="Times New Roman" w:cs="Times New Roman"/>
          <w:bCs/>
          <w:sz w:val="24"/>
          <w:szCs w:val="24"/>
        </w:rPr>
        <w:t xml:space="preserve"> and 1</w:t>
      </w:r>
      <w:r w:rsidR="00473389" w:rsidRPr="006E3415">
        <w:rPr>
          <w:rFonts w:ascii="Times New Roman" w:hAnsi="Times New Roman" w:cs="Times New Roman"/>
          <w:bCs/>
          <w:sz w:val="24"/>
          <w:szCs w:val="24"/>
        </w:rPr>
        <w:t>9</w:t>
      </w:r>
      <w:r w:rsidRPr="006E3415">
        <w:rPr>
          <w:rFonts w:ascii="Times New Roman" w:hAnsi="Times New Roman" w:cs="Times New Roman"/>
          <w:bCs/>
          <w:sz w:val="24"/>
          <w:szCs w:val="24"/>
        </w:rPr>
        <w:t xml:space="preserve"> February 1873. </w:t>
      </w:r>
      <w:r w:rsidR="0043393C" w:rsidRPr="006E3415">
        <w:rPr>
          <w:rFonts w:ascii="Times New Roman" w:hAnsi="Times New Roman" w:cs="Times New Roman"/>
          <w:bCs/>
          <w:sz w:val="24"/>
          <w:szCs w:val="24"/>
        </w:rPr>
        <w:t>Again, a detailed account of the auctions was provided to the Société by Robertsons.</w:t>
      </w:r>
      <w:r w:rsidR="001D16C3" w:rsidRPr="006E3415">
        <w:rPr>
          <w:rStyle w:val="FootnoteReference"/>
          <w:rFonts w:ascii="Times New Roman" w:hAnsi="Times New Roman" w:cs="Times New Roman"/>
          <w:bCs/>
          <w:sz w:val="24"/>
          <w:szCs w:val="24"/>
        </w:rPr>
        <w:t xml:space="preserve"> </w:t>
      </w:r>
      <w:r w:rsidR="001D16C3" w:rsidRPr="006E3415">
        <w:rPr>
          <w:rStyle w:val="FootnoteReference"/>
          <w:rFonts w:ascii="Times New Roman" w:hAnsi="Times New Roman" w:cs="Times New Roman"/>
          <w:bCs/>
          <w:sz w:val="24"/>
          <w:szCs w:val="24"/>
        </w:rPr>
        <w:footnoteReference w:id="134"/>
      </w:r>
      <w:r w:rsidR="0043393C" w:rsidRPr="006E3415">
        <w:rPr>
          <w:rFonts w:ascii="Times New Roman" w:hAnsi="Times New Roman" w:cs="Times New Roman"/>
          <w:bCs/>
          <w:sz w:val="24"/>
          <w:szCs w:val="24"/>
        </w:rPr>
        <w:t xml:space="preserve"> </w:t>
      </w:r>
      <w:r w:rsidRPr="006E3415">
        <w:rPr>
          <w:rFonts w:ascii="Times New Roman" w:hAnsi="Times New Roman" w:cs="Times New Roman"/>
          <w:bCs/>
          <w:sz w:val="24"/>
          <w:szCs w:val="24"/>
        </w:rPr>
        <w:t>The actions were advertised and public,</w:t>
      </w:r>
      <w:r w:rsidRPr="006E3415">
        <w:rPr>
          <w:rStyle w:val="FootnoteReference"/>
          <w:rFonts w:ascii="Times New Roman" w:hAnsi="Times New Roman" w:cs="Times New Roman"/>
          <w:bCs/>
          <w:sz w:val="24"/>
          <w:szCs w:val="24"/>
        </w:rPr>
        <w:footnoteReference w:id="135"/>
      </w:r>
      <w:r w:rsidRPr="006E3415">
        <w:rPr>
          <w:rFonts w:ascii="Times New Roman" w:hAnsi="Times New Roman" w:cs="Times New Roman"/>
          <w:bCs/>
          <w:sz w:val="24"/>
          <w:szCs w:val="24"/>
        </w:rPr>
        <w:t xml:space="preserve"> and were conducted by ‘the fiscals… under the authority of the court.’</w:t>
      </w:r>
      <w:r w:rsidRPr="006E3415">
        <w:rPr>
          <w:rStyle w:val="FootnoteReference"/>
          <w:rFonts w:ascii="Times New Roman" w:hAnsi="Times New Roman" w:cs="Times New Roman"/>
          <w:bCs/>
          <w:sz w:val="24"/>
          <w:szCs w:val="24"/>
        </w:rPr>
        <w:footnoteReference w:id="136"/>
      </w:r>
      <w:r w:rsidRPr="006E3415">
        <w:rPr>
          <w:rFonts w:ascii="Times New Roman" w:hAnsi="Times New Roman" w:cs="Times New Roman"/>
          <w:bCs/>
          <w:sz w:val="24"/>
          <w:szCs w:val="24"/>
        </w:rPr>
        <w:t xml:space="preserve"> The sales were thus conducted in line with Thomson’s account of the process of sales in execution.</w:t>
      </w:r>
      <w:r w:rsidRPr="006E3415">
        <w:rPr>
          <w:rStyle w:val="FootnoteReference"/>
          <w:rFonts w:ascii="Times New Roman" w:hAnsi="Times New Roman" w:cs="Times New Roman"/>
          <w:bCs/>
          <w:sz w:val="24"/>
          <w:szCs w:val="24"/>
        </w:rPr>
        <w:footnoteReference w:id="137"/>
      </w:r>
      <w:r w:rsidRPr="006E3415">
        <w:rPr>
          <w:rFonts w:ascii="Times New Roman" w:hAnsi="Times New Roman" w:cs="Times New Roman"/>
          <w:bCs/>
          <w:sz w:val="24"/>
          <w:szCs w:val="24"/>
        </w:rPr>
        <w:t xml:space="preserve"> On the date of the auctions, Robertsons took the debt to stand at £56,200</w:t>
      </w:r>
      <w:r w:rsidRPr="006E3415">
        <w:rPr>
          <w:rStyle w:val="FootnoteReference"/>
          <w:rFonts w:ascii="Times New Roman" w:hAnsi="Times New Roman" w:cs="Times New Roman"/>
          <w:bCs/>
          <w:sz w:val="24"/>
          <w:szCs w:val="24"/>
        </w:rPr>
        <w:footnoteReference w:id="138"/>
      </w:r>
      <w:r w:rsidRPr="006E3415">
        <w:rPr>
          <w:rFonts w:ascii="Times New Roman" w:hAnsi="Times New Roman" w:cs="Times New Roman"/>
          <w:bCs/>
          <w:sz w:val="24"/>
          <w:szCs w:val="24"/>
        </w:rPr>
        <w:t>. The Société was interested in purchasing the Estates at the auction;</w:t>
      </w:r>
      <w:r w:rsidRPr="006E3415">
        <w:rPr>
          <w:rStyle w:val="FootnoteReference"/>
          <w:rFonts w:ascii="Times New Roman" w:hAnsi="Times New Roman" w:cs="Times New Roman"/>
          <w:bCs/>
          <w:sz w:val="24"/>
          <w:szCs w:val="24"/>
        </w:rPr>
        <w:t xml:space="preserve"> </w:t>
      </w:r>
      <w:r w:rsidRPr="006E3415">
        <w:rPr>
          <w:rStyle w:val="FootnoteReference"/>
          <w:rFonts w:ascii="Times New Roman" w:hAnsi="Times New Roman" w:cs="Times New Roman"/>
          <w:bCs/>
          <w:sz w:val="24"/>
          <w:szCs w:val="24"/>
        </w:rPr>
        <w:footnoteReference w:id="139"/>
      </w:r>
      <w:r w:rsidRPr="006E3415">
        <w:rPr>
          <w:rFonts w:ascii="Times New Roman" w:hAnsi="Times New Roman" w:cs="Times New Roman"/>
          <w:bCs/>
          <w:sz w:val="24"/>
          <w:szCs w:val="24"/>
        </w:rPr>
        <w:t xml:space="preserve"> Robertsons was authorised by the Société to bid up to £56,200. Although the auctions were well-attended,</w:t>
      </w:r>
      <w:r w:rsidRPr="006E3415">
        <w:rPr>
          <w:rStyle w:val="FootnoteReference"/>
          <w:rFonts w:ascii="Times New Roman" w:hAnsi="Times New Roman" w:cs="Times New Roman"/>
          <w:bCs/>
          <w:sz w:val="24"/>
          <w:szCs w:val="24"/>
        </w:rPr>
        <w:footnoteReference w:id="140"/>
      </w:r>
      <w:r w:rsidRPr="006E3415">
        <w:rPr>
          <w:rFonts w:ascii="Times New Roman" w:hAnsi="Times New Roman" w:cs="Times New Roman"/>
          <w:bCs/>
          <w:sz w:val="24"/>
          <w:szCs w:val="24"/>
        </w:rPr>
        <w:t xml:space="preserve"> Robertsons reported a paucity of bidders,</w:t>
      </w:r>
      <w:r w:rsidRPr="006E3415">
        <w:rPr>
          <w:rStyle w:val="FootnoteReference"/>
          <w:rFonts w:ascii="Times New Roman" w:hAnsi="Times New Roman" w:cs="Times New Roman"/>
          <w:bCs/>
          <w:sz w:val="24"/>
          <w:szCs w:val="24"/>
        </w:rPr>
        <w:footnoteReference w:id="141"/>
      </w:r>
      <w:r w:rsidRPr="006E3415">
        <w:rPr>
          <w:rFonts w:ascii="Times New Roman" w:hAnsi="Times New Roman" w:cs="Times New Roman"/>
          <w:bCs/>
          <w:sz w:val="24"/>
          <w:szCs w:val="24"/>
        </w:rPr>
        <w:t xml:space="preserve"> attributing this to uncertainty surrounding the nature of Cavendish’s claim and rumours, which Robertsons regarded as unfounded,</w:t>
      </w:r>
      <w:r w:rsidRPr="006E3415">
        <w:rPr>
          <w:rStyle w:val="FootnoteReference"/>
          <w:rFonts w:ascii="Times New Roman" w:hAnsi="Times New Roman" w:cs="Times New Roman"/>
          <w:bCs/>
          <w:sz w:val="24"/>
          <w:szCs w:val="24"/>
        </w:rPr>
        <w:footnoteReference w:id="142"/>
      </w:r>
      <w:r w:rsidRPr="006E3415">
        <w:rPr>
          <w:rFonts w:ascii="Times New Roman" w:hAnsi="Times New Roman" w:cs="Times New Roman"/>
          <w:bCs/>
          <w:sz w:val="24"/>
          <w:szCs w:val="24"/>
        </w:rPr>
        <w:t xml:space="preserve"> that the children of Emily and Cavendish were planning to claim as beneficiaries of ‘</w:t>
      </w:r>
      <w:r w:rsidRPr="006E3415">
        <w:rPr>
          <w:rFonts w:ascii="Times New Roman" w:hAnsi="Times New Roman" w:cs="Times New Roman"/>
          <w:sz w:val="24"/>
          <w:szCs w:val="24"/>
        </w:rPr>
        <w:t>an alleged settlement’.</w:t>
      </w:r>
      <w:r w:rsidRPr="006E3415">
        <w:rPr>
          <w:rStyle w:val="FootnoteReference"/>
          <w:rFonts w:ascii="Times New Roman" w:hAnsi="Times New Roman" w:cs="Times New Roman"/>
          <w:sz w:val="24"/>
          <w:szCs w:val="24"/>
        </w:rPr>
        <w:footnoteReference w:id="143"/>
      </w:r>
      <w:r w:rsidRPr="006E3415">
        <w:rPr>
          <w:rFonts w:ascii="Times New Roman" w:hAnsi="Times New Roman" w:cs="Times New Roman"/>
          <w:sz w:val="24"/>
          <w:szCs w:val="24"/>
        </w:rPr>
        <w:t xml:space="preserve"> Although Robertsons had valued the Estates at </w:t>
      </w:r>
      <w:r w:rsidRPr="006E3415">
        <w:rPr>
          <w:rFonts w:ascii="Times New Roman" w:hAnsi="Times New Roman" w:cs="Times New Roman"/>
          <w:bCs/>
          <w:sz w:val="24"/>
          <w:szCs w:val="24"/>
        </w:rPr>
        <w:t>£70,000,</w:t>
      </w:r>
      <w:r w:rsidRPr="006E3415">
        <w:rPr>
          <w:rStyle w:val="FootnoteReference"/>
          <w:rFonts w:ascii="Times New Roman" w:hAnsi="Times New Roman" w:cs="Times New Roman"/>
          <w:bCs/>
          <w:sz w:val="24"/>
          <w:szCs w:val="24"/>
        </w:rPr>
        <w:footnoteReference w:id="144"/>
      </w:r>
      <w:r w:rsidRPr="006E3415">
        <w:rPr>
          <w:rFonts w:ascii="Times New Roman" w:hAnsi="Times New Roman" w:cs="Times New Roman"/>
          <w:bCs/>
          <w:sz w:val="24"/>
          <w:szCs w:val="24"/>
        </w:rPr>
        <w:t xml:space="preserve"> they were all sold for £</w:t>
      </w:r>
      <w:r w:rsidRPr="006E3415">
        <w:rPr>
          <w:rFonts w:ascii="Times New Roman" w:hAnsi="Times New Roman" w:cs="Times New Roman"/>
          <w:sz w:val="24"/>
          <w:szCs w:val="24"/>
        </w:rPr>
        <w:t xml:space="preserve">57,942 to </w:t>
      </w:r>
      <w:r w:rsidR="00377025">
        <w:rPr>
          <w:rFonts w:ascii="Times New Roman" w:hAnsi="Times New Roman" w:cs="Times New Roman"/>
          <w:sz w:val="24"/>
          <w:szCs w:val="24"/>
        </w:rPr>
        <w:t>Sabonadière</w:t>
      </w:r>
      <w:r w:rsidRPr="006E3415">
        <w:rPr>
          <w:rFonts w:ascii="Times New Roman" w:hAnsi="Times New Roman" w:cs="Times New Roman"/>
          <w:sz w:val="24"/>
          <w:szCs w:val="24"/>
        </w:rPr>
        <w:t>, who purchased as agent of Boustead. There was considerable competiti</w:t>
      </w:r>
      <w:r w:rsidR="00C96970">
        <w:rPr>
          <w:rFonts w:ascii="Times New Roman" w:hAnsi="Times New Roman" w:cs="Times New Roman"/>
          <w:sz w:val="24"/>
          <w:szCs w:val="24"/>
        </w:rPr>
        <w:t xml:space="preserve">on for just one of the Estates, </w:t>
      </w:r>
      <w:r w:rsidRPr="006E3415">
        <w:rPr>
          <w:rFonts w:ascii="Times New Roman" w:hAnsi="Times New Roman" w:cs="Times New Roman"/>
          <w:sz w:val="24"/>
          <w:szCs w:val="24"/>
        </w:rPr>
        <w:t>the Delmar Estate</w:t>
      </w:r>
      <w:r w:rsidR="00C96970">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145"/>
      </w:r>
      <w:r w:rsidRPr="006E3415">
        <w:rPr>
          <w:rFonts w:ascii="Times New Roman" w:hAnsi="Times New Roman" w:cs="Times New Roman"/>
          <w:sz w:val="24"/>
          <w:szCs w:val="24"/>
        </w:rPr>
        <w:t xml:space="preserve"> </w:t>
      </w:r>
      <w:r w:rsidR="00C96970">
        <w:rPr>
          <w:rFonts w:ascii="Times New Roman" w:hAnsi="Times New Roman" w:cs="Times New Roman"/>
          <w:sz w:val="24"/>
          <w:szCs w:val="24"/>
        </w:rPr>
        <w:t xml:space="preserve">which </w:t>
      </w:r>
      <w:r w:rsidRPr="006E3415">
        <w:rPr>
          <w:rFonts w:ascii="Times New Roman" w:hAnsi="Times New Roman" w:cs="Times New Roman"/>
          <w:sz w:val="24"/>
          <w:szCs w:val="24"/>
        </w:rPr>
        <w:t>was sold to Boustead for £13,700, even though Robertsons had valued it at £8,200.</w:t>
      </w:r>
      <w:r w:rsidRPr="006E3415">
        <w:rPr>
          <w:rStyle w:val="FootnoteReference"/>
          <w:rFonts w:ascii="Times New Roman" w:hAnsi="Times New Roman" w:cs="Times New Roman"/>
          <w:sz w:val="24"/>
          <w:szCs w:val="24"/>
        </w:rPr>
        <w:footnoteReference w:id="146"/>
      </w:r>
      <w:r w:rsidRPr="006E3415">
        <w:rPr>
          <w:rFonts w:ascii="Times New Roman" w:hAnsi="Times New Roman" w:cs="Times New Roman"/>
          <w:sz w:val="24"/>
          <w:szCs w:val="24"/>
        </w:rPr>
        <w:t xml:space="preserve"> </w:t>
      </w:r>
    </w:p>
    <w:p w:rsidR="001F7EF6" w:rsidRPr="006E3415" w:rsidRDefault="001F7EF6" w:rsidP="00746BFF">
      <w:pPr>
        <w:spacing w:after="0" w:line="360" w:lineRule="auto"/>
        <w:rPr>
          <w:rFonts w:ascii="Times New Roman" w:hAnsi="Times New Roman" w:cs="Times New Roman"/>
          <w:bCs/>
          <w:sz w:val="24"/>
          <w:szCs w:val="24"/>
        </w:rPr>
      </w:pPr>
    </w:p>
    <w:p w:rsidR="001F7EF6" w:rsidRPr="006E3415" w:rsidRDefault="001F7EF6"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At some point prior to the purchase, Duff had pulled out due to ill health and Boustead, wishing ‘to become the representative of the plaintiff Comtesse in England and the consignee </w:t>
      </w:r>
      <w:r w:rsidRPr="006E3415">
        <w:rPr>
          <w:rFonts w:ascii="Times New Roman" w:hAnsi="Times New Roman" w:cs="Times New Roman"/>
          <w:sz w:val="24"/>
          <w:szCs w:val="24"/>
        </w:rPr>
        <w:lastRenderedPageBreak/>
        <w:t>of the produce of her estates’,</w:t>
      </w:r>
      <w:r w:rsidRPr="006E3415">
        <w:rPr>
          <w:rStyle w:val="FootnoteReference"/>
          <w:rFonts w:ascii="Times New Roman" w:hAnsi="Times New Roman" w:cs="Times New Roman"/>
          <w:sz w:val="24"/>
          <w:szCs w:val="24"/>
        </w:rPr>
        <w:footnoteReference w:id="147"/>
      </w:r>
      <w:r w:rsidRPr="006E3415">
        <w:rPr>
          <w:rFonts w:ascii="Times New Roman" w:hAnsi="Times New Roman" w:cs="Times New Roman"/>
          <w:sz w:val="24"/>
          <w:szCs w:val="24"/>
        </w:rPr>
        <w:t xml:space="preserve"> had agreed that he would proceed alone. The Court of Appeal, being satisfied that Boustead had taken the Estates on the understan</w:t>
      </w:r>
      <w:r w:rsidR="00BE3E78">
        <w:rPr>
          <w:rFonts w:ascii="Times New Roman" w:hAnsi="Times New Roman" w:cs="Times New Roman"/>
          <w:sz w:val="24"/>
          <w:szCs w:val="24"/>
        </w:rPr>
        <w:t>ding that he was trustee for Emily</w:t>
      </w:r>
      <w:r w:rsidRPr="006E3415">
        <w:rPr>
          <w:rFonts w:ascii="Times New Roman" w:hAnsi="Times New Roman" w:cs="Times New Roman"/>
          <w:sz w:val="24"/>
          <w:szCs w:val="24"/>
        </w:rPr>
        <w:t>, did not deem it necessary to decide whether there was any written evidence signed by Boustead sufficient to satisfy s7, but Lindley LJ seems to have considered it likely that there was.</w:t>
      </w:r>
      <w:r w:rsidRPr="006E3415">
        <w:rPr>
          <w:rStyle w:val="FootnoteReference"/>
          <w:rFonts w:ascii="Times New Roman" w:hAnsi="Times New Roman" w:cs="Times New Roman"/>
          <w:sz w:val="24"/>
          <w:szCs w:val="24"/>
        </w:rPr>
        <w:footnoteReference w:id="148"/>
      </w:r>
      <w:r w:rsidRPr="006E3415">
        <w:rPr>
          <w:rFonts w:ascii="Times New Roman" w:hAnsi="Times New Roman" w:cs="Times New Roman"/>
          <w:sz w:val="24"/>
          <w:szCs w:val="24"/>
        </w:rPr>
        <w:t xml:space="preserve"> He was probably correct. There was no obvious advantage to avoiding writing altogether; so long as there was no mention of the trust in the deeds that were registered,</w:t>
      </w:r>
      <w:r w:rsidRPr="006E3415">
        <w:rPr>
          <w:rStyle w:val="FootnoteReference"/>
          <w:rFonts w:ascii="Times New Roman" w:hAnsi="Times New Roman" w:cs="Times New Roman"/>
          <w:sz w:val="24"/>
          <w:szCs w:val="24"/>
        </w:rPr>
        <w:footnoteReference w:id="149"/>
      </w:r>
      <w:r w:rsidRPr="006E3415">
        <w:rPr>
          <w:rFonts w:ascii="Times New Roman" w:hAnsi="Times New Roman" w:cs="Times New Roman"/>
          <w:sz w:val="24"/>
          <w:szCs w:val="24"/>
        </w:rPr>
        <w:t xml:space="preserve"> Cavendish could not have discovered Emily’s beneficial interest.</w:t>
      </w:r>
    </w:p>
    <w:p w:rsidR="001F7EF6" w:rsidRPr="006E3415" w:rsidRDefault="001F7EF6" w:rsidP="00746BFF">
      <w:pPr>
        <w:spacing w:after="0" w:line="360" w:lineRule="auto"/>
        <w:rPr>
          <w:rFonts w:ascii="Times New Roman" w:hAnsi="Times New Roman" w:cs="Times New Roman"/>
          <w:sz w:val="24"/>
          <w:szCs w:val="24"/>
        </w:rPr>
      </w:pPr>
    </w:p>
    <w:p w:rsidR="001F7EF6" w:rsidRPr="006E3415" w:rsidRDefault="001F7EF6" w:rsidP="00746BFF">
      <w:pPr>
        <w:spacing w:after="0" w:line="360" w:lineRule="auto"/>
        <w:rPr>
          <w:rFonts w:ascii="Times New Roman" w:hAnsi="Times New Roman" w:cs="Times New Roman"/>
          <w:bCs/>
          <w:sz w:val="24"/>
          <w:szCs w:val="24"/>
        </w:rPr>
      </w:pPr>
      <w:r w:rsidRPr="006E3415">
        <w:rPr>
          <w:rFonts w:ascii="Times New Roman" w:hAnsi="Times New Roman" w:cs="Times New Roman"/>
          <w:sz w:val="24"/>
          <w:szCs w:val="24"/>
        </w:rPr>
        <w:t xml:space="preserve">A final point to note is that </w:t>
      </w:r>
      <w:r w:rsidR="00377025">
        <w:rPr>
          <w:rFonts w:ascii="Times New Roman" w:hAnsi="Times New Roman" w:cs="Times New Roman"/>
          <w:sz w:val="24"/>
          <w:szCs w:val="24"/>
        </w:rPr>
        <w:t>Sabonadière</w:t>
      </w:r>
      <w:r w:rsidRPr="006E3415">
        <w:rPr>
          <w:rFonts w:ascii="Times New Roman" w:hAnsi="Times New Roman" w:cs="Times New Roman"/>
          <w:sz w:val="24"/>
          <w:szCs w:val="24"/>
        </w:rPr>
        <w:t xml:space="preserve"> informed Robertsons that Boustead had purchased the Estates for Emily.</w:t>
      </w:r>
      <w:r w:rsidRPr="006E3415">
        <w:rPr>
          <w:rStyle w:val="FootnoteReference"/>
          <w:rFonts w:ascii="Times New Roman" w:hAnsi="Times New Roman" w:cs="Times New Roman"/>
          <w:sz w:val="24"/>
          <w:szCs w:val="24"/>
        </w:rPr>
        <w:footnoteReference w:id="150"/>
      </w:r>
      <w:r w:rsidRPr="006E3415">
        <w:rPr>
          <w:rFonts w:ascii="Times New Roman" w:hAnsi="Times New Roman" w:cs="Times New Roman"/>
          <w:sz w:val="24"/>
          <w:szCs w:val="24"/>
        </w:rPr>
        <w:t xml:space="preserve"> This information may not have been considered by Robertsons or the </w:t>
      </w:r>
      <w:r w:rsidRPr="006E3415">
        <w:rPr>
          <w:rFonts w:ascii="Times New Roman" w:hAnsi="Times New Roman" w:cs="Times New Roman"/>
          <w:bCs/>
          <w:sz w:val="24"/>
          <w:szCs w:val="24"/>
        </w:rPr>
        <w:t xml:space="preserve">Société </w:t>
      </w:r>
      <w:r w:rsidRPr="006E3415">
        <w:rPr>
          <w:rFonts w:ascii="Times New Roman" w:hAnsi="Times New Roman" w:cs="Times New Roman"/>
          <w:sz w:val="24"/>
          <w:szCs w:val="24"/>
        </w:rPr>
        <w:t>as overly significant, for a telegram was sent by Robertsons to Müller on 1</w:t>
      </w:r>
      <w:r w:rsidR="00473389" w:rsidRPr="006E3415">
        <w:rPr>
          <w:rFonts w:ascii="Times New Roman" w:hAnsi="Times New Roman" w:cs="Times New Roman"/>
          <w:sz w:val="24"/>
          <w:szCs w:val="24"/>
        </w:rPr>
        <w:t>9</w:t>
      </w:r>
      <w:r w:rsidRPr="006E3415">
        <w:rPr>
          <w:rFonts w:ascii="Times New Roman" w:hAnsi="Times New Roman" w:cs="Times New Roman"/>
          <w:sz w:val="24"/>
          <w:szCs w:val="24"/>
        </w:rPr>
        <w:t xml:space="preserve"> February detailing the price for which each estate had been sold, and assuring him that the debt had been discharged,</w:t>
      </w:r>
      <w:r w:rsidRPr="006E3415">
        <w:rPr>
          <w:rStyle w:val="FootnoteReference"/>
          <w:rFonts w:ascii="Times New Roman" w:hAnsi="Times New Roman" w:cs="Times New Roman"/>
          <w:sz w:val="24"/>
          <w:szCs w:val="24"/>
        </w:rPr>
        <w:footnoteReference w:id="151"/>
      </w:r>
      <w:r w:rsidRPr="006E3415">
        <w:rPr>
          <w:rFonts w:ascii="Times New Roman" w:hAnsi="Times New Roman" w:cs="Times New Roman"/>
          <w:sz w:val="24"/>
          <w:szCs w:val="24"/>
        </w:rPr>
        <w:t xml:space="preserve"> but the true identity of Emily as purchaser</w:t>
      </w:r>
      <w:r w:rsidR="005A093A">
        <w:rPr>
          <w:rFonts w:ascii="Times New Roman" w:hAnsi="Times New Roman" w:cs="Times New Roman"/>
          <w:sz w:val="24"/>
          <w:szCs w:val="24"/>
        </w:rPr>
        <w:t xml:space="preserve"> was only</w:t>
      </w:r>
      <w:r w:rsidRPr="006E3415">
        <w:rPr>
          <w:rFonts w:ascii="Times New Roman" w:hAnsi="Times New Roman" w:cs="Times New Roman"/>
          <w:sz w:val="24"/>
          <w:szCs w:val="24"/>
        </w:rPr>
        <w:t xml:space="preserve"> reported to the </w:t>
      </w:r>
      <w:r w:rsidRPr="006E3415">
        <w:rPr>
          <w:rFonts w:ascii="Times New Roman" w:hAnsi="Times New Roman" w:cs="Times New Roman"/>
          <w:bCs/>
          <w:sz w:val="24"/>
          <w:szCs w:val="24"/>
        </w:rPr>
        <w:t>Société by letter.</w:t>
      </w:r>
      <w:r w:rsidR="009058CA">
        <w:rPr>
          <w:rFonts w:ascii="Times New Roman" w:hAnsi="Times New Roman" w:cs="Times New Roman"/>
          <w:bCs/>
          <w:sz w:val="24"/>
          <w:szCs w:val="24"/>
        </w:rPr>
        <w:t xml:space="preserve"> Furthermore, the wording used by Robertsons to impart this information to the </w:t>
      </w:r>
      <w:r w:rsidR="009058CA" w:rsidRPr="006E3415">
        <w:rPr>
          <w:rFonts w:ascii="Times New Roman" w:hAnsi="Times New Roman" w:cs="Times New Roman"/>
          <w:bCs/>
          <w:sz w:val="24"/>
          <w:szCs w:val="24"/>
        </w:rPr>
        <w:t>Société</w:t>
      </w:r>
      <w:r w:rsidR="009058CA">
        <w:rPr>
          <w:rFonts w:ascii="Times New Roman" w:hAnsi="Times New Roman" w:cs="Times New Roman"/>
          <w:bCs/>
          <w:sz w:val="24"/>
          <w:szCs w:val="24"/>
        </w:rPr>
        <w:t xml:space="preserve"> </w:t>
      </w:r>
      <w:r w:rsidR="009058CA" w:rsidRPr="00867A6F">
        <w:rPr>
          <w:rFonts w:ascii="Times New Roman" w:hAnsi="Times New Roman" w:cs="Times New Roman"/>
          <w:bCs/>
          <w:sz w:val="24"/>
          <w:szCs w:val="24"/>
        </w:rPr>
        <w:t xml:space="preserve">suggests that it was not </w:t>
      </w:r>
      <w:r w:rsidR="00867A6F">
        <w:rPr>
          <w:rFonts w:ascii="Times New Roman" w:hAnsi="Times New Roman" w:cs="Times New Roman"/>
          <w:bCs/>
          <w:sz w:val="24"/>
          <w:szCs w:val="24"/>
        </w:rPr>
        <w:t xml:space="preserve">known to Robertsons or the </w:t>
      </w:r>
      <w:r w:rsidR="009058CA" w:rsidRPr="00867A6F">
        <w:rPr>
          <w:rFonts w:ascii="Times New Roman" w:hAnsi="Times New Roman" w:cs="Times New Roman"/>
          <w:bCs/>
          <w:sz w:val="24"/>
          <w:szCs w:val="24"/>
        </w:rPr>
        <w:t>Société</w:t>
      </w:r>
      <w:r w:rsidR="00867A6F">
        <w:rPr>
          <w:rFonts w:ascii="Times New Roman" w:hAnsi="Times New Roman" w:cs="Times New Roman"/>
          <w:bCs/>
          <w:sz w:val="24"/>
          <w:szCs w:val="24"/>
        </w:rPr>
        <w:t xml:space="preserve"> until the time of the auction</w:t>
      </w:r>
      <w:r w:rsidR="009058CA" w:rsidRPr="00867A6F">
        <w:rPr>
          <w:rFonts w:ascii="Times New Roman" w:hAnsi="Times New Roman" w:cs="Times New Roman"/>
          <w:bCs/>
          <w:sz w:val="24"/>
          <w:szCs w:val="24"/>
        </w:rPr>
        <w:t>.</w:t>
      </w:r>
      <w:r w:rsidR="00867A6F" w:rsidRPr="00867A6F">
        <w:rPr>
          <w:rFonts w:ascii="Times New Roman" w:hAnsi="Times New Roman" w:cs="Times New Roman"/>
          <w:bCs/>
          <w:sz w:val="24"/>
          <w:szCs w:val="24"/>
        </w:rPr>
        <w:t xml:space="preserve"> In the letter of 20 Feb. 1873, Robertsons wrote that the Estates had been ‘bought for </w:t>
      </w:r>
      <w:commentRangeStart w:id="1"/>
      <w:r w:rsidR="00867A6F" w:rsidRPr="00BE7E52">
        <w:rPr>
          <w:rFonts w:ascii="Times New Roman" w:hAnsi="Times New Roman" w:cs="Times New Roman"/>
          <w:sz w:val="24"/>
          <w:szCs w:val="24"/>
        </w:rPr>
        <w:t>£31.100</w:t>
      </w:r>
      <w:r w:rsidR="00867A6F" w:rsidRPr="00867A6F">
        <w:rPr>
          <w:rFonts w:ascii="Times New Roman" w:hAnsi="Times New Roman" w:cs="Times New Roman"/>
          <w:sz w:val="24"/>
          <w:szCs w:val="24"/>
        </w:rPr>
        <w:t xml:space="preserve"> </w:t>
      </w:r>
      <w:commentRangeEnd w:id="1"/>
      <w:r w:rsidR="00BE7E52">
        <w:rPr>
          <w:rStyle w:val="CommentReference"/>
        </w:rPr>
        <w:commentReference w:id="1"/>
      </w:r>
      <w:r w:rsidR="00867A6F" w:rsidRPr="00867A6F">
        <w:rPr>
          <w:rFonts w:ascii="Times New Roman" w:hAnsi="Times New Roman" w:cs="Times New Roman"/>
          <w:sz w:val="24"/>
          <w:szCs w:val="24"/>
        </w:rPr>
        <w:t xml:space="preserve">by Mr J. R. Sabonadiere </w:t>
      </w:r>
      <w:r w:rsidR="00867A6F">
        <w:rPr>
          <w:rFonts w:ascii="Times New Roman" w:hAnsi="Times New Roman" w:cs="Times New Roman"/>
          <w:sz w:val="24"/>
          <w:szCs w:val="24"/>
        </w:rPr>
        <w:t xml:space="preserve">[sic] </w:t>
      </w:r>
      <w:r w:rsidR="00867A6F" w:rsidRPr="00867A6F">
        <w:rPr>
          <w:rFonts w:ascii="Times New Roman" w:hAnsi="Times New Roman" w:cs="Times New Roman"/>
          <w:sz w:val="24"/>
          <w:szCs w:val="24"/>
        </w:rPr>
        <w:t>nominally for Mr. John Boustead but really (so Mr J.R. Sabonadiere informs us</w:t>
      </w:r>
      <w:r w:rsidR="00867A6F">
        <w:rPr>
          <w:rFonts w:ascii="Times New Roman" w:hAnsi="Times New Roman" w:cs="Times New Roman"/>
          <w:sz w:val="24"/>
          <w:szCs w:val="24"/>
        </w:rPr>
        <w:t>)</w:t>
      </w:r>
      <w:r w:rsidR="00867A6F" w:rsidRPr="00867A6F">
        <w:rPr>
          <w:rFonts w:ascii="Times New Roman" w:hAnsi="Times New Roman" w:cs="Times New Roman"/>
          <w:sz w:val="24"/>
          <w:szCs w:val="24"/>
        </w:rPr>
        <w:t>, for Mrs. Cavendish.’</w:t>
      </w:r>
      <w:r w:rsidR="00867A6F" w:rsidRPr="00867A6F">
        <w:rPr>
          <w:rStyle w:val="FootnoteReference"/>
          <w:rFonts w:ascii="Times New Roman" w:hAnsi="Times New Roman" w:cs="Times New Roman"/>
          <w:bCs/>
          <w:sz w:val="24"/>
          <w:szCs w:val="24"/>
        </w:rPr>
        <w:t xml:space="preserve"> </w:t>
      </w:r>
      <w:r w:rsidR="00867A6F" w:rsidRPr="006E3415">
        <w:rPr>
          <w:rStyle w:val="FootnoteReference"/>
          <w:rFonts w:ascii="Times New Roman" w:hAnsi="Times New Roman" w:cs="Times New Roman"/>
          <w:bCs/>
          <w:sz w:val="24"/>
          <w:szCs w:val="24"/>
        </w:rPr>
        <w:footnoteReference w:id="152"/>
      </w:r>
    </w:p>
    <w:p w:rsidR="00337738" w:rsidRPr="006E3415" w:rsidRDefault="00337738" w:rsidP="00746BFF">
      <w:pPr>
        <w:spacing w:after="0" w:line="360" w:lineRule="auto"/>
        <w:rPr>
          <w:rFonts w:ascii="Times New Roman" w:hAnsi="Times New Roman" w:cs="Times New Roman"/>
          <w:bCs/>
          <w:sz w:val="24"/>
          <w:szCs w:val="24"/>
        </w:rPr>
      </w:pPr>
    </w:p>
    <w:p w:rsidR="00337738" w:rsidRPr="006E3415" w:rsidRDefault="00337738" w:rsidP="00746BFF">
      <w:pPr>
        <w:pStyle w:val="ListParagraph"/>
        <w:numPr>
          <w:ilvl w:val="0"/>
          <w:numId w:val="6"/>
        </w:numPr>
        <w:spacing w:line="360" w:lineRule="auto"/>
        <w:rPr>
          <w:rFonts w:cs="Times New Roman"/>
          <w:bCs/>
          <w:i/>
          <w:szCs w:val="24"/>
        </w:rPr>
      </w:pPr>
      <w:r w:rsidRPr="006E3415">
        <w:rPr>
          <w:rFonts w:cs="Times New Roman"/>
          <w:bCs/>
          <w:i/>
          <w:szCs w:val="24"/>
        </w:rPr>
        <w:t>Analysis of the facts surrounding the sale</w:t>
      </w:r>
    </w:p>
    <w:p w:rsidR="00337738" w:rsidRPr="006E3415" w:rsidRDefault="00337738" w:rsidP="00746BFF">
      <w:pPr>
        <w:spacing w:after="0" w:line="360" w:lineRule="auto"/>
        <w:jc w:val="both"/>
        <w:rPr>
          <w:rFonts w:ascii="Times New Roman" w:hAnsi="Times New Roman" w:cs="Times New Roman"/>
          <w:sz w:val="24"/>
          <w:szCs w:val="24"/>
        </w:rPr>
      </w:pPr>
    </w:p>
    <w:p w:rsidR="00337738" w:rsidRDefault="00337738"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The archive materials have provided much significant information. References in the law reports to </w:t>
      </w:r>
      <w:r w:rsidR="00C96970">
        <w:rPr>
          <w:rFonts w:ascii="Times New Roman" w:hAnsi="Times New Roman" w:cs="Times New Roman"/>
          <w:sz w:val="24"/>
          <w:szCs w:val="24"/>
        </w:rPr>
        <w:t xml:space="preserve">the </w:t>
      </w:r>
      <w:r w:rsidRPr="006E3415">
        <w:rPr>
          <w:rFonts w:ascii="Times New Roman" w:hAnsi="Times New Roman" w:cs="Times New Roman"/>
          <w:sz w:val="24"/>
          <w:szCs w:val="24"/>
        </w:rPr>
        <w:t xml:space="preserve">mechanism of the sale are at worst </w:t>
      </w:r>
      <w:r w:rsidR="00026F0C">
        <w:rPr>
          <w:rFonts w:ascii="Times New Roman" w:hAnsi="Times New Roman" w:cs="Times New Roman"/>
          <w:b/>
          <w:sz w:val="24"/>
          <w:szCs w:val="24"/>
        </w:rPr>
        <w:t>inaccurate, and</w:t>
      </w:r>
      <w:r w:rsidR="00496040">
        <w:rPr>
          <w:rFonts w:ascii="Times New Roman" w:hAnsi="Times New Roman" w:cs="Times New Roman"/>
          <w:b/>
          <w:sz w:val="24"/>
          <w:szCs w:val="24"/>
        </w:rPr>
        <w:t xml:space="preserve"> at best insufficiently specific</w:t>
      </w:r>
      <w:r w:rsidR="00026F0C">
        <w:rPr>
          <w:rFonts w:ascii="Times New Roman" w:hAnsi="Times New Roman" w:cs="Times New Roman"/>
          <w:b/>
          <w:sz w:val="24"/>
          <w:szCs w:val="24"/>
        </w:rPr>
        <w:t xml:space="preserve">. </w:t>
      </w:r>
      <w:r w:rsidR="00354B27" w:rsidRPr="00354B27">
        <w:rPr>
          <w:rFonts w:ascii="Times New Roman" w:hAnsi="Times New Roman" w:cs="Times New Roman"/>
          <w:sz w:val="24"/>
          <w:szCs w:val="24"/>
          <w:highlight w:val="yellow"/>
        </w:rPr>
        <w:t xml:space="preserve">merely </w:t>
      </w:r>
      <w:r w:rsidRPr="00354B27">
        <w:rPr>
          <w:rFonts w:ascii="Times New Roman" w:hAnsi="Times New Roman" w:cs="Times New Roman"/>
          <w:sz w:val="24"/>
          <w:szCs w:val="24"/>
          <w:highlight w:val="yellow"/>
        </w:rPr>
        <w:t xml:space="preserve">accurate </w:t>
      </w:r>
      <w:r w:rsidR="00354B27" w:rsidRPr="00354B27">
        <w:rPr>
          <w:rFonts w:ascii="Times New Roman" w:hAnsi="Times New Roman" w:cs="Times New Roman"/>
          <w:sz w:val="24"/>
          <w:szCs w:val="24"/>
          <w:highlight w:val="yellow"/>
        </w:rPr>
        <w:t xml:space="preserve">as far as they go, and at best remain </w:t>
      </w:r>
      <w:r w:rsidRPr="00354B27">
        <w:rPr>
          <w:rFonts w:ascii="Times New Roman" w:hAnsi="Times New Roman" w:cs="Times New Roman"/>
          <w:sz w:val="24"/>
          <w:szCs w:val="24"/>
          <w:highlight w:val="yellow"/>
        </w:rPr>
        <w:t>insufficiently specific.</w:t>
      </w:r>
      <w:r w:rsidRPr="006E3415">
        <w:rPr>
          <w:rFonts w:ascii="Times New Roman" w:hAnsi="Times New Roman" w:cs="Times New Roman"/>
          <w:sz w:val="24"/>
          <w:szCs w:val="24"/>
        </w:rPr>
        <w:t xml:space="preserve"> The sale was a sale in execution, and the Estates were sold and conveyed by the fiscals under the authority of the Ceylon court.</w:t>
      </w:r>
    </w:p>
    <w:p w:rsidR="009D7EBF" w:rsidRPr="006E3415" w:rsidRDefault="009D7EBF" w:rsidP="00746BFF">
      <w:pPr>
        <w:spacing w:after="0" w:line="360" w:lineRule="auto"/>
        <w:rPr>
          <w:rFonts w:ascii="Times New Roman" w:hAnsi="Times New Roman" w:cs="Times New Roman"/>
          <w:sz w:val="24"/>
          <w:szCs w:val="24"/>
        </w:rPr>
      </w:pPr>
    </w:p>
    <w:p w:rsidR="00337738" w:rsidRPr="006E3415" w:rsidRDefault="00337738"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lastRenderedPageBreak/>
        <w:t>The reason why the Estates were sold c</w:t>
      </w:r>
      <w:r w:rsidR="004E355F" w:rsidRPr="006E3415">
        <w:rPr>
          <w:rFonts w:ascii="Times New Roman" w:hAnsi="Times New Roman" w:cs="Times New Roman"/>
          <w:sz w:val="24"/>
          <w:szCs w:val="24"/>
        </w:rPr>
        <w:t>annot be ascertained</w:t>
      </w:r>
      <w:r w:rsidRPr="006E3415">
        <w:rPr>
          <w:rFonts w:ascii="Times New Roman" w:hAnsi="Times New Roman" w:cs="Times New Roman"/>
          <w:sz w:val="24"/>
          <w:szCs w:val="24"/>
        </w:rPr>
        <w:t xml:space="preserve"> with certainty. There is much evidence suggesting that the sale represented a genuine attempt by the Société to realise its security. The general tenor and contents of the l</w:t>
      </w:r>
      <w:r w:rsidR="00377025">
        <w:rPr>
          <w:rFonts w:ascii="Times New Roman" w:hAnsi="Times New Roman" w:cs="Times New Roman"/>
          <w:sz w:val="24"/>
          <w:szCs w:val="24"/>
        </w:rPr>
        <w:t>etters from Robertsons indicate</w:t>
      </w:r>
      <w:r w:rsidRPr="006E3415">
        <w:rPr>
          <w:rFonts w:ascii="Times New Roman" w:hAnsi="Times New Roman" w:cs="Times New Roman"/>
          <w:sz w:val="24"/>
          <w:szCs w:val="24"/>
        </w:rPr>
        <w:t xml:space="preserve"> strongly that the Société was much concerned with realising the security. There are numerous mentions of valuations, accounts and potential trial dates, but nothing is said of any arrangements with Emily, and Boustead is not mentioned until after the auctions. Furthermore, the communications by telegram with Müller and Martin are all concerned</w:t>
      </w:r>
      <w:r w:rsidR="00B8798C">
        <w:rPr>
          <w:rFonts w:ascii="Times New Roman" w:hAnsi="Times New Roman" w:cs="Times New Roman"/>
          <w:sz w:val="24"/>
          <w:szCs w:val="24"/>
        </w:rPr>
        <w:t xml:space="preserve"> with when the security might</w:t>
      </w:r>
      <w:r w:rsidRPr="006E3415">
        <w:rPr>
          <w:rFonts w:ascii="Times New Roman" w:hAnsi="Times New Roman" w:cs="Times New Roman"/>
          <w:sz w:val="24"/>
          <w:szCs w:val="24"/>
        </w:rPr>
        <w:t xml:space="preserve"> be realised and for what value, suggesting, at the very least</w:t>
      </w:r>
      <w:r w:rsidR="0010676B" w:rsidRPr="006E3415">
        <w:rPr>
          <w:rFonts w:ascii="Times New Roman" w:hAnsi="Times New Roman" w:cs="Times New Roman"/>
          <w:sz w:val="24"/>
          <w:szCs w:val="24"/>
        </w:rPr>
        <w:t xml:space="preserve">, indifference as to </w:t>
      </w:r>
      <w:r w:rsidRPr="006E3415">
        <w:rPr>
          <w:rFonts w:ascii="Times New Roman" w:hAnsi="Times New Roman" w:cs="Times New Roman"/>
          <w:sz w:val="24"/>
          <w:szCs w:val="24"/>
        </w:rPr>
        <w:t xml:space="preserve">Emily’s interests. It is also relevant that there were apparently hostile acts by Emily towards the Société and vice versa. The most obvious interpretations of Emily’s revocation of the 1863 power of attorney, the suit against Emily, and the sequestration are that they are indicative of relations between the parties having deteriorated. Also, </w:t>
      </w:r>
      <w:r w:rsidRPr="006E3415">
        <w:rPr>
          <w:rFonts w:ascii="Times New Roman" w:hAnsi="Times New Roman" w:cs="Times New Roman"/>
          <w:bCs/>
          <w:sz w:val="24"/>
          <w:szCs w:val="24"/>
        </w:rPr>
        <w:t xml:space="preserve">the Société’s authorisation of Robertsons to bid for the Estates calls into question the extent to which the Société was concerned whether Emily obtained them. </w:t>
      </w:r>
      <w:r w:rsidRPr="006E3415">
        <w:rPr>
          <w:rFonts w:ascii="Times New Roman" w:hAnsi="Times New Roman" w:cs="Times New Roman"/>
          <w:sz w:val="24"/>
          <w:szCs w:val="24"/>
        </w:rPr>
        <w:t xml:space="preserve">Finally, if the sale of the Estates was arranged by Emily with the Société in order to throw Cavendish off the scent, this was a very risky strategy. Owing to the extent to which sales in execution were regulated, there is little that Emily and the Société could have done to </w:t>
      </w:r>
      <w:r w:rsidR="00F36C71">
        <w:rPr>
          <w:rFonts w:ascii="Times New Roman" w:hAnsi="Times New Roman" w:cs="Times New Roman"/>
          <w:sz w:val="24"/>
          <w:szCs w:val="24"/>
        </w:rPr>
        <w:t xml:space="preserve">have </w:t>
      </w:r>
      <w:r w:rsidRPr="006E3415">
        <w:rPr>
          <w:rFonts w:ascii="Times New Roman" w:hAnsi="Times New Roman" w:cs="Times New Roman"/>
          <w:sz w:val="24"/>
          <w:szCs w:val="24"/>
        </w:rPr>
        <w:t>ensure</w:t>
      </w:r>
      <w:r w:rsidR="00F36C71">
        <w:rPr>
          <w:rFonts w:ascii="Times New Roman" w:hAnsi="Times New Roman" w:cs="Times New Roman"/>
          <w:sz w:val="24"/>
          <w:szCs w:val="24"/>
        </w:rPr>
        <w:t>d</w:t>
      </w:r>
      <w:r w:rsidRPr="006E3415">
        <w:rPr>
          <w:rFonts w:ascii="Times New Roman" w:hAnsi="Times New Roman" w:cs="Times New Roman"/>
          <w:sz w:val="24"/>
          <w:szCs w:val="24"/>
        </w:rPr>
        <w:t xml:space="preserve"> that Boustead was the successful bidder</w:t>
      </w:r>
      <w:r w:rsidR="00371388">
        <w:rPr>
          <w:rFonts w:ascii="Times New Roman" w:hAnsi="Times New Roman" w:cs="Times New Roman"/>
          <w:sz w:val="24"/>
          <w:szCs w:val="24"/>
        </w:rPr>
        <w:t xml:space="preserve"> at the auction</w:t>
      </w:r>
      <w:r w:rsidRPr="006E3415">
        <w:rPr>
          <w:rFonts w:ascii="Times New Roman" w:hAnsi="Times New Roman" w:cs="Times New Roman"/>
          <w:sz w:val="24"/>
          <w:szCs w:val="24"/>
        </w:rPr>
        <w:t xml:space="preserve">. </w:t>
      </w:r>
    </w:p>
    <w:p w:rsidR="00337738" w:rsidRPr="006E3415" w:rsidRDefault="00337738" w:rsidP="00746BFF">
      <w:pPr>
        <w:spacing w:after="0" w:line="360" w:lineRule="auto"/>
        <w:rPr>
          <w:rFonts w:ascii="Times New Roman" w:hAnsi="Times New Roman" w:cs="Times New Roman"/>
          <w:sz w:val="24"/>
          <w:szCs w:val="24"/>
        </w:rPr>
      </w:pPr>
    </w:p>
    <w:p w:rsidR="00337738" w:rsidRPr="006E3415" w:rsidRDefault="00337738"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This evidence notwithstanding, the possibility that Emily, perhaps through </w:t>
      </w:r>
      <w:r w:rsidR="002C3AC4">
        <w:rPr>
          <w:rFonts w:ascii="Times New Roman" w:hAnsi="Times New Roman" w:cs="Times New Roman"/>
          <w:sz w:val="24"/>
          <w:szCs w:val="24"/>
        </w:rPr>
        <w:t>her influential friends on the C</w:t>
      </w:r>
      <w:r w:rsidRPr="006E3415">
        <w:rPr>
          <w:rFonts w:ascii="Times New Roman" w:hAnsi="Times New Roman" w:cs="Times New Roman"/>
          <w:sz w:val="24"/>
          <w:szCs w:val="24"/>
        </w:rPr>
        <w:t xml:space="preserve">ontinent, engineered the sale, </w:t>
      </w:r>
      <w:r w:rsidR="00BA28A2">
        <w:rPr>
          <w:rFonts w:ascii="Times New Roman" w:hAnsi="Times New Roman" w:cs="Times New Roman"/>
          <w:sz w:val="24"/>
          <w:szCs w:val="24"/>
        </w:rPr>
        <w:t xml:space="preserve">or at least the transfer of the mortgage from Barings, </w:t>
      </w:r>
      <w:r w:rsidRPr="006E3415">
        <w:rPr>
          <w:rFonts w:ascii="Times New Roman" w:hAnsi="Times New Roman" w:cs="Times New Roman"/>
          <w:sz w:val="24"/>
          <w:szCs w:val="24"/>
        </w:rPr>
        <w:t xml:space="preserve">cannot be ruled out. She may, for example, have had some means </w:t>
      </w:r>
      <w:r w:rsidR="009A6474">
        <w:rPr>
          <w:rFonts w:ascii="Times New Roman" w:hAnsi="Times New Roman" w:cs="Times New Roman"/>
          <w:sz w:val="24"/>
          <w:szCs w:val="24"/>
        </w:rPr>
        <w:t xml:space="preserve">by which she could </w:t>
      </w:r>
      <w:r w:rsidRPr="006E3415">
        <w:rPr>
          <w:rFonts w:ascii="Times New Roman" w:hAnsi="Times New Roman" w:cs="Times New Roman"/>
          <w:sz w:val="24"/>
          <w:szCs w:val="24"/>
        </w:rPr>
        <w:t>influence the Société’s French holding company, and she could have induced the Société to take the mortgage from Barings in anticipation of her divorce</w:t>
      </w:r>
      <w:r w:rsidR="000D6B96" w:rsidRPr="006E3415">
        <w:rPr>
          <w:rFonts w:ascii="Times New Roman" w:hAnsi="Times New Roman" w:cs="Times New Roman"/>
          <w:sz w:val="24"/>
          <w:szCs w:val="24"/>
        </w:rPr>
        <w:t xml:space="preserve">, although significantly, </w:t>
      </w:r>
      <w:r w:rsidRPr="006E3415">
        <w:rPr>
          <w:rFonts w:ascii="Times New Roman" w:hAnsi="Times New Roman" w:cs="Times New Roman"/>
          <w:sz w:val="24"/>
          <w:szCs w:val="24"/>
        </w:rPr>
        <w:t>Cavendish seems to have acquiesced in the transfer of the mortgage.</w:t>
      </w:r>
      <w:r w:rsidRPr="006E3415">
        <w:rPr>
          <w:rStyle w:val="FootnoteReference"/>
          <w:rFonts w:ascii="Times New Roman" w:hAnsi="Times New Roman" w:cs="Times New Roman"/>
          <w:sz w:val="24"/>
          <w:szCs w:val="24"/>
        </w:rPr>
        <w:footnoteReference w:id="153"/>
      </w:r>
      <w:r w:rsidRPr="006E3415">
        <w:rPr>
          <w:rFonts w:ascii="Times New Roman" w:hAnsi="Times New Roman" w:cs="Times New Roman"/>
          <w:sz w:val="24"/>
          <w:szCs w:val="24"/>
        </w:rPr>
        <w:t xml:space="preserve"> </w:t>
      </w:r>
      <w:r w:rsidR="00E45A26" w:rsidRPr="006E3415">
        <w:rPr>
          <w:rFonts w:ascii="Times New Roman" w:hAnsi="Times New Roman" w:cs="Times New Roman"/>
          <w:sz w:val="24"/>
          <w:szCs w:val="24"/>
        </w:rPr>
        <w:t>Furthermore</w:t>
      </w:r>
      <w:r w:rsidR="000D6B96" w:rsidRPr="006E3415">
        <w:rPr>
          <w:rFonts w:ascii="Times New Roman" w:hAnsi="Times New Roman" w:cs="Times New Roman"/>
          <w:sz w:val="24"/>
          <w:szCs w:val="24"/>
        </w:rPr>
        <w:t>, t</w:t>
      </w:r>
      <w:r w:rsidRPr="006E3415">
        <w:rPr>
          <w:rFonts w:ascii="Times New Roman" w:hAnsi="Times New Roman" w:cs="Times New Roman"/>
          <w:sz w:val="24"/>
          <w:szCs w:val="24"/>
        </w:rPr>
        <w:t xml:space="preserve">he apparent hostility between Emily and the Société </w:t>
      </w:r>
      <w:r w:rsidR="000D6B96" w:rsidRPr="006E3415">
        <w:rPr>
          <w:rFonts w:ascii="Times New Roman" w:hAnsi="Times New Roman" w:cs="Times New Roman"/>
          <w:sz w:val="24"/>
          <w:szCs w:val="24"/>
        </w:rPr>
        <w:t xml:space="preserve">may </w:t>
      </w:r>
      <w:r w:rsidRPr="006E3415">
        <w:rPr>
          <w:rFonts w:ascii="Times New Roman" w:hAnsi="Times New Roman" w:cs="Times New Roman"/>
          <w:sz w:val="24"/>
          <w:szCs w:val="24"/>
        </w:rPr>
        <w:t xml:space="preserve">be interpreted in a </w:t>
      </w:r>
      <w:r w:rsidR="000D6B96" w:rsidRPr="006E3415">
        <w:rPr>
          <w:rFonts w:ascii="Times New Roman" w:hAnsi="Times New Roman" w:cs="Times New Roman"/>
          <w:sz w:val="24"/>
          <w:szCs w:val="24"/>
        </w:rPr>
        <w:t xml:space="preserve">different manner. </w:t>
      </w:r>
      <w:r w:rsidR="002777AF" w:rsidRPr="006E3415">
        <w:rPr>
          <w:rFonts w:ascii="Times New Roman" w:hAnsi="Times New Roman" w:cs="Times New Roman"/>
          <w:sz w:val="24"/>
          <w:szCs w:val="24"/>
        </w:rPr>
        <w:t>Her original solution, of having Duff and Boustead take an assignment of the mortgage</w:t>
      </w:r>
      <w:r w:rsidR="00F36C71">
        <w:rPr>
          <w:rFonts w:ascii="Times New Roman" w:hAnsi="Times New Roman" w:cs="Times New Roman"/>
          <w:sz w:val="24"/>
          <w:szCs w:val="24"/>
        </w:rPr>
        <w:t>,</w:t>
      </w:r>
      <w:r w:rsidR="002777AF" w:rsidRPr="006E3415">
        <w:rPr>
          <w:rFonts w:ascii="Times New Roman" w:hAnsi="Times New Roman" w:cs="Times New Roman"/>
          <w:sz w:val="24"/>
          <w:szCs w:val="24"/>
        </w:rPr>
        <w:t xml:space="preserve"> is likely to have been unsatisfactory to her as mortgages were required to be registered in Ceylon, and were thus open to public inspection.</w:t>
      </w:r>
      <w:r w:rsidR="002777AF" w:rsidRPr="006E3415">
        <w:rPr>
          <w:rStyle w:val="FootnoteReference"/>
          <w:rFonts w:ascii="Times New Roman" w:hAnsi="Times New Roman" w:cs="Times New Roman"/>
          <w:sz w:val="24"/>
          <w:szCs w:val="24"/>
        </w:rPr>
        <w:footnoteReference w:id="154"/>
      </w:r>
      <w:r w:rsidR="002777AF" w:rsidRPr="006E3415">
        <w:rPr>
          <w:rFonts w:ascii="Times New Roman" w:hAnsi="Times New Roman" w:cs="Times New Roman"/>
          <w:sz w:val="24"/>
          <w:szCs w:val="24"/>
        </w:rPr>
        <w:t xml:space="preserve"> Therefore, a judicial sale would likely have suited her needs. </w:t>
      </w:r>
      <w:r w:rsidR="000D6B96" w:rsidRPr="006E3415">
        <w:rPr>
          <w:rFonts w:ascii="Times New Roman" w:hAnsi="Times New Roman" w:cs="Times New Roman"/>
          <w:sz w:val="24"/>
          <w:szCs w:val="24"/>
        </w:rPr>
        <w:t>H</w:t>
      </w:r>
      <w:r w:rsidRPr="006E3415">
        <w:rPr>
          <w:rFonts w:ascii="Times New Roman" w:hAnsi="Times New Roman" w:cs="Times New Roman"/>
          <w:sz w:val="24"/>
          <w:szCs w:val="24"/>
        </w:rPr>
        <w:t xml:space="preserve">er revocation of the 1863 power of attorney may have been intended to prevent Cavendish from obtaining a court order against Robertsons requiring them to comply with the 1868 decree and convey the </w:t>
      </w:r>
      <w:r w:rsidR="000D6B96" w:rsidRPr="006E3415">
        <w:rPr>
          <w:rFonts w:ascii="Times New Roman" w:hAnsi="Times New Roman" w:cs="Times New Roman"/>
          <w:sz w:val="24"/>
          <w:szCs w:val="24"/>
        </w:rPr>
        <w:t xml:space="preserve">Estates to the trustees. It is </w:t>
      </w:r>
      <w:r w:rsidR="000D6B96" w:rsidRPr="006E3415">
        <w:rPr>
          <w:rFonts w:ascii="Times New Roman" w:hAnsi="Times New Roman" w:cs="Times New Roman"/>
          <w:sz w:val="24"/>
          <w:szCs w:val="24"/>
        </w:rPr>
        <w:lastRenderedPageBreak/>
        <w:t>also possible that</w:t>
      </w:r>
      <w:r w:rsidRPr="006E3415">
        <w:rPr>
          <w:rFonts w:ascii="Times New Roman" w:hAnsi="Times New Roman" w:cs="Times New Roman"/>
          <w:sz w:val="24"/>
          <w:szCs w:val="24"/>
        </w:rPr>
        <w:t xml:space="preserve"> the suit and</w:t>
      </w:r>
      <w:r w:rsidR="00F36C71">
        <w:rPr>
          <w:rFonts w:ascii="Times New Roman" w:hAnsi="Times New Roman" w:cs="Times New Roman"/>
          <w:sz w:val="24"/>
          <w:szCs w:val="24"/>
        </w:rPr>
        <w:t>/or the</w:t>
      </w:r>
      <w:r w:rsidRPr="006E3415">
        <w:rPr>
          <w:rFonts w:ascii="Times New Roman" w:hAnsi="Times New Roman" w:cs="Times New Roman"/>
          <w:sz w:val="24"/>
          <w:szCs w:val="24"/>
        </w:rPr>
        <w:t xml:space="preserve"> sequestration </w:t>
      </w:r>
      <w:r w:rsidR="008741DA" w:rsidRPr="006E3415">
        <w:rPr>
          <w:rFonts w:ascii="Times New Roman" w:hAnsi="Times New Roman" w:cs="Times New Roman"/>
          <w:sz w:val="24"/>
          <w:szCs w:val="24"/>
        </w:rPr>
        <w:t>were</w:t>
      </w:r>
      <w:r w:rsidR="00591208">
        <w:rPr>
          <w:rFonts w:ascii="Times New Roman" w:hAnsi="Times New Roman" w:cs="Times New Roman"/>
          <w:sz w:val="24"/>
          <w:szCs w:val="24"/>
        </w:rPr>
        <w:t xml:space="preserve"> </w:t>
      </w:r>
      <w:r w:rsidRPr="006E3415">
        <w:rPr>
          <w:rFonts w:ascii="Times New Roman" w:hAnsi="Times New Roman" w:cs="Times New Roman"/>
          <w:sz w:val="24"/>
          <w:szCs w:val="24"/>
        </w:rPr>
        <w:t xml:space="preserve">part of an elaborate (and expensive) ruse designed to convince Cavendish that the Estates were lost. </w:t>
      </w:r>
      <w:r w:rsidR="009A6474">
        <w:rPr>
          <w:rFonts w:ascii="Times New Roman" w:hAnsi="Times New Roman" w:cs="Times New Roman"/>
          <w:sz w:val="24"/>
          <w:szCs w:val="24"/>
        </w:rPr>
        <w:t xml:space="preserve">A point worth noting is that the French Second </w:t>
      </w:r>
      <w:r w:rsidR="00F11FB1">
        <w:rPr>
          <w:rFonts w:ascii="Times New Roman" w:hAnsi="Times New Roman" w:cs="Times New Roman"/>
          <w:sz w:val="24"/>
          <w:szCs w:val="24"/>
        </w:rPr>
        <w:t>Empire</w:t>
      </w:r>
      <w:r w:rsidR="009A6474">
        <w:rPr>
          <w:rFonts w:ascii="Times New Roman" w:hAnsi="Times New Roman" w:cs="Times New Roman"/>
          <w:sz w:val="24"/>
          <w:szCs w:val="24"/>
        </w:rPr>
        <w:t xml:space="preserve"> fell in 1870. It is possible that Emily had sufficient influence to procure the transfer of the mortgage to the </w:t>
      </w:r>
      <w:r w:rsidR="009A6474" w:rsidRPr="006E3415">
        <w:rPr>
          <w:rFonts w:ascii="Times New Roman" w:hAnsi="Times New Roman" w:cs="Times New Roman"/>
          <w:sz w:val="24"/>
          <w:szCs w:val="24"/>
        </w:rPr>
        <w:t>Société</w:t>
      </w:r>
      <w:r w:rsidR="007879DA">
        <w:rPr>
          <w:rFonts w:ascii="Times New Roman" w:hAnsi="Times New Roman" w:cs="Times New Roman"/>
          <w:sz w:val="24"/>
          <w:szCs w:val="24"/>
        </w:rPr>
        <w:t xml:space="preserve"> in 1863, but that by</w:t>
      </w:r>
      <w:r w:rsidR="009A6474">
        <w:rPr>
          <w:rFonts w:ascii="Times New Roman" w:hAnsi="Times New Roman" w:cs="Times New Roman"/>
          <w:sz w:val="24"/>
          <w:szCs w:val="24"/>
        </w:rPr>
        <w:t xml:space="preserve"> 1871, when the </w:t>
      </w:r>
      <w:r w:rsidR="009A6474" w:rsidRPr="006E3415">
        <w:rPr>
          <w:rFonts w:ascii="Times New Roman" w:hAnsi="Times New Roman" w:cs="Times New Roman"/>
          <w:sz w:val="24"/>
          <w:szCs w:val="24"/>
        </w:rPr>
        <w:t>Société</w:t>
      </w:r>
      <w:r w:rsidR="009A6474">
        <w:rPr>
          <w:rFonts w:ascii="Times New Roman" w:hAnsi="Times New Roman" w:cs="Times New Roman"/>
          <w:sz w:val="24"/>
          <w:szCs w:val="24"/>
        </w:rPr>
        <w:t xml:space="preserve"> took steps to enforce its security</w:t>
      </w:r>
      <w:r w:rsidR="007879DA">
        <w:rPr>
          <w:rFonts w:ascii="Times New Roman" w:hAnsi="Times New Roman" w:cs="Times New Roman"/>
          <w:sz w:val="24"/>
          <w:szCs w:val="24"/>
        </w:rPr>
        <w:t>, her political support had fallen away, at least in France.</w:t>
      </w:r>
      <w:r w:rsidR="00FF58EA">
        <w:rPr>
          <w:rStyle w:val="FootnoteReference"/>
          <w:rFonts w:ascii="Times New Roman" w:hAnsi="Times New Roman" w:cs="Times New Roman"/>
          <w:sz w:val="24"/>
          <w:szCs w:val="24"/>
        </w:rPr>
        <w:footnoteReference w:id="155"/>
      </w:r>
    </w:p>
    <w:p w:rsidR="002777AF" w:rsidRPr="006E3415" w:rsidRDefault="002777AF" w:rsidP="00746BFF">
      <w:pPr>
        <w:spacing w:after="0" w:line="360" w:lineRule="auto"/>
        <w:rPr>
          <w:rFonts w:ascii="Times New Roman" w:hAnsi="Times New Roman" w:cs="Times New Roman"/>
          <w:sz w:val="24"/>
          <w:szCs w:val="24"/>
        </w:rPr>
      </w:pPr>
    </w:p>
    <w:p w:rsidR="00337738" w:rsidRPr="006E3415" w:rsidRDefault="00337738" w:rsidP="00746BFF">
      <w:pPr>
        <w:spacing w:after="0" w:line="360" w:lineRule="auto"/>
        <w:rPr>
          <w:rFonts w:ascii="Times New Roman" w:hAnsi="Times New Roman" w:cs="Times New Roman"/>
          <w:bCs/>
          <w:sz w:val="24"/>
          <w:szCs w:val="24"/>
        </w:rPr>
      </w:pPr>
      <w:r w:rsidRPr="006E3415">
        <w:rPr>
          <w:rFonts w:ascii="Times New Roman" w:hAnsi="Times New Roman" w:cs="Times New Roman"/>
          <w:sz w:val="24"/>
          <w:szCs w:val="24"/>
        </w:rPr>
        <w:t xml:space="preserve">One development that has not been mentioned thus far is that, according </w:t>
      </w:r>
      <w:r w:rsidRPr="006E3415">
        <w:rPr>
          <w:rFonts w:ascii="Times New Roman" w:hAnsi="Times New Roman" w:cs="Times New Roman"/>
          <w:bCs/>
          <w:sz w:val="24"/>
          <w:szCs w:val="24"/>
        </w:rPr>
        <w:t>to one of the law reports, i</w:t>
      </w:r>
      <w:r w:rsidRPr="006E3415">
        <w:rPr>
          <w:rFonts w:ascii="Times New Roman" w:hAnsi="Times New Roman" w:cs="Times New Roman"/>
          <w:sz w:val="24"/>
          <w:szCs w:val="24"/>
        </w:rPr>
        <w:t>mmediately upon obtaining the Estates free from the original mortgage, Boustead remortgaged them to the Société for £53,000.</w:t>
      </w:r>
      <w:r w:rsidRPr="006E3415">
        <w:rPr>
          <w:rStyle w:val="FootnoteReference"/>
          <w:rFonts w:ascii="Times New Roman" w:hAnsi="Times New Roman" w:cs="Times New Roman"/>
          <w:sz w:val="24"/>
          <w:szCs w:val="24"/>
        </w:rPr>
        <w:footnoteReference w:id="156"/>
      </w:r>
      <w:r w:rsidRPr="006E3415">
        <w:rPr>
          <w:rFonts w:ascii="Times New Roman" w:hAnsi="Times New Roman" w:cs="Times New Roman"/>
          <w:sz w:val="24"/>
          <w:szCs w:val="24"/>
        </w:rPr>
        <w:t xml:space="preserve"> His initial outlay was therefore £4,942. It seems odd that the Société, having just sued Emily, and knowing that Boustead had agreed to purchase the Estates for her, would lend £53,000 to him and become mortgagees of th</w:t>
      </w:r>
      <w:r w:rsidR="004F6899">
        <w:rPr>
          <w:rFonts w:ascii="Times New Roman" w:hAnsi="Times New Roman" w:cs="Times New Roman"/>
          <w:sz w:val="24"/>
          <w:szCs w:val="24"/>
        </w:rPr>
        <w:t>e Estates. The re-mortgaging may</w:t>
      </w:r>
      <w:r w:rsidRPr="006E3415">
        <w:rPr>
          <w:rFonts w:ascii="Times New Roman" w:hAnsi="Times New Roman" w:cs="Times New Roman"/>
          <w:sz w:val="24"/>
          <w:szCs w:val="24"/>
        </w:rPr>
        <w:t xml:space="preserve"> thus be interpreted as evidence that the </w:t>
      </w:r>
      <w:r w:rsidR="00E45A26" w:rsidRPr="006E3415">
        <w:rPr>
          <w:rFonts w:ascii="Times New Roman" w:hAnsi="Times New Roman" w:cs="Times New Roman"/>
          <w:sz w:val="24"/>
          <w:szCs w:val="24"/>
        </w:rPr>
        <w:t>judicial</w:t>
      </w:r>
      <w:r w:rsidRPr="006E3415">
        <w:rPr>
          <w:rFonts w:ascii="Times New Roman" w:hAnsi="Times New Roman" w:cs="Times New Roman"/>
          <w:sz w:val="24"/>
          <w:szCs w:val="24"/>
        </w:rPr>
        <w:t xml:space="preserve"> sale was engineered by Emily and the Société in order to thwart Cavendish’s designs. It is possible, however, that the re-mortgaging was motivated by genuine business considerations. The Société had seemingly come out of liquidation by 1873, and it continued trading for another five years. It is also very probable that, subsequent to the Société’s demise, its business interests in Ceylon were continued by </w:t>
      </w:r>
      <w:r w:rsidR="00E45A26" w:rsidRPr="006E3415">
        <w:rPr>
          <w:rFonts w:ascii="Times New Roman" w:hAnsi="Times New Roman" w:cs="Times New Roman"/>
          <w:sz w:val="24"/>
          <w:szCs w:val="24"/>
        </w:rPr>
        <w:t>subsidiaries</w:t>
      </w:r>
      <w:r w:rsidRPr="006E3415">
        <w:rPr>
          <w:rFonts w:ascii="Times New Roman" w:hAnsi="Times New Roman" w:cs="Times New Roman"/>
          <w:sz w:val="24"/>
          <w:szCs w:val="24"/>
        </w:rPr>
        <w:t xml:space="preserve"> or associated banks. The colonial interest rates were very favourable for lenders at the time,</w:t>
      </w:r>
      <w:r w:rsidRPr="006E3415">
        <w:rPr>
          <w:rStyle w:val="FootnoteReference"/>
          <w:rFonts w:ascii="Times New Roman" w:hAnsi="Times New Roman" w:cs="Times New Roman"/>
          <w:sz w:val="24"/>
          <w:szCs w:val="24"/>
        </w:rPr>
        <w:footnoteReference w:id="157"/>
      </w:r>
      <w:r w:rsidRPr="006E3415">
        <w:rPr>
          <w:rFonts w:ascii="Times New Roman" w:hAnsi="Times New Roman" w:cs="Times New Roman"/>
          <w:sz w:val="24"/>
          <w:szCs w:val="24"/>
        </w:rPr>
        <w:t xml:space="preserve"> and the estates were capable of producing revenues of approximately £10,000 per year.</w:t>
      </w:r>
      <w:r w:rsidRPr="006E3415">
        <w:rPr>
          <w:rStyle w:val="FootnoteReference"/>
          <w:rFonts w:ascii="Times New Roman" w:hAnsi="Times New Roman" w:cs="Times New Roman"/>
          <w:sz w:val="24"/>
          <w:szCs w:val="24"/>
        </w:rPr>
        <w:footnoteReference w:id="158"/>
      </w:r>
      <w:r w:rsidR="008741DA" w:rsidRPr="006E3415">
        <w:rPr>
          <w:rFonts w:ascii="Times New Roman" w:hAnsi="Times New Roman" w:cs="Times New Roman"/>
          <w:sz w:val="24"/>
          <w:szCs w:val="24"/>
        </w:rPr>
        <w:t xml:space="preserve"> Also, the </w:t>
      </w:r>
      <w:r w:rsidRPr="006E3415">
        <w:rPr>
          <w:rFonts w:ascii="Times New Roman" w:hAnsi="Times New Roman" w:cs="Times New Roman"/>
          <w:bCs/>
          <w:sz w:val="24"/>
          <w:szCs w:val="24"/>
        </w:rPr>
        <w:t>Société was a mortgagee in possession prior to the sale to Boustead.</w:t>
      </w:r>
      <w:r w:rsidRPr="006E3415">
        <w:rPr>
          <w:rStyle w:val="FootnoteReference"/>
          <w:rFonts w:ascii="Times New Roman" w:hAnsi="Times New Roman" w:cs="Times New Roman"/>
          <w:bCs/>
          <w:sz w:val="24"/>
          <w:szCs w:val="24"/>
        </w:rPr>
        <w:footnoteReference w:id="159"/>
      </w:r>
      <w:r w:rsidRPr="006E3415">
        <w:rPr>
          <w:rFonts w:ascii="Times New Roman" w:hAnsi="Times New Roman" w:cs="Times New Roman"/>
          <w:bCs/>
          <w:sz w:val="24"/>
          <w:szCs w:val="24"/>
        </w:rPr>
        <w:t xml:space="preserve"> After the sale, Bous</w:t>
      </w:r>
      <w:r w:rsidR="002074B1">
        <w:rPr>
          <w:rFonts w:ascii="Times New Roman" w:hAnsi="Times New Roman" w:cs="Times New Roman"/>
          <w:bCs/>
          <w:sz w:val="24"/>
          <w:szCs w:val="24"/>
        </w:rPr>
        <w:t>tead remained in possession (th</w:t>
      </w:r>
      <w:r w:rsidRPr="006E3415">
        <w:rPr>
          <w:rFonts w:ascii="Times New Roman" w:hAnsi="Times New Roman" w:cs="Times New Roman"/>
          <w:bCs/>
          <w:sz w:val="24"/>
          <w:szCs w:val="24"/>
        </w:rPr>
        <w:t xml:space="preserve">rough agents) and managed the Estates. Therefore, the Société, having re-mortgaged to Boustead, would have been able to claim the revenues from the Estates without the trouble of managing them. </w:t>
      </w:r>
      <w:r w:rsidRPr="006E3415">
        <w:rPr>
          <w:rFonts w:ascii="Times New Roman" w:hAnsi="Times New Roman" w:cs="Times New Roman"/>
          <w:sz w:val="24"/>
          <w:szCs w:val="24"/>
        </w:rPr>
        <w:t xml:space="preserve">Therefore, it is not inconceivable that a short term, high interest loan, secured by a mortgage granted on its own terms, rather than those of Barings, was an </w:t>
      </w:r>
      <w:r w:rsidRPr="006E3415">
        <w:rPr>
          <w:rFonts w:ascii="Times New Roman" w:hAnsi="Times New Roman" w:cs="Times New Roman"/>
          <w:sz w:val="24"/>
          <w:szCs w:val="24"/>
        </w:rPr>
        <w:lastRenderedPageBreak/>
        <w:t>attractive business prospect for the Sociét</w:t>
      </w:r>
      <w:r w:rsidR="008741DA" w:rsidRPr="006E3415">
        <w:rPr>
          <w:rFonts w:ascii="Times New Roman" w:hAnsi="Times New Roman" w:cs="Times New Roman"/>
          <w:sz w:val="24"/>
          <w:szCs w:val="24"/>
        </w:rPr>
        <w:t>é. It should also be noted that</w:t>
      </w:r>
      <w:r w:rsidRPr="006E3415">
        <w:rPr>
          <w:rFonts w:ascii="Times New Roman" w:hAnsi="Times New Roman" w:cs="Times New Roman"/>
          <w:sz w:val="24"/>
          <w:szCs w:val="24"/>
        </w:rPr>
        <w:t>, by 1878, Boustead had mo</w:t>
      </w:r>
      <w:r w:rsidR="00BC217E" w:rsidRPr="006E3415">
        <w:rPr>
          <w:rFonts w:ascii="Times New Roman" w:hAnsi="Times New Roman" w:cs="Times New Roman"/>
          <w:sz w:val="24"/>
          <w:szCs w:val="24"/>
        </w:rPr>
        <w:t xml:space="preserve">rtgaged the Estates to mortgagees other than the Société for </w:t>
      </w:r>
      <w:r w:rsidRPr="006E3415">
        <w:rPr>
          <w:rFonts w:ascii="Times New Roman" w:hAnsi="Times New Roman" w:cs="Times New Roman"/>
          <w:sz w:val="24"/>
          <w:szCs w:val="24"/>
        </w:rPr>
        <w:t>more than £70,000</w:t>
      </w:r>
      <w:r w:rsidR="008741DA"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160"/>
      </w:r>
      <w:r w:rsidRPr="006E3415">
        <w:rPr>
          <w:rFonts w:ascii="Times New Roman" w:hAnsi="Times New Roman" w:cs="Times New Roman"/>
          <w:sz w:val="24"/>
          <w:szCs w:val="24"/>
        </w:rPr>
        <w:t xml:space="preserve"> </w:t>
      </w:r>
      <w:r w:rsidR="008741DA" w:rsidRPr="006E3415">
        <w:rPr>
          <w:rFonts w:ascii="Times New Roman" w:hAnsi="Times New Roman" w:cs="Times New Roman"/>
          <w:sz w:val="24"/>
          <w:szCs w:val="24"/>
        </w:rPr>
        <w:t xml:space="preserve">This </w:t>
      </w:r>
      <w:r w:rsidRPr="006E3415">
        <w:rPr>
          <w:rFonts w:ascii="Times New Roman" w:hAnsi="Times New Roman" w:cs="Times New Roman"/>
          <w:sz w:val="24"/>
          <w:szCs w:val="24"/>
        </w:rPr>
        <w:t xml:space="preserve">strongly suggests that the mortgage granted by Boustead to the </w:t>
      </w:r>
      <w:r w:rsidRPr="006E3415">
        <w:rPr>
          <w:rFonts w:ascii="Times New Roman" w:hAnsi="Times New Roman" w:cs="Times New Roman"/>
          <w:bCs/>
          <w:sz w:val="24"/>
          <w:szCs w:val="24"/>
        </w:rPr>
        <w:t xml:space="preserve">Société was a short term one, because had any significant sums been outstanding on the 1873 mortgage, there would have been insufficient equity in the Estates for them have been mortgaged for any sum approaching £70,000. </w:t>
      </w:r>
    </w:p>
    <w:p w:rsidR="00BC217E" w:rsidRPr="006E3415" w:rsidRDefault="00BC217E" w:rsidP="00746BFF">
      <w:pPr>
        <w:spacing w:after="0" w:line="360" w:lineRule="auto"/>
        <w:rPr>
          <w:rFonts w:ascii="Times New Roman" w:hAnsi="Times New Roman" w:cs="Times New Roman"/>
          <w:bCs/>
          <w:sz w:val="24"/>
          <w:szCs w:val="24"/>
        </w:rPr>
      </w:pPr>
    </w:p>
    <w:p w:rsidR="00973F3C" w:rsidRDefault="00337738" w:rsidP="00746BFF">
      <w:pPr>
        <w:spacing w:after="0" w:line="360" w:lineRule="auto"/>
        <w:rPr>
          <w:rFonts w:ascii="Times New Roman" w:hAnsi="Times New Roman" w:cs="Times New Roman"/>
          <w:bCs/>
          <w:sz w:val="24"/>
          <w:szCs w:val="24"/>
        </w:rPr>
      </w:pPr>
      <w:r w:rsidRPr="006E3415">
        <w:rPr>
          <w:rFonts w:ascii="Times New Roman" w:hAnsi="Times New Roman" w:cs="Times New Roman"/>
          <w:bCs/>
          <w:sz w:val="24"/>
          <w:szCs w:val="24"/>
        </w:rPr>
        <w:t xml:space="preserve">Emily’s admission of debt at the last minute seems extraordinary. One can only speculate as to her motives. Of course, the debt </w:t>
      </w:r>
      <w:r w:rsidRPr="006E3415">
        <w:rPr>
          <w:rFonts w:ascii="Times New Roman" w:hAnsi="Times New Roman" w:cs="Times New Roman"/>
          <w:bCs/>
          <w:i/>
          <w:sz w:val="24"/>
          <w:szCs w:val="24"/>
        </w:rPr>
        <w:t>was</w:t>
      </w:r>
      <w:r w:rsidRPr="006E3415">
        <w:rPr>
          <w:rFonts w:ascii="Times New Roman" w:hAnsi="Times New Roman" w:cs="Times New Roman"/>
          <w:bCs/>
          <w:sz w:val="24"/>
          <w:szCs w:val="24"/>
        </w:rPr>
        <w:t xml:space="preserve"> outstanding, and the mortgage was indisputably valid, so she must have known that, had she not filed the admission, the court would almost certainly have found against her, presumably with increased costs. But she could have co-operated with the Société at the outset, and acquiesced in a sale of the Estates,</w:t>
      </w:r>
      <w:r w:rsidRPr="006E3415">
        <w:rPr>
          <w:rStyle w:val="FootnoteReference"/>
          <w:rFonts w:ascii="Times New Roman" w:hAnsi="Times New Roman" w:cs="Times New Roman"/>
          <w:bCs/>
          <w:sz w:val="24"/>
          <w:szCs w:val="24"/>
        </w:rPr>
        <w:footnoteReference w:id="161"/>
      </w:r>
      <w:r w:rsidRPr="006E3415">
        <w:rPr>
          <w:rFonts w:ascii="Times New Roman" w:hAnsi="Times New Roman" w:cs="Times New Roman"/>
          <w:bCs/>
          <w:sz w:val="24"/>
          <w:szCs w:val="24"/>
        </w:rPr>
        <w:t xml:space="preserve"> thus avoiding what must have been a costly court action, and also the risk of losing the Estates at a public auction. Her record in respect of dealings with th</w:t>
      </w:r>
      <w:r w:rsidR="00BA23C6">
        <w:rPr>
          <w:rFonts w:ascii="Times New Roman" w:hAnsi="Times New Roman" w:cs="Times New Roman"/>
          <w:bCs/>
          <w:sz w:val="24"/>
          <w:szCs w:val="24"/>
        </w:rPr>
        <w:t>e English courts suggests a disd</w:t>
      </w:r>
      <w:r w:rsidRPr="006E3415">
        <w:rPr>
          <w:rFonts w:ascii="Times New Roman" w:hAnsi="Times New Roman" w:cs="Times New Roman"/>
          <w:bCs/>
          <w:sz w:val="24"/>
          <w:szCs w:val="24"/>
        </w:rPr>
        <w:t xml:space="preserve">ain for court orders; she may therefore have failed to take the suit seriously until the day of the trial. The suspicion remains, </w:t>
      </w:r>
      <w:r w:rsidR="00C642C6">
        <w:rPr>
          <w:rFonts w:ascii="Times New Roman" w:hAnsi="Times New Roman" w:cs="Times New Roman"/>
          <w:bCs/>
          <w:sz w:val="24"/>
          <w:szCs w:val="24"/>
        </w:rPr>
        <w:t xml:space="preserve">however, </w:t>
      </w:r>
      <w:r w:rsidR="00957D2C" w:rsidRPr="006E3415">
        <w:rPr>
          <w:rFonts w:ascii="Times New Roman" w:hAnsi="Times New Roman" w:cs="Times New Roman"/>
          <w:bCs/>
          <w:sz w:val="24"/>
          <w:szCs w:val="24"/>
        </w:rPr>
        <w:t xml:space="preserve">that </w:t>
      </w:r>
      <w:r w:rsidRPr="006E3415">
        <w:rPr>
          <w:rFonts w:ascii="Times New Roman" w:hAnsi="Times New Roman" w:cs="Times New Roman"/>
          <w:bCs/>
          <w:sz w:val="24"/>
          <w:szCs w:val="24"/>
        </w:rPr>
        <w:t>she wanted the sale in exe</w:t>
      </w:r>
      <w:r w:rsidR="00957D2C" w:rsidRPr="006E3415">
        <w:rPr>
          <w:rFonts w:ascii="Times New Roman" w:hAnsi="Times New Roman" w:cs="Times New Roman"/>
          <w:bCs/>
          <w:sz w:val="24"/>
          <w:szCs w:val="24"/>
        </w:rPr>
        <w:t>c</w:t>
      </w:r>
      <w:r w:rsidR="00A4075F" w:rsidRPr="006E3415">
        <w:rPr>
          <w:rFonts w:ascii="Times New Roman" w:hAnsi="Times New Roman" w:cs="Times New Roman"/>
          <w:bCs/>
          <w:sz w:val="24"/>
          <w:szCs w:val="24"/>
        </w:rPr>
        <w:t>ution to be order</w:t>
      </w:r>
      <w:r w:rsidR="00957D2C" w:rsidRPr="006E3415">
        <w:rPr>
          <w:rFonts w:ascii="Times New Roman" w:hAnsi="Times New Roman" w:cs="Times New Roman"/>
          <w:bCs/>
          <w:sz w:val="24"/>
          <w:szCs w:val="24"/>
        </w:rPr>
        <w:t>e</w:t>
      </w:r>
      <w:r w:rsidRPr="006E3415">
        <w:rPr>
          <w:rFonts w:ascii="Times New Roman" w:hAnsi="Times New Roman" w:cs="Times New Roman"/>
          <w:bCs/>
          <w:sz w:val="24"/>
          <w:szCs w:val="24"/>
        </w:rPr>
        <w:t xml:space="preserve">d, </w:t>
      </w:r>
      <w:r w:rsidR="003043AD" w:rsidRPr="006E3415">
        <w:rPr>
          <w:rFonts w:ascii="Times New Roman" w:hAnsi="Times New Roman" w:cs="Times New Roman"/>
          <w:bCs/>
          <w:sz w:val="24"/>
          <w:szCs w:val="24"/>
        </w:rPr>
        <w:t>as this would be an especially effective means of convincing Cavendish</w:t>
      </w:r>
      <w:r w:rsidRPr="006E3415">
        <w:rPr>
          <w:rFonts w:ascii="Times New Roman" w:hAnsi="Times New Roman" w:cs="Times New Roman"/>
          <w:bCs/>
          <w:sz w:val="24"/>
          <w:szCs w:val="24"/>
        </w:rPr>
        <w:t xml:space="preserve"> that the </w:t>
      </w:r>
      <w:r w:rsidR="003043AD" w:rsidRPr="006E3415">
        <w:rPr>
          <w:rFonts w:ascii="Times New Roman" w:hAnsi="Times New Roman" w:cs="Times New Roman"/>
          <w:bCs/>
          <w:sz w:val="24"/>
          <w:szCs w:val="24"/>
        </w:rPr>
        <w:t>Estates were lost</w:t>
      </w:r>
      <w:r w:rsidRPr="006E3415">
        <w:rPr>
          <w:rFonts w:ascii="Times New Roman" w:hAnsi="Times New Roman" w:cs="Times New Roman"/>
          <w:bCs/>
          <w:sz w:val="24"/>
          <w:szCs w:val="24"/>
        </w:rPr>
        <w:t>.</w:t>
      </w:r>
      <w:r w:rsidR="00B17607">
        <w:rPr>
          <w:rFonts w:ascii="Times New Roman" w:hAnsi="Times New Roman" w:cs="Times New Roman"/>
          <w:bCs/>
          <w:sz w:val="24"/>
          <w:szCs w:val="24"/>
        </w:rPr>
        <w:t xml:space="preserve"> </w:t>
      </w:r>
      <w:r w:rsidR="00B17607" w:rsidRPr="005F48A7">
        <w:rPr>
          <w:rFonts w:ascii="Times New Roman" w:hAnsi="Times New Roman" w:cs="Times New Roman"/>
          <w:bCs/>
          <w:sz w:val="24"/>
          <w:szCs w:val="24"/>
        </w:rPr>
        <w:t>This view is strengthened by the fact that Emily retained the services of the Deputy Queen’s Advocate of Ceylon</w:t>
      </w:r>
      <w:r w:rsidR="00973F3C" w:rsidRPr="005F48A7">
        <w:rPr>
          <w:rFonts w:ascii="Times New Roman" w:hAnsi="Times New Roman" w:cs="Times New Roman"/>
          <w:bCs/>
          <w:sz w:val="24"/>
          <w:szCs w:val="24"/>
        </w:rPr>
        <w:t xml:space="preserve"> from </w:t>
      </w:r>
      <w:r w:rsidR="00F36C71" w:rsidRPr="005F48A7">
        <w:rPr>
          <w:rFonts w:ascii="Times New Roman" w:hAnsi="Times New Roman" w:cs="Times New Roman"/>
          <w:bCs/>
          <w:sz w:val="24"/>
          <w:szCs w:val="24"/>
        </w:rPr>
        <w:t xml:space="preserve">at least as early as </w:t>
      </w:r>
      <w:r w:rsidR="00B17607" w:rsidRPr="005F48A7">
        <w:rPr>
          <w:rFonts w:ascii="Times New Roman" w:hAnsi="Times New Roman" w:cs="Times New Roman"/>
          <w:bCs/>
          <w:sz w:val="24"/>
          <w:szCs w:val="24"/>
        </w:rPr>
        <w:t>1871</w:t>
      </w:r>
      <w:r w:rsidR="00973F3C" w:rsidRPr="005F48A7">
        <w:rPr>
          <w:rFonts w:ascii="Times New Roman" w:hAnsi="Times New Roman" w:cs="Times New Roman"/>
          <w:bCs/>
          <w:sz w:val="24"/>
          <w:szCs w:val="24"/>
        </w:rPr>
        <w:t xml:space="preserve"> until her admission of debt, at which time his servic</w:t>
      </w:r>
      <w:r w:rsidR="00F36C71" w:rsidRPr="005F48A7">
        <w:rPr>
          <w:rFonts w:ascii="Times New Roman" w:hAnsi="Times New Roman" w:cs="Times New Roman"/>
          <w:bCs/>
          <w:sz w:val="24"/>
          <w:szCs w:val="24"/>
        </w:rPr>
        <w:t>e</w:t>
      </w:r>
      <w:r w:rsidR="00973F3C" w:rsidRPr="005F48A7">
        <w:rPr>
          <w:rFonts w:ascii="Times New Roman" w:hAnsi="Times New Roman" w:cs="Times New Roman"/>
          <w:bCs/>
          <w:sz w:val="24"/>
          <w:szCs w:val="24"/>
        </w:rPr>
        <w:t>s were released to the Société. This suggests that she did in fact take the proceedings in Ceylon seriously from the outset</w:t>
      </w:r>
      <w:r w:rsidR="00F806D1" w:rsidRPr="005F48A7">
        <w:rPr>
          <w:rFonts w:ascii="Times New Roman" w:hAnsi="Times New Roman" w:cs="Times New Roman"/>
          <w:bCs/>
          <w:sz w:val="24"/>
          <w:szCs w:val="24"/>
        </w:rPr>
        <w:t xml:space="preserve">, and </w:t>
      </w:r>
      <w:r w:rsidR="005F48A7" w:rsidRPr="005F48A7">
        <w:rPr>
          <w:rFonts w:ascii="Times New Roman" w:hAnsi="Times New Roman" w:cs="Times New Roman"/>
          <w:bCs/>
          <w:sz w:val="24"/>
          <w:szCs w:val="24"/>
        </w:rPr>
        <w:t>shows that she was prepared to pay for expert legal advice until the outcome that she desired had been ensured</w:t>
      </w:r>
      <w:r w:rsidR="00973F3C" w:rsidRPr="005F48A7">
        <w:rPr>
          <w:rFonts w:ascii="Times New Roman" w:hAnsi="Times New Roman" w:cs="Times New Roman"/>
          <w:bCs/>
          <w:sz w:val="24"/>
          <w:szCs w:val="24"/>
        </w:rPr>
        <w:t xml:space="preserve">. Furthermore, assuming that she followed her advocate’s advice, it is difficult to believe that there was no </w:t>
      </w:r>
      <w:r w:rsidR="006E5E20" w:rsidRPr="005F48A7">
        <w:rPr>
          <w:rFonts w:ascii="Times New Roman" w:hAnsi="Times New Roman" w:cs="Times New Roman"/>
          <w:bCs/>
          <w:sz w:val="24"/>
          <w:szCs w:val="24"/>
        </w:rPr>
        <w:t xml:space="preserve">compelling </w:t>
      </w:r>
      <w:r w:rsidR="00973F3C" w:rsidRPr="005F48A7">
        <w:rPr>
          <w:rFonts w:ascii="Times New Roman" w:hAnsi="Times New Roman" w:cs="Times New Roman"/>
          <w:bCs/>
          <w:sz w:val="24"/>
          <w:szCs w:val="24"/>
        </w:rPr>
        <w:t>reason for leaving the admission of debt until the trial.</w:t>
      </w:r>
      <w:r w:rsidR="005F48A7" w:rsidRPr="005F48A7">
        <w:rPr>
          <w:rStyle w:val="FootnoteReference"/>
          <w:rFonts w:ascii="Times New Roman" w:hAnsi="Times New Roman" w:cs="Times New Roman"/>
          <w:bCs/>
          <w:sz w:val="24"/>
          <w:szCs w:val="24"/>
        </w:rPr>
        <w:footnoteReference w:id="162"/>
      </w:r>
    </w:p>
    <w:p w:rsidR="00973F3C" w:rsidRDefault="00973F3C" w:rsidP="00746BFF">
      <w:pPr>
        <w:spacing w:after="0" w:line="360" w:lineRule="auto"/>
        <w:rPr>
          <w:rFonts w:ascii="Times New Roman" w:hAnsi="Times New Roman" w:cs="Times New Roman"/>
          <w:bCs/>
          <w:sz w:val="24"/>
          <w:szCs w:val="24"/>
        </w:rPr>
      </w:pPr>
    </w:p>
    <w:p w:rsidR="00337738" w:rsidRPr="006E3415" w:rsidRDefault="00337738" w:rsidP="00746BFF">
      <w:pPr>
        <w:spacing w:after="0" w:line="360" w:lineRule="auto"/>
        <w:jc w:val="both"/>
        <w:rPr>
          <w:rFonts w:ascii="Times New Roman" w:hAnsi="Times New Roman" w:cs="Times New Roman"/>
          <w:bCs/>
          <w:sz w:val="24"/>
          <w:szCs w:val="24"/>
        </w:rPr>
      </w:pPr>
      <w:r w:rsidRPr="006E3415">
        <w:rPr>
          <w:rFonts w:ascii="Times New Roman" w:hAnsi="Times New Roman" w:cs="Times New Roman"/>
          <w:bCs/>
          <w:sz w:val="24"/>
          <w:szCs w:val="24"/>
        </w:rPr>
        <w:t xml:space="preserve">A final point to make is that Emily is the person who stood to gain the most from the rumours which deterred bidders at the auction. There is no evidence that Cavendish was a bidder, and the Société was seemingly concerned only with repaying the debt. Furthermore, the </w:t>
      </w:r>
      <w:r w:rsidR="00E45A26" w:rsidRPr="006E3415">
        <w:rPr>
          <w:rFonts w:ascii="Times New Roman" w:hAnsi="Times New Roman" w:cs="Times New Roman"/>
          <w:bCs/>
          <w:sz w:val="24"/>
          <w:szCs w:val="24"/>
        </w:rPr>
        <w:t>rumours</w:t>
      </w:r>
      <w:r w:rsidRPr="006E3415">
        <w:rPr>
          <w:rFonts w:ascii="Times New Roman" w:hAnsi="Times New Roman" w:cs="Times New Roman"/>
          <w:bCs/>
          <w:sz w:val="24"/>
          <w:szCs w:val="24"/>
        </w:rPr>
        <w:t xml:space="preserve"> were essentially without foundation. Cavendish’s annuity was not large, and could only </w:t>
      </w:r>
      <w:r w:rsidR="00A62F49">
        <w:rPr>
          <w:rFonts w:ascii="Times New Roman" w:hAnsi="Times New Roman" w:cs="Times New Roman"/>
          <w:bCs/>
          <w:sz w:val="24"/>
          <w:szCs w:val="24"/>
        </w:rPr>
        <w:t xml:space="preserve">have </w:t>
      </w:r>
      <w:r w:rsidRPr="006E3415">
        <w:rPr>
          <w:rFonts w:ascii="Times New Roman" w:hAnsi="Times New Roman" w:cs="Times New Roman"/>
          <w:bCs/>
          <w:sz w:val="24"/>
          <w:szCs w:val="24"/>
        </w:rPr>
        <w:t>be</w:t>
      </w:r>
      <w:r w:rsidR="00A62F49">
        <w:rPr>
          <w:rFonts w:ascii="Times New Roman" w:hAnsi="Times New Roman" w:cs="Times New Roman"/>
          <w:bCs/>
          <w:sz w:val="24"/>
          <w:szCs w:val="24"/>
        </w:rPr>
        <w:t>en</w:t>
      </w:r>
      <w:r w:rsidRPr="006E3415">
        <w:rPr>
          <w:rFonts w:ascii="Times New Roman" w:hAnsi="Times New Roman" w:cs="Times New Roman"/>
          <w:bCs/>
          <w:sz w:val="24"/>
          <w:szCs w:val="24"/>
        </w:rPr>
        <w:t xml:space="preserve"> claimed </w:t>
      </w:r>
      <w:r w:rsidR="00A62F49">
        <w:rPr>
          <w:rFonts w:ascii="Times New Roman" w:hAnsi="Times New Roman" w:cs="Times New Roman"/>
          <w:bCs/>
          <w:sz w:val="24"/>
          <w:szCs w:val="24"/>
        </w:rPr>
        <w:t xml:space="preserve">had </w:t>
      </w:r>
      <w:r w:rsidRPr="006E3415">
        <w:rPr>
          <w:rFonts w:ascii="Times New Roman" w:hAnsi="Times New Roman" w:cs="Times New Roman"/>
          <w:bCs/>
          <w:sz w:val="24"/>
          <w:szCs w:val="24"/>
        </w:rPr>
        <w:t>he outlived Emily. As for the alleged claims of the children, they were probably founded on the 1868 decree, and likely could not have been pursued against an outsider purchaser under a judicial sale.</w:t>
      </w:r>
      <w:r w:rsidRPr="006E3415">
        <w:rPr>
          <w:rStyle w:val="FootnoteReference"/>
          <w:rFonts w:ascii="Times New Roman" w:hAnsi="Times New Roman" w:cs="Times New Roman"/>
          <w:bCs/>
          <w:sz w:val="24"/>
          <w:szCs w:val="24"/>
        </w:rPr>
        <w:footnoteReference w:id="163"/>
      </w:r>
      <w:r w:rsidRPr="006E3415">
        <w:rPr>
          <w:rFonts w:ascii="Times New Roman" w:hAnsi="Times New Roman" w:cs="Times New Roman"/>
          <w:bCs/>
          <w:sz w:val="24"/>
          <w:szCs w:val="24"/>
        </w:rPr>
        <w:t xml:space="preserve"> Therefore, the </w:t>
      </w:r>
      <w:r w:rsidR="00AD6B13">
        <w:rPr>
          <w:rFonts w:ascii="Times New Roman" w:hAnsi="Times New Roman" w:cs="Times New Roman"/>
          <w:bCs/>
          <w:sz w:val="24"/>
          <w:szCs w:val="24"/>
        </w:rPr>
        <w:t>possibility</w:t>
      </w:r>
      <w:r w:rsidRPr="006E3415">
        <w:rPr>
          <w:rFonts w:ascii="Times New Roman" w:hAnsi="Times New Roman" w:cs="Times New Roman"/>
          <w:bCs/>
          <w:sz w:val="24"/>
          <w:szCs w:val="24"/>
        </w:rPr>
        <w:t xml:space="preserve"> that Emily, perhaps through </w:t>
      </w:r>
      <w:r w:rsidR="00E31B45">
        <w:rPr>
          <w:rFonts w:ascii="Times New Roman" w:hAnsi="Times New Roman" w:cs="Times New Roman"/>
          <w:bCs/>
          <w:sz w:val="24"/>
          <w:szCs w:val="24"/>
        </w:rPr>
        <w:t>Sabonadière</w:t>
      </w:r>
      <w:r w:rsidRPr="006E3415">
        <w:rPr>
          <w:rFonts w:ascii="Times New Roman" w:hAnsi="Times New Roman" w:cs="Times New Roman"/>
          <w:bCs/>
          <w:sz w:val="24"/>
          <w:szCs w:val="24"/>
        </w:rPr>
        <w:t>, was responsible for propagating these rumours cannot be ruled out.</w:t>
      </w:r>
    </w:p>
    <w:p w:rsidR="0010676B" w:rsidRPr="006E3415" w:rsidRDefault="0010676B" w:rsidP="00746BFF">
      <w:pPr>
        <w:spacing w:after="0" w:line="360" w:lineRule="auto"/>
        <w:jc w:val="both"/>
        <w:rPr>
          <w:rFonts w:ascii="Times New Roman" w:hAnsi="Times New Roman" w:cs="Times New Roman"/>
          <w:bCs/>
          <w:sz w:val="24"/>
          <w:szCs w:val="24"/>
        </w:rPr>
      </w:pPr>
    </w:p>
    <w:p w:rsidR="00337738" w:rsidRPr="006E3415" w:rsidRDefault="00337738" w:rsidP="00746BFF">
      <w:pPr>
        <w:spacing w:after="0" w:line="360" w:lineRule="auto"/>
        <w:rPr>
          <w:rFonts w:ascii="Times New Roman" w:hAnsi="Times New Roman" w:cs="Times New Roman"/>
          <w:bCs/>
          <w:sz w:val="24"/>
          <w:szCs w:val="24"/>
        </w:rPr>
      </w:pPr>
      <w:r w:rsidRPr="006E3415">
        <w:rPr>
          <w:rFonts w:ascii="Times New Roman" w:hAnsi="Times New Roman" w:cs="Times New Roman"/>
          <w:bCs/>
          <w:sz w:val="24"/>
          <w:szCs w:val="24"/>
        </w:rPr>
        <w:t xml:space="preserve">Overall, there is no direct evidence that the Société, when obtaining the sale in execution, was motivated by anything other than a genuine intention to recall its security. It is submitted that </w:t>
      </w:r>
      <w:r w:rsidR="00957D2C" w:rsidRPr="006E3415">
        <w:rPr>
          <w:rFonts w:ascii="Times New Roman" w:hAnsi="Times New Roman" w:cs="Times New Roman"/>
          <w:bCs/>
          <w:sz w:val="24"/>
          <w:szCs w:val="24"/>
        </w:rPr>
        <w:t xml:space="preserve">the most likely explanation is that </w:t>
      </w:r>
      <w:r w:rsidRPr="006E3415">
        <w:rPr>
          <w:rFonts w:ascii="Times New Roman" w:hAnsi="Times New Roman" w:cs="Times New Roman"/>
          <w:bCs/>
          <w:sz w:val="24"/>
          <w:szCs w:val="24"/>
        </w:rPr>
        <w:t>Emily was a clever and determined opportunist.</w:t>
      </w:r>
      <w:r w:rsidR="002F38EA" w:rsidRPr="006E3415">
        <w:rPr>
          <w:rFonts w:ascii="Times New Roman" w:hAnsi="Times New Roman" w:cs="Times New Roman"/>
          <w:bCs/>
          <w:sz w:val="24"/>
          <w:szCs w:val="24"/>
        </w:rPr>
        <w:t xml:space="preserve"> She had for many years assisted in managing the financial affairs of the Baron and Baroness, so she had much experience dealin</w:t>
      </w:r>
      <w:r w:rsidR="00C33099">
        <w:rPr>
          <w:rFonts w:ascii="Times New Roman" w:hAnsi="Times New Roman" w:cs="Times New Roman"/>
          <w:bCs/>
          <w:sz w:val="24"/>
          <w:szCs w:val="24"/>
        </w:rPr>
        <w:t>g in legal and financial matters</w:t>
      </w:r>
      <w:r w:rsidR="002C3AC4">
        <w:rPr>
          <w:rFonts w:ascii="Times New Roman" w:hAnsi="Times New Roman" w:cs="Times New Roman"/>
          <w:bCs/>
          <w:sz w:val="24"/>
          <w:szCs w:val="24"/>
        </w:rPr>
        <w:t>.</w:t>
      </w:r>
      <w:r w:rsidR="002F38EA" w:rsidRPr="006E3415">
        <w:rPr>
          <w:rStyle w:val="FootnoteReference"/>
          <w:rFonts w:ascii="Times New Roman" w:hAnsi="Times New Roman" w:cs="Times New Roman"/>
          <w:bCs/>
          <w:sz w:val="24"/>
          <w:szCs w:val="24"/>
        </w:rPr>
        <w:footnoteReference w:id="164"/>
      </w:r>
      <w:r w:rsidR="002C3AC4">
        <w:rPr>
          <w:rFonts w:ascii="Times New Roman" w:hAnsi="Times New Roman" w:cs="Times New Roman"/>
          <w:bCs/>
          <w:sz w:val="24"/>
          <w:szCs w:val="24"/>
        </w:rPr>
        <w:t xml:space="preserve"> Thus, she may well have directly or indirctly engineered the transfer of the mortgage to the </w:t>
      </w:r>
      <w:r w:rsidR="002C3AC4" w:rsidRPr="006E3415">
        <w:rPr>
          <w:rFonts w:ascii="Times New Roman" w:hAnsi="Times New Roman" w:cs="Times New Roman"/>
          <w:bCs/>
          <w:sz w:val="24"/>
          <w:szCs w:val="24"/>
        </w:rPr>
        <w:t>Société</w:t>
      </w:r>
      <w:r w:rsidR="002C3AC4">
        <w:rPr>
          <w:rFonts w:ascii="Times New Roman" w:hAnsi="Times New Roman" w:cs="Times New Roman"/>
          <w:bCs/>
          <w:sz w:val="24"/>
          <w:szCs w:val="24"/>
        </w:rPr>
        <w:t>.</w:t>
      </w:r>
      <w:r w:rsidR="002C3AC4" w:rsidRPr="006E3415">
        <w:rPr>
          <w:rFonts w:ascii="Times New Roman" w:hAnsi="Times New Roman" w:cs="Times New Roman"/>
          <w:bCs/>
          <w:sz w:val="24"/>
          <w:szCs w:val="24"/>
        </w:rPr>
        <w:t xml:space="preserve"> </w:t>
      </w:r>
      <w:r w:rsidRPr="006E3415">
        <w:rPr>
          <w:rFonts w:ascii="Times New Roman" w:hAnsi="Times New Roman" w:cs="Times New Roman"/>
          <w:bCs/>
          <w:sz w:val="24"/>
          <w:szCs w:val="24"/>
        </w:rPr>
        <w:t xml:space="preserve">When, after its change in management, the Société made clear its intentions to realise the security, Emily </w:t>
      </w:r>
      <w:r w:rsidR="002C3AC4">
        <w:rPr>
          <w:rFonts w:ascii="Times New Roman" w:hAnsi="Times New Roman" w:cs="Times New Roman"/>
          <w:bCs/>
          <w:sz w:val="24"/>
          <w:szCs w:val="24"/>
        </w:rPr>
        <w:t xml:space="preserve">likely </w:t>
      </w:r>
      <w:r w:rsidRPr="006E3415">
        <w:rPr>
          <w:rFonts w:ascii="Times New Roman" w:hAnsi="Times New Roman" w:cs="Times New Roman"/>
          <w:bCs/>
          <w:sz w:val="24"/>
          <w:szCs w:val="24"/>
        </w:rPr>
        <w:t>saw this as an opportunity to put an end to Cavendish’s attempts to obt</w:t>
      </w:r>
      <w:r w:rsidR="00C27159">
        <w:rPr>
          <w:rFonts w:ascii="Times New Roman" w:hAnsi="Times New Roman" w:cs="Times New Roman"/>
          <w:bCs/>
          <w:sz w:val="24"/>
          <w:szCs w:val="24"/>
        </w:rPr>
        <w:t>ain the Estates and obtain control of them</w:t>
      </w:r>
      <w:r w:rsidRPr="006E3415">
        <w:rPr>
          <w:rFonts w:ascii="Times New Roman" w:hAnsi="Times New Roman" w:cs="Times New Roman"/>
          <w:bCs/>
          <w:sz w:val="24"/>
          <w:szCs w:val="24"/>
        </w:rPr>
        <w:t xml:space="preserve"> free from his interference. </w:t>
      </w:r>
    </w:p>
    <w:p w:rsidR="0010676B" w:rsidRPr="006E3415" w:rsidRDefault="006401F7" w:rsidP="00746BFF">
      <w:pPr>
        <w:tabs>
          <w:tab w:val="left" w:pos="1371"/>
        </w:tabs>
        <w:spacing w:after="0" w:line="360" w:lineRule="auto"/>
        <w:rPr>
          <w:rFonts w:ascii="Times New Roman" w:hAnsi="Times New Roman" w:cs="Times New Roman"/>
          <w:bCs/>
          <w:sz w:val="24"/>
          <w:szCs w:val="24"/>
        </w:rPr>
      </w:pPr>
      <w:r>
        <w:rPr>
          <w:rFonts w:ascii="Times New Roman" w:hAnsi="Times New Roman" w:cs="Times New Roman"/>
          <w:bCs/>
          <w:sz w:val="24"/>
          <w:szCs w:val="24"/>
        </w:rPr>
        <w:tab/>
      </w:r>
    </w:p>
    <w:p w:rsidR="00337738" w:rsidRPr="006E3415" w:rsidRDefault="00337738" w:rsidP="00746BFF">
      <w:pPr>
        <w:spacing w:after="0" w:line="360" w:lineRule="auto"/>
        <w:jc w:val="both"/>
        <w:rPr>
          <w:rFonts w:ascii="Times New Roman" w:hAnsi="Times New Roman" w:cs="Times New Roman"/>
          <w:sz w:val="24"/>
          <w:szCs w:val="24"/>
        </w:rPr>
      </w:pPr>
    </w:p>
    <w:p w:rsidR="00337738" w:rsidRPr="006E3415" w:rsidRDefault="00337738" w:rsidP="00746BFF">
      <w:pPr>
        <w:pStyle w:val="ListParagraph"/>
        <w:numPr>
          <w:ilvl w:val="0"/>
          <w:numId w:val="2"/>
        </w:numPr>
        <w:spacing w:line="360" w:lineRule="auto"/>
        <w:jc w:val="center"/>
        <w:rPr>
          <w:rFonts w:cs="Times New Roman"/>
          <w:b/>
          <w:szCs w:val="24"/>
        </w:rPr>
      </w:pPr>
      <w:r w:rsidRPr="006E3415">
        <w:rPr>
          <w:rFonts w:cs="Times New Roman"/>
          <w:b/>
          <w:szCs w:val="24"/>
        </w:rPr>
        <w:t>THE AFTERMATH OF THE SALE</w:t>
      </w:r>
    </w:p>
    <w:p w:rsidR="00337738" w:rsidRPr="006E3415" w:rsidRDefault="00337738" w:rsidP="00746BFF">
      <w:pPr>
        <w:spacing w:after="0" w:line="360" w:lineRule="auto"/>
        <w:jc w:val="both"/>
        <w:rPr>
          <w:rFonts w:ascii="Times New Roman" w:hAnsi="Times New Roman" w:cs="Times New Roman"/>
          <w:sz w:val="24"/>
          <w:szCs w:val="24"/>
        </w:rPr>
      </w:pPr>
    </w:p>
    <w:p w:rsidR="00337738" w:rsidRPr="006E3415" w:rsidRDefault="006401F7" w:rsidP="00746BFF">
      <w:pPr>
        <w:pStyle w:val="ListParagraph"/>
        <w:numPr>
          <w:ilvl w:val="0"/>
          <w:numId w:val="7"/>
        </w:numPr>
        <w:spacing w:line="360" w:lineRule="auto"/>
        <w:jc w:val="both"/>
        <w:rPr>
          <w:rFonts w:cs="Times New Roman"/>
          <w:bCs/>
          <w:i/>
          <w:szCs w:val="24"/>
        </w:rPr>
      </w:pPr>
      <w:r>
        <w:rPr>
          <w:rFonts w:cs="Times New Roman"/>
          <w:bCs/>
          <w:i/>
          <w:szCs w:val="24"/>
        </w:rPr>
        <w:t>Cavendish abandons his claim</w:t>
      </w:r>
    </w:p>
    <w:p w:rsidR="00337738" w:rsidRPr="006E3415" w:rsidRDefault="00337738" w:rsidP="00746BFF">
      <w:pPr>
        <w:pStyle w:val="ListParagraph"/>
        <w:spacing w:line="360" w:lineRule="auto"/>
        <w:ind w:left="1080"/>
        <w:jc w:val="both"/>
        <w:rPr>
          <w:rFonts w:cs="Times New Roman"/>
          <w:bCs/>
          <w:i/>
          <w:szCs w:val="24"/>
        </w:rPr>
      </w:pPr>
    </w:p>
    <w:p w:rsidR="00337738" w:rsidRPr="006E3415" w:rsidRDefault="00337738" w:rsidP="00746BFF">
      <w:pPr>
        <w:spacing w:after="0" w:line="360" w:lineRule="auto"/>
        <w:jc w:val="both"/>
        <w:rPr>
          <w:rFonts w:ascii="Times New Roman" w:hAnsi="Times New Roman" w:cs="Times New Roman"/>
          <w:bCs/>
          <w:sz w:val="24"/>
          <w:szCs w:val="24"/>
        </w:rPr>
      </w:pPr>
      <w:r w:rsidRPr="006E3415">
        <w:rPr>
          <w:rFonts w:ascii="Times New Roman" w:hAnsi="Times New Roman" w:cs="Times New Roman"/>
          <w:bCs/>
          <w:sz w:val="24"/>
          <w:szCs w:val="24"/>
        </w:rPr>
        <w:t xml:space="preserve">The sale of the Estates to Boustead seems </w:t>
      </w:r>
      <w:r w:rsidR="006A7A15">
        <w:rPr>
          <w:rFonts w:ascii="Times New Roman" w:hAnsi="Times New Roman" w:cs="Times New Roman"/>
          <w:bCs/>
          <w:sz w:val="24"/>
          <w:szCs w:val="24"/>
        </w:rPr>
        <w:t xml:space="preserve">finally </w:t>
      </w:r>
      <w:r w:rsidRPr="006E3415">
        <w:rPr>
          <w:rFonts w:ascii="Times New Roman" w:hAnsi="Times New Roman" w:cs="Times New Roman"/>
          <w:bCs/>
          <w:sz w:val="24"/>
          <w:szCs w:val="24"/>
        </w:rPr>
        <w:t xml:space="preserve">to have extinguished Cavendish’s hopes of acquiring them. </w:t>
      </w:r>
      <w:r w:rsidR="00373E70" w:rsidRPr="006E3415">
        <w:rPr>
          <w:rFonts w:ascii="Times New Roman" w:hAnsi="Times New Roman" w:cs="Times New Roman"/>
          <w:bCs/>
          <w:sz w:val="24"/>
          <w:szCs w:val="24"/>
        </w:rPr>
        <w:t xml:space="preserve">Of course, the fact that no trust appeared in the deed of conveyance to </w:t>
      </w:r>
      <w:r w:rsidR="00373E70" w:rsidRPr="006E3415">
        <w:rPr>
          <w:rFonts w:ascii="Times New Roman" w:hAnsi="Times New Roman" w:cs="Times New Roman"/>
          <w:bCs/>
          <w:sz w:val="24"/>
          <w:szCs w:val="24"/>
        </w:rPr>
        <w:lastRenderedPageBreak/>
        <w:t xml:space="preserve">Boustead means that, even if he had inspected the title deeds in Ceylon, he would not have discovered the trust. </w:t>
      </w:r>
      <w:r w:rsidRPr="006E3415">
        <w:rPr>
          <w:rFonts w:ascii="Times New Roman" w:hAnsi="Times New Roman" w:cs="Times New Roman"/>
          <w:bCs/>
          <w:sz w:val="24"/>
          <w:szCs w:val="24"/>
        </w:rPr>
        <w:t>In 1874, Emily and Cavendish reached a compromise, and the 1868 decree was lifted, at least in respect of his claim.</w:t>
      </w:r>
      <w:r w:rsidRPr="006E3415">
        <w:rPr>
          <w:rStyle w:val="FootnoteReference"/>
          <w:rFonts w:ascii="Times New Roman" w:hAnsi="Times New Roman" w:cs="Times New Roman"/>
          <w:bCs/>
          <w:sz w:val="24"/>
          <w:szCs w:val="24"/>
        </w:rPr>
        <w:footnoteReference w:id="165"/>
      </w:r>
      <w:r w:rsidRPr="006E3415">
        <w:rPr>
          <w:rFonts w:ascii="Times New Roman" w:hAnsi="Times New Roman" w:cs="Times New Roman"/>
          <w:bCs/>
          <w:sz w:val="24"/>
          <w:szCs w:val="24"/>
        </w:rPr>
        <w:t xml:space="preserve"> He lived until 1889.</w:t>
      </w:r>
      <w:r w:rsidRPr="006E3415">
        <w:rPr>
          <w:rStyle w:val="FootnoteReference"/>
          <w:rFonts w:ascii="Times New Roman" w:hAnsi="Times New Roman" w:cs="Times New Roman"/>
          <w:sz w:val="24"/>
          <w:szCs w:val="24"/>
        </w:rPr>
        <w:footnoteReference w:id="166"/>
      </w:r>
      <w:r w:rsidRPr="006E3415">
        <w:rPr>
          <w:rFonts w:ascii="Times New Roman" w:hAnsi="Times New Roman" w:cs="Times New Roman"/>
          <w:bCs/>
          <w:sz w:val="24"/>
          <w:szCs w:val="24"/>
        </w:rPr>
        <w:t xml:space="preserve"> There is no evidence that, after the sale, Cavendish sought to pursue his claim to the annu</w:t>
      </w:r>
      <w:r w:rsidR="00C80CE9" w:rsidRPr="006E3415">
        <w:rPr>
          <w:rFonts w:ascii="Times New Roman" w:hAnsi="Times New Roman" w:cs="Times New Roman"/>
          <w:bCs/>
          <w:sz w:val="24"/>
          <w:szCs w:val="24"/>
        </w:rPr>
        <w:t>ity. It is possible that he</w:t>
      </w:r>
      <w:r w:rsidRPr="006E3415">
        <w:rPr>
          <w:rFonts w:ascii="Times New Roman" w:hAnsi="Times New Roman" w:cs="Times New Roman"/>
          <w:bCs/>
          <w:sz w:val="24"/>
          <w:szCs w:val="24"/>
        </w:rPr>
        <w:t xml:space="preserve"> forfeited this interest under the 1874 compromise.</w:t>
      </w:r>
      <w:r w:rsidR="000C47E4" w:rsidRPr="006E3415">
        <w:rPr>
          <w:rStyle w:val="FootnoteReference"/>
          <w:rFonts w:ascii="Times New Roman" w:hAnsi="Times New Roman" w:cs="Times New Roman"/>
          <w:bCs/>
          <w:sz w:val="24"/>
          <w:szCs w:val="24"/>
        </w:rPr>
        <w:footnoteReference w:id="167"/>
      </w:r>
      <w:r w:rsidRPr="006E3415">
        <w:rPr>
          <w:rFonts w:ascii="Times New Roman" w:hAnsi="Times New Roman" w:cs="Times New Roman"/>
          <w:bCs/>
          <w:sz w:val="24"/>
          <w:szCs w:val="24"/>
        </w:rPr>
        <w:t xml:space="preserve"> As has been indicated, however, the annuity was relatively insignificant, and it is quite possible that all of Cavendish’s threatened and actual claims based on the annuity and the 1868 decree amounted to a bluff, p</w:t>
      </w:r>
      <w:r w:rsidR="006A7A15">
        <w:rPr>
          <w:rFonts w:ascii="Times New Roman" w:hAnsi="Times New Roman" w:cs="Times New Roman"/>
          <w:bCs/>
          <w:sz w:val="24"/>
          <w:szCs w:val="24"/>
        </w:rPr>
        <w:t>articularly given that he seems</w:t>
      </w:r>
      <w:r w:rsidRPr="006E3415">
        <w:rPr>
          <w:rFonts w:ascii="Times New Roman" w:hAnsi="Times New Roman" w:cs="Times New Roman"/>
          <w:bCs/>
          <w:sz w:val="24"/>
          <w:szCs w:val="24"/>
        </w:rPr>
        <w:t xml:space="preserve"> not to have possessed the finances necessary to pursue any of his claims outside of England. </w:t>
      </w:r>
    </w:p>
    <w:p w:rsidR="00337738" w:rsidRPr="006E3415" w:rsidRDefault="00337738" w:rsidP="00746BFF">
      <w:pPr>
        <w:spacing w:after="0" w:line="360" w:lineRule="auto"/>
        <w:jc w:val="both"/>
        <w:rPr>
          <w:rFonts w:ascii="Times New Roman" w:hAnsi="Times New Roman" w:cs="Times New Roman"/>
          <w:b/>
          <w:bCs/>
          <w:sz w:val="24"/>
          <w:szCs w:val="24"/>
        </w:rPr>
      </w:pPr>
    </w:p>
    <w:p w:rsidR="00337738" w:rsidRPr="006E3415" w:rsidRDefault="00337738" w:rsidP="00746BFF">
      <w:pPr>
        <w:pStyle w:val="ListParagraph"/>
        <w:numPr>
          <w:ilvl w:val="0"/>
          <w:numId w:val="7"/>
        </w:numPr>
        <w:spacing w:line="360" w:lineRule="auto"/>
        <w:jc w:val="both"/>
        <w:rPr>
          <w:rFonts w:cs="Times New Roman"/>
          <w:bCs/>
          <w:i/>
          <w:szCs w:val="24"/>
        </w:rPr>
      </w:pPr>
      <w:r w:rsidRPr="006E3415">
        <w:rPr>
          <w:rFonts w:cs="Times New Roman"/>
          <w:bCs/>
          <w:i/>
          <w:szCs w:val="24"/>
        </w:rPr>
        <w:t>Boustead’s betrayal and the fate of the Estates</w:t>
      </w:r>
    </w:p>
    <w:p w:rsidR="00337738" w:rsidRPr="006E3415" w:rsidRDefault="00337738" w:rsidP="00746BFF">
      <w:pPr>
        <w:pStyle w:val="ListParagraph"/>
        <w:spacing w:line="360" w:lineRule="auto"/>
        <w:ind w:left="1080"/>
        <w:jc w:val="both"/>
        <w:rPr>
          <w:rFonts w:cs="Times New Roman"/>
          <w:bCs/>
          <w:i/>
          <w:szCs w:val="24"/>
        </w:rPr>
      </w:pPr>
    </w:p>
    <w:p w:rsidR="00337738" w:rsidRPr="006E3415" w:rsidRDefault="00337738" w:rsidP="00746BFF">
      <w:pPr>
        <w:spacing w:after="0" w:line="360" w:lineRule="auto"/>
        <w:rPr>
          <w:rFonts w:ascii="Times New Roman" w:hAnsi="Times New Roman" w:cs="Times New Roman"/>
          <w:sz w:val="24"/>
          <w:szCs w:val="24"/>
        </w:rPr>
      </w:pPr>
      <w:r w:rsidRPr="006E3415">
        <w:rPr>
          <w:rStyle w:val="mini"/>
          <w:rFonts w:ascii="Times New Roman" w:hAnsi="Times New Roman" w:cs="Times New Roman"/>
          <w:bCs/>
          <w:sz w:val="24"/>
          <w:szCs w:val="24"/>
        </w:rPr>
        <w:t xml:space="preserve">Emily’s plans began to unravel soon after the sale to Boustead. The law reports provide detailed information here, which is based on correspondence to which the court had access. Boustead </w:t>
      </w:r>
      <w:r w:rsidRPr="006E3415">
        <w:rPr>
          <w:rFonts w:ascii="Times New Roman" w:hAnsi="Times New Roman" w:cs="Times New Roman"/>
          <w:sz w:val="24"/>
          <w:szCs w:val="24"/>
        </w:rPr>
        <w:t>mortgaged the Estates on three occasions, in 1876, 1877 and 1878 for a sum of over £70,000.</w:t>
      </w:r>
      <w:r w:rsidRPr="006E3415">
        <w:rPr>
          <w:rStyle w:val="FootnoteReference"/>
          <w:rFonts w:ascii="Times New Roman" w:hAnsi="Times New Roman" w:cs="Times New Roman"/>
          <w:sz w:val="24"/>
          <w:szCs w:val="24"/>
        </w:rPr>
        <w:footnoteReference w:id="168"/>
      </w:r>
      <w:r w:rsidRPr="006E3415">
        <w:rPr>
          <w:rFonts w:ascii="Times New Roman" w:hAnsi="Times New Roman" w:cs="Times New Roman"/>
          <w:sz w:val="24"/>
          <w:szCs w:val="24"/>
        </w:rPr>
        <w:t xml:space="preserve"> In 1879, Boustead and Co was liquidated, and Boustead was declared bankrupt.</w:t>
      </w:r>
      <w:r w:rsidRPr="006E3415">
        <w:rPr>
          <w:rStyle w:val="FootnoteReference"/>
          <w:rFonts w:ascii="Times New Roman" w:hAnsi="Times New Roman" w:cs="Times New Roman"/>
          <w:sz w:val="24"/>
          <w:szCs w:val="24"/>
        </w:rPr>
        <w:footnoteReference w:id="169"/>
      </w:r>
      <w:r w:rsidRPr="006E3415">
        <w:rPr>
          <w:rFonts w:ascii="Times New Roman" w:hAnsi="Times New Roman" w:cs="Times New Roman"/>
          <w:sz w:val="24"/>
          <w:szCs w:val="24"/>
        </w:rPr>
        <w:t xml:space="preserve"> Although he was discharged in 1880, some parts of Estates were, in that year, conveyed to his trustee in bankruptcy and subsequently sold. It seems that other parts of the Estates had, by this time, already been sold by mortgagees.</w:t>
      </w:r>
      <w:r w:rsidRPr="006E3415">
        <w:rPr>
          <w:rStyle w:val="FootnoteReference"/>
          <w:rFonts w:ascii="Times New Roman" w:hAnsi="Times New Roman" w:cs="Times New Roman"/>
          <w:sz w:val="24"/>
          <w:szCs w:val="24"/>
        </w:rPr>
        <w:footnoteReference w:id="170"/>
      </w:r>
      <w:r w:rsidRPr="006E3415">
        <w:rPr>
          <w:rFonts w:ascii="Times New Roman" w:hAnsi="Times New Roman" w:cs="Times New Roman"/>
          <w:sz w:val="24"/>
          <w:szCs w:val="24"/>
        </w:rPr>
        <w:t xml:space="preserve"> The parts which were retained were sold at some time after 1882.</w:t>
      </w:r>
      <w:r w:rsidRPr="006E3415">
        <w:rPr>
          <w:rStyle w:val="FootnoteReference"/>
          <w:rFonts w:ascii="Times New Roman" w:hAnsi="Times New Roman" w:cs="Times New Roman"/>
          <w:sz w:val="24"/>
          <w:szCs w:val="24"/>
        </w:rPr>
        <w:footnoteReference w:id="171"/>
      </w:r>
      <w:r w:rsidRPr="006E3415">
        <w:rPr>
          <w:rFonts w:ascii="Times New Roman" w:hAnsi="Times New Roman" w:cs="Times New Roman"/>
          <w:sz w:val="24"/>
          <w:szCs w:val="24"/>
        </w:rPr>
        <w:t xml:space="preserve"> The precise point at which Boustead decided to abandon the parol arrangement cannot be pinpointed, but it does seem that he initially recogni</w:t>
      </w:r>
      <w:r w:rsidR="008B374A" w:rsidRPr="006E3415">
        <w:rPr>
          <w:rFonts w:ascii="Times New Roman" w:hAnsi="Times New Roman" w:cs="Times New Roman"/>
          <w:sz w:val="24"/>
          <w:szCs w:val="24"/>
        </w:rPr>
        <w:t>sed Emily’s interest. T</w:t>
      </w:r>
      <w:r w:rsidRPr="006E3415">
        <w:rPr>
          <w:rFonts w:ascii="Times New Roman" w:hAnsi="Times New Roman" w:cs="Times New Roman"/>
          <w:sz w:val="24"/>
          <w:szCs w:val="24"/>
        </w:rPr>
        <w:t>he two remained in communication through</w:t>
      </w:r>
      <w:r w:rsidR="00E45A26" w:rsidRPr="006E3415">
        <w:rPr>
          <w:rFonts w:ascii="Times New Roman" w:hAnsi="Times New Roman" w:cs="Times New Roman"/>
          <w:sz w:val="24"/>
          <w:szCs w:val="24"/>
        </w:rPr>
        <w:t>ou</w:t>
      </w:r>
      <w:r w:rsidRPr="006E3415">
        <w:rPr>
          <w:rFonts w:ascii="Times New Roman" w:hAnsi="Times New Roman" w:cs="Times New Roman"/>
          <w:sz w:val="24"/>
          <w:szCs w:val="24"/>
        </w:rPr>
        <w:t xml:space="preserve">t the 1870s, and Boustead made regular payments to Emily out of the profits of his firm, </w:t>
      </w:r>
      <w:r w:rsidR="002074B1">
        <w:rPr>
          <w:rFonts w:ascii="Times New Roman" w:hAnsi="Times New Roman" w:cs="Times New Roman"/>
          <w:sz w:val="24"/>
          <w:szCs w:val="24"/>
        </w:rPr>
        <w:t xml:space="preserve">prior to its </w:t>
      </w:r>
      <w:r w:rsidR="002074B1">
        <w:rPr>
          <w:rFonts w:ascii="Times New Roman" w:hAnsi="Times New Roman" w:cs="Times New Roman"/>
          <w:sz w:val="24"/>
          <w:szCs w:val="24"/>
        </w:rPr>
        <w:lastRenderedPageBreak/>
        <w:t xml:space="preserve">liquidation, </w:t>
      </w:r>
      <w:r w:rsidRPr="006E3415">
        <w:rPr>
          <w:rFonts w:ascii="Times New Roman" w:hAnsi="Times New Roman" w:cs="Times New Roman"/>
          <w:sz w:val="24"/>
          <w:szCs w:val="24"/>
        </w:rPr>
        <w:t>despite his having mortgaged the Estates without her knowledge or consent.</w:t>
      </w:r>
      <w:r w:rsidRPr="006E3415">
        <w:rPr>
          <w:rStyle w:val="FootnoteReference"/>
          <w:rFonts w:ascii="Times New Roman" w:hAnsi="Times New Roman" w:cs="Times New Roman"/>
          <w:sz w:val="24"/>
          <w:szCs w:val="24"/>
        </w:rPr>
        <w:footnoteReference w:id="172"/>
      </w:r>
      <w:r w:rsidRPr="006E3415">
        <w:rPr>
          <w:rFonts w:ascii="Times New Roman" w:hAnsi="Times New Roman" w:cs="Times New Roman"/>
          <w:sz w:val="24"/>
          <w:szCs w:val="24"/>
        </w:rPr>
        <w:t xml:space="preserve"> After Boustead’s bankruptcy, Emily wished to claim the Estates from his trustee in bankruptcy,</w:t>
      </w:r>
      <w:r w:rsidRPr="006E3415">
        <w:rPr>
          <w:rStyle w:val="FootnoteReference"/>
          <w:rFonts w:ascii="Times New Roman" w:hAnsi="Times New Roman" w:cs="Times New Roman"/>
          <w:sz w:val="24"/>
          <w:szCs w:val="24"/>
        </w:rPr>
        <w:footnoteReference w:id="173"/>
      </w:r>
      <w:r w:rsidRPr="006E3415">
        <w:rPr>
          <w:rFonts w:ascii="Times New Roman" w:hAnsi="Times New Roman" w:cs="Times New Roman"/>
          <w:sz w:val="24"/>
          <w:szCs w:val="24"/>
        </w:rPr>
        <w:t xml:space="preserve"> but was </w:t>
      </w:r>
      <w:r w:rsidR="00E45A26" w:rsidRPr="006E3415">
        <w:rPr>
          <w:rFonts w:ascii="Times New Roman" w:hAnsi="Times New Roman" w:cs="Times New Roman"/>
          <w:sz w:val="24"/>
          <w:szCs w:val="24"/>
        </w:rPr>
        <w:t>persuaded</w:t>
      </w:r>
      <w:r w:rsidRPr="006E3415">
        <w:rPr>
          <w:rFonts w:ascii="Times New Roman" w:hAnsi="Times New Roman" w:cs="Times New Roman"/>
          <w:sz w:val="24"/>
          <w:szCs w:val="24"/>
        </w:rPr>
        <w:t xml:space="preserve"> by her solicitor</w:t>
      </w:r>
      <w:r w:rsidR="00261396" w:rsidRPr="006E3415">
        <w:rPr>
          <w:rFonts w:ascii="Times New Roman" w:hAnsi="Times New Roman" w:cs="Times New Roman"/>
          <w:sz w:val="24"/>
          <w:szCs w:val="24"/>
        </w:rPr>
        <w:t xml:space="preserve"> and </w:t>
      </w:r>
      <w:r w:rsidRPr="006E3415">
        <w:rPr>
          <w:rFonts w:ascii="Times New Roman" w:hAnsi="Times New Roman" w:cs="Times New Roman"/>
          <w:sz w:val="24"/>
          <w:szCs w:val="24"/>
        </w:rPr>
        <w:t>by Boustead, that it might be better to avoid any potentially expensive litigation and instead wait and see whether Boustead could reach some sort of settlement with his creditors and retain the parts of the Estates that had not already been sold.</w:t>
      </w:r>
      <w:r w:rsidRPr="006E3415">
        <w:rPr>
          <w:rStyle w:val="FootnoteReference"/>
          <w:rFonts w:ascii="Times New Roman" w:hAnsi="Times New Roman" w:cs="Times New Roman"/>
          <w:sz w:val="24"/>
          <w:szCs w:val="24"/>
        </w:rPr>
        <w:footnoteReference w:id="174"/>
      </w:r>
      <w:r w:rsidRPr="006E3415">
        <w:rPr>
          <w:rFonts w:ascii="Times New Roman" w:hAnsi="Times New Roman" w:cs="Times New Roman"/>
          <w:sz w:val="24"/>
          <w:szCs w:val="24"/>
        </w:rPr>
        <w:t xml:space="preserve"> Although Boustead was initially optimistic that such a </w:t>
      </w:r>
      <w:r w:rsidR="00E45A26" w:rsidRPr="006E3415">
        <w:rPr>
          <w:rFonts w:ascii="Times New Roman" w:hAnsi="Times New Roman" w:cs="Times New Roman"/>
          <w:sz w:val="24"/>
          <w:szCs w:val="24"/>
        </w:rPr>
        <w:t>settlement</w:t>
      </w:r>
      <w:r w:rsidRPr="006E3415">
        <w:rPr>
          <w:rFonts w:ascii="Times New Roman" w:hAnsi="Times New Roman" w:cs="Times New Roman"/>
          <w:sz w:val="24"/>
          <w:szCs w:val="24"/>
        </w:rPr>
        <w:t xml:space="preserve"> could be reached, on 2</w:t>
      </w:r>
      <w:r w:rsidR="00473389" w:rsidRPr="006E3415">
        <w:rPr>
          <w:rFonts w:ascii="Times New Roman" w:hAnsi="Times New Roman" w:cs="Times New Roman"/>
          <w:sz w:val="24"/>
          <w:szCs w:val="24"/>
        </w:rPr>
        <w:t>5</w:t>
      </w:r>
      <w:r w:rsidR="003769A4">
        <w:rPr>
          <w:rFonts w:ascii="Times New Roman" w:hAnsi="Times New Roman" w:cs="Times New Roman"/>
          <w:sz w:val="24"/>
          <w:szCs w:val="24"/>
        </w:rPr>
        <w:t xml:space="preserve"> November 1</w:t>
      </w:r>
      <w:r w:rsidRPr="006E3415">
        <w:rPr>
          <w:rFonts w:ascii="Times New Roman" w:hAnsi="Times New Roman" w:cs="Times New Roman"/>
          <w:sz w:val="24"/>
          <w:szCs w:val="24"/>
        </w:rPr>
        <w:t>8</w:t>
      </w:r>
      <w:r w:rsidR="003769A4">
        <w:rPr>
          <w:rFonts w:ascii="Times New Roman" w:hAnsi="Times New Roman" w:cs="Times New Roman"/>
          <w:sz w:val="24"/>
          <w:szCs w:val="24"/>
        </w:rPr>
        <w:t>9</w:t>
      </w:r>
      <w:r w:rsidRPr="006E3415">
        <w:rPr>
          <w:rFonts w:ascii="Times New Roman" w:hAnsi="Times New Roman" w:cs="Times New Roman"/>
          <w:sz w:val="24"/>
          <w:szCs w:val="24"/>
        </w:rPr>
        <w:t>2, he wrote to Emily telling her that his previous advice not to ‘despair’ was no longer appropriate.</w:t>
      </w:r>
      <w:r w:rsidRPr="006E3415">
        <w:rPr>
          <w:rStyle w:val="FootnoteReference"/>
          <w:rFonts w:ascii="Times New Roman" w:hAnsi="Times New Roman" w:cs="Times New Roman"/>
          <w:sz w:val="24"/>
          <w:szCs w:val="24"/>
        </w:rPr>
        <w:footnoteReference w:id="175"/>
      </w:r>
      <w:r w:rsidRPr="006E3415">
        <w:rPr>
          <w:rFonts w:ascii="Times New Roman" w:hAnsi="Times New Roman" w:cs="Times New Roman"/>
          <w:sz w:val="24"/>
          <w:szCs w:val="24"/>
        </w:rPr>
        <w:t xml:space="preserve"> Other than a letter that Emily sent, dated 1</w:t>
      </w:r>
      <w:r w:rsidR="00473389" w:rsidRPr="006E3415">
        <w:rPr>
          <w:rFonts w:ascii="Times New Roman" w:hAnsi="Times New Roman" w:cs="Times New Roman"/>
          <w:sz w:val="24"/>
          <w:szCs w:val="24"/>
        </w:rPr>
        <w:t>7</w:t>
      </w:r>
      <w:r w:rsidRPr="006E3415">
        <w:rPr>
          <w:rFonts w:ascii="Times New Roman" w:hAnsi="Times New Roman" w:cs="Times New Roman"/>
          <w:sz w:val="24"/>
          <w:szCs w:val="24"/>
        </w:rPr>
        <w:t xml:space="preserve"> December 1887, to Boustead’s solicitor claiming ownership of the Estates, there were no further developments until 2</w:t>
      </w:r>
      <w:r w:rsidR="00473389" w:rsidRPr="006E3415">
        <w:rPr>
          <w:rFonts w:ascii="Times New Roman" w:hAnsi="Times New Roman" w:cs="Times New Roman"/>
          <w:sz w:val="24"/>
          <w:szCs w:val="24"/>
        </w:rPr>
        <w:t>4</w:t>
      </w:r>
      <w:r w:rsidR="006A7A15">
        <w:rPr>
          <w:rFonts w:ascii="Times New Roman" w:hAnsi="Times New Roman" w:cs="Times New Roman"/>
          <w:sz w:val="24"/>
          <w:szCs w:val="24"/>
        </w:rPr>
        <w:t xml:space="preserve"> October 1894 when Emily </w:t>
      </w:r>
      <w:r w:rsidRPr="006E3415">
        <w:rPr>
          <w:rFonts w:ascii="Times New Roman" w:hAnsi="Times New Roman" w:cs="Times New Roman"/>
          <w:sz w:val="24"/>
          <w:szCs w:val="24"/>
        </w:rPr>
        <w:t>commenced the action in the English courts.</w:t>
      </w:r>
    </w:p>
    <w:p w:rsidR="005C5C49" w:rsidRPr="006E3415" w:rsidRDefault="005C5C49" w:rsidP="00746BFF">
      <w:pPr>
        <w:spacing w:after="0" w:line="360" w:lineRule="auto"/>
        <w:rPr>
          <w:rFonts w:ascii="Times New Roman" w:hAnsi="Times New Roman" w:cs="Times New Roman"/>
          <w:sz w:val="24"/>
          <w:szCs w:val="24"/>
        </w:rPr>
      </w:pPr>
    </w:p>
    <w:p w:rsidR="00337738" w:rsidRPr="006E3415" w:rsidRDefault="00337738" w:rsidP="00746BFF">
      <w:pPr>
        <w:pStyle w:val="ListParagraph"/>
        <w:numPr>
          <w:ilvl w:val="0"/>
          <w:numId w:val="7"/>
        </w:numPr>
        <w:spacing w:line="360" w:lineRule="auto"/>
        <w:rPr>
          <w:rFonts w:cs="Times New Roman"/>
          <w:i/>
          <w:szCs w:val="24"/>
        </w:rPr>
      </w:pPr>
      <w:r w:rsidRPr="006E3415">
        <w:rPr>
          <w:rFonts w:cs="Times New Roman"/>
          <w:i/>
          <w:szCs w:val="24"/>
        </w:rPr>
        <w:t>The coffee rust fungus</w:t>
      </w:r>
    </w:p>
    <w:p w:rsidR="00337738" w:rsidRPr="006E3415" w:rsidRDefault="00337738" w:rsidP="00746BFF">
      <w:pPr>
        <w:pStyle w:val="ListParagraph"/>
        <w:spacing w:line="360" w:lineRule="auto"/>
        <w:ind w:left="1080"/>
        <w:rPr>
          <w:rFonts w:cs="Times New Roman"/>
          <w:i/>
          <w:szCs w:val="24"/>
        </w:rPr>
      </w:pPr>
    </w:p>
    <w:p w:rsidR="00337738" w:rsidRPr="006E3415" w:rsidRDefault="00337738"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Boustead’s behaviour must be understood in the context of a biological catastrophe which ravaged Ceylon’s coffee plantations. In 1869, a fungus which attacks coffee plants was discovered in Ceylon. This ‘coffee rust fungus’, </w:t>
      </w:r>
      <w:r w:rsidRPr="006E3415">
        <w:rPr>
          <w:rFonts w:ascii="Times New Roman" w:hAnsi="Times New Roman" w:cs="Times New Roman"/>
          <w:i/>
          <w:sz w:val="24"/>
          <w:szCs w:val="24"/>
        </w:rPr>
        <w:t>Hemileia vastatrix</w:t>
      </w:r>
      <w:r w:rsidRPr="006E3415">
        <w:rPr>
          <w:rFonts w:ascii="Times New Roman" w:hAnsi="Times New Roman" w:cs="Times New Roman"/>
          <w:sz w:val="24"/>
          <w:szCs w:val="24"/>
        </w:rPr>
        <w:t>, intermittently devastated Ceylonese coffee plantations during the early 1870s</w:t>
      </w:r>
      <w:r w:rsidRPr="006E3415">
        <w:rPr>
          <w:rStyle w:val="FootnoteReference"/>
          <w:rFonts w:ascii="Times New Roman" w:hAnsi="Times New Roman" w:cs="Times New Roman"/>
          <w:sz w:val="24"/>
          <w:szCs w:val="24"/>
        </w:rPr>
        <w:footnoteReference w:id="176"/>
      </w:r>
      <w:r w:rsidRPr="006E3415">
        <w:rPr>
          <w:rFonts w:ascii="Times New Roman" w:hAnsi="Times New Roman" w:cs="Times New Roman"/>
          <w:sz w:val="24"/>
          <w:szCs w:val="24"/>
        </w:rPr>
        <w:t xml:space="preserve">. The fungus </w:t>
      </w:r>
      <w:r w:rsidR="00A064C7">
        <w:rPr>
          <w:rFonts w:ascii="Times New Roman" w:hAnsi="Times New Roman" w:cs="Times New Roman"/>
          <w:sz w:val="24"/>
          <w:szCs w:val="24"/>
        </w:rPr>
        <w:t>initially</w:t>
      </w:r>
      <w:r w:rsidRPr="006E3415">
        <w:rPr>
          <w:rFonts w:ascii="Times New Roman" w:hAnsi="Times New Roman" w:cs="Times New Roman"/>
          <w:sz w:val="24"/>
          <w:szCs w:val="24"/>
        </w:rPr>
        <w:t xml:space="preserve"> affected some estates to a far greater extent than others, and had the peculiar quality of appearing to die out only to return and check the recovery of the crops. Thus, entrepreneurs continued to purchase tracts of rainforest for conversion into coffee plantations, and in 1873, the year of the sale to Boustead, new land was selling at ‘unprecedented prices’</w:t>
      </w:r>
      <w:r w:rsidRPr="006E3415">
        <w:rPr>
          <w:rStyle w:val="FootnoteReference"/>
          <w:rFonts w:ascii="Times New Roman" w:hAnsi="Times New Roman" w:cs="Times New Roman"/>
          <w:sz w:val="24"/>
          <w:szCs w:val="24"/>
        </w:rPr>
        <w:footnoteReference w:id="177"/>
      </w:r>
      <w:r w:rsidRPr="006E3415">
        <w:rPr>
          <w:rFonts w:ascii="Times New Roman" w:hAnsi="Times New Roman" w:cs="Times New Roman"/>
          <w:sz w:val="24"/>
          <w:szCs w:val="24"/>
        </w:rPr>
        <w:t>, whilst at the same time, ‘planters were expressing grave concern about the impact of the disease on their crops.’</w:t>
      </w:r>
      <w:r w:rsidRPr="006E3415">
        <w:rPr>
          <w:rStyle w:val="FootnoteReference"/>
          <w:rFonts w:ascii="Times New Roman" w:hAnsi="Times New Roman" w:cs="Times New Roman"/>
          <w:sz w:val="24"/>
          <w:szCs w:val="24"/>
        </w:rPr>
        <w:footnoteReference w:id="178"/>
      </w:r>
      <w:r w:rsidRPr="006E3415">
        <w:rPr>
          <w:rFonts w:ascii="Times New Roman" w:hAnsi="Times New Roman" w:cs="Times New Roman"/>
          <w:sz w:val="24"/>
          <w:szCs w:val="24"/>
        </w:rPr>
        <w:t xml:space="preserve"> As the 1870s progressed, the fungus took hold, and by the mid 1880s, the coffee industry in Ceylon had been almost completely annihilated.</w:t>
      </w:r>
      <w:r w:rsidRPr="006E3415">
        <w:rPr>
          <w:rStyle w:val="FootnoteReference"/>
          <w:rFonts w:ascii="Times New Roman" w:hAnsi="Times New Roman" w:cs="Times New Roman"/>
          <w:sz w:val="24"/>
          <w:szCs w:val="24"/>
        </w:rPr>
        <w:footnoteReference w:id="179"/>
      </w:r>
      <w:r w:rsidRPr="006E3415">
        <w:rPr>
          <w:rFonts w:ascii="Times New Roman" w:hAnsi="Times New Roman" w:cs="Times New Roman"/>
          <w:sz w:val="24"/>
          <w:szCs w:val="24"/>
        </w:rPr>
        <w:t xml:space="preserve">  </w:t>
      </w:r>
    </w:p>
    <w:p w:rsidR="003A2E83" w:rsidRPr="006E3415" w:rsidRDefault="003A2E83" w:rsidP="00746BFF">
      <w:pPr>
        <w:spacing w:after="0" w:line="360" w:lineRule="auto"/>
        <w:rPr>
          <w:rFonts w:ascii="Times New Roman" w:hAnsi="Times New Roman" w:cs="Times New Roman"/>
          <w:sz w:val="24"/>
          <w:szCs w:val="24"/>
        </w:rPr>
      </w:pPr>
    </w:p>
    <w:p w:rsidR="00337738" w:rsidRPr="006E3415" w:rsidRDefault="00337738"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lastRenderedPageBreak/>
        <w:t xml:space="preserve">The fungus, which was the root cause of Boustead’s </w:t>
      </w:r>
      <w:r w:rsidR="00E45A26" w:rsidRPr="006E3415">
        <w:rPr>
          <w:rFonts w:ascii="Times New Roman" w:hAnsi="Times New Roman" w:cs="Times New Roman"/>
          <w:sz w:val="24"/>
          <w:szCs w:val="24"/>
        </w:rPr>
        <w:t>bankruptcy</w:t>
      </w:r>
      <w:r w:rsidRPr="006E3415">
        <w:rPr>
          <w:rFonts w:ascii="Times New Roman" w:hAnsi="Times New Roman" w:cs="Times New Roman"/>
          <w:sz w:val="24"/>
          <w:szCs w:val="24"/>
        </w:rPr>
        <w:t xml:space="preserve"> and the collapse of his firm,</w:t>
      </w:r>
      <w:r w:rsidRPr="006E3415">
        <w:rPr>
          <w:rStyle w:val="FootnoteReference"/>
          <w:rFonts w:ascii="Times New Roman" w:hAnsi="Times New Roman" w:cs="Times New Roman"/>
          <w:sz w:val="24"/>
          <w:szCs w:val="24"/>
        </w:rPr>
        <w:footnoteReference w:id="180"/>
      </w:r>
      <w:r w:rsidRPr="006E3415">
        <w:rPr>
          <w:rFonts w:ascii="Times New Roman" w:hAnsi="Times New Roman" w:cs="Times New Roman"/>
          <w:sz w:val="24"/>
          <w:szCs w:val="24"/>
        </w:rPr>
        <w:t xml:space="preserve"> was apparently slow to inflict terminal damage upon the Estates, but the consequences were devastating when it finally took hold. In Boustead’s letter of November 1882, he explains that, by then, the fungus had ‘reduce[d] the annual yield from the 50,000 tons at which it once stood to 14,000 tons estimated for the coming year’.</w:t>
      </w:r>
      <w:r w:rsidRPr="006E3415">
        <w:rPr>
          <w:rStyle w:val="FootnoteReference"/>
          <w:rFonts w:ascii="Times New Roman" w:hAnsi="Times New Roman" w:cs="Times New Roman"/>
          <w:sz w:val="24"/>
          <w:szCs w:val="24"/>
        </w:rPr>
        <w:footnoteReference w:id="181"/>
      </w:r>
      <w:r w:rsidRPr="006E3415">
        <w:rPr>
          <w:rFonts w:ascii="Times New Roman" w:hAnsi="Times New Roman" w:cs="Times New Roman"/>
          <w:sz w:val="24"/>
          <w:szCs w:val="24"/>
        </w:rPr>
        <w:t xml:space="preserve"> Given the initially unpredictable nature of the fungus, it may well have been that Boustead mortgaged the Estates in second half of the 1870s in the hope that </w:t>
      </w:r>
      <w:r w:rsidR="002074B1">
        <w:rPr>
          <w:rFonts w:ascii="Times New Roman" w:hAnsi="Times New Roman" w:cs="Times New Roman"/>
          <w:sz w:val="24"/>
          <w:szCs w:val="24"/>
        </w:rPr>
        <w:t xml:space="preserve">the </w:t>
      </w:r>
      <w:r w:rsidRPr="006E3415">
        <w:rPr>
          <w:rFonts w:ascii="Times New Roman" w:hAnsi="Times New Roman" w:cs="Times New Roman"/>
          <w:sz w:val="24"/>
          <w:szCs w:val="24"/>
        </w:rPr>
        <w:t xml:space="preserve">Ceylon coffee industry would recover and, even after his bankruptcy, it may not have been unreasonable for him to have hoped for an improvement. Once the gravity of the catastrophe finally became clear to Boustead, it may well have been that he decided to keep for himself whatever funds he had managed to </w:t>
      </w:r>
      <w:r w:rsidR="00E45A26" w:rsidRPr="006E3415">
        <w:rPr>
          <w:rFonts w:ascii="Times New Roman" w:hAnsi="Times New Roman" w:cs="Times New Roman"/>
          <w:sz w:val="24"/>
          <w:szCs w:val="24"/>
        </w:rPr>
        <w:t>salvage</w:t>
      </w:r>
      <w:r w:rsidRPr="006E3415">
        <w:rPr>
          <w:rFonts w:ascii="Times New Roman" w:hAnsi="Times New Roman" w:cs="Times New Roman"/>
          <w:sz w:val="24"/>
          <w:szCs w:val="24"/>
        </w:rPr>
        <w:t xml:space="preserve"> from the bankruptcy and the liquidation of his firm. </w:t>
      </w:r>
    </w:p>
    <w:p w:rsidR="003A2E83" w:rsidRPr="006E3415" w:rsidRDefault="003A2E83" w:rsidP="00746BFF">
      <w:pPr>
        <w:spacing w:after="0" w:line="360" w:lineRule="auto"/>
        <w:rPr>
          <w:rFonts w:ascii="Times New Roman" w:hAnsi="Times New Roman" w:cs="Times New Roman"/>
          <w:sz w:val="24"/>
          <w:szCs w:val="24"/>
        </w:rPr>
      </w:pPr>
    </w:p>
    <w:p w:rsidR="003A2E83" w:rsidRPr="006E3415" w:rsidRDefault="003A2E83" w:rsidP="00746BFF">
      <w:pPr>
        <w:spacing w:after="0" w:line="360" w:lineRule="auto"/>
        <w:rPr>
          <w:rFonts w:ascii="Times New Roman" w:hAnsi="Times New Roman" w:cs="Times New Roman"/>
          <w:sz w:val="24"/>
          <w:szCs w:val="24"/>
        </w:rPr>
      </w:pPr>
    </w:p>
    <w:p w:rsidR="00337738" w:rsidRPr="006E3415" w:rsidRDefault="00337738" w:rsidP="00746BFF">
      <w:pPr>
        <w:pStyle w:val="ListParagraph"/>
        <w:numPr>
          <w:ilvl w:val="0"/>
          <w:numId w:val="7"/>
        </w:numPr>
        <w:spacing w:line="360" w:lineRule="auto"/>
        <w:rPr>
          <w:rFonts w:cs="Times New Roman"/>
          <w:i/>
          <w:szCs w:val="24"/>
        </w:rPr>
      </w:pPr>
      <w:r w:rsidRPr="006E3415">
        <w:rPr>
          <w:rFonts w:cs="Times New Roman"/>
          <w:i/>
          <w:szCs w:val="24"/>
        </w:rPr>
        <w:t>Emily’s delay</w:t>
      </w:r>
    </w:p>
    <w:p w:rsidR="00337738" w:rsidRPr="006E3415" w:rsidRDefault="00337738" w:rsidP="00746BFF">
      <w:pPr>
        <w:pStyle w:val="ListParagraph"/>
        <w:spacing w:line="360" w:lineRule="auto"/>
        <w:ind w:left="1080"/>
        <w:rPr>
          <w:rFonts w:cs="Times New Roman"/>
          <w:i/>
          <w:szCs w:val="24"/>
        </w:rPr>
      </w:pPr>
    </w:p>
    <w:p w:rsidR="00337738" w:rsidRPr="006E3415" w:rsidRDefault="008B374A"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In 189</w:t>
      </w:r>
      <w:r w:rsidR="005C5C49" w:rsidRPr="006E3415">
        <w:rPr>
          <w:rFonts w:ascii="Times New Roman" w:hAnsi="Times New Roman" w:cs="Times New Roman"/>
          <w:sz w:val="24"/>
          <w:szCs w:val="24"/>
        </w:rPr>
        <w:t>4</w:t>
      </w:r>
      <w:r w:rsidRPr="006E3415">
        <w:rPr>
          <w:rFonts w:ascii="Times New Roman" w:hAnsi="Times New Roman" w:cs="Times New Roman"/>
          <w:sz w:val="24"/>
          <w:szCs w:val="24"/>
        </w:rPr>
        <w:t xml:space="preserve">, Emily commenced </w:t>
      </w:r>
      <w:r w:rsidR="004517BC" w:rsidRPr="006E3415">
        <w:rPr>
          <w:rFonts w:ascii="Times New Roman" w:hAnsi="Times New Roman" w:cs="Times New Roman"/>
          <w:sz w:val="24"/>
          <w:szCs w:val="24"/>
        </w:rPr>
        <w:t xml:space="preserve">an </w:t>
      </w:r>
      <w:r w:rsidRPr="006E3415">
        <w:rPr>
          <w:rFonts w:ascii="Times New Roman" w:hAnsi="Times New Roman" w:cs="Times New Roman"/>
          <w:sz w:val="24"/>
          <w:szCs w:val="24"/>
        </w:rPr>
        <w:t>action to recover the proceeds of sal</w:t>
      </w:r>
      <w:r w:rsidR="00F008E1" w:rsidRPr="006E3415">
        <w:rPr>
          <w:rFonts w:ascii="Times New Roman" w:hAnsi="Times New Roman" w:cs="Times New Roman"/>
          <w:sz w:val="24"/>
          <w:szCs w:val="24"/>
        </w:rPr>
        <w:t xml:space="preserve">e of the Estates from Boustead, whose </w:t>
      </w:r>
      <w:r w:rsidR="004517BC" w:rsidRPr="006E3415">
        <w:rPr>
          <w:rFonts w:ascii="Times New Roman" w:hAnsi="Times New Roman" w:cs="Times New Roman"/>
          <w:bCs/>
          <w:sz w:val="24"/>
          <w:szCs w:val="24"/>
        </w:rPr>
        <w:t xml:space="preserve">presence in London provides a ready explanation as </w:t>
      </w:r>
      <w:r w:rsidR="00F008E1" w:rsidRPr="006E3415">
        <w:rPr>
          <w:rFonts w:ascii="Times New Roman" w:hAnsi="Times New Roman" w:cs="Times New Roman"/>
          <w:bCs/>
          <w:sz w:val="24"/>
          <w:szCs w:val="24"/>
        </w:rPr>
        <w:t>to why she</w:t>
      </w:r>
      <w:r w:rsidR="004517BC" w:rsidRPr="006E3415">
        <w:rPr>
          <w:rFonts w:ascii="Times New Roman" w:hAnsi="Times New Roman" w:cs="Times New Roman"/>
          <w:bCs/>
          <w:sz w:val="24"/>
          <w:szCs w:val="24"/>
        </w:rPr>
        <w:t xml:space="preserve"> sued in the English courts. </w:t>
      </w:r>
      <w:r w:rsidR="00337738" w:rsidRPr="006E3415">
        <w:rPr>
          <w:rFonts w:ascii="Times New Roman" w:hAnsi="Times New Roman" w:cs="Times New Roman"/>
          <w:sz w:val="24"/>
          <w:szCs w:val="24"/>
        </w:rPr>
        <w:t>It seems at first odd that Emily, having fought so hard to keep the Estates from falling into Cavendish’s hands, abandoned her claim for many years. Her reasons were addressed by Lindley LJ in response to Boustead’s defence of laches. Lindley LJ concluded that Emily had been encouraged until at least 1882, in part by Boustead, to refrain from litigating in the hope that he could retain the Estates.</w:t>
      </w:r>
      <w:r w:rsidR="00337738" w:rsidRPr="006E3415">
        <w:rPr>
          <w:rStyle w:val="FootnoteReference"/>
          <w:rFonts w:ascii="Times New Roman" w:hAnsi="Times New Roman" w:cs="Times New Roman"/>
          <w:sz w:val="24"/>
          <w:szCs w:val="24"/>
        </w:rPr>
        <w:footnoteReference w:id="182"/>
      </w:r>
      <w:r w:rsidR="00337738" w:rsidRPr="006E3415">
        <w:rPr>
          <w:rFonts w:ascii="Times New Roman" w:hAnsi="Times New Roman" w:cs="Times New Roman"/>
          <w:sz w:val="24"/>
          <w:szCs w:val="24"/>
        </w:rPr>
        <w:t xml:space="preserve"> He also held that Emily had done nothing to suggest that she had abandoned her right, and that, because lapse of time alone would not permit the court </w:t>
      </w:r>
      <w:r w:rsidR="008778A0">
        <w:rPr>
          <w:rFonts w:ascii="Times New Roman" w:hAnsi="Times New Roman" w:cs="Times New Roman"/>
          <w:sz w:val="24"/>
          <w:szCs w:val="24"/>
        </w:rPr>
        <w:t xml:space="preserve">to </w:t>
      </w:r>
      <w:r w:rsidR="00337738" w:rsidRPr="006E3415">
        <w:rPr>
          <w:rFonts w:ascii="Times New Roman" w:hAnsi="Times New Roman" w:cs="Times New Roman"/>
          <w:sz w:val="24"/>
          <w:szCs w:val="24"/>
        </w:rPr>
        <w:t xml:space="preserve">invoke the doctrine of laches and deny relief, there was no need to examine </w:t>
      </w:r>
      <w:r w:rsidR="006C4C03" w:rsidRPr="006E3415">
        <w:rPr>
          <w:rFonts w:ascii="Times New Roman" w:hAnsi="Times New Roman" w:cs="Times New Roman"/>
          <w:sz w:val="24"/>
          <w:szCs w:val="24"/>
        </w:rPr>
        <w:t xml:space="preserve">her ‘excuses… </w:t>
      </w:r>
      <w:r w:rsidR="00337738" w:rsidRPr="006E3415">
        <w:rPr>
          <w:rFonts w:ascii="Times New Roman" w:hAnsi="Times New Roman" w:cs="Times New Roman"/>
          <w:sz w:val="24"/>
          <w:szCs w:val="24"/>
        </w:rPr>
        <w:t>for not instituting proceedings sooner.’</w:t>
      </w:r>
      <w:r w:rsidR="00337738" w:rsidRPr="006E3415">
        <w:rPr>
          <w:rStyle w:val="FootnoteReference"/>
          <w:rFonts w:ascii="Times New Roman" w:hAnsi="Times New Roman" w:cs="Times New Roman"/>
          <w:sz w:val="24"/>
          <w:szCs w:val="24"/>
        </w:rPr>
        <w:footnoteReference w:id="183"/>
      </w:r>
      <w:r w:rsidR="00337738" w:rsidRPr="006E3415">
        <w:rPr>
          <w:rFonts w:ascii="Times New Roman" w:hAnsi="Times New Roman" w:cs="Times New Roman"/>
          <w:sz w:val="24"/>
          <w:szCs w:val="24"/>
        </w:rPr>
        <w:t xml:space="preserve"> Her counsel claimed that </w:t>
      </w:r>
      <w:r w:rsidR="008778A0">
        <w:rPr>
          <w:rFonts w:ascii="Times New Roman" w:hAnsi="Times New Roman" w:cs="Times New Roman"/>
          <w:sz w:val="24"/>
          <w:szCs w:val="24"/>
        </w:rPr>
        <w:t xml:space="preserve">in </w:t>
      </w:r>
      <w:r w:rsidR="00337738" w:rsidRPr="006E3415">
        <w:rPr>
          <w:rFonts w:ascii="Times New Roman" w:hAnsi="Times New Roman" w:cs="Times New Roman"/>
          <w:sz w:val="24"/>
          <w:szCs w:val="24"/>
        </w:rPr>
        <w:t>‘1884 the Comtesse could not get solicitors to take up the case on account of her impecunious position’.</w:t>
      </w:r>
      <w:r w:rsidR="00337738" w:rsidRPr="006E3415">
        <w:rPr>
          <w:rStyle w:val="FootnoteReference"/>
          <w:rFonts w:ascii="Times New Roman" w:hAnsi="Times New Roman" w:cs="Times New Roman"/>
          <w:sz w:val="24"/>
          <w:szCs w:val="24"/>
        </w:rPr>
        <w:footnoteReference w:id="184"/>
      </w:r>
      <w:r w:rsidR="00337738" w:rsidRPr="006E3415">
        <w:rPr>
          <w:rFonts w:ascii="Times New Roman" w:hAnsi="Times New Roman" w:cs="Times New Roman"/>
          <w:sz w:val="24"/>
          <w:szCs w:val="24"/>
        </w:rPr>
        <w:t xml:space="preserve"> It may well have been that she had other reasons, however. It is perhaps significant to note that Cavendish died in 1889.</w:t>
      </w:r>
      <w:r w:rsidR="00337738" w:rsidRPr="006E3415">
        <w:rPr>
          <w:rStyle w:val="FootnoteReference"/>
          <w:rFonts w:ascii="Times New Roman" w:hAnsi="Times New Roman" w:cs="Times New Roman"/>
          <w:sz w:val="24"/>
          <w:szCs w:val="24"/>
        </w:rPr>
        <w:footnoteReference w:id="185"/>
      </w:r>
      <w:r w:rsidR="00337738" w:rsidRPr="006E3415">
        <w:rPr>
          <w:rFonts w:ascii="Times New Roman" w:hAnsi="Times New Roman" w:cs="Times New Roman"/>
          <w:sz w:val="24"/>
          <w:szCs w:val="24"/>
        </w:rPr>
        <w:t xml:space="preserve"> Despite the Divorce Court’s decree having been lifted in 1874, Cavendish may still have possessed the right to the annuity if he outlived Emily. Additionally, it </w:t>
      </w:r>
      <w:r w:rsidR="006735CE">
        <w:rPr>
          <w:rFonts w:ascii="Times New Roman" w:hAnsi="Times New Roman" w:cs="Times New Roman"/>
          <w:sz w:val="24"/>
          <w:szCs w:val="24"/>
        </w:rPr>
        <w:t>is not inconceivable that he might</w:t>
      </w:r>
      <w:r w:rsidR="00337738" w:rsidRPr="006E3415">
        <w:rPr>
          <w:rFonts w:ascii="Times New Roman" w:hAnsi="Times New Roman" w:cs="Times New Roman"/>
          <w:sz w:val="24"/>
          <w:szCs w:val="24"/>
        </w:rPr>
        <w:t xml:space="preserve"> have commenced </w:t>
      </w:r>
      <w:r w:rsidR="00337738" w:rsidRPr="006E3415">
        <w:rPr>
          <w:rFonts w:ascii="Times New Roman" w:hAnsi="Times New Roman" w:cs="Times New Roman"/>
          <w:sz w:val="24"/>
          <w:szCs w:val="24"/>
        </w:rPr>
        <w:lastRenderedPageBreak/>
        <w:t>some legal action against Emily if he had discovered the manner in which she had deceived him into thinking the Estates lost. It would therefore have been prudent on Emily’s part to refrain from suing, particularly in the English courts, until after 1889. It is also worth noting that Emily’s daughter, Princess Pignatelli d’Aragon,</w:t>
      </w:r>
      <w:r w:rsidR="00B65A64">
        <w:rPr>
          <w:rStyle w:val="FootnoteReference"/>
          <w:rFonts w:ascii="Times New Roman" w:hAnsi="Times New Roman" w:cs="Times New Roman"/>
          <w:sz w:val="24"/>
          <w:szCs w:val="24"/>
        </w:rPr>
        <w:footnoteReference w:id="186"/>
      </w:r>
      <w:r w:rsidR="00337738" w:rsidRPr="006E3415">
        <w:rPr>
          <w:rFonts w:ascii="Times New Roman" w:hAnsi="Times New Roman" w:cs="Times New Roman"/>
          <w:sz w:val="24"/>
          <w:szCs w:val="24"/>
        </w:rPr>
        <w:t xml:space="preserve"> was a co-plaintiff in the action. There is no evidence that the 1868 decree was lifted in respect of the claims of Emily’s children. Furthermore, it was noted in one of the law reports that the Princess ‘was interested in a sum charged on the Comtesse’s interest in the estates by order of the Divorce Court’.</w:t>
      </w:r>
      <w:r w:rsidR="00337738" w:rsidRPr="006E3415">
        <w:rPr>
          <w:rStyle w:val="FootnoteReference"/>
          <w:rFonts w:ascii="Times New Roman" w:hAnsi="Times New Roman" w:cs="Times New Roman"/>
          <w:sz w:val="24"/>
          <w:szCs w:val="24"/>
        </w:rPr>
        <w:footnoteReference w:id="187"/>
      </w:r>
      <w:r w:rsidR="00337738" w:rsidRPr="006E3415">
        <w:rPr>
          <w:rFonts w:ascii="Times New Roman" w:hAnsi="Times New Roman" w:cs="Times New Roman"/>
          <w:sz w:val="24"/>
          <w:szCs w:val="24"/>
        </w:rPr>
        <w:t xml:space="preserve"> It is therefore not inconceivable that the Princess became aware that her mother was, or claimed to be, the beneficial owner of the proceeds of sale of the Estates and either requested to j</w:t>
      </w:r>
      <w:r w:rsidR="00660C58" w:rsidRPr="006E3415">
        <w:rPr>
          <w:rFonts w:ascii="Times New Roman" w:hAnsi="Times New Roman" w:cs="Times New Roman"/>
          <w:sz w:val="24"/>
          <w:szCs w:val="24"/>
        </w:rPr>
        <w:t>oin as co-plaintiff or pressured</w:t>
      </w:r>
      <w:r w:rsidR="00337738" w:rsidRPr="006E3415">
        <w:rPr>
          <w:rFonts w:ascii="Times New Roman" w:hAnsi="Times New Roman" w:cs="Times New Roman"/>
          <w:sz w:val="24"/>
          <w:szCs w:val="24"/>
        </w:rPr>
        <w:t xml:space="preserve"> her mother to sue.</w:t>
      </w:r>
    </w:p>
    <w:p w:rsidR="00463051" w:rsidRPr="006E3415" w:rsidRDefault="00463051" w:rsidP="00746BFF">
      <w:pPr>
        <w:spacing w:after="0" w:line="360" w:lineRule="auto"/>
        <w:rPr>
          <w:rFonts w:ascii="Times New Roman" w:hAnsi="Times New Roman" w:cs="Times New Roman"/>
          <w:sz w:val="24"/>
          <w:szCs w:val="24"/>
        </w:rPr>
      </w:pPr>
    </w:p>
    <w:p w:rsidR="00156B83" w:rsidRPr="002E2EC9" w:rsidRDefault="00BF2E4D" w:rsidP="00746BFF">
      <w:pPr>
        <w:pStyle w:val="ListParagraph"/>
        <w:numPr>
          <w:ilvl w:val="0"/>
          <w:numId w:val="2"/>
        </w:numPr>
        <w:spacing w:line="360" w:lineRule="auto"/>
        <w:jc w:val="center"/>
        <w:rPr>
          <w:rFonts w:cs="Times New Roman"/>
          <w:b/>
          <w:szCs w:val="24"/>
        </w:rPr>
      </w:pPr>
      <w:r w:rsidRPr="002E2EC9">
        <w:rPr>
          <w:rFonts w:cs="Times New Roman"/>
          <w:b/>
          <w:szCs w:val="24"/>
        </w:rPr>
        <w:t>THE JUDGMENT: THE ENFORCMENT OF THE TRUST FOR THE PREVENTION OF FRAUD</w:t>
      </w:r>
    </w:p>
    <w:p w:rsidR="00BF2E4D" w:rsidRPr="006E3415" w:rsidRDefault="00BF2E4D" w:rsidP="00746BFF">
      <w:pPr>
        <w:spacing w:line="360" w:lineRule="auto"/>
        <w:jc w:val="center"/>
        <w:rPr>
          <w:rFonts w:ascii="Times New Roman" w:hAnsi="Times New Roman" w:cs="Times New Roman"/>
          <w:b/>
          <w:sz w:val="24"/>
          <w:szCs w:val="24"/>
        </w:rPr>
      </w:pPr>
    </w:p>
    <w:p w:rsidR="00BF2E4D" w:rsidRPr="006E3415" w:rsidRDefault="00BF2E4D" w:rsidP="00746BFF">
      <w:pPr>
        <w:pStyle w:val="ListParagraph"/>
        <w:numPr>
          <w:ilvl w:val="0"/>
          <w:numId w:val="8"/>
        </w:numPr>
        <w:spacing w:line="360" w:lineRule="auto"/>
        <w:rPr>
          <w:rFonts w:cs="Times New Roman"/>
          <w:i/>
          <w:szCs w:val="24"/>
        </w:rPr>
      </w:pPr>
      <w:r w:rsidRPr="006E3415">
        <w:rPr>
          <w:rFonts w:cs="Times New Roman"/>
          <w:i/>
          <w:szCs w:val="24"/>
        </w:rPr>
        <w:t>Lindley LJ on the enforcement of the trust</w:t>
      </w:r>
    </w:p>
    <w:p w:rsidR="00F0115F" w:rsidRPr="006E3415" w:rsidRDefault="00F0115F" w:rsidP="00746BFF">
      <w:pPr>
        <w:spacing w:after="0" w:line="360" w:lineRule="auto"/>
        <w:jc w:val="center"/>
        <w:rPr>
          <w:rFonts w:ascii="Times New Roman" w:hAnsi="Times New Roman" w:cs="Times New Roman"/>
          <w:b/>
          <w:sz w:val="24"/>
          <w:szCs w:val="24"/>
          <w:u w:val="single"/>
        </w:rPr>
      </w:pPr>
    </w:p>
    <w:p w:rsidR="00BC3605" w:rsidRPr="006E3415" w:rsidRDefault="00BC3605"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Although much has been written concerning the place of </w:t>
      </w:r>
      <w:r w:rsidRPr="006E3415">
        <w:rPr>
          <w:rFonts w:ascii="Times New Roman" w:hAnsi="Times New Roman" w:cs="Times New Roman"/>
          <w:i/>
          <w:sz w:val="24"/>
          <w:szCs w:val="24"/>
        </w:rPr>
        <w:t xml:space="preserve">Rochefoucauld </w:t>
      </w:r>
      <w:r w:rsidRPr="006E3415">
        <w:rPr>
          <w:rFonts w:ascii="Times New Roman" w:hAnsi="Times New Roman" w:cs="Times New Roman"/>
          <w:sz w:val="24"/>
          <w:szCs w:val="24"/>
        </w:rPr>
        <w:t xml:space="preserve">in the modern law as an authority concerning the recognition of parol trusts for the prevention of fraud, little has been written regarding </w:t>
      </w:r>
      <w:r w:rsidR="005400D6">
        <w:rPr>
          <w:rFonts w:ascii="Times New Roman" w:hAnsi="Times New Roman" w:cs="Times New Roman"/>
          <w:sz w:val="24"/>
          <w:szCs w:val="24"/>
        </w:rPr>
        <w:t>how the Court of Appeal saw</w:t>
      </w:r>
      <w:r w:rsidRPr="006E3415">
        <w:rPr>
          <w:rFonts w:ascii="Times New Roman" w:hAnsi="Times New Roman" w:cs="Times New Roman"/>
          <w:sz w:val="24"/>
          <w:szCs w:val="24"/>
        </w:rPr>
        <w:t xml:space="preserve"> the issue in 1896.</w:t>
      </w:r>
    </w:p>
    <w:p w:rsidR="00F0115F" w:rsidRPr="006E3415" w:rsidRDefault="00F0115F" w:rsidP="00746BFF">
      <w:pPr>
        <w:spacing w:after="0" w:line="360" w:lineRule="auto"/>
        <w:rPr>
          <w:rFonts w:ascii="Times New Roman" w:hAnsi="Times New Roman" w:cs="Times New Roman"/>
          <w:sz w:val="24"/>
          <w:szCs w:val="24"/>
        </w:rPr>
      </w:pPr>
    </w:p>
    <w:p w:rsidR="00BC3605" w:rsidRPr="006E3415" w:rsidRDefault="00BC3605" w:rsidP="00746BFF">
      <w:pPr>
        <w:spacing w:after="0" w:line="360" w:lineRule="auto"/>
        <w:rPr>
          <w:rStyle w:val="mini"/>
          <w:rFonts w:ascii="Times New Roman" w:hAnsi="Times New Roman" w:cs="Times New Roman"/>
          <w:iCs/>
          <w:sz w:val="24"/>
          <w:szCs w:val="24"/>
        </w:rPr>
      </w:pPr>
      <w:r w:rsidRPr="006E3415">
        <w:rPr>
          <w:rFonts w:ascii="Times New Roman" w:hAnsi="Times New Roman" w:cs="Times New Roman"/>
          <w:sz w:val="24"/>
          <w:szCs w:val="24"/>
        </w:rPr>
        <w:t>The fact that circumstances antecedent to, and surrounding, the sale of the Estates were not reported fully in the law reports suggests that much of what has been explained here was unknown to the judges involved. It may</w:t>
      </w:r>
      <w:r w:rsidR="003A2E83" w:rsidRPr="006E3415">
        <w:rPr>
          <w:rFonts w:ascii="Times New Roman" w:hAnsi="Times New Roman" w:cs="Times New Roman"/>
          <w:sz w:val="24"/>
          <w:szCs w:val="24"/>
        </w:rPr>
        <w:t xml:space="preserve"> however</w:t>
      </w:r>
      <w:r w:rsidRPr="006E3415">
        <w:rPr>
          <w:rFonts w:ascii="Times New Roman" w:hAnsi="Times New Roman" w:cs="Times New Roman"/>
          <w:sz w:val="24"/>
          <w:szCs w:val="24"/>
        </w:rPr>
        <w:t xml:space="preserve"> be that the judges had more awareness of what happened than is revealed in the reports, but considered that some of the details were unimportant to their decision-making process</w:t>
      </w:r>
      <w:r w:rsidR="003A2E83" w:rsidRPr="006E3415">
        <w:rPr>
          <w:rFonts w:ascii="Times New Roman" w:hAnsi="Times New Roman" w:cs="Times New Roman"/>
          <w:sz w:val="24"/>
          <w:szCs w:val="24"/>
        </w:rPr>
        <w:t>.</w:t>
      </w:r>
      <w:r w:rsidR="003A2E83" w:rsidRPr="006E3415">
        <w:rPr>
          <w:rStyle w:val="FootnoteReference"/>
          <w:rFonts w:ascii="Times New Roman" w:hAnsi="Times New Roman" w:cs="Times New Roman"/>
          <w:sz w:val="24"/>
          <w:szCs w:val="24"/>
        </w:rPr>
        <w:footnoteReference w:id="188"/>
      </w:r>
      <w:r w:rsidR="003A2E83" w:rsidRPr="006E3415">
        <w:rPr>
          <w:rFonts w:ascii="Times New Roman" w:hAnsi="Times New Roman" w:cs="Times New Roman"/>
          <w:sz w:val="24"/>
          <w:szCs w:val="24"/>
        </w:rPr>
        <w:t xml:space="preserve"> </w:t>
      </w:r>
      <w:r w:rsidR="00E45A26" w:rsidRPr="006E3415">
        <w:rPr>
          <w:rFonts w:ascii="Times New Roman" w:hAnsi="Times New Roman" w:cs="Times New Roman"/>
          <w:sz w:val="24"/>
          <w:szCs w:val="24"/>
        </w:rPr>
        <w:t>Furthermore</w:t>
      </w:r>
      <w:r w:rsidRPr="006E3415">
        <w:rPr>
          <w:rFonts w:ascii="Times New Roman" w:hAnsi="Times New Roman" w:cs="Times New Roman"/>
          <w:sz w:val="24"/>
          <w:szCs w:val="24"/>
        </w:rPr>
        <w:t xml:space="preserve">, </w:t>
      </w:r>
      <w:r w:rsidRPr="006E3415">
        <w:rPr>
          <w:rStyle w:val="mini"/>
          <w:rFonts w:ascii="Times New Roman" w:hAnsi="Times New Roman" w:cs="Times New Roman"/>
          <w:iCs/>
          <w:sz w:val="24"/>
          <w:szCs w:val="24"/>
        </w:rPr>
        <w:t xml:space="preserve">at first instance, Kekewich J ruled that some evidence which Emily had wished to adduce, which was to be provided by </w:t>
      </w:r>
      <w:r w:rsidRPr="006E3415">
        <w:rPr>
          <w:rStyle w:val="mini"/>
          <w:rFonts w:ascii="Times New Roman" w:hAnsi="Times New Roman" w:cs="Times New Roman"/>
          <w:iCs/>
          <w:sz w:val="24"/>
          <w:szCs w:val="24"/>
        </w:rPr>
        <w:lastRenderedPageBreak/>
        <w:t xml:space="preserve">Duff’s solicitor, concerning the negotiations involving Duff and Boustead, was </w:t>
      </w:r>
      <w:r w:rsidR="00E45A26" w:rsidRPr="006E3415">
        <w:rPr>
          <w:rStyle w:val="mini"/>
          <w:rFonts w:ascii="Times New Roman" w:hAnsi="Times New Roman" w:cs="Times New Roman"/>
          <w:iCs/>
          <w:sz w:val="24"/>
          <w:szCs w:val="24"/>
        </w:rPr>
        <w:t>privileged</w:t>
      </w:r>
      <w:r w:rsidRPr="006E3415">
        <w:rPr>
          <w:rStyle w:val="mini"/>
          <w:rFonts w:ascii="Times New Roman" w:hAnsi="Times New Roman" w:cs="Times New Roman"/>
          <w:iCs/>
          <w:sz w:val="24"/>
          <w:szCs w:val="24"/>
        </w:rPr>
        <w:t>.</w:t>
      </w:r>
      <w:r w:rsidRPr="006E3415">
        <w:rPr>
          <w:rStyle w:val="FootnoteReference"/>
          <w:rFonts w:ascii="Times New Roman" w:hAnsi="Times New Roman" w:cs="Times New Roman"/>
          <w:iCs/>
          <w:sz w:val="24"/>
          <w:szCs w:val="24"/>
        </w:rPr>
        <w:footnoteReference w:id="189"/>
      </w:r>
      <w:r w:rsidRPr="006E3415">
        <w:rPr>
          <w:rStyle w:val="mini"/>
          <w:rFonts w:ascii="Times New Roman" w:hAnsi="Times New Roman" w:cs="Times New Roman"/>
          <w:iCs/>
          <w:sz w:val="24"/>
          <w:szCs w:val="24"/>
        </w:rPr>
        <w:t xml:space="preserve"> This may account in part for the lack of detail in the reports.</w:t>
      </w:r>
      <w:r w:rsidRPr="006E3415">
        <w:rPr>
          <w:rStyle w:val="FootnoteReference"/>
          <w:rFonts w:ascii="Times New Roman" w:hAnsi="Times New Roman" w:cs="Times New Roman"/>
          <w:iCs/>
          <w:sz w:val="24"/>
          <w:szCs w:val="24"/>
        </w:rPr>
        <w:footnoteReference w:id="190"/>
      </w:r>
    </w:p>
    <w:p w:rsidR="003A2E83" w:rsidRPr="006E3415" w:rsidRDefault="003A2E83" w:rsidP="00746BFF">
      <w:pPr>
        <w:spacing w:after="0" w:line="360" w:lineRule="auto"/>
        <w:rPr>
          <w:rFonts w:ascii="Times New Roman" w:hAnsi="Times New Roman" w:cs="Times New Roman"/>
          <w:i/>
          <w:sz w:val="24"/>
          <w:szCs w:val="24"/>
        </w:rPr>
      </w:pPr>
    </w:p>
    <w:p w:rsidR="00BC3605" w:rsidRPr="006E3415" w:rsidRDefault="00BC3605"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The Court of Appeal famously justified the enforcement of the trust against Boustead on the ground that</w:t>
      </w:r>
    </w:p>
    <w:p w:rsidR="00BC3605" w:rsidRPr="006E3415" w:rsidRDefault="00BC3605" w:rsidP="00746BFF">
      <w:pPr>
        <w:spacing w:after="0" w:line="360" w:lineRule="auto"/>
        <w:rPr>
          <w:rFonts w:ascii="Times New Roman" w:hAnsi="Times New Roman" w:cs="Times New Roman"/>
          <w:sz w:val="24"/>
          <w:szCs w:val="24"/>
        </w:rPr>
      </w:pPr>
    </w:p>
    <w:p w:rsidR="00BC3605" w:rsidRPr="006E3415" w:rsidRDefault="00BC3605" w:rsidP="00746BFF">
      <w:pPr>
        <w:spacing w:after="0" w:line="360" w:lineRule="auto"/>
        <w:ind w:left="720"/>
        <w:rPr>
          <w:rFonts w:ascii="Times New Roman" w:hAnsi="Times New Roman" w:cs="Times New Roman"/>
          <w:sz w:val="24"/>
          <w:szCs w:val="24"/>
        </w:rPr>
      </w:pPr>
      <w:r w:rsidRPr="006E3415">
        <w:rPr>
          <w:rFonts w:ascii="Times New Roman" w:hAnsi="Times New Roman" w:cs="Times New Roman"/>
          <w:sz w:val="24"/>
          <w:szCs w:val="24"/>
        </w:rPr>
        <w:t>the Statute of Frauds does not prevent the proof of a fraud; and that it is a fraud on the part of a person to whom land is conveyed as a trustee, and who knows it was so conveyed, to deny the trust and claim the land himself.</w:t>
      </w:r>
      <w:r w:rsidRPr="006E3415">
        <w:rPr>
          <w:rStyle w:val="FootnoteReference"/>
          <w:rFonts w:ascii="Times New Roman" w:hAnsi="Times New Roman" w:cs="Times New Roman"/>
          <w:sz w:val="24"/>
          <w:szCs w:val="24"/>
        </w:rPr>
        <w:footnoteReference w:id="191"/>
      </w:r>
    </w:p>
    <w:p w:rsidR="00BC3605" w:rsidRPr="006E3415" w:rsidRDefault="00BC3605" w:rsidP="00746BFF">
      <w:pPr>
        <w:spacing w:after="0" w:line="360" w:lineRule="auto"/>
        <w:rPr>
          <w:rFonts w:ascii="Times New Roman" w:hAnsi="Times New Roman" w:cs="Times New Roman"/>
          <w:sz w:val="24"/>
          <w:szCs w:val="24"/>
        </w:rPr>
      </w:pPr>
    </w:p>
    <w:p w:rsidR="00BC3605" w:rsidRPr="006E3415" w:rsidRDefault="00BC3605"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The existence and legitimacy of the </w:t>
      </w:r>
      <w:r w:rsidR="00AE1CC4">
        <w:rPr>
          <w:rFonts w:ascii="Times New Roman" w:hAnsi="Times New Roman" w:cs="Times New Roman"/>
          <w:sz w:val="24"/>
          <w:szCs w:val="24"/>
        </w:rPr>
        <w:t xml:space="preserve">principle that the Statute of Frauds could not be used as an </w:t>
      </w:r>
      <w:r w:rsidRPr="006E3415">
        <w:rPr>
          <w:rFonts w:ascii="Times New Roman" w:hAnsi="Times New Roman" w:cs="Times New Roman"/>
          <w:sz w:val="24"/>
          <w:szCs w:val="24"/>
        </w:rPr>
        <w:t>instrument of fr</w:t>
      </w:r>
      <w:r w:rsidR="00AE1CC4">
        <w:rPr>
          <w:rFonts w:ascii="Times New Roman" w:hAnsi="Times New Roman" w:cs="Times New Roman"/>
          <w:sz w:val="24"/>
          <w:szCs w:val="24"/>
        </w:rPr>
        <w:t xml:space="preserve">aud </w:t>
      </w:r>
      <w:r w:rsidRPr="006E3415">
        <w:rPr>
          <w:rFonts w:ascii="Times New Roman" w:hAnsi="Times New Roman" w:cs="Times New Roman"/>
          <w:sz w:val="24"/>
          <w:szCs w:val="24"/>
        </w:rPr>
        <w:t>was extremely well established by 1896.</w:t>
      </w:r>
      <w:r w:rsidRPr="006E3415">
        <w:rPr>
          <w:rStyle w:val="FootnoteReference"/>
          <w:rFonts w:ascii="Times New Roman" w:hAnsi="Times New Roman" w:cs="Times New Roman"/>
          <w:sz w:val="24"/>
          <w:szCs w:val="24"/>
        </w:rPr>
        <w:footnoteReference w:id="192"/>
      </w:r>
      <w:r w:rsidRPr="006E3415">
        <w:rPr>
          <w:rFonts w:ascii="Times New Roman" w:hAnsi="Times New Roman" w:cs="Times New Roman"/>
          <w:sz w:val="24"/>
          <w:szCs w:val="24"/>
        </w:rPr>
        <w:t xml:space="preserve"> Other than stating that the case was ‘one of fraud’,</w:t>
      </w:r>
      <w:r w:rsidRPr="006E3415">
        <w:rPr>
          <w:rStyle w:val="FootnoteReference"/>
          <w:rFonts w:ascii="Times New Roman" w:hAnsi="Times New Roman" w:cs="Times New Roman"/>
          <w:sz w:val="24"/>
          <w:szCs w:val="24"/>
        </w:rPr>
        <w:footnoteReference w:id="193"/>
      </w:r>
      <w:r w:rsidRPr="006E3415">
        <w:rPr>
          <w:rFonts w:ascii="Times New Roman" w:hAnsi="Times New Roman" w:cs="Times New Roman"/>
          <w:sz w:val="24"/>
          <w:szCs w:val="24"/>
        </w:rPr>
        <w:t xml:space="preserve">  Lindley LJ declined to elaborate on what sort of conduct amounted to fraud. This is interesting, </w:t>
      </w:r>
      <w:r w:rsidR="00E45A26" w:rsidRPr="006E3415">
        <w:rPr>
          <w:rFonts w:ascii="Times New Roman" w:hAnsi="Times New Roman" w:cs="Times New Roman"/>
          <w:sz w:val="24"/>
          <w:szCs w:val="24"/>
        </w:rPr>
        <w:t>particularly</w:t>
      </w:r>
      <w:r w:rsidRPr="006E3415">
        <w:rPr>
          <w:rFonts w:ascii="Times New Roman" w:hAnsi="Times New Roman" w:cs="Times New Roman"/>
          <w:sz w:val="24"/>
          <w:szCs w:val="24"/>
        </w:rPr>
        <w:t xml:space="preserve"> as Kekewich J had, at first instance, held that he was bound by the previous authority of </w:t>
      </w:r>
      <w:r w:rsidRPr="006E3415">
        <w:rPr>
          <w:rFonts w:ascii="Times New Roman" w:hAnsi="Times New Roman" w:cs="Times New Roman"/>
          <w:i/>
          <w:sz w:val="24"/>
          <w:szCs w:val="24"/>
        </w:rPr>
        <w:t>Bartlett v Pickersgill</w:t>
      </w:r>
      <w:r w:rsidR="00066AD0">
        <w:rPr>
          <w:rFonts w:ascii="Times New Roman" w:hAnsi="Times New Roman" w:cs="Times New Roman"/>
          <w:i/>
          <w:sz w:val="24"/>
          <w:szCs w:val="24"/>
        </w:rPr>
        <w:t xml:space="preserve"> </w:t>
      </w:r>
      <w:r w:rsidR="00066AD0">
        <w:rPr>
          <w:rFonts w:ascii="Times New Roman" w:hAnsi="Times New Roman" w:cs="Times New Roman"/>
          <w:sz w:val="24"/>
          <w:szCs w:val="24"/>
        </w:rPr>
        <w:t>(1759)</w:t>
      </w:r>
      <w:r w:rsidRPr="006E3415">
        <w:rPr>
          <w:rFonts w:ascii="Times New Roman" w:hAnsi="Times New Roman" w:cs="Times New Roman"/>
          <w:i/>
          <w:sz w:val="24"/>
          <w:szCs w:val="24"/>
        </w:rPr>
        <w:t>,</w:t>
      </w:r>
      <w:r w:rsidRPr="006E3415">
        <w:rPr>
          <w:rStyle w:val="FootnoteReference"/>
          <w:rFonts w:ascii="Times New Roman" w:hAnsi="Times New Roman" w:cs="Times New Roman"/>
          <w:sz w:val="24"/>
          <w:szCs w:val="24"/>
        </w:rPr>
        <w:footnoteReference w:id="194"/>
      </w:r>
      <w:r w:rsidRPr="006E3415">
        <w:rPr>
          <w:rFonts w:ascii="Times New Roman" w:hAnsi="Times New Roman" w:cs="Times New Roman"/>
          <w:sz w:val="24"/>
          <w:szCs w:val="24"/>
        </w:rPr>
        <w:t xml:space="preserve"> which was factually similar to </w:t>
      </w:r>
      <w:r w:rsidRPr="006E3415">
        <w:rPr>
          <w:rFonts w:ascii="Times New Roman" w:hAnsi="Times New Roman" w:cs="Times New Roman"/>
          <w:i/>
          <w:sz w:val="24"/>
          <w:szCs w:val="24"/>
        </w:rPr>
        <w:t>Rochefoucauld,</w:t>
      </w:r>
      <w:r w:rsidRPr="006E3415">
        <w:rPr>
          <w:rStyle w:val="FootnoteReference"/>
          <w:rFonts w:ascii="Times New Roman" w:hAnsi="Times New Roman" w:cs="Times New Roman"/>
          <w:sz w:val="24"/>
          <w:szCs w:val="24"/>
        </w:rPr>
        <w:footnoteReference w:id="195"/>
      </w:r>
      <w:r w:rsidRPr="006E3415">
        <w:rPr>
          <w:rFonts w:ascii="Times New Roman" w:hAnsi="Times New Roman" w:cs="Times New Roman"/>
          <w:sz w:val="24"/>
          <w:szCs w:val="24"/>
        </w:rPr>
        <w:t xml:space="preserve"> to apply s7 of the Statute of Frauds rather than the instrument of fraud principle. </w:t>
      </w:r>
    </w:p>
    <w:p w:rsidR="003A2E83" w:rsidRPr="006E3415" w:rsidRDefault="003A2E83" w:rsidP="00746BFF">
      <w:pPr>
        <w:spacing w:after="0" w:line="360" w:lineRule="auto"/>
        <w:rPr>
          <w:rFonts w:ascii="Times New Roman" w:hAnsi="Times New Roman" w:cs="Times New Roman"/>
          <w:sz w:val="24"/>
          <w:szCs w:val="24"/>
        </w:rPr>
      </w:pPr>
    </w:p>
    <w:p w:rsidR="00BC3605" w:rsidRPr="006E3415" w:rsidRDefault="0085618C" w:rsidP="00746BF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During the nineteenth </w:t>
      </w:r>
      <w:r w:rsidR="00BC3605" w:rsidRPr="006E3415">
        <w:rPr>
          <w:rFonts w:ascii="Times New Roman" w:hAnsi="Times New Roman" w:cs="Times New Roman"/>
          <w:sz w:val="24"/>
          <w:szCs w:val="24"/>
        </w:rPr>
        <w:t>century</w:t>
      </w:r>
      <w:r>
        <w:rPr>
          <w:rFonts w:ascii="Times New Roman" w:hAnsi="Times New Roman" w:cs="Times New Roman"/>
          <w:sz w:val="24"/>
          <w:szCs w:val="24"/>
        </w:rPr>
        <w:t xml:space="preserve"> and earlier</w:t>
      </w:r>
      <w:r w:rsidR="00BC3605" w:rsidRPr="006E3415">
        <w:rPr>
          <w:rFonts w:ascii="Times New Roman" w:hAnsi="Times New Roman" w:cs="Times New Roman"/>
          <w:sz w:val="24"/>
          <w:szCs w:val="24"/>
        </w:rPr>
        <w:t xml:space="preserve">, the most commonly </w:t>
      </w:r>
      <w:r w:rsidR="00E45A26" w:rsidRPr="006E3415">
        <w:rPr>
          <w:rFonts w:ascii="Times New Roman" w:hAnsi="Times New Roman" w:cs="Times New Roman"/>
          <w:sz w:val="24"/>
          <w:szCs w:val="24"/>
        </w:rPr>
        <w:t>occurring</w:t>
      </w:r>
      <w:r w:rsidR="00BC3605" w:rsidRPr="006E3415">
        <w:rPr>
          <w:rFonts w:ascii="Times New Roman" w:hAnsi="Times New Roman" w:cs="Times New Roman"/>
          <w:sz w:val="24"/>
          <w:szCs w:val="24"/>
        </w:rPr>
        <w:t xml:space="preserve"> cases concerning parol trusts and the instrument of fraud principle were secret trusts cases.</w:t>
      </w:r>
      <w:r w:rsidR="00BC3605" w:rsidRPr="006E3415">
        <w:rPr>
          <w:rStyle w:val="FootnoteReference"/>
          <w:rFonts w:ascii="Times New Roman" w:hAnsi="Times New Roman" w:cs="Times New Roman"/>
          <w:sz w:val="24"/>
          <w:szCs w:val="24"/>
        </w:rPr>
        <w:footnoteReference w:id="196"/>
      </w:r>
      <w:r w:rsidR="00BC3605" w:rsidRPr="006E3415">
        <w:rPr>
          <w:rFonts w:ascii="Times New Roman" w:hAnsi="Times New Roman" w:cs="Times New Roman"/>
          <w:sz w:val="24"/>
          <w:szCs w:val="24"/>
        </w:rPr>
        <w:t xml:space="preserve"> These judgments </w:t>
      </w:r>
      <w:r w:rsidR="00BC3605" w:rsidRPr="006E3415">
        <w:rPr>
          <w:rFonts w:ascii="Times New Roman" w:hAnsi="Times New Roman" w:cs="Times New Roman"/>
          <w:sz w:val="24"/>
          <w:szCs w:val="24"/>
        </w:rPr>
        <w:lastRenderedPageBreak/>
        <w:t>tend to place strong emphasis on the premise that in order to prove the fraud, it was necessary to demonstrate that the party who disposed of</w:t>
      </w:r>
      <w:r w:rsidR="00B73B69">
        <w:rPr>
          <w:rFonts w:ascii="Times New Roman" w:hAnsi="Times New Roman" w:cs="Times New Roman"/>
          <w:sz w:val="24"/>
          <w:szCs w:val="24"/>
        </w:rPr>
        <w:t xml:space="preserve"> the property (the testator) had been</w:t>
      </w:r>
      <w:r w:rsidR="00BC3605" w:rsidRPr="006E3415">
        <w:rPr>
          <w:rFonts w:ascii="Times New Roman" w:hAnsi="Times New Roman" w:cs="Times New Roman"/>
          <w:sz w:val="24"/>
          <w:szCs w:val="24"/>
        </w:rPr>
        <w:t xml:space="preserve"> induced to do so by the </w:t>
      </w:r>
      <w:r w:rsidR="00A100EC">
        <w:rPr>
          <w:rFonts w:ascii="Times New Roman" w:hAnsi="Times New Roman" w:cs="Times New Roman"/>
          <w:sz w:val="24"/>
          <w:szCs w:val="24"/>
        </w:rPr>
        <w:t xml:space="preserve">promise of the </w:t>
      </w:r>
      <w:r w:rsidR="00BC3605" w:rsidRPr="006E3415">
        <w:rPr>
          <w:rFonts w:ascii="Times New Roman" w:hAnsi="Times New Roman" w:cs="Times New Roman"/>
          <w:sz w:val="24"/>
          <w:szCs w:val="24"/>
        </w:rPr>
        <w:t>other party to the parol trust (the secret trustee)</w:t>
      </w:r>
      <w:r w:rsidR="00A100EC">
        <w:rPr>
          <w:rFonts w:ascii="Times New Roman" w:hAnsi="Times New Roman" w:cs="Times New Roman"/>
          <w:sz w:val="24"/>
          <w:szCs w:val="24"/>
        </w:rPr>
        <w:t xml:space="preserve"> to perform that trust</w:t>
      </w:r>
      <w:r w:rsidR="00BC3605" w:rsidRPr="006E3415">
        <w:rPr>
          <w:rFonts w:ascii="Times New Roman" w:hAnsi="Times New Roman" w:cs="Times New Roman"/>
          <w:sz w:val="24"/>
          <w:szCs w:val="24"/>
        </w:rPr>
        <w:t xml:space="preserve">. For example, in </w:t>
      </w:r>
      <w:r w:rsidR="00BC3605" w:rsidRPr="006E3415">
        <w:rPr>
          <w:rFonts w:ascii="Times New Roman" w:hAnsi="Times New Roman" w:cs="Times New Roman"/>
          <w:i/>
          <w:sz w:val="24"/>
          <w:szCs w:val="24"/>
        </w:rPr>
        <w:t>McCormick v Grogan</w:t>
      </w:r>
      <w:r w:rsidR="00066AD0">
        <w:rPr>
          <w:rFonts w:ascii="Times New Roman" w:hAnsi="Times New Roman" w:cs="Times New Roman"/>
          <w:i/>
          <w:sz w:val="24"/>
          <w:szCs w:val="24"/>
        </w:rPr>
        <w:t xml:space="preserve"> </w:t>
      </w:r>
      <w:r w:rsidR="00066AD0">
        <w:rPr>
          <w:rFonts w:ascii="Times New Roman" w:hAnsi="Times New Roman" w:cs="Times New Roman"/>
          <w:sz w:val="24"/>
          <w:szCs w:val="24"/>
        </w:rPr>
        <w:t>(1869)</w:t>
      </w:r>
      <w:r w:rsidR="00BC3605" w:rsidRPr="006E3415">
        <w:rPr>
          <w:rFonts w:ascii="Times New Roman" w:hAnsi="Times New Roman" w:cs="Times New Roman"/>
          <w:sz w:val="24"/>
          <w:szCs w:val="24"/>
        </w:rPr>
        <w:t>, Lord Hatherley explained tha</w:t>
      </w:r>
      <w:r w:rsidR="00B73B69">
        <w:rPr>
          <w:rFonts w:ascii="Times New Roman" w:hAnsi="Times New Roman" w:cs="Times New Roman"/>
          <w:sz w:val="24"/>
          <w:szCs w:val="24"/>
        </w:rPr>
        <w:t>t secret trusts could</w:t>
      </w:r>
      <w:r w:rsidR="00BC3605" w:rsidRPr="006E3415">
        <w:rPr>
          <w:rFonts w:ascii="Times New Roman" w:hAnsi="Times New Roman" w:cs="Times New Roman"/>
          <w:sz w:val="24"/>
          <w:szCs w:val="24"/>
        </w:rPr>
        <w:t xml:space="preserve"> only be enforced in ‘cases in which the Court has been persuaded that there has been a fraudulent inducement held out on the part of the apparent beneficiary in order to lead the testator to confide to him the duty which he so undertook to perform.’</w:t>
      </w:r>
      <w:r w:rsidR="00BC3605" w:rsidRPr="006E3415">
        <w:rPr>
          <w:rStyle w:val="FootnoteReference"/>
          <w:rFonts w:ascii="Times New Roman" w:hAnsi="Times New Roman" w:cs="Times New Roman"/>
          <w:sz w:val="24"/>
          <w:szCs w:val="24"/>
        </w:rPr>
        <w:footnoteReference w:id="197"/>
      </w:r>
      <w:r w:rsidR="00BC3605" w:rsidRPr="006E3415">
        <w:rPr>
          <w:rFonts w:ascii="Times New Roman" w:hAnsi="Times New Roman" w:cs="Times New Roman"/>
          <w:sz w:val="24"/>
          <w:szCs w:val="24"/>
        </w:rPr>
        <w:t xml:space="preserve"> </w:t>
      </w:r>
    </w:p>
    <w:p w:rsidR="00F0115F" w:rsidRPr="006E3415" w:rsidRDefault="00F0115F" w:rsidP="00746BFF">
      <w:pPr>
        <w:spacing w:after="0" w:line="360" w:lineRule="auto"/>
        <w:rPr>
          <w:rFonts w:ascii="Times New Roman" w:hAnsi="Times New Roman" w:cs="Times New Roman"/>
          <w:sz w:val="24"/>
          <w:szCs w:val="24"/>
        </w:rPr>
      </w:pPr>
    </w:p>
    <w:p w:rsidR="00BC3605" w:rsidRPr="006E3415" w:rsidRDefault="00BC3605"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In </w:t>
      </w:r>
      <w:r w:rsidRPr="006E3415">
        <w:rPr>
          <w:rFonts w:ascii="Times New Roman" w:hAnsi="Times New Roman" w:cs="Times New Roman"/>
          <w:i/>
          <w:sz w:val="24"/>
          <w:szCs w:val="24"/>
        </w:rPr>
        <w:t>Rochefoucauld</w:t>
      </w:r>
      <w:r w:rsidRPr="006E3415">
        <w:rPr>
          <w:rFonts w:ascii="Times New Roman" w:hAnsi="Times New Roman" w:cs="Times New Roman"/>
          <w:sz w:val="24"/>
          <w:szCs w:val="24"/>
        </w:rPr>
        <w:t xml:space="preserve">, neither Kekewich J nor the </w:t>
      </w:r>
      <w:r w:rsidR="00A44B6E">
        <w:rPr>
          <w:rFonts w:ascii="Times New Roman" w:hAnsi="Times New Roman" w:cs="Times New Roman"/>
          <w:sz w:val="24"/>
          <w:szCs w:val="24"/>
        </w:rPr>
        <w:t>Court of Appeal</w:t>
      </w:r>
      <w:r w:rsidRPr="006E3415">
        <w:rPr>
          <w:rFonts w:ascii="Times New Roman" w:hAnsi="Times New Roman" w:cs="Times New Roman"/>
          <w:sz w:val="24"/>
          <w:szCs w:val="24"/>
        </w:rPr>
        <w:t xml:space="preserve"> considered in detail whether the conveyance to Boustead was in effect a conveyance from the Société or from Emily. The facts, as explained above, demonstrate that the conveyance of the Estates was a conveyance by operation of law, executed by the fiscal. In no sense was it a conveyance from Emily. Had Boustead indicated to her that he planned to purchase the Estates for himself, in defiance of the parol agreement, there is little that she could have done. Lacking the funds to redeem the mortgage, she could not have prevented the suit against the will of the Société, and once the court had ordered the sale, she could not have prevented the </w:t>
      </w:r>
      <w:r w:rsidR="00C33099">
        <w:rPr>
          <w:rFonts w:ascii="Times New Roman" w:hAnsi="Times New Roman" w:cs="Times New Roman"/>
          <w:sz w:val="24"/>
          <w:szCs w:val="24"/>
        </w:rPr>
        <w:t>Estates from being sold at auction</w:t>
      </w:r>
      <w:r w:rsidRPr="006E3415">
        <w:rPr>
          <w:rFonts w:ascii="Times New Roman" w:hAnsi="Times New Roman" w:cs="Times New Roman"/>
          <w:sz w:val="24"/>
          <w:szCs w:val="24"/>
        </w:rPr>
        <w:t xml:space="preserve"> even with the Société’s acquiescence. Of course, as has been established, Emily </w:t>
      </w:r>
      <w:r w:rsidRPr="006E3415">
        <w:rPr>
          <w:rFonts w:ascii="Times New Roman" w:hAnsi="Times New Roman" w:cs="Times New Roman"/>
          <w:i/>
          <w:sz w:val="24"/>
          <w:szCs w:val="24"/>
        </w:rPr>
        <w:t>did</w:t>
      </w:r>
      <w:r w:rsidRPr="006E3415">
        <w:rPr>
          <w:rFonts w:ascii="Times New Roman" w:hAnsi="Times New Roman" w:cs="Times New Roman"/>
          <w:sz w:val="24"/>
          <w:szCs w:val="24"/>
        </w:rPr>
        <w:t xml:space="preserve"> want the sale to Boustead to go ahead. She clearly relied on the parol agreement with Boustead as cruci</w:t>
      </w:r>
      <w:r w:rsidR="002074B1">
        <w:rPr>
          <w:rFonts w:ascii="Times New Roman" w:hAnsi="Times New Roman" w:cs="Times New Roman"/>
          <w:sz w:val="24"/>
          <w:szCs w:val="24"/>
        </w:rPr>
        <w:t>al to her designs. But unlike</w:t>
      </w:r>
      <w:r w:rsidRPr="006E3415">
        <w:rPr>
          <w:rFonts w:ascii="Times New Roman" w:hAnsi="Times New Roman" w:cs="Times New Roman"/>
          <w:sz w:val="24"/>
          <w:szCs w:val="24"/>
        </w:rPr>
        <w:t xml:space="preserve"> the secret trusts cases, it cannot be said that she transferred the land to Boustead in reliance on the parol agreement. Neither can it be said that the Société conveyed the land in reliance on the agreement. The evidence suggests that the sale was procured by the Société in order to realise its security and, in any case, neit</w:t>
      </w:r>
      <w:r w:rsidR="00610809">
        <w:rPr>
          <w:rFonts w:ascii="Times New Roman" w:hAnsi="Times New Roman" w:cs="Times New Roman"/>
          <w:sz w:val="24"/>
          <w:szCs w:val="24"/>
        </w:rPr>
        <w:t>her the auction nor the sale were</w:t>
      </w:r>
      <w:r w:rsidR="00B7187E">
        <w:rPr>
          <w:rFonts w:ascii="Times New Roman" w:hAnsi="Times New Roman" w:cs="Times New Roman"/>
          <w:sz w:val="24"/>
          <w:szCs w:val="24"/>
        </w:rPr>
        <w:t xml:space="preserve"> conducted by the Société. </w:t>
      </w:r>
      <w:r w:rsidRPr="006E3415">
        <w:rPr>
          <w:rFonts w:ascii="Times New Roman" w:hAnsi="Times New Roman" w:cs="Times New Roman"/>
          <w:sz w:val="24"/>
          <w:szCs w:val="24"/>
        </w:rPr>
        <w:t>That Lindley LJ did not address this issue at all suggests strongly that he simply did not consider the precise nature of the transaction important in determining that Boustead’s conduct amounted to a fraud.</w:t>
      </w:r>
    </w:p>
    <w:p w:rsidR="003A2E83" w:rsidRPr="006E3415" w:rsidRDefault="003A2E83" w:rsidP="00746BFF">
      <w:pPr>
        <w:spacing w:after="0" w:line="360" w:lineRule="auto"/>
        <w:rPr>
          <w:rFonts w:ascii="Times New Roman" w:hAnsi="Times New Roman" w:cs="Times New Roman"/>
          <w:sz w:val="24"/>
          <w:szCs w:val="24"/>
        </w:rPr>
      </w:pPr>
    </w:p>
    <w:p w:rsidR="00BC3605" w:rsidRPr="006E3415" w:rsidRDefault="00BC3605"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Another matter upon which the Court of Appeal did not elaborate is the question of whether Boustead intended at first to honour the parol agreement, or whether he had designs upon obtaining the Estates for himself from the outset. Again, it may be inferred from the </w:t>
      </w:r>
      <w:r w:rsidR="00A44B6E">
        <w:rPr>
          <w:rFonts w:ascii="Times New Roman" w:hAnsi="Times New Roman" w:cs="Times New Roman"/>
          <w:sz w:val="24"/>
          <w:szCs w:val="24"/>
        </w:rPr>
        <w:t>Lindley LJ’s silence on this point that he</w:t>
      </w:r>
      <w:r w:rsidRPr="006E3415">
        <w:rPr>
          <w:rFonts w:ascii="Times New Roman" w:hAnsi="Times New Roman" w:cs="Times New Roman"/>
          <w:sz w:val="24"/>
          <w:szCs w:val="24"/>
        </w:rPr>
        <w:t xml:space="preserve"> did not view it as significant. In fact, Costigan, writing in the early twentieth century</w:t>
      </w:r>
      <w:r w:rsidR="00A44B6E">
        <w:rPr>
          <w:rFonts w:ascii="Times New Roman" w:hAnsi="Times New Roman" w:cs="Times New Roman"/>
          <w:sz w:val="24"/>
          <w:szCs w:val="24"/>
        </w:rPr>
        <w:t>,</w:t>
      </w:r>
      <w:r w:rsidRPr="006E3415">
        <w:rPr>
          <w:rFonts w:ascii="Times New Roman" w:hAnsi="Times New Roman" w:cs="Times New Roman"/>
          <w:sz w:val="24"/>
          <w:szCs w:val="24"/>
        </w:rPr>
        <w:t xml:space="preserve"> noted that</w:t>
      </w:r>
      <w:r w:rsidR="00E14AD3">
        <w:rPr>
          <w:rFonts w:ascii="Times New Roman" w:hAnsi="Times New Roman" w:cs="Times New Roman"/>
          <w:sz w:val="24"/>
          <w:szCs w:val="24"/>
        </w:rPr>
        <w:t xml:space="preserve"> in cases concerning parol trusts of land</w:t>
      </w:r>
      <w:r w:rsidRPr="006E3415">
        <w:rPr>
          <w:rFonts w:ascii="Times New Roman" w:hAnsi="Times New Roman" w:cs="Times New Roman"/>
          <w:sz w:val="24"/>
          <w:szCs w:val="24"/>
        </w:rPr>
        <w:t xml:space="preserve">, contrary to the position in most US States, </w:t>
      </w:r>
    </w:p>
    <w:p w:rsidR="00F0115F" w:rsidRPr="006E3415" w:rsidRDefault="00F0115F" w:rsidP="00746BFF">
      <w:pPr>
        <w:spacing w:after="0" w:line="360" w:lineRule="auto"/>
        <w:rPr>
          <w:rFonts w:ascii="Times New Roman" w:hAnsi="Times New Roman" w:cs="Times New Roman"/>
          <w:sz w:val="24"/>
          <w:szCs w:val="24"/>
        </w:rPr>
      </w:pPr>
    </w:p>
    <w:p w:rsidR="00BC3605" w:rsidRPr="006E3415" w:rsidRDefault="00BC3605" w:rsidP="00746BFF">
      <w:pPr>
        <w:spacing w:after="0" w:line="360" w:lineRule="auto"/>
        <w:ind w:left="720"/>
        <w:rPr>
          <w:rFonts w:ascii="Times New Roman" w:hAnsi="Times New Roman" w:cs="Times New Roman"/>
          <w:sz w:val="24"/>
          <w:szCs w:val="24"/>
        </w:rPr>
      </w:pPr>
      <w:r w:rsidRPr="006E3415">
        <w:rPr>
          <w:rFonts w:ascii="Times New Roman" w:hAnsi="Times New Roman" w:cs="Times New Roman"/>
          <w:sz w:val="24"/>
          <w:szCs w:val="24"/>
        </w:rPr>
        <w:t>[t]he English cases seem to make no distinction between the case of actual fraudulent intent at the time of conveyance and the case where there is an actual fraudulent intent only at the time of refusal to perform, and seem to regard the refusal to perform when coupled with retention of the proper</w:t>
      </w:r>
      <w:r w:rsidR="00E14AD3">
        <w:rPr>
          <w:rFonts w:ascii="Times New Roman" w:hAnsi="Times New Roman" w:cs="Times New Roman"/>
          <w:sz w:val="24"/>
          <w:szCs w:val="24"/>
        </w:rPr>
        <w:t>ty as necessarily fraudulent enough…</w:t>
      </w:r>
      <w:r w:rsidRPr="006E3415">
        <w:rPr>
          <w:rStyle w:val="FootnoteReference"/>
          <w:rFonts w:ascii="Times New Roman" w:hAnsi="Times New Roman" w:cs="Times New Roman"/>
          <w:sz w:val="24"/>
          <w:szCs w:val="24"/>
        </w:rPr>
        <w:footnoteReference w:id="198"/>
      </w:r>
      <w:r w:rsidRPr="006E3415">
        <w:rPr>
          <w:rFonts w:ascii="Times New Roman" w:hAnsi="Times New Roman" w:cs="Times New Roman"/>
          <w:sz w:val="24"/>
          <w:szCs w:val="24"/>
        </w:rPr>
        <w:t xml:space="preserve"> </w:t>
      </w:r>
    </w:p>
    <w:p w:rsidR="00F0115F" w:rsidRPr="006E3415" w:rsidRDefault="00F0115F" w:rsidP="00746BFF">
      <w:pPr>
        <w:spacing w:after="0" w:line="360" w:lineRule="auto"/>
        <w:ind w:left="720"/>
        <w:rPr>
          <w:rFonts w:ascii="Times New Roman" w:hAnsi="Times New Roman" w:cs="Times New Roman"/>
          <w:sz w:val="24"/>
          <w:szCs w:val="24"/>
        </w:rPr>
      </w:pPr>
    </w:p>
    <w:p w:rsidR="00BC3605" w:rsidRPr="006E3415" w:rsidRDefault="00E062B8" w:rsidP="00746BFF">
      <w:pPr>
        <w:spacing w:after="0" w:line="360" w:lineRule="auto"/>
        <w:rPr>
          <w:rFonts w:ascii="Times New Roman" w:hAnsi="Times New Roman" w:cs="Times New Roman"/>
          <w:sz w:val="24"/>
          <w:szCs w:val="24"/>
        </w:rPr>
      </w:pPr>
      <w:r>
        <w:rPr>
          <w:rFonts w:ascii="Times New Roman" w:hAnsi="Times New Roman" w:cs="Times New Roman"/>
          <w:i/>
          <w:sz w:val="24"/>
          <w:szCs w:val="24"/>
        </w:rPr>
        <w:t>Rochefouc</w:t>
      </w:r>
      <w:r w:rsidRPr="006E3415">
        <w:rPr>
          <w:rFonts w:ascii="Times New Roman" w:hAnsi="Times New Roman" w:cs="Times New Roman"/>
          <w:i/>
          <w:sz w:val="24"/>
          <w:szCs w:val="24"/>
        </w:rPr>
        <w:t>auld</w:t>
      </w:r>
      <w:r w:rsidR="00BC3605" w:rsidRPr="006E3415">
        <w:rPr>
          <w:rFonts w:ascii="Times New Roman" w:hAnsi="Times New Roman" w:cs="Times New Roman"/>
          <w:i/>
          <w:sz w:val="24"/>
          <w:szCs w:val="24"/>
        </w:rPr>
        <w:t xml:space="preserve"> </w:t>
      </w:r>
      <w:r w:rsidR="00BC3605" w:rsidRPr="006E3415">
        <w:rPr>
          <w:rFonts w:ascii="Times New Roman" w:hAnsi="Times New Roman" w:cs="Times New Roman"/>
          <w:sz w:val="24"/>
          <w:szCs w:val="24"/>
        </w:rPr>
        <w:t>was one of the cases that he cited in support of this proposition.</w:t>
      </w:r>
      <w:r w:rsidR="00BC3605" w:rsidRPr="006E3415">
        <w:rPr>
          <w:rStyle w:val="FootnoteReference"/>
          <w:rFonts w:ascii="Times New Roman" w:hAnsi="Times New Roman" w:cs="Times New Roman"/>
          <w:sz w:val="24"/>
          <w:szCs w:val="24"/>
        </w:rPr>
        <w:footnoteReference w:id="199"/>
      </w:r>
    </w:p>
    <w:p w:rsidR="00BC3605" w:rsidRPr="006E3415" w:rsidRDefault="005020DE" w:rsidP="00746BF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summary, the judgment of the </w:t>
      </w:r>
      <w:r w:rsidR="00BC3605" w:rsidRPr="006E3415">
        <w:rPr>
          <w:rFonts w:ascii="Times New Roman" w:hAnsi="Times New Roman" w:cs="Times New Roman"/>
          <w:sz w:val="24"/>
          <w:szCs w:val="24"/>
        </w:rPr>
        <w:t xml:space="preserve">Court of Appeal </w:t>
      </w:r>
      <w:r>
        <w:rPr>
          <w:rFonts w:ascii="Times New Roman" w:hAnsi="Times New Roman" w:cs="Times New Roman"/>
          <w:sz w:val="24"/>
          <w:szCs w:val="24"/>
        </w:rPr>
        <w:t xml:space="preserve">indicates that Lindley LJ and his colleagues </w:t>
      </w:r>
      <w:r w:rsidR="00BC3605" w:rsidRPr="006E3415">
        <w:rPr>
          <w:rFonts w:ascii="Times New Roman" w:hAnsi="Times New Roman" w:cs="Times New Roman"/>
          <w:sz w:val="24"/>
          <w:szCs w:val="24"/>
        </w:rPr>
        <w:t>considered it a routine finding that Boustead’s conduct amounted to a fraud. It was not important to consider from whom he in real</w:t>
      </w:r>
      <w:r w:rsidR="002F2EDE">
        <w:rPr>
          <w:rFonts w:ascii="Times New Roman" w:hAnsi="Times New Roman" w:cs="Times New Roman"/>
          <w:sz w:val="24"/>
          <w:szCs w:val="24"/>
        </w:rPr>
        <w:t>i</w:t>
      </w:r>
      <w:r w:rsidR="00BC3605" w:rsidRPr="006E3415">
        <w:rPr>
          <w:rFonts w:ascii="Times New Roman" w:hAnsi="Times New Roman" w:cs="Times New Roman"/>
          <w:sz w:val="24"/>
          <w:szCs w:val="24"/>
        </w:rPr>
        <w:t xml:space="preserve">ty received the land, nor was it </w:t>
      </w:r>
      <w:r w:rsidR="00E45A26" w:rsidRPr="006E3415">
        <w:rPr>
          <w:rFonts w:ascii="Times New Roman" w:hAnsi="Times New Roman" w:cs="Times New Roman"/>
          <w:sz w:val="24"/>
          <w:szCs w:val="24"/>
        </w:rPr>
        <w:t>necessary</w:t>
      </w:r>
      <w:r w:rsidR="00BC3605" w:rsidRPr="006E3415">
        <w:rPr>
          <w:rFonts w:ascii="Times New Roman" w:hAnsi="Times New Roman" w:cs="Times New Roman"/>
          <w:sz w:val="24"/>
          <w:szCs w:val="24"/>
        </w:rPr>
        <w:t xml:space="preserve"> to consider his intentions at the time at which he agreed to be a trustee. </w:t>
      </w:r>
    </w:p>
    <w:p w:rsidR="00BC3605" w:rsidRPr="006E3415" w:rsidRDefault="00BC3605" w:rsidP="00746BFF">
      <w:pPr>
        <w:spacing w:after="0" w:line="360" w:lineRule="auto"/>
        <w:rPr>
          <w:rFonts w:ascii="Times New Roman" w:hAnsi="Times New Roman" w:cs="Times New Roman"/>
          <w:sz w:val="24"/>
          <w:szCs w:val="24"/>
        </w:rPr>
      </w:pPr>
    </w:p>
    <w:p w:rsidR="00BF2E4D" w:rsidRPr="006E3415" w:rsidRDefault="00BF2E4D" w:rsidP="00746BFF">
      <w:pPr>
        <w:pStyle w:val="ListParagraph"/>
        <w:numPr>
          <w:ilvl w:val="0"/>
          <w:numId w:val="8"/>
        </w:numPr>
        <w:spacing w:line="360" w:lineRule="auto"/>
        <w:rPr>
          <w:rFonts w:cs="Times New Roman"/>
          <w:i/>
          <w:szCs w:val="24"/>
        </w:rPr>
      </w:pPr>
      <w:r w:rsidRPr="006E3415">
        <w:rPr>
          <w:rFonts w:cs="Times New Roman"/>
          <w:i/>
          <w:szCs w:val="24"/>
        </w:rPr>
        <w:t>Authorities existing in 1896 concerning the enforcement of parol trusts for the prevention of fraud</w:t>
      </w:r>
    </w:p>
    <w:p w:rsidR="00BF2E4D" w:rsidRPr="006E3415" w:rsidRDefault="00BF2E4D" w:rsidP="00746BFF">
      <w:pPr>
        <w:pStyle w:val="ListParagraph"/>
        <w:spacing w:line="360" w:lineRule="auto"/>
        <w:ind w:left="1080"/>
        <w:rPr>
          <w:rFonts w:cs="Times New Roman"/>
          <w:i/>
          <w:szCs w:val="24"/>
        </w:rPr>
      </w:pPr>
    </w:p>
    <w:p w:rsidR="00BC3605" w:rsidRPr="00EC3C51" w:rsidRDefault="00BC3605" w:rsidP="00746BFF">
      <w:pPr>
        <w:spacing w:after="0" w:line="360" w:lineRule="auto"/>
        <w:rPr>
          <w:rFonts w:ascii="Times New Roman" w:hAnsi="Times New Roman" w:cs="Times New Roman"/>
          <w:i/>
          <w:iCs/>
          <w:sz w:val="24"/>
          <w:szCs w:val="24"/>
        </w:rPr>
      </w:pPr>
      <w:r w:rsidRPr="006E3415">
        <w:rPr>
          <w:rFonts w:ascii="Times New Roman" w:hAnsi="Times New Roman" w:cs="Times New Roman"/>
          <w:sz w:val="24"/>
          <w:szCs w:val="24"/>
        </w:rPr>
        <w:t xml:space="preserve">Lindley LJ cited several authorities in support of his assertions regarding the fraud issue, and to demonstrate that </w:t>
      </w:r>
      <w:r w:rsidRPr="006E3415">
        <w:rPr>
          <w:rFonts w:ascii="Times New Roman" w:hAnsi="Times New Roman" w:cs="Times New Roman"/>
          <w:i/>
          <w:sz w:val="24"/>
          <w:szCs w:val="24"/>
        </w:rPr>
        <w:t xml:space="preserve">Bartlett </w:t>
      </w:r>
      <w:r w:rsidRPr="006E3415">
        <w:rPr>
          <w:rFonts w:ascii="Times New Roman" w:hAnsi="Times New Roman" w:cs="Times New Roman"/>
          <w:sz w:val="24"/>
          <w:szCs w:val="24"/>
        </w:rPr>
        <w:t>was no longer good law. Analysis of these judgments sheds light on the Court of Appeal’s concept of fraud</w:t>
      </w:r>
      <w:r w:rsidR="00BF2E4D" w:rsidRPr="006E3415">
        <w:rPr>
          <w:rFonts w:ascii="Times New Roman" w:hAnsi="Times New Roman" w:cs="Times New Roman"/>
          <w:sz w:val="24"/>
          <w:szCs w:val="24"/>
        </w:rPr>
        <w:t xml:space="preserve"> in 1896</w:t>
      </w:r>
      <w:r w:rsidRPr="006E3415">
        <w:rPr>
          <w:rFonts w:ascii="Times New Roman" w:hAnsi="Times New Roman" w:cs="Times New Roman"/>
          <w:sz w:val="24"/>
          <w:szCs w:val="24"/>
        </w:rPr>
        <w:t xml:space="preserve">. Interestingly, in </w:t>
      </w:r>
      <w:r w:rsidRPr="006E3415">
        <w:rPr>
          <w:rFonts w:ascii="Times New Roman" w:hAnsi="Times New Roman" w:cs="Times New Roman"/>
          <w:i/>
          <w:sz w:val="24"/>
          <w:szCs w:val="24"/>
        </w:rPr>
        <w:t>Booth v Turle</w:t>
      </w:r>
      <w:r w:rsidR="00066AD0">
        <w:rPr>
          <w:rFonts w:ascii="Times New Roman" w:hAnsi="Times New Roman" w:cs="Times New Roman"/>
          <w:i/>
          <w:sz w:val="24"/>
          <w:szCs w:val="24"/>
        </w:rPr>
        <w:t xml:space="preserve"> </w:t>
      </w:r>
      <w:r w:rsidR="00066AD0">
        <w:rPr>
          <w:rFonts w:ascii="Times New Roman" w:hAnsi="Times New Roman" w:cs="Times New Roman"/>
          <w:sz w:val="24"/>
          <w:szCs w:val="24"/>
        </w:rPr>
        <w:t>(1873)</w:t>
      </w:r>
      <w:r w:rsidRPr="006E3415">
        <w:rPr>
          <w:rFonts w:ascii="Times New Roman" w:hAnsi="Times New Roman" w:cs="Times New Roman"/>
          <w:i/>
          <w:sz w:val="24"/>
          <w:szCs w:val="24"/>
        </w:rPr>
        <w:t>,</w:t>
      </w:r>
      <w:r w:rsidRPr="006E3415">
        <w:rPr>
          <w:rStyle w:val="FootnoteReference"/>
          <w:rFonts w:ascii="Times New Roman" w:hAnsi="Times New Roman" w:cs="Times New Roman"/>
          <w:sz w:val="24"/>
          <w:szCs w:val="24"/>
        </w:rPr>
        <w:footnoteReference w:id="200"/>
      </w:r>
      <w:r w:rsidRPr="006E3415">
        <w:rPr>
          <w:rFonts w:ascii="Times New Roman" w:hAnsi="Times New Roman" w:cs="Times New Roman"/>
          <w:i/>
          <w:sz w:val="24"/>
          <w:szCs w:val="24"/>
        </w:rPr>
        <w:t xml:space="preserve"> Davies v Otty (No 2)</w:t>
      </w:r>
      <w:r w:rsidR="00066AD0">
        <w:rPr>
          <w:rFonts w:ascii="Times New Roman" w:hAnsi="Times New Roman" w:cs="Times New Roman"/>
          <w:i/>
          <w:sz w:val="24"/>
          <w:szCs w:val="24"/>
        </w:rPr>
        <w:t xml:space="preserve"> </w:t>
      </w:r>
      <w:r w:rsidR="00066AD0">
        <w:rPr>
          <w:rFonts w:ascii="Times New Roman" w:hAnsi="Times New Roman" w:cs="Times New Roman"/>
          <w:sz w:val="24"/>
          <w:szCs w:val="24"/>
        </w:rPr>
        <w:t>(1865)</w:t>
      </w:r>
      <w:r w:rsidRPr="006E3415">
        <w:rPr>
          <w:rStyle w:val="FootnoteReference"/>
          <w:rFonts w:ascii="Times New Roman" w:hAnsi="Times New Roman" w:cs="Times New Roman"/>
          <w:sz w:val="24"/>
          <w:szCs w:val="24"/>
        </w:rPr>
        <w:footnoteReference w:id="201"/>
      </w:r>
      <w:r w:rsidRPr="006E3415">
        <w:rPr>
          <w:rStyle w:val="FootnoteReference"/>
          <w:rFonts w:ascii="Times New Roman" w:hAnsi="Times New Roman" w:cs="Times New Roman"/>
          <w:sz w:val="24"/>
          <w:szCs w:val="24"/>
        </w:rPr>
        <w:t xml:space="preserve">, </w:t>
      </w:r>
      <w:r w:rsidRPr="006E3415">
        <w:rPr>
          <w:rFonts w:ascii="Times New Roman" w:hAnsi="Times New Roman" w:cs="Times New Roman"/>
          <w:i/>
          <w:iCs/>
          <w:sz w:val="24"/>
          <w:szCs w:val="24"/>
        </w:rPr>
        <w:t>Haigh v Kaye</w:t>
      </w:r>
      <w:r w:rsidR="00066AD0">
        <w:rPr>
          <w:rFonts w:ascii="Times New Roman" w:hAnsi="Times New Roman" w:cs="Times New Roman"/>
          <w:i/>
          <w:iCs/>
          <w:sz w:val="24"/>
          <w:szCs w:val="24"/>
        </w:rPr>
        <w:t xml:space="preserve"> </w:t>
      </w:r>
      <w:r w:rsidR="00066AD0">
        <w:rPr>
          <w:rFonts w:ascii="Times New Roman" w:hAnsi="Times New Roman" w:cs="Times New Roman"/>
          <w:iCs/>
          <w:sz w:val="24"/>
          <w:szCs w:val="24"/>
        </w:rPr>
        <w:t>(1872)</w:t>
      </w:r>
      <w:r w:rsidRPr="006E3415">
        <w:rPr>
          <w:rFonts w:ascii="Times New Roman" w:hAnsi="Times New Roman" w:cs="Times New Roman"/>
          <w:i/>
          <w:iCs/>
          <w:sz w:val="24"/>
          <w:szCs w:val="24"/>
        </w:rPr>
        <w:t>,</w:t>
      </w:r>
      <w:r w:rsidRPr="006E3415">
        <w:rPr>
          <w:rStyle w:val="FootnoteReference"/>
          <w:rFonts w:ascii="Times New Roman" w:hAnsi="Times New Roman" w:cs="Times New Roman"/>
          <w:sz w:val="24"/>
          <w:szCs w:val="24"/>
        </w:rPr>
        <w:footnoteReference w:id="202"/>
      </w:r>
      <w:r w:rsidRPr="006E3415">
        <w:rPr>
          <w:rFonts w:ascii="Times New Roman" w:hAnsi="Times New Roman" w:cs="Times New Roman"/>
          <w:i/>
          <w:iCs/>
          <w:sz w:val="24"/>
          <w:szCs w:val="24"/>
        </w:rPr>
        <w:t xml:space="preserve"> </w:t>
      </w:r>
      <w:r w:rsidRPr="006E3415">
        <w:rPr>
          <w:rFonts w:ascii="Times New Roman" w:hAnsi="Times New Roman" w:cs="Times New Roman"/>
          <w:iCs/>
          <w:sz w:val="24"/>
          <w:szCs w:val="24"/>
        </w:rPr>
        <w:t xml:space="preserve">and </w:t>
      </w:r>
      <w:r w:rsidRPr="006E3415">
        <w:rPr>
          <w:rFonts w:ascii="Times New Roman" w:hAnsi="Times New Roman" w:cs="Times New Roman"/>
          <w:i/>
          <w:iCs/>
          <w:sz w:val="24"/>
          <w:szCs w:val="24"/>
        </w:rPr>
        <w:t>Re Duke of Marlborough</w:t>
      </w:r>
      <w:r w:rsidR="00066AD0">
        <w:rPr>
          <w:rFonts w:ascii="Times New Roman" w:hAnsi="Times New Roman" w:cs="Times New Roman"/>
          <w:i/>
          <w:iCs/>
          <w:sz w:val="24"/>
          <w:szCs w:val="24"/>
        </w:rPr>
        <w:t xml:space="preserve"> </w:t>
      </w:r>
      <w:r w:rsidR="00066AD0">
        <w:rPr>
          <w:rFonts w:ascii="Times New Roman" w:hAnsi="Times New Roman" w:cs="Times New Roman"/>
          <w:iCs/>
          <w:sz w:val="24"/>
          <w:szCs w:val="24"/>
        </w:rPr>
        <w:t>(1894)</w:t>
      </w:r>
      <w:r w:rsidRPr="006E3415">
        <w:rPr>
          <w:rFonts w:ascii="Times New Roman" w:hAnsi="Times New Roman" w:cs="Times New Roman"/>
          <w:iCs/>
          <w:sz w:val="24"/>
          <w:szCs w:val="24"/>
        </w:rPr>
        <w:t>,</w:t>
      </w:r>
      <w:r w:rsidRPr="00EC3C51">
        <w:rPr>
          <w:rStyle w:val="FootnoteReference"/>
          <w:rFonts w:ascii="Times New Roman" w:hAnsi="Times New Roman" w:cs="Times New Roman"/>
          <w:iCs/>
          <w:sz w:val="24"/>
          <w:szCs w:val="24"/>
        </w:rPr>
        <w:footnoteReference w:id="203"/>
      </w:r>
      <w:r w:rsidRPr="00EC3C51">
        <w:rPr>
          <w:rFonts w:ascii="Times New Roman" w:hAnsi="Times New Roman" w:cs="Times New Roman"/>
          <w:sz w:val="24"/>
          <w:szCs w:val="24"/>
        </w:rPr>
        <w:t xml:space="preserve"> </w:t>
      </w:r>
      <w:r w:rsidR="002074B1">
        <w:rPr>
          <w:rFonts w:ascii="Times New Roman" w:hAnsi="Times New Roman" w:cs="Times New Roman"/>
          <w:sz w:val="24"/>
          <w:szCs w:val="24"/>
        </w:rPr>
        <w:t>unlike</w:t>
      </w:r>
      <w:r w:rsidRPr="006E3415">
        <w:rPr>
          <w:rFonts w:ascii="Times New Roman" w:hAnsi="Times New Roman" w:cs="Times New Roman"/>
          <w:sz w:val="24"/>
          <w:szCs w:val="24"/>
        </w:rPr>
        <w:t xml:space="preserve"> </w:t>
      </w:r>
      <w:r w:rsidRPr="006E3415">
        <w:rPr>
          <w:rFonts w:ascii="Times New Roman" w:hAnsi="Times New Roman" w:cs="Times New Roman"/>
          <w:i/>
          <w:sz w:val="24"/>
          <w:szCs w:val="24"/>
        </w:rPr>
        <w:t xml:space="preserve">Rochefoucauld, </w:t>
      </w:r>
      <w:r w:rsidRPr="006E3415">
        <w:rPr>
          <w:rFonts w:ascii="Times New Roman" w:hAnsi="Times New Roman" w:cs="Times New Roman"/>
          <w:sz w:val="24"/>
          <w:szCs w:val="24"/>
        </w:rPr>
        <w:t>the party claiming the benefit of the parol trust was the party who had conveyed the land to the alleged trustee. Lindley LJ explained that these authorities</w:t>
      </w:r>
      <w:r w:rsidRPr="006E3415">
        <w:rPr>
          <w:rFonts w:ascii="Times New Roman" w:hAnsi="Times New Roman" w:cs="Times New Roman"/>
          <w:i/>
          <w:iCs/>
          <w:sz w:val="24"/>
          <w:szCs w:val="24"/>
        </w:rPr>
        <w:t xml:space="preserve"> </w:t>
      </w:r>
      <w:r w:rsidRPr="006E3415">
        <w:rPr>
          <w:rFonts w:ascii="Times New Roman" w:hAnsi="Times New Roman" w:cs="Times New Roman"/>
          <w:sz w:val="24"/>
          <w:szCs w:val="24"/>
        </w:rPr>
        <w:t>were cases of fraud because, prior to the conveyance, the plaintiff and the defendant had orally agreed that the plaintiff would take the beneficial interest in the land upon completion of the conveyance. The fraud lay in the defendant knowingly reneging upon the agreement after having taken the conveyance.</w:t>
      </w:r>
    </w:p>
    <w:p w:rsidR="00BC3605" w:rsidRPr="006E3415" w:rsidRDefault="00BC3605" w:rsidP="00746BFF">
      <w:pPr>
        <w:spacing w:after="0" w:line="360" w:lineRule="auto"/>
        <w:rPr>
          <w:rFonts w:ascii="Times New Roman" w:hAnsi="Times New Roman" w:cs="Times New Roman"/>
          <w:sz w:val="24"/>
          <w:szCs w:val="24"/>
        </w:rPr>
      </w:pPr>
    </w:p>
    <w:p w:rsidR="00BC3605" w:rsidRPr="006E3415" w:rsidRDefault="00BC3605"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In all of those cases, and in </w:t>
      </w:r>
      <w:r w:rsidRPr="006E3415">
        <w:rPr>
          <w:rFonts w:ascii="Times New Roman" w:hAnsi="Times New Roman" w:cs="Times New Roman"/>
          <w:i/>
          <w:sz w:val="24"/>
          <w:szCs w:val="24"/>
        </w:rPr>
        <w:t xml:space="preserve">Rochefoucauld </w:t>
      </w:r>
      <w:r w:rsidRPr="006E3415">
        <w:rPr>
          <w:rFonts w:ascii="Times New Roman" w:hAnsi="Times New Roman" w:cs="Times New Roman"/>
          <w:sz w:val="24"/>
          <w:szCs w:val="24"/>
        </w:rPr>
        <w:t xml:space="preserve">itself, </w:t>
      </w:r>
      <w:r w:rsidRPr="006E3415">
        <w:rPr>
          <w:rFonts w:ascii="Times New Roman" w:hAnsi="Times New Roman" w:cs="Times New Roman"/>
          <w:i/>
          <w:iCs/>
          <w:sz w:val="24"/>
          <w:szCs w:val="24"/>
        </w:rPr>
        <w:t>Lincoln v Wrigh</w:t>
      </w:r>
      <w:r w:rsidR="00DC2A23" w:rsidRPr="006E3415">
        <w:rPr>
          <w:rFonts w:ascii="Times New Roman" w:hAnsi="Times New Roman" w:cs="Times New Roman"/>
          <w:i/>
          <w:iCs/>
          <w:sz w:val="24"/>
          <w:szCs w:val="24"/>
        </w:rPr>
        <w:t>t</w:t>
      </w:r>
      <w:r w:rsidR="00066AD0">
        <w:rPr>
          <w:rFonts w:ascii="Times New Roman" w:hAnsi="Times New Roman" w:cs="Times New Roman"/>
          <w:i/>
          <w:iCs/>
          <w:sz w:val="24"/>
          <w:szCs w:val="24"/>
        </w:rPr>
        <w:t xml:space="preserve"> </w:t>
      </w:r>
      <w:r w:rsidR="00066AD0">
        <w:rPr>
          <w:rFonts w:ascii="Times New Roman" w:hAnsi="Times New Roman" w:cs="Times New Roman"/>
          <w:iCs/>
          <w:sz w:val="24"/>
          <w:szCs w:val="24"/>
        </w:rPr>
        <w:t>(1859)</w:t>
      </w:r>
      <w:r w:rsidRPr="006E3415">
        <w:rPr>
          <w:rStyle w:val="FootnoteReference"/>
          <w:rFonts w:ascii="Times New Roman" w:hAnsi="Times New Roman" w:cs="Times New Roman"/>
          <w:sz w:val="24"/>
          <w:szCs w:val="24"/>
        </w:rPr>
        <w:footnoteReference w:id="204"/>
      </w:r>
      <w:r w:rsidRPr="006E3415">
        <w:rPr>
          <w:rFonts w:ascii="Times New Roman" w:hAnsi="Times New Roman" w:cs="Times New Roman"/>
          <w:i/>
          <w:iCs/>
          <w:sz w:val="24"/>
          <w:szCs w:val="24"/>
        </w:rPr>
        <w:t xml:space="preserve"> </w:t>
      </w:r>
      <w:r w:rsidRPr="006E3415">
        <w:rPr>
          <w:rFonts w:ascii="Times New Roman" w:hAnsi="Times New Roman" w:cs="Times New Roman"/>
          <w:iCs/>
          <w:sz w:val="24"/>
          <w:szCs w:val="24"/>
        </w:rPr>
        <w:t>was</w:t>
      </w:r>
      <w:r w:rsidR="00914368">
        <w:rPr>
          <w:rFonts w:ascii="Times New Roman" w:hAnsi="Times New Roman" w:cs="Times New Roman"/>
          <w:iCs/>
          <w:sz w:val="24"/>
          <w:szCs w:val="24"/>
        </w:rPr>
        <w:t xml:space="preserve"> expressly followed</w:t>
      </w:r>
      <w:r w:rsidRPr="006E3415">
        <w:rPr>
          <w:rFonts w:ascii="Times New Roman" w:hAnsi="Times New Roman" w:cs="Times New Roman"/>
          <w:iCs/>
          <w:sz w:val="24"/>
          <w:szCs w:val="24"/>
        </w:rPr>
        <w:t>. In this case</w:t>
      </w:r>
      <w:r w:rsidRPr="006E3415">
        <w:rPr>
          <w:rFonts w:ascii="Times New Roman" w:hAnsi="Times New Roman" w:cs="Times New Roman"/>
          <w:sz w:val="24"/>
          <w:szCs w:val="24"/>
        </w:rPr>
        <w:t xml:space="preserve">, the plaintiff’s land was sold to Wright by a mortgagee in exercise of a </w:t>
      </w:r>
      <w:r w:rsidRPr="006E3415">
        <w:rPr>
          <w:rFonts w:ascii="Times New Roman" w:hAnsi="Times New Roman" w:cs="Times New Roman"/>
          <w:sz w:val="24"/>
          <w:szCs w:val="24"/>
        </w:rPr>
        <w:lastRenderedPageBreak/>
        <w:t>power of sale. The mortgagee had been threatening to exercise the power, so Wright and the plaintiff had orally agreed that Wright would buy the land and subsequently allow the plaintiff to remain in possession and retake title once the purchase money had been repaid to Wright. The defendant, Wright’s next-of-kin, sought to evict the plaintiff. It was held that the parol agreement between the plaintiff and Wright amounted to an equitable mortgage, notwithstanding that the formality requirements of the Statute of Frauds had not been complied with.</w:t>
      </w:r>
      <w:r w:rsidRPr="006E3415">
        <w:rPr>
          <w:rStyle w:val="FootnoteReference"/>
          <w:rFonts w:ascii="Times New Roman" w:hAnsi="Times New Roman" w:cs="Times New Roman"/>
          <w:sz w:val="24"/>
          <w:szCs w:val="24"/>
        </w:rPr>
        <w:footnoteReference w:id="205"/>
      </w:r>
      <w:r w:rsidRPr="006E3415">
        <w:rPr>
          <w:rFonts w:ascii="Times New Roman" w:hAnsi="Times New Roman" w:cs="Times New Roman"/>
          <w:sz w:val="24"/>
          <w:szCs w:val="24"/>
        </w:rPr>
        <w:t xml:space="preserve"> Turner LJ stated that:</w:t>
      </w:r>
    </w:p>
    <w:p w:rsidR="00BC3605" w:rsidRPr="006E3415" w:rsidRDefault="00BC3605" w:rsidP="00746BFF">
      <w:pPr>
        <w:pStyle w:val="Standard"/>
        <w:spacing w:line="360" w:lineRule="auto"/>
        <w:rPr>
          <w:rFonts w:cs="Times New Roman"/>
        </w:rPr>
      </w:pPr>
    </w:p>
    <w:p w:rsidR="00BC3605" w:rsidRPr="006E3415" w:rsidRDefault="00BC3605" w:rsidP="00746BFF">
      <w:pPr>
        <w:pStyle w:val="Standard"/>
        <w:spacing w:line="360" w:lineRule="auto"/>
        <w:ind w:left="720"/>
        <w:rPr>
          <w:rFonts w:cs="Times New Roman"/>
        </w:rPr>
      </w:pPr>
      <w:r w:rsidRPr="006E3415">
        <w:rPr>
          <w:rFonts w:cs="Times New Roman"/>
        </w:rPr>
        <w:t>the Statute of Frauds was not made to cover fraud. If the real agreement in this case was that as between the Plaintiff and Wright the transaction should be a mortgage transaction, it is in the eye of this Court a fraud to insist on the conveyance as being absolute, and parol evidence must be admissible to prove the fraud.</w:t>
      </w:r>
      <w:r w:rsidRPr="006E3415">
        <w:rPr>
          <w:rStyle w:val="FootnoteReference"/>
          <w:rFonts w:cs="Times New Roman"/>
        </w:rPr>
        <w:footnoteReference w:id="206"/>
      </w:r>
    </w:p>
    <w:p w:rsidR="00BC3605" w:rsidRPr="006E3415" w:rsidRDefault="00BC3605" w:rsidP="00746BFF">
      <w:pPr>
        <w:pStyle w:val="Standard"/>
        <w:spacing w:line="360" w:lineRule="auto"/>
        <w:rPr>
          <w:rFonts w:cs="Times New Roman"/>
        </w:rPr>
      </w:pPr>
    </w:p>
    <w:p w:rsidR="00BC3605" w:rsidRPr="006E3415" w:rsidRDefault="00BC3605" w:rsidP="00746BFF">
      <w:pPr>
        <w:pStyle w:val="Standard"/>
        <w:spacing w:line="360" w:lineRule="auto"/>
        <w:rPr>
          <w:rFonts w:cs="Times New Roman"/>
        </w:rPr>
      </w:pPr>
      <w:r w:rsidRPr="006E3415">
        <w:rPr>
          <w:rFonts w:cs="Times New Roman"/>
        </w:rPr>
        <w:t>Turner LJ’s judgment is striking in its similarity to that of Lindley LJ, particularly in respect of the routine manner in which the defendant’s conduct, in similar circumstances, was deemed a fraud.</w:t>
      </w:r>
      <w:r w:rsidRPr="006E3415">
        <w:rPr>
          <w:rStyle w:val="FootnoteReference"/>
          <w:rFonts w:cs="Times New Roman"/>
        </w:rPr>
        <w:footnoteReference w:id="207"/>
      </w:r>
      <w:r w:rsidRPr="006E3415">
        <w:rPr>
          <w:rFonts w:cs="Times New Roman"/>
        </w:rPr>
        <w:t xml:space="preserve"> It seems to have been </w:t>
      </w:r>
      <w:r w:rsidR="00BF2E4D" w:rsidRPr="006E3415">
        <w:rPr>
          <w:rFonts w:cs="Times New Roman"/>
        </w:rPr>
        <w:t xml:space="preserve">widely understood </w:t>
      </w:r>
      <w:r w:rsidRPr="006E3415">
        <w:rPr>
          <w:rFonts w:cs="Times New Roman"/>
        </w:rPr>
        <w:t>in the nineteenth century that entering into a parol agreement of this nature prior to the conveyance and knowingly reneging thereupon after the conveyance amounted to a fraud.</w:t>
      </w:r>
      <w:r w:rsidR="00754B4E">
        <w:rPr>
          <w:rStyle w:val="FootnoteReference"/>
          <w:rFonts w:cs="Times New Roman"/>
        </w:rPr>
        <w:footnoteReference w:id="208"/>
      </w:r>
      <w:r w:rsidRPr="006E3415">
        <w:rPr>
          <w:rFonts w:cs="Times New Roman"/>
        </w:rPr>
        <w:t xml:space="preserve"> </w:t>
      </w:r>
    </w:p>
    <w:p w:rsidR="00BC3605" w:rsidRPr="006E3415" w:rsidRDefault="00BC3605" w:rsidP="00746BFF">
      <w:pPr>
        <w:pStyle w:val="Standard"/>
        <w:spacing w:line="360" w:lineRule="auto"/>
        <w:rPr>
          <w:rFonts w:cs="Times New Roman"/>
        </w:rPr>
      </w:pPr>
    </w:p>
    <w:p w:rsidR="00BC3605" w:rsidRPr="006E3415" w:rsidRDefault="00BC3605" w:rsidP="00746BFF">
      <w:pPr>
        <w:pStyle w:val="Standard"/>
        <w:spacing w:line="360" w:lineRule="auto"/>
        <w:rPr>
          <w:rFonts w:cs="Times New Roman"/>
          <w:iCs/>
        </w:rPr>
      </w:pPr>
      <w:r w:rsidRPr="006E3415">
        <w:rPr>
          <w:rFonts w:cs="Times New Roman"/>
        </w:rPr>
        <w:t xml:space="preserve">In addition to the cases cited by Lindley LJ, there are several earlier authorities which are consistent on the point of fraud. In </w:t>
      </w:r>
      <w:r w:rsidRPr="006E3415">
        <w:rPr>
          <w:rFonts w:cs="Times New Roman"/>
          <w:i/>
          <w:iCs/>
        </w:rPr>
        <w:t>Young v Peachy</w:t>
      </w:r>
      <w:r w:rsidR="00066AD0">
        <w:rPr>
          <w:rFonts w:cs="Times New Roman"/>
          <w:i/>
          <w:iCs/>
        </w:rPr>
        <w:t xml:space="preserve"> </w:t>
      </w:r>
      <w:r w:rsidR="00066AD0">
        <w:rPr>
          <w:rFonts w:cs="Times New Roman"/>
          <w:iCs/>
        </w:rPr>
        <w:t>(1741)</w:t>
      </w:r>
      <w:r w:rsidRPr="006E3415">
        <w:rPr>
          <w:rFonts w:cs="Times New Roman"/>
          <w:i/>
          <w:iCs/>
        </w:rPr>
        <w:t>,</w:t>
      </w:r>
      <w:r w:rsidRPr="006E3415">
        <w:rPr>
          <w:rStyle w:val="FootnoteReference"/>
          <w:rFonts w:cs="Times New Roman"/>
        </w:rPr>
        <w:footnoteReference w:id="209"/>
      </w:r>
      <w:r w:rsidRPr="006E3415">
        <w:rPr>
          <w:rFonts w:cs="Times New Roman"/>
        </w:rPr>
        <w:t xml:space="preserve"> for example, the plaintiff, in similar circumstances, was ‘relieved under the head of fraud’</w:t>
      </w:r>
      <w:r w:rsidRPr="006E3415">
        <w:rPr>
          <w:rStyle w:val="FootnoteReference"/>
          <w:rFonts w:cs="Times New Roman"/>
        </w:rPr>
        <w:footnoteReference w:id="210"/>
      </w:r>
      <w:r w:rsidRPr="006E3415">
        <w:rPr>
          <w:rFonts w:cs="Times New Roman"/>
        </w:rPr>
        <w:t xml:space="preserve">. Other early examples include </w:t>
      </w:r>
      <w:r w:rsidRPr="006E3415">
        <w:rPr>
          <w:rFonts w:cs="Times New Roman"/>
          <w:i/>
          <w:iCs/>
        </w:rPr>
        <w:t>Hutchins v Lee</w:t>
      </w:r>
      <w:r w:rsidR="00066AD0">
        <w:rPr>
          <w:rFonts w:cs="Times New Roman"/>
          <w:i/>
          <w:iCs/>
        </w:rPr>
        <w:t xml:space="preserve"> </w:t>
      </w:r>
      <w:r w:rsidR="00066AD0">
        <w:rPr>
          <w:rFonts w:cs="Times New Roman"/>
          <w:iCs/>
        </w:rPr>
        <w:t>(1737)</w:t>
      </w:r>
      <w:r w:rsidRPr="006E3415">
        <w:rPr>
          <w:rStyle w:val="FootnoteReference"/>
          <w:rFonts w:cs="Times New Roman"/>
        </w:rPr>
        <w:footnoteReference w:id="211"/>
      </w:r>
      <w:r w:rsidRPr="006E3415">
        <w:rPr>
          <w:rFonts w:cs="Times New Roman"/>
        </w:rPr>
        <w:t xml:space="preserve"> and </w:t>
      </w:r>
      <w:r w:rsidRPr="006E3415">
        <w:rPr>
          <w:rFonts w:cs="Times New Roman"/>
          <w:i/>
          <w:iCs/>
        </w:rPr>
        <w:t>Cripps v Jee</w:t>
      </w:r>
      <w:r w:rsidR="00066AD0">
        <w:rPr>
          <w:rFonts w:cs="Times New Roman"/>
          <w:i/>
          <w:iCs/>
        </w:rPr>
        <w:t xml:space="preserve"> </w:t>
      </w:r>
      <w:r w:rsidR="00066AD0">
        <w:rPr>
          <w:rFonts w:cs="Times New Roman"/>
          <w:iCs/>
        </w:rPr>
        <w:t>(1793)</w:t>
      </w:r>
      <w:r w:rsidRPr="006E3415">
        <w:rPr>
          <w:rStyle w:val="FootnoteReference"/>
          <w:rFonts w:cs="Times New Roman"/>
        </w:rPr>
        <w:footnoteReference w:id="212"/>
      </w:r>
      <w:r w:rsidRPr="006E3415">
        <w:rPr>
          <w:rFonts w:cs="Times New Roman"/>
          <w:i/>
          <w:iCs/>
        </w:rPr>
        <w:t xml:space="preserve">. </w:t>
      </w:r>
      <w:r w:rsidRPr="006E3415">
        <w:rPr>
          <w:rFonts w:cs="Times New Roman"/>
        </w:rPr>
        <w:t xml:space="preserve">A slightly </w:t>
      </w:r>
      <w:r w:rsidR="00E45A26" w:rsidRPr="006E3415">
        <w:rPr>
          <w:rFonts w:cs="Times New Roman"/>
        </w:rPr>
        <w:t>anomalous</w:t>
      </w:r>
      <w:r w:rsidRPr="006E3415">
        <w:rPr>
          <w:rFonts w:cs="Times New Roman"/>
        </w:rPr>
        <w:t xml:space="preserve"> authority </w:t>
      </w:r>
      <w:r w:rsidRPr="006E3415">
        <w:rPr>
          <w:rFonts w:cs="Times New Roman"/>
        </w:rPr>
        <w:lastRenderedPageBreak/>
        <w:t xml:space="preserve">is </w:t>
      </w:r>
      <w:r w:rsidRPr="006E3415">
        <w:rPr>
          <w:rFonts w:cs="Times New Roman"/>
          <w:i/>
          <w:iCs/>
        </w:rPr>
        <w:t>Wilkinson v Brayfield</w:t>
      </w:r>
      <w:r w:rsidR="00066AD0">
        <w:rPr>
          <w:rFonts w:cs="Times New Roman"/>
          <w:i/>
          <w:iCs/>
        </w:rPr>
        <w:t xml:space="preserve"> </w:t>
      </w:r>
      <w:r w:rsidR="00066AD0" w:rsidRPr="00066AD0">
        <w:rPr>
          <w:rFonts w:cs="Times New Roman"/>
          <w:iCs/>
        </w:rPr>
        <w:t>(1693)</w:t>
      </w:r>
      <w:r w:rsidRPr="006E3415">
        <w:rPr>
          <w:rFonts w:cs="Times New Roman"/>
          <w:iCs/>
        </w:rPr>
        <w:t>.</w:t>
      </w:r>
      <w:r w:rsidRPr="006E3415">
        <w:rPr>
          <w:rStyle w:val="FootnoteReference"/>
          <w:rFonts w:cs="Times New Roman"/>
        </w:rPr>
        <w:footnoteReference w:id="213"/>
      </w:r>
      <w:r w:rsidRPr="006E3415">
        <w:rPr>
          <w:rFonts w:cs="Times New Roman"/>
          <w:iCs/>
        </w:rPr>
        <w:t xml:space="preserve"> In this case, the defendant had taken a conveyance from the plaintiff subject to a parol agreement for a trust which he later sought to renege upon. The trust was enforced because the conveyance was held to have been</w:t>
      </w:r>
      <w:r w:rsidRPr="006E3415">
        <w:rPr>
          <w:rFonts w:cs="Times New Roman"/>
        </w:rPr>
        <w:t xml:space="preserve"> ‘fraudulently obtained’.</w:t>
      </w:r>
      <w:r w:rsidRPr="006E3415">
        <w:rPr>
          <w:rStyle w:val="FootnoteReference"/>
          <w:rFonts w:cs="Times New Roman"/>
        </w:rPr>
        <w:footnoteReference w:id="214"/>
      </w:r>
      <w:r w:rsidRPr="006E3415">
        <w:rPr>
          <w:rFonts w:cs="Times New Roman"/>
        </w:rPr>
        <w:t xml:space="preserve"> This may suggest that in the decades after the enactment of the Statute of Frauds, it was thought that the fraud lay in the plaintiff having been persuaded by the parol agreement into surrendering her land to the defendant. According to </w:t>
      </w:r>
      <w:r w:rsidRPr="006E3415">
        <w:rPr>
          <w:rFonts w:cs="Times New Roman"/>
          <w:i/>
        </w:rPr>
        <w:t>McCormick</w:t>
      </w:r>
      <w:r w:rsidRPr="006E3415">
        <w:rPr>
          <w:rFonts w:cs="Times New Roman"/>
        </w:rPr>
        <w:t xml:space="preserve">, such views persisted into the nineteenth century in respect of secret trusts. The other authorities concerning </w:t>
      </w:r>
      <w:r w:rsidRPr="006E3415">
        <w:rPr>
          <w:rFonts w:cs="Times New Roman"/>
          <w:i/>
        </w:rPr>
        <w:t xml:space="preserve">inter vivos </w:t>
      </w:r>
      <w:r w:rsidRPr="006E3415">
        <w:rPr>
          <w:rFonts w:cs="Times New Roman"/>
        </w:rPr>
        <w:t xml:space="preserve">dispositions subject to parol trusts do not follow </w:t>
      </w:r>
      <w:r w:rsidRPr="006E3415">
        <w:rPr>
          <w:rFonts w:cs="Times New Roman"/>
          <w:i/>
        </w:rPr>
        <w:t xml:space="preserve">Wilkinson </w:t>
      </w:r>
      <w:r w:rsidRPr="006E3415">
        <w:rPr>
          <w:rFonts w:cs="Times New Roman"/>
        </w:rPr>
        <w:t>on this point, however.</w:t>
      </w:r>
    </w:p>
    <w:p w:rsidR="00BC3605" w:rsidRPr="006E3415" w:rsidRDefault="00BC3605" w:rsidP="00746BFF">
      <w:pPr>
        <w:pStyle w:val="Standard"/>
        <w:spacing w:line="360" w:lineRule="auto"/>
        <w:rPr>
          <w:rFonts w:cs="Times New Roman"/>
        </w:rPr>
      </w:pPr>
    </w:p>
    <w:p w:rsidR="00BC3605" w:rsidRPr="006E3415" w:rsidRDefault="00BC3605" w:rsidP="00746BFF">
      <w:pPr>
        <w:pStyle w:val="Standard"/>
        <w:spacing w:line="360" w:lineRule="auto"/>
        <w:rPr>
          <w:rFonts w:cs="Times New Roman"/>
        </w:rPr>
      </w:pPr>
      <w:r w:rsidRPr="006E3415">
        <w:rPr>
          <w:rFonts w:cs="Times New Roman"/>
        </w:rPr>
        <w:t>It is therefore submitted that the authorities considered above</w:t>
      </w:r>
      <w:r w:rsidRPr="006E3415">
        <w:rPr>
          <w:rFonts w:cs="Times New Roman"/>
          <w:i/>
          <w:iCs/>
        </w:rPr>
        <w:t xml:space="preserve"> </w:t>
      </w:r>
      <w:r w:rsidRPr="006E3415">
        <w:rPr>
          <w:rFonts w:cs="Times New Roman"/>
        </w:rPr>
        <w:t xml:space="preserve">overwhelmingly suggest that, by 1896, it was well established that conduct such as that of Boustead, at least in cases involving </w:t>
      </w:r>
      <w:r w:rsidRPr="006E3415">
        <w:rPr>
          <w:rFonts w:cs="Times New Roman"/>
          <w:i/>
        </w:rPr>
        <w:t xml:space="preserve">inter vivos </w:t>
      </w:r>
      <w:r w:rsidRPr="006E3415">
        <w:rPr>
          <w:rFonts w:cs="Times New Roman"/>
        </w:rPr>
        <w:t>transact</w:t>
      </w:r>
      <w:r w:rsidR="002C30E3" w:rsidRPr="006E3415">
        <w:rPr>
          <w:rFonts w:cs="Times New Roman"/>
        </w:rPr>
        <w:t>ions</w:t>
      </w:r>
      <w:r w:rsidRPr="006E3415">
        <w:rPr>
          <w:rFonts w:cs="Times New Roman"/>
        </w:rPr>
        <w:t xml:space="preserve">, amounted to equitable fraud. This fraud did not depend on the perpetrator having deceived the plaintiff into conveying his or her land, or on the plaintiff having deceitful designs at the time of the parol agreement. </w:t>
      </w:r>
    </w:p>
    <w:p w:rsidR="002C30E3" w:rsidRPr="006E3415" w:rsidRDefault="002C30E3" w:rsidP="00746BFF">
      <w:pPr>
        <w:pStyle w:val="Standard"/>
        <w:spacing w:line="360" w:lineRule="auto"/>
        <w:rPr>
          <w:rFonts w:cs="Times New Roman"/>
        </w:rPr>
      </w:pPr>
    </w:p>
    <w:p w:rsidR="002C30E3" w:rsidRPr="006E3415" w:rsidRDefault="002C30E3" w:rsidP="00746BFF">
      <w:pPr>
        <w:pStyle w:val="Standard"/>
        <w:spacing w:line="360" w:lineRule="auto"/>
        <w:rPr>
          <w:rFonts w:cs="Times New Roman"/>
        </w:rPr>
      </w:pPr>
    </w:p>
    <w:p w:rsidR="00BC3605" w:rsidRPr="006E3415" w:rsidRDefault="002C30E3" w:rsidP="00746BFF">
      <w:pPr>
        <w:pStyle w:val="Standard"/>
        <w:numPr>
          <w:ilvl w:val="0"/>
          <w:numId w:val="8"/>
        </w:numPr>
        <w:spacing w:line="360" w:lineRule="auto"/>
        <w:rPr>
          <w:rFonts w:cs="Times New Roman"/>
          <w:b/>
        </w:rPr>
      </w:pPr>
      <w:r w:rsidRPr="006E3415">
        <w:rPr>
          <w:rFonts w:cs="Times New Roman"/>
          <w:i/>
        </w:rPr>
        <w:t xml:space="preserve">The reception of </w:t>
      </w:r>
      <w:r w:rsidRPr="006E3415">
        <w:rPr>
          <w:rFonts w:cs="Times New Roman"/>
        </w:rPr>
        <w:t xml:space="preserve">Rochefoucauld </w:t>
      </w:r>
      <w:r w:rsidRPr="006E3415">
        <w:rPr>
          <w:rFonts w:cs="Times New Roman"/>
          <w:i/>
        </w:rPr>
        <w:t>in respect of the fraud issue</w:t>
      </w:r>
    </w:p>
    <w:p w:rsidR="00BC3605" w:rsidRPr="006E3415" w:rsidRDefault="00BC3605" w:rsidP="00746BFF">
      <w:pPr>
        <w:pStyle w:val="Standard"/>
        <w:spacing w:line="360" w:lineRule="auto"/>
        <w:rPr>
          <w:rFonts w:cs="Times New Roman"/>
        </w:rPr>
      </w:pPr>
    </w:p>
    <w:p w:rsidR="00BC3605" w:rsidRPr="006E3415" w:rsidRDefault="00BC3605" w:rsidP="00746BFF">
      <w:pPr>
        <w:pStyle w:val="Standard"/>
        <w:spacing w:line="360" w:lineRule="auto"/>
        <w:rPr>
          <w:rFonts w:cs="Times New Roman"/>
        </w:rPr>
      </w:pPr>
      <w:r w:rsidRPr="006E3415">
        <w:rPr>
          <w:rFonts w:cs="Times New Roman"/>
        </w:rPr>
        <w:t xml:space="preserve">The routine nature of the decision in </w:t>
      </w:r>
      <w:r w:rsidRPr="006E3415">
        <w:rPr>
          <w:rFonts w:cs="Times New Roman"/>
          <w:i/>
        </w:rPr>
        <w:t>Rochefoucauld</w:t>
      </w:r>
      <w:r w:rsidRPr="006E3415">
        <w:rPr>
          <w:rFonts w:cs="Times New Roman"/>
        </w:rPr>
        <w:t xml:space="preserve"> and the apparently settled conception of equitable fraud in similar cases probably explains why the aspects of the decision dealing with these matters were not subjected </w:t>
      </w:r>
      <w:r w:rsidR="002074B1">
        <w:rPr>
          <w:rFonts w:cs="Times New Roman"/>
        </w:rPr>
        <w:t xml:space="preserve">to a great deal of analysis </w:t>
      </w:r>
      <w:r w:rsidR="002074B1" w:rsidRPr="002074B1">
        <w:rPr>
          <w:rFonts w:cs="Times New Roman"/>
          <w:highlight w:val="yellow"/>
        </w:rPr>
        <w:t>by legal scholars and commentators at the time</w:t>
      </w:r>
      <w:r w:rsidRPr="006E3415">
        <w:rPr>
          <w:rFonts w:cs="Times New Roman"/>
        </w:rPr>
        <w:t>. For example, probably the earliest comment on the case does not even mention fraud.</w:t>
      </w:r>
      <w:r w:rsidRPr="006E3415">
        <w:rPr>
          <w:rStyle w:val="FootnoteReference"/>
          <w:rFonts w:cs="Times New Roman"/>
        </w:rPr>
        <w:footnoteReference w:id="215"/>
      </w:r>
      <w:r w:rsidRPr="006E3415">
        <w:rPr>
          <w:rFonts w:cs="Times New Roman"/>
        </w:rPr>
        <w:t xml:space="preserve"> In Lewin on Trusts, </w:t>
      </w:r>
      <w:r w:rsidRPr="006E3415">
        <w:rPr>
          <w:rFonts w:cs="Times New Roman"/>
          <w:i/>
        </w:rPr>
        <w:t xml:space="preserve">Rochefoucauld </w:t>
      </w:r>
      <w:r w:rsidRPr="006E3415">
        <w:rPr>
          <w:rFonts w:cs="Times New Roman"/>
        </w:rPr>
        <w:t>was added to a footnote to text explaining the operation of the instrument of fraud principle.</w:t>
      </w:r>
      <w:r w:rsidRPr="006E3415">
        <w:rPr>
          <w:rStyle w:val="FootnoteReference"/>
          <w:rFonts w:cs="Times New Roman"/>
        </w:rPr>
        <w:footnoteReference w:id="216"/>
      </w:r>
      <w:r w:rsidRPr="006E3415">
        <w:rPr>
          <w:rFonts w:cs="Times New Roman"/>
        </w:rPr>
        <w:t xml:space="preserve"> Other cases such as </w:t>
      </w:r>
      <w:r w:rsidRPr="006E3415">
        <w:rPr>
          <w:rFonts w:cs="Times New Roman"/>
          <w:i/>
        </w:rPr>
        <w:t xml:space="preserve">Haigh, Marlborough </w:t>
      </w:r>
      <w:r w:rsidRPr="006E3415">
        <w:rPr>
          <w:rFonts w:cs="Times New Roman"/>
        </w:rPr>
        <w:t xml:space="preserve">and </w:t>
      </w:r>
      <w:r w:rsidRPr="006E3415">
        <w:rPr>
          <w:rFonts w:cs="Times New Roman"/>
          <w:i/>
        </w:rPr>
        <w:t xml:space="preserve">Davies </w:t>
      </w:r>
      <w:r w:rsidRPr="006E3415">
        <w:rPr>
          <w:rFonts w:cs="Times New Roman"/>
        </w:rPr>
        <w:t xml:space="preserve">were also cited. Similarly, Underhill simply included </w:t>
      </w:r>
      <w:r w:rsidRPr="006E3415">
        <w:rPr>
          <w:rFonts w:cs="Times New Roman"/>
          <w:i/>
        </w:rPr>
        <w:lastRenderedPageBreak/>
        <w:t xml:space="preserve">Rochefoucauld </w:t>
      </w:r>
      <w:r w:rsidRPr="006E3415">
        <w:rPr>
          <w:rFonts w:cs="Times New Roman"/>
        </w:rPr>
        <w:t>on a footnoted list of authorities in support of the instrument of fraud principle, alongside the above mentioned cases, plus some secret trusts cases.</w:t>
      </w:r>
      <w:r w:rsidRPr="006E3415">
        <w:rPr>
          <w:rStyle w:val="FootnoteReference"/>
          <w:rFonts w:cs="Times New Roman"/>
        </w:rPr>
        <w:footnoteReference w:id="217"/>
      </w:r>
    </w:p>
    <w:p w:rsidR="00BC3605" w:rsidRPr="006E3415" w:rsidRDefault="00BC3605" w:rsidP="00746BFF">
      <w:pPr>
        <w:pStyle w:val="Standard"/>
        <w:spacing w:line="360" w:lineRule="auto"/>
        <w:rPr>
          <w:rFonts w:cs="Times New Roman"/>
        </w:rPr>
      </w:pPr>
    </w:p>
    <w:p w:rsidR="00BC3605" w:rsidRPr="006E3415" w:rsidRDefault="00BC3605" w:rsidP="00746BFF">
      <w:pPr>
        <w:pStyle w:val="Standard"/>
        <w:spacing w:line="360" w:lineRule="auto"/>
        <w:rPr>
          <w:rFonts w:cs="Times New Roman"/>
        </w:rPr>
      </w:pPr>
      <w:r w:rsidRPr="006E3415">
        <w:rPr>
          <w:rFonts w:cs="Times New Roman"/>
        </w:rPr>
        <w:t xml:space="preserve">Comments in the Solicitors’ Journal on </w:t>
      </w:r>
      <w:r w:rsidRPr="006E3415">
        <w:rPr>
          <w:rFonts w:cs="Times New Roman"/>
          <w:i/>
        </w:rPr>
        <w:t xml:space="preserve">Rochefoucauld </w:t>
      </w:r>
      <w:r w:rsidRPr="006E3415">
        <w:rPr>
          <w:rFonts w:cs="Times New Roman"/>
        </w:rPr>
        <w:t>soon after the judgment, whilst recognising that it was not groundbreaking, do serve to corroborate many of the conclusions reached in this section regarding how equitable fraud was understood and applied in the nineteenth century:</w:t>
      </w:r>
    </w:p>
    <w:p w:rsidR="00BC3605" w:rsidRPr="006E3415" w:rsidRDefault="00BC3605" w:rsidP="00746BFF">
      <w:pPr>
        <w:pStyle w:val="Standard"/>
        <w:spacing w:line="360" w:lineRule="auto"/>
        <w:rPr>
          <w:rFonts w:cs="Times New Roman"/>
        </w:rPr>
      </w:pPr>
    </w:p>
    <w:p w:rsidR="00BC3605" w:rsidRPr="006E3415" w:rsidRDefault="00BC3605" w:rsidP="00746BFF">
      <w:pPr>
        <w:pStyle w:val="Standard"/>
        <w:spacing w:line="360" w:lineRule="auto"/>
        <w:ind w:left="720"/>
        <w:rPr>
          <w:rFonts w:cs="Times New Roman"/>
        </w:rPr>
      </w:pPr>
      <w:r w:rsidRPr="006E3415">
        <w:rPr>
          <w:rFonts w:cs="Times New Roman"/>
        </w:rPr>
        <w:t xml:space="preserve">The Statute of Frauds is not allowed to be made an instrument of fraud, and the court, in its tenderness for </w:t>
      </w:r>
      <w:r w:rsidRPr="006E3415">
        <w:rPr>
          <w:rFonts w:cs="Times New Roman"/>
          <w:i/>
        </w:rPr>
        <w:t>cestuis que trust</w:t>
      </w:r>
      <w:r w:rsidRPr="006E3415">
        <w:rPr>
          <w:rFonts w:cs="Times New Roman"/>
        </w:rPr>
        <w:t>, has said that the denial of a trust created by parol is in itself a fraud, for which the protection of the statute will be sought in vein. This, at least, is the later view… although formerly some actual fraud, in addition to the mere denial of the trust, was required.</w:t>
      </w:r>
      <w:r w:rsidRPr="006E3415">
        <w:rPr>
          <w:rStyle w:val="FootnoteReference"/>
          <w:rFonts w:cs="Times New Roman"/>
        </w:rPr>
        <w:footnoteReference w:id="218"/>
      </w:r>
    </w:p>
    <w:p w:rsidR="00BC3605" w:rsidRPr="006E3415" w:rsidRDefault="00BC3605" w:rsidP="00746BFF">
      <w:pPr>
        <w:pStyle w:val="Standard"/>
        <w:spacing w:line="360" w:lineRule="auto"/>
        <w:rPr>
          <w:rFonts w:cs="Times New Roman"/>
        </w:rPr>
      </w:pPr>
    </w:p>
    <w:p w:rsidR="00BC3605" w:rsidRPr="006E3415" w:rsidRDefault="00BC3605" w:rsidP="00746BFF">
      <w:pPr>
        <w:pStyle w:val="Standard"/>
        <w:spacing w:line="360" w:lineRule="auto"/>
        <w:rPr>
          <w:rFonts w:cs="Times New Roman"/>
        </w:rPr>
      </w:pPr>
      <w:r w:rsidRPr="006E3415">
        <w:rPr>
          <w:rFonts w:cs="Times New Roman"/>
        </w:rPr>
        <w:t xml:space="preserve">Cases cited in support of the ‘later view’ were </w:t>
      </w:r>
      <w:r w:rsidRPr="006E3415">
        <w:rPr>
          <w:rFonts w:cs="Times New Roman"/>
          <w:i/>
        </w:rPr>
        <w:t>Lincoln</w:t>
      </w:r>
      <w:r w:rsidRPr="006E3415">
        <w:rPr>
          <w:rFonts w:cs="Times New Roman"/>
        </w:rPr>
        <w:t xml:space="preserve">, </w:t>
      </w:r>
      <w:r w:rsidRPr="006E3415">
        <w:rPr>
          <w:rFonts w:cs="Times New Roman"/>
          <w:i/>
        </w:rPr>
        <w:t>Haigh</w:t>
      </w:r>
      <w:r w:rsidRPr="006E3415">
        <w:rPr>
          <w:rFonts w:cs="Times New Roman"/>
        </w:rPr>
        <w:t xml:space="preserve">, and </w:t>
      </w:r>
      <w:r w:rsidRPr="006E3415">
        <w:rPr>
          <w:rFonts w:cs="Times New Roman"/>
          <w:i/>
        </w:rPr>
        <w:t>Marlborough.</w:t>
      </w:r>
      <w:r w:rsidRPr="006E3415">
        <w:rPr>
          <w:rFonts w:cs="Times New Roman"/>
        </w:rPr>
        <w:t xml:space="preserve"> </w:t>
      </w:r>
    </w:p>
    <w:p w:rsidR="00BC3605" w:rsidRPr="006E3415" w:rsidRDefault="00BC3605" w:rsidP="00746BFF">
      <w:pPr>
        <w:pStyle w:val="Standard"/>
        <w:spacing w:line="360" w:lineRule="auto"/>
        <w:rPr>
          <w:rFonts w:cs="Times New Roman"/>
        </w:rPr>
      </w:pPr>
    </w:p>
    <w:p w:rsidR="00BC3605" w:rsidRPr="006E3415" w:rsidRDefault="00BC3605" w:rsidP="00746BFF">
      <w:pPr>
        <w:pStyle w:val="Standard"/>
        <w:spacing w:line="360" w:lineRule="auto"/>
        <w:rPr>
          <w:rFonts w:cs="Times New Roman"/>
        </w:rPr>
      </w:pPr>
    </w:p>
    <w:p w:rsidR="00BC3605" w:rsidRPr="006E3415" w:rsidRDefault="008778A0" w:rsidP="00746BFF">
      <w:pPr>
        <w:pStyle w:val="Standard"/>
        <w:numPr>
          <w:ilvl w:val="0"/>
          <w:numId w:val="8"/>
        </w:numPr>
        <w:spacing w:line="360" w:lineRule="auto"/>
        <w:rPr>
          <w:rFonts w:cs="Times New Roman"/>
          <w:i/>
        </w:rPr>
      </w:pPr>
      <w:r>
        <w:rPr>
          <w:rFonts w:cs="Times New Roman"/>
          <w:i/>
        </w:rPr>
        <w:t>Summary</w:t>
      </w:r>
    </w:p>
    <w:p w:rsidR="002C30E3" w:rsidRPr="006E3415" w:rsidRDefault="002C30E3" w:rsidP="00746BFF">
      <w:pPr>
        <w:pStyle w:val="Standard"/>
        <w:spacing w:line="360" w:lineRule="auto"/>
        <w:rPr>
          <w:rFonts w:cs="Times New Roman"/>
          <w:b/>
        </w:rPr>
      </w:pPr>
    </w:p>
    <w:p w:rsidR="00BC3605" w:rsidRPr="006E3415" w:rsidRDefault="00BC3605" w:rsidP="00746BFF">
      <w:pPr>
        <w:pStyle w:val="Standard"/>
        <w:spacing w:line="360" w:lineRule="auto"/>
        <w:rPr>
          <w:rFonts w:cs="Times New Roman"/>
        </w:rPr>
      </w:pPr>
      <w:r w:rsidRPr="006E3415">
        <w:rPr>
          <w:rFonts w:cs="Times New Roman"/>
        </w:rPr>
        <w:t xml:space="preserve">Given the complex facts of </w:t>
      </w:r>
      <w:r w:rsidRPr="006E3415">
        <w:rPr>
          <w:rFonts w:cs="Times New Roman"/>
          <w:i/>
        </w:rPr>
        <w:t xml:space="preserve">Rochefoucauld </w:t>
      </w:r>
      <w:r w:rsidRPr="006E3415">
        <w:rPr>
          <w:rFonts w:cs="Times New Roman"/>
        </w:rPr>
        <w:t>and the uncertainties surrounding the motives a</w:t>
      </w:r>
      <w:r w:rsidR="002C30E3" w:rsidRPr="006E3415">
        <w:rPr>
          <w:rFonts w:cs="Times New Roman"/>
        </w:rPr>
        <w:t xml:space="preserve">nd actions of some of the </w:t>
      </w:r>
      <w:r w:rsidRPr="006E3415">
        <w:rPr>
          <w:rFonts w:cs="Times New Roman"/>
        </w:rPr>
        <w:t xml:space="preserve">protagonists, it may at first seem surprising that the Court of Appeal’s conclusion that Boustead’s conduct amounted to fraud was so readily reached. The evidence from nineteenth century sources points to the fact that the Court of Appeal was simply applying well-established principles, however. The conception of equitable fraud and the rule that equity will not allow a statute to be used as an instrument of fraud, as applied to </w:t>
      </w:r>
      <w:r w:rsidRPr="006E3415">
        <w:rPr>
          <w:rFonts w:cs="Times New Roman"/>
          <w:i/>
        </w:rPr>
        <w:t xml:space="preserve">inter vivos </w:t>
      </w:r>
      <w:r w:rsidRPr="006E3415">
        <w:rPr>
          <w:rFonts w:cs="Times New Roman"/>
        </w:rPr>
        <w:t xml:space="preserve">transactions made subject to parol agreements, were long-established and well known. When this is appreciated, it does not seem surprising that in this respect, the decision in </w:t>
      </w:r>
      <w:r w:rsidRPr="006E3415">
        <w:rPr>
          <w:rFonts w:cs="Times New Roman"/>
          <w:i/>
        </w:rPr>
        <w:t xml:space="preserve">Rochefoucauld </w:t>
      </w:r>
      <w:r w:rsidRPr="006E3415">
        <w:rPr>
          <w:rFonts w:cs="Times New Roman"/>
        </w:rPr>
        <w:t>was not considered groundbreaking, either by the courts or by contemporary commentators.</w:t>
      </w:r>
    </w:p>
    <w:p w:rsidR="00F0115F" w:rsidRPr="006E3415" w:rsidRDefault="00F0115F" w:rsidP="00746BFF">
      <w:pPr>
        <w:spacing w:after="0" w:line="360" w:lineRule="auto"/>
        <w:jc w:val="center"/>
        <w:rPr>
          <w:rFonts w:ascii="Times New Roman" w:hAnsi="Times New Roman" w:cs="Times New Roman"/>
          <w:b/>
          <w:sz w:val="24"/>
          <w:szCs w:val="24"/>
          <w:u w:val="single"/>
        </w:rPr>
      </w:pPr>
    </w:p>
    <w:p w:rsidR="002C30E3" w:rsidRPr="006E3415" w:rsidRDefault="002C30E3" w:rsidP="00746BFF">
      <w:pPr>
        <w:pStyle w:val="ListParagraph"/>
        <w:numPr>
          <w:ilvl w:val="0"/>
          <w:numId w:val="8"/>
        </w:numPr>
        <w:spacing w:line="360" w:lineRule="auto"/>
        <w:jc w:val="center"/>
        <w:rPr>
          <w:rFonts w:cs="Times New Roman"/>
          <w:b/>
          <w:szCs w:val="24"/>
        </w:rPr>
      </w:pPr>
      <w:r w:rsidRPr="006E3415">
        <w:rPr>
          <w:rFonts w:cs="Times New Roman"/>
          <w:b/>
          <w:szCs w:val="24"/>
        </w:rPr>
        <w:t>THE JUDGMENT: THE LIMITATION DEFENCE AND THE CLASSIFICATION OF THE TRUST</w:t>
      </w:r>
    </w:p>
    <w:p w:rsidR="00EA4711" w:rsidRPr="006E3415" w:rsidRDefault="00EA4711" w:rsidP="00746BFF">
      <w:pPr>
        <w:spacing w:line="360" w:lineRule="auto"/>
        <w:jc w:val="center"/>
        <w:rPr>
          <w:rFonts w:ascii="Times New Roman" w:hAnsi="Times New Roman" w:cs="Times New Roman"/>
          <w:b/>
          <w:sz w:val="24"/>
          <w:szCs w:val="24"/>
        </w:rPr>
      </w:pPr>
    </w:p>
    <w:p w:rsidR="002C30E3" w:rsidRPr="006E3415" w:rsidRDefault="002C30E3" w:rsidP="00746BFF">
      <w:pPr>
        <w:spacing w:after="0" w:line="360" w:lineRule="auto"/>
        <w:jc w:val="center"/>
        <w:rPr>
          <w:rFonts w:ascii="Times New Roman" w:hAnsi="Times New Roman" w:cs="Times New Roman"/>
          <w:b/>
          <w:sz w:val="24"/>
          <w:szCs w:val="24"/>
          <w:u w:val="single"/>
        </w:rPr>
      </w:pPr>
    </w:p>
    <w:p w:rsidR="00EA4711" w:rsidRPr="006E3415" w:rsidRDefault="00EA4711" w:rsidP="00746BFF">
      <w:pPr>
        <w:pStyle w:val="ListParagraph"/>
        <w:numPr>
          <w:ilvl w:val="0"/>
          <w:numId w:val="10"/>
        </w:numPr>
        <w:spacing w:line="360" w:lineRule="auto"/>
        <w:rPr>
          <w:rFonts w:cs="Times New Roman"/>
          <w:i/>
          <w:szCs w:val="24"/>
        </w:rPr>
      </w:pPr>
      <w:r w:rsidRPr="006E3415">
        <w:rPr>
          <w:rFonts w:cs="Times New Roman"/>
          <w:i/>
          <w:szCs w:val="24"/>
        </w:rPr>
        <w:t>A new precedent</w:t>
      </w:r>
    </w:p>
    <w:p w:rsidR="00EA4711" w:rsidRPr="006E3415" w:rsidRDefault="00EA4711" w:rsidP="00746BFF">
      <w:pPr>
        <w:pStyle w:val="ListParagraph"/>
        <w:spacing w:line="360" w:lineRule="auto"/>
        <w:ind w:left="1080"/>
        <w:rPr>
          <w:rFonts w:cs="Times New Roman"/>
          <w:i/>
          <w:szCs w:val="24"/>
        </w:rPr>
      </w:pPr>
    </w:p>
    <w:p w:rsidR="008B1360" w:rsidRPr="006E3415" w:rsidRDefault="00016DFB" w:rsidP="00746BFF">
      <w:pPr>
        <w:spacing w:after="0" w:line="360" w:lineRule="auto"/>
        <w:rPr>
          <w:rFonts w:ascii="Times New Roman" w:hAnsi="Times New Roman" w:cs="Times New Roman"/>
          <w:sz w:val="24"/>
          <w:szCs w:val="24"/>
        </w:rPr>
      </w:pPr>
      <w:r>
        <w:rPr>
          <w:rFonts w:ascii="Times New Roman" w:hAnsi="Times New Roman" w:cs="Times New Roman"/>
          <w:sz w:val="24"/>
          <w:szCs w:val="24"/>
        </w:rPr>
        <w:t>Boustead’s defence which was based on</w:t>
      </w:r>
      <w:r w:rsidR="008B1360" w:rsidRPr="006E3415">
        <w:rPr>
          <w:rFonts w:ascii="Times New Roman" w:hAnsi="Times New Roman" w:cs="Times New Roman"/>
          <w:sz w:val="24"/>
          <w:szCs w:val="24"/>
        </w:rPr>
        <w:t xml:space="preserve"> the statutory limitation period raised, for the first time in the English courts, the question of whether a parol trust imposed pursuant to the instrument of fraud principle should be classified as an express or constructive trust. By virtue of the Trustee Act 1888, s8(1)(a), the limitation period of six years</w:t>
      </w:r>
      <w:r w:rsidR="008B1360" w:rsidRPr="006E3415">
        <w:rPr>
          <w:rStyle w:val="FootnoteReference"/>
          <w:rFonts w:ascii="Times New Roman" w:hAnsi="Times New Roman" w:cs="Times New Roman"/>
          <w:sz w:val="24"/>
          <w:szCs w:val="24"/>
        </w:rPr>
        <w:footnoteReference w:id="219"/>
      </w:r>
      <w:r w:rsidR="008B1360" w:rsidRPr="006E3415">
        <w:rPr>
          <w:rFonts w:ascii="Times New Roman" w:hAnsi="Times New Roman" w:cs="Times New Roman"/>
          <w:sz w:val="24"/>
          <w:szCs w:val="24"/>
        </w:rPr>
        <w:t xml:space="preserve"> applied to actions against trustees. The provisions of s8 did not apply, </w:t>
      </w:r>
      <w:r w:rsidR="008B1360" w:rsidRPr="006E3415">
        <w:rPr>
          <w:rFonts w:ascii="Times New Roman" w:hAnsi="Times New Roman" w:cs="Times New Roman"/>
          <w:i/>
          <w:sz w:val="24"/>
          <w:szCs w:val="24"/>
        </w:rPr>
        <w:t>inter alia</w:t>
      </w:r>
      <w:r w:rsidR="008B1360" w:rsidRPr="006E3415">
        <w:rPr>
          <w:rFonts w:ascii="Times New Roman" w:hAnsi="Times New Roman" w:cs="Times New Roman"/>
          <w:sz w:val="24"/>
          <w:szCs w:val="24"/>
        </w:rPr>
        <w:t>, to claims ‘to recover trust property or the proceeds thereof, still retained by the trustee’.</w:t>
      </w:r>
      <w:r w:rsidR="008B1360" w:rsidRPr="006E3415">
        <w:rPr>
          <w:rStyle w:val="FootnoteReference"/>
          <w:rFonts w:ascii="Times New Roman" w:hAnsi="Times New Roman" w:cs="Times New Roman"/>
          <w:sz w:val="24"/>
          <w:szCs w:val="24"/>
        </w:rPr>
        <w:footnoteReference w:id="220"/>
      </w:r>
      <w:r w:rsidR="008B1360" w:rsidRPr="006E3415">
        <w:rPr>
          <w:rFonts w:ascii="Times New Roman" w:hAnsi="Times New Roman" w:cs="Times New Roman"/>
          <w:sz w:val="24"/>
          <w:szCs w:val="24"/>
        </w:rPr>
        <w:t xml:space="preserve"> Because this was a claim against a trustee to recover the proceeds of the sale of the estates, s8 did not apply, and the Court of Appeal applied the law which had been developed prior to the enactment of the 1888 Act, the relevant statutory provision being the Judicature Act 1873, s25(2), which stipulated that no limitation period applied to claims by beneficiaries ‘for any property held on express trust, or in respect of any breach of such trust’.</w:t>
      </w:r>
      <w:r w:rsidR="008B1360" w:rsidRPr="006E3415">
        <w:rPr>
          <w:rStyle w:val="FootnoteReference"/>
          <w:rFonts w:ascii="Times New Roman" w:hAnsi="Times New Roman" w:cs="Times New Roman"/>
          <w:sz w:val="24"/>
          <w:szCs w:val="24"/>
        </w:rPr>
        <w:footnoteReference w:id="221"/>
      </w:r>
    </w:p>
    <w:p w:rsidR="0079180E" w:rsidRPr="006E3415" w:rsidRDefault="0079180E" w:rsidP="00746BFF">
      <w:pPr>
        <w:spacing w:after="0" w:line="360" w:lineRule="auto"/>
        <w:rPr>
          <w:rFonts w:ascii="Times New Roman" w:hAnsi="Times New Roman" w:cs="Times New Roman"/>
          <w:sz w:val="24"/>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It was held in </w:t>
      </w:r>
      <w:r w:rsidRPr="006E3415">
        <w:rPr>
          <w:rFonts w:ascii="Times New Roman" w:hAnsi="Times New Roman" w:cs="Times New Roman"/>
          <w:i/>
          <w:sz w:val="24"/>
          <w:szCs w:val="24"/>
        </w:rPr>
        <w:t>Rochefoucauld</w:t>
      </w:r>
      <w:r w:rsidRPr="006E3415">
        <w:rPr>
          <w:rFonts w:ascii="Times New Roman" w:hAnsi="Times New Roman" w:cs="Times New Roman"/>
          <w:sz w:val="24"/>
          <w:szCs w:val="24"/>
        </w:rPr>
        <w:t xml:space="preserve"> that ‘[t]he trust which the plaintiff has established is clearly an express trust within the meaning of that expression as expressed in </w:t>
      </w:r>
      <w:r w:rsidRPr="006E3415">
        <w:rPr>
          <w:rFonts w:ascii="Times New Roman" w:hAnsi="Times New Roman" w:cs="Times New Roman"/>
          <w:i/>
          <w:iCs/>
          <w:sz w:val="24"/>
          <w:szCs w:val="24"/>
        </w:rPr>
        <w:t>Soar v Ashwell.</w:t>
      </w:r>
      <w:r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222"/>
      </w:r>
      <w:r w:rsidRPr="006E3415">
        <w:rPr>
          <w:rFonts w:ascii="Times New Roman" w:hAnsi="Times New Roman" w:cs="Times New Roman"/>
          <w:sz w:val="24"/>
          <w:szCs w:val="24"/>
        </w:rPr>
        <w:t xml:space="preserve"> Although the Court of Appeal was setting a new precedent on this point, Lindley LJ’s </w:t>
      </w:r>
      <w:r w:rsidRPr="006E3415">
        <w:rPr>
          <w:rFonts w:ascii="Times New Roman" w:hAnsi="Times New Roman" w:cs="Times New Roman"/>
          <w:sz w:val="24"/>
          <w:szCs w:val="24"/>
        </w:rPr>
        <w:lastRenderedPageBreak/>
        <w:t>judgment suggests that the Lords Justices regarded the issue as st</w:t>
      </w:r>
      <w:r w:rsidR="00CD01BB">
        <w:rPr>
          <w:rFonts w:ascii="Times New Roman" w:hAnsi="Times New Roman" w:cs="Times New Roman"/>
          <w:sz w:val="24"/>
          <w:szCs w:val="24"/>
        </w:rPr>
        <w:t>raightforward. Without analysing</w:t>
      </w:r>
      <w:r w:rsidRPr="006E3415">
        <w:rPr>
          <w:rFonts w:ascii="Times New Roman" w:hAnsi="Times New Roman" w:cs="Times New Roman"/>
          <w:sz w:val="24"/>
          <w:szCs w:val="24"/>
        </w:rPr>
        <w:t xml:space="preserve"> the </w:t>
      </w:r>
      <w:r w:rsidR="00CD01BB">
        <w:rPr>
          <w:rFonts w:ascii="Times New Roman" w:hAnsi="Times New Roman" w:cs="Times New Roman"/>
          <w:sz w:val="24"/>
          <w:szCs w:val="24"/>
        </w:rPr>
        <w:t xml:space="preserve">state of the </w:t>
      </w:r>
      <w:r w:rsidRPr="006E3415">
        <w:rPr>
          <w:rFonts w:ascii="Times New Roman" w:hAnsi="Times New Roman" w:cs="Times New Roman"/>
          <w:sz w:val="24"/>
          <w:szCs w:val="24"/>
        </w:rPr>
        <w:t>law in the late nineteenth century and earlier, it is difficult to see why this was so. Also, it is not immediately apparent whether Lindley LJ regarded the trust as an express trust or a trust that was not an express trust but was to be treated as such.</w:t>
      </w:r>
    </w:p>
    <w:p w:rsidR="008B1360" w:rsidRPr="006E3415" w:rsidRDefault="008B1360" w:rsidP="00746BFF">
      <w:pPr>
        <w:spacing w:after="0" w:line="360" w:lineRule="auto"/>
        <w:rPr>
          <w:rFonts w:ascii="Times New Roman" w:hAnsi="Times New Roman" w:cs="Times New Roman"/>
          <w:b/>
          <w:sz w:val="24"/>
          <w:szCs w:val="24"/>
        </w:rPr>
      </w:pPr>
    </w:p>
    <w:p w:rsidR="00617C0A" w:rsidRPr="006E3415" w:rsidRDefault="00EA4711" w:rsidP="00746BFF">
      <w:pPr>
        <w:pStyle w:val="ListParagraph"/>
        <w:numPr>
          <w:ilvl w:val="0"/>
          <w:numId w:val="10"/>
        </w:numPr>
        <w:spacing w:line="360" w:lineRule="auto"/>
        <w:rPr>
          <w:rFonts w:cs="Times New Roman"/>
          <w:i/>
          <w:szCs w:val="24"/>
        </w:rPr>
      </w:pPr>
      <w:r w:rsidRPr="006E3415">
        <w:rPr>
          <w:rFonts w:cs="Times New Roman"/>
          <w:i/>
          <w:szCs w:val="24"/>
        </w:rPr>
        <w:t>The trust cannot have been an express trust</w:t>
      </w:r>
    </w:p>
    <w:p w:rsidR="00EA4711" w:rsidRPr="006E3415" w:rsidRDefault="00EA4711" w:rsidP="00746BFF">
      <w:pPr>
        <w:spacing w:after="0" w:line="360" w:lineRule="auto"/>
        <w:rPr>
          <w:rFonts w:ascii="Times New Roman" w:hAnsi="Times New Roman" w:cs="Times New Roman"/>
          <w:b/>
          <w:sz w:val="24"/>
          <w:szCs w:val="24"/>
        </w:rPr>
      </w:pPr>
    </w:p>
    <w:p w:rsidR="00CA624C"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There is an obvious objection to the </w:t>
      </w:r>
      <w:r w:rsidR="00CA624C" w:rsidRPr="006E3415">
        <w:rPr>
          <w:rFonts w:ascii="Times New Roman" w:hAnsi="Times New Roman" w:cs="Times New Roman"/>
          <w:sz w:val="24"/>
          <w:szCs w:val="24"/>
        </w:rPr>
        <w:t xml:space="preserve">view that Lindley LJ </w:t>
      </w:r>
      <w:r w:rsidR="00E45A26" w:rsidRPr="006E3415">
        <w:rPr>
          <w:rFonts w:ascii="Times New Roman" w:hAnsi="Times New Roman" w:cs="Times New Roman"/>
          <w:sz w:val="24"/>
          <w:szCs w:val="24"/>
        </w:rPr>
        <w:t>classified</w:t>
      </w:r>
      <w:r w:rsidR="00CA624C" w:rsidRPr="006E3415">
        <w:rPr>
          <w:rFonts w:ascii="Times New Roman" w:hAnsi="Times New Roman" w:cs="Times New Roman"/>
          <w:sz w:val="24"/>
          <w:szCs w:val="24"/>
        </w:rPr>
        <w:t xml:space="preserve"> the trust as an express trust in the ordinary sense of the phrase</w:t>
      </w:r>
      <w:r w:rsidR="00985B92" w:rsidRPr="006E3415">
        <w:rPr>
          <w:rFonts w:ascii="Times New Roman" w:hAnsi="Times New Roman" w:cs="Times New Roman"/>
          <w:sz w:val="24"/>
          <w:szCs w:val="24"/>
        </w:rPr>
        <w:t xml:space="preserve"> as it was understood in the nineteenth century</w:t>
      </w:r>
      <w:r w:rsidR="00CA624C" w:rsidRPr="006E3415">
        <w:rPr>
          <w:rFonts w:ascii="Times New Roman" w:hAnsi="Times New Roman" w:cs="Times New Roman"/>
          <w:sz w:val="24"/>
          <w:szCs w:val="24"/>
        </w:rPr>
        <w:t xml:space="preserve">. </w:t>
      </w:r>
      <w:r w:rsidR="000533C8" w:rsidRPr="006E3415">
        <w:rPr>
          <w:rFonts w:ascii="Times New Roman" w:hAnsi="Times New Roman" w:cs="Times New Roman"/>
          <w:sz w:val="24"/>
          <w:szCs w:val="24"/>
        </w:rPr>
        <w:t xml:space="preserve">Underhill, in 1894, defined an express trust as ‘a trust created by words </w:t>
      </w:r>
      <w:r w:rsidR="00E45A26" w:rsidRPr="006E3415">
        <w:rPr>
          <w:rFonts w:ascii="Times New Roman" w:hAnsi="Times New Roman" w:cs="Times New Roman"/>
          <w:sz w:val="24"/>
          <w:szCs w:val="24"/>
        </w:rPr>
        <w:t>evincing</w:t>
      </w:r>
      <w:r w:rsidR="000533C8" w:rsidRPr="006E3415">
        <w:rPr>
          <w:rFonts w:ascii="Times New Roman" w:hAnsi="Times New Roman" w:cs="Times New Roman"/>
          <w:sz w:val="24"/>
          <w:szCs w:val="24"/>
        </w:rPr>
        <w:t xml:space="preserve"> an intention to create a trust’.</w:t>
      </w:r>
      <w:r w:rsidR="00305E52" w:rsidRPr="006E3415">
        <w:rPr>
          <w:rStyle w:val="FootnoteReference"/>
          <w:rFonts w:ascii="Times New Roman" w:hAnsi="Times New Roman" w:cs="Times New Roman"/>
          <w:sz w:val="24"/>
          <w:szCs w:val="24"/>
        </w:rPr>
        <w:footnoteReference w:id="223"/>
      </w:r>
      <w:r w:rsidR="000533C8" w:rsidRPr="006E3415">
        <w:rPr>
          <w:rFonts w:ascii="Times New Roman" w:hAnsi="Times New Roman" w:cs="Times New Roman"/>
          <w:sz w:val="24"/>
          <w:szCs w:val="24"/>
        </w:rPr>
        <w:t xml:space="preserve"> Similarly, </w:t>
      </w:r>
      <w:r w:rsidR="00CA624C" w:rsidRPr="006E3415">
        <w:rPr>
          <w:rFonts w:ascii="Times New Roman" w:hAnsi="Times New Roman" w:cs="Times New Roman"/>
          <w:sz w:val="24"/>
          <w:szCs w:val="24"/>
        </w:rPr>
        <w:t xml:space="preserve">Smith defined an express trust as </w:t>
      </w:r>
      <w:r w:rsidR="000533C8" w:rsidRPr="006E3415">
        <w:rPr>
          <w:rFonts w:ascii="Times New Roman" w:hAnsi="Times New Roman" w:cs="Times New Roman"/>
          <w:sz w:val="24"/>
          <w:szCs w:val="24"/>
        </w:rPr>
        <w:t>one ‘</w:t>
      </w:r>
      <w:r w:rsidR="00CA624C" w:rsidRPr="006E3415">
        <w:rPr>
          <w:rFonts w:ascii="Times New Roman" w:hAnsi="Times New Roman" w:cs="Times New Roman"/>
          <w:sz w:val="24"/>
          <w:szCs w:val="24"/>
        </w:rPr>
        <w:t>which is clearly expressed by the author thereof, or may fairly be collected from a written document</w:t>
      </w:r>
      <w:r w:rsidR="000533C8" w:rsidRPr="006E3415">
        <w:rPr>
          <w:rFonts w:ascii="Times New Roman" w:hAnsi="Times New Roman" w:cs="Times New Roman"/>
          <w:sz w:val="24"/>
          <w:szCs w:val="24"/>
        </w:rPr>
        <w:t>’.</w:t>
      </w:r>
      <w:r w:rsidR="00D5020F" w:rsidRPr="006E3415">
        <w:rPr>
          <w:rStyle w:val="FootnoteReference"/>
          <w:rFonts w:ascii="Times New Roman" w:hAnsi="Times New Roman" w:cs="Times New Roman"/>
          <w:sz w:val="24"/>
          <w:szCs w:val="24"/>
        </w:rPr>
        <w:footnoteReference w:id="224"/>
      </w:r>
    </w:p>
    <w:p w:rsidR="00CA624C" w:rsidRPr="006E3415" w:rsidRDefault="00CA624C" w:rsidP="00746BFF">
      <w:pPr>
        <w:spacing w:after="0" w:line="360" w:lineRule="auto"/>
        <w:rPr>
          <w:rFonts w:ascii="Times New Roman" w:hAnsi="Times New Roman" w:cs="Times New Roman"/>
          <w:sz w:val="24"/>
          <w:szCs w:val="24"/>
        </w:rPr>
      </w:pPr>
    </w:p>
    <w:p w:rsidR="008B1360" w:rsidRPr="006E3415" w:rsidRDefault="000533C8"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In </w:t>
      </w:r>
      <w:r w:rsidRPr="006E3415">
        <w:rPr>
          <w:rFonts w:ascii="Times New Roman" w:hAnsi="Times New Roman" w:cs="Times New Roman"/>
          <w:i/>
          <w:sz w:val="24"/>
          <w:szCs w:val="24"/>
        </w:rPr>
        <w:t>Rochefoucauld</w:t>
      </w:r>
      <w:r w:rsidRPr="006E3415">
        <w:rPr>
          <w:rFonts w:ascii="Times New Roman" w:hAnsi="Times New Roman" w:cs="Times New Roman"/>
          <w:sz w:val="24"/>
          <w:szCs w:val="24"/>
        </w:rPr>
        <w:t>, t</w:t>
      </w:r>
      <w:r w:rsidR="008B1360" w:rsidRPr="006E3415">
        <w:rPr>
          <w:rFonts w:ascii="Times New Roman" w:hAnsi="Times New Roman" w:cs="Times New Roman"/>
          <w:sz w:val="24"/>
          <w:szCs w:val="24"/>
        </w:rPr>
        <w:t>he Court of Appeal held that ‘the plaintiff has proved that the estates in question were conveyed to the defendant on May 27, 1873, upon trust for her’.</w:t>
      </w:r>
      <w:r w:rsidR="008B1360" w:rsidRPr="006E3415">
        <w:rPr>
          <w:rStyle w:val="FootnoteReference"/>
          <w:rFonts w:ascii="Times New Roman" w:hAnsi="Times New Roman" w:cs="Times New Roman"/>
          <w:sz w:val="24"/>
          <w:szCs w:val="24"/>
        </w:rPr>
        <w:footnoteReference w:id="225"/>
      </w:r>
      <w:r w:rsidR="008B1360" w:rsidRPr="006E3415">
        <w:rPr>
          <w:rFonts w:ascii="Times New Roman" w:hAnsi="Times New Roman" w:cs="Times New Roman"/>
          <w:sz w:val="24"/>
          <w:szCs w:val="24"/>
        </w:rPr>
        <w:t xml:space="preserve"> This means that the trust, if an express trust, must have been declared before legal title was vested in Boustead. Lindley LJ stated that in order for s7 of the Statute of Frauds be complied with, ‘it is sufficient if the trust can be proved by some writing signed by </w:t>
      </w:r>
      <w:r w:rsidR="008B1360" w:rsidRPr="006E3415">
        <w:rPr>
          <w:rFonts w:ascii="Times New Roman" w:hAnsi="Times New Roman" w:cs="Times New Roman"/>
          <w:i/>
          <w:iCs/>
          <w:sz w:val="24"/>
          <w:szCs w:val="24"/>
        </w:rPr>
        <w:t xml:space="preserve">the defendant </w:t>
      </w:r>
      <w:r w:rsidR="008B1360" w:rsidRPr="006E3415">
        <w:rPr>
          <w:rFonts w:ascii="Times New Roman" w:hAnsi="Times New Roman" w:cs="Times New Roman"/>
          <w:sz w:val="24"/>
          <w:szCs w:val="24"/>
        </w:rPr>
        <w:t>[italics added]’.</w:t>
      </w:r>
      <w:r w:rsidR="008B1360" w:rsidRPr="006E3415">
        <w:rPr>
          <w:rStyle w:val="FootnoteReference"/>
          <w:rFonts w:ascii="Times New Roman" w:hAnsi="Times New Roman" w:cs="Times New Roman"/>
          <w:sz w:val="24"/>
          <w:szCs w:val="24"/>
        </w:rPr>
        <w:footnoteReference w:id="226"/>
      </w:r>
      <w:r w:rsidR="008B1360" w:rsidRPr="006E3415">
        <w:rPr>
          <w:rFonts w:ascii="Times New Roman" w:hAnsi="Times New Roman" w:cs="Times New Roman"/>
          <w:sz w:val="24"/>
          <w:szCs w:val="24"/>
        </w:rPr>
        <w:t xml:space="preserve"> This shows that the only potential settlor of the trust, if it was express, was Boustead. </w:t>
      </w:r>
    </w:p>
    <w:p w:rsidR="00F0115F" w:rsidRPr="006E3415" w:rsidRDefault="00F0115F" w:rsidP="00746BFF">
      <w:pPr>
        <w:spacing w:after="0" w:line="360" w:lineRule="auto"/>
        <w:rPr>
          <w:rFonts w:ascii="Times New Roman" w:hAnsi="Times New Roman" w:cs="Times New Roman"/>
          <w:sz w:val="24"/>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At the time at which Boustead </w:t>
      </w:r>
      <w:r w:rsidR="004368D5">
        <w:rPr>
          <w:rFonts w:ascii="Times New Roman" w:hAnsi="Times New Roman" w:cs="Times New Roman"/>
          <w:sz w:val="24"/>
          <w:szCs w:val="24"/>
        </w:rPr>
        <w:t xml:space="preserve">made the </w:t>
      </w:r>
      <w:r w:rsidRPr="006E3415">
        <w:rPr>
          <w:rFonts w:ascii="Times New Roman" w:hAnsi="Times New Roman" w:cs="Times New Roman"/>
          <w:sz w:val="24"/>
          <w:szCs w:val="24"/>
        </w:rPr>
        <w:t>declaration of</w:t>
      </w:r>
      <w:r w:rsidR="00B41862">
        <w:rPr>
          <w:rFonts w:ascii="Times New Roman" w:hAnsi="Times New Roman" w:cs="Times New Roman"/>
          <w:sz w:val="24"/>
          <w:szCs w:val="24"/>
        </w:rPr>
        <w:t xml:space="preserve"> trust, he had no title to the E</w:t>
      </w:r>
      <w:r w:rsidRPr="006E3415">
        <w:rPr>
          <w:rFonts w:ascii="Times New Roman" w:hAnsi="Times New Roman" w:cs="Times New Roman"/>
          <w:sz w:val="24"/>
          <w:szCs w:val="24"/>
        </w:rPr>
        <w:t>states</w:t>
      </w:r>
      <w:r w:rsidR="00B41862">
        <w:rPr>
          <w:rFonts w:ascii="Times New Roman" w:hAnsi="Times New Roman" w:cs="Times New Roman"/>
          <w:sz w:val="24"/>
          <w:szCs w:val="24"/>
        </w:rPr>
        <w:t xml:space="preserve">. He </w:t>
      </w:r>
      <w:r w:rsidRPr="006E3415">
        <w:rPr>
          <w:rFonts w:ascii="Times New Roman" w:hAnsi="Times New Roman" w:cs="Times New Roman"/>
          <w:sz w:val="24"/>
          <w:szCs w:val="24"/>
        </w:rPr>
        <w:t xml:space="preserve">thus </w:t>
      </w:r>
      <w:r w:rsidR="00B41862">
        <w:rPr>
          <w:rFonts w:ascii="Times New Roman" w:hAnsi="Times New Roman" w:cs="Times New Roman"/>
          <w:sz w:val="24"/>
          <w:szCs w:val="24"/>
        </w:rPr>
        <w:t>lacked the capacity to settle the Estates on</w:t>
      </w:r>
      <w:r w:rsidRPr="006E3415">
        <w:rPr>
          <w:rFonts w:ascii="Times New Roman" w:hAnsi="Times New Roman" w:cs="Times New Roman"/>
          <w:sz w:val="24"/>
          <w:szCs w:val="24"/>
        </w:rPr>
        <w:t xml:space="preserve"> trust. </w:t>
      </w:r>
      <w:r w:rsidR="00DF05CF" w:rsidRPr="006E3415">
        <w:rPr>
          <w:rFonts w:ascii="Times New Roman" w:hAnsi="Times New Roman" w:cs="Times New Roman"/>
          <w:sz w:val="24"/>
          <w:szCs w:val="24"/>
        </w:rPr>
        <w:t>According to the version of events accepted by the Court of Appeal, h</w:t>
      </w:r>
      <w:r w:rsidRPr="006E3415">
        <w:rPr>
          <w:rFonts w:ascii="Times New Roman" w:hAnsi="Times New Roman" w:cs="Times New Roman"/>
          <w:sz w:val="24"/>
          <w:szCs w:val="24"/>
        </w:rPr>
        <w:t>e</w:t>
      </w:r>
      <w:r w:rsidR="00DF05CF" w:rsidRPr="006E3415">
        <w:rPr>
          <w:rFonts w:ascii="Times New Roman" w:hAnsi="Times New Roman" w:cs="Times New Roman"/>
          <w:sz w:val="24"/>
          <w:szCs w:val="24"/>
        </w:rPr>
        <w:t xml:space="preserve"> </w:t>
      </w:r>
      <w:r w:rsidR="00761D3D">
        <w:rPr>
          <w:rFonts w:ascii="Times New Roman" w:hAnsi="Times New Roman" w:cs="Times New Roman"/>
          <w:sz w:val="24"/>
          <w:szCs w:val="24"/>
        </w:rPr>
        <w:t xml:space="preserve">indicated to </w:t>
      </w:r>
      <w:r w:rsidRPr="006E3415">
        <w:rPr>
          <w:rFonts w:ascii="Times New Roman" w:hAnsi="Times New Roman" w:cs="Times New Roman"/>
          <w:sz w:val="24"/>
          <w:szCs w:val="24"/>
        </w:rPr>
        <w:t xml:space="preserve">Emily that </w:t>
      </w:r>
      <w:r w:rsidRPr="006E3415">
        <w:rPr>
          <w:rFonts w:ascii="Times New Roman" w:hAnsi="Times New Roman" w:cs="Times New Roman"/>
          <w:i/>
          <w:sz w:val="24"/>
          <w:szCs w:val="24"/>
        </w:rPr>
        <w:t xml:space="preserve">when </w:t>
      </w:r>
      <w:r w:rsidRPr="006E3415">
        <w:rPr>
          <w:rFonts w:ascii="Times New Roman" w:hAnsi="Times New Roman" w:cs="Times New Roman"/>
          <w:sz w:val="24"/>
          <w:szCs w:val="24"/>
        </w:rPr>
        <w:t xml:space="preserve">he obtained legal title to the estates, he </w:t>
      </w:r>
      <w:r w:rsidRPr="006E3415">
        <w:rPr>
          <w:rFonts w:ascii="Times New Roman" w:hAnsi="Times New Roman" w:cs="Times New Roman"/>
          <w:i/>
          <w:sz w:val="24"/>
          <w:szCs w:val="24"/>
        </w:rPr>
        <w:t xml:space="preserve">would </w:t>
      </w:r>
      <w:r w:rsidRPr="006E3415">
        <w:rPr>
          <w:rFonts w:ascii="Times New Roman" w:hAnsi="Times New Roman" w:cs="Times New Roman"/>
          <w:sz w:val="24"/>
          <w:szCs w:val="24"/>
        </w:rPr>
        <w:t>hold them on trust for her. The Court of Appeal held that the trust arose as a result of this agreement, which was reached prior to Boustead obtaining the Estates.</w:t>
      </w:r>
      <w:r w:rsidRPr="006E3415">
        <w:rPr>
          <w:rStyle w:val="FootnoteReference"/>
          <w:rFonts w:ascii="Times New Roman" w:hAnsi="Times New Roman" w:cs="Times New Roman"/>
          <w:sz w:val="24"/>
          <w:szCs w:val="24"/>
        </w:rPr>
        <w:footnoteReference w:id="227"/>
      </w:r>
      <w:r w:rsidRPr="006E3415">
        <w:rPr>
          <w:rFonts w:ascii="Times New Roman" w:hAnsi="Times New Roman" w:cs="Times New Roman"/>
          <w:sz w:val="24"/>
          <w:szCs w:val="24"/>
        </w:rPr>
        <w:t xml:space="preserve"> There are no authorities to suggest that written evidence created </w:t>
      </w:r>
      <w:r w:rsidRPr="006E3415">
        <w:rPr>
          <w:rFonts w:ascii="Times New Roman" w:hAnsi="Times New Roman" w:cs="Times New Roman"/>
          <w:i/>
          <w:sz w:val="24"/>
          <w:szCs w:val="24"/>
        </w:rPr>
        <w:t xml:space="preserve">before </w:t>
      </w:r>
      <w:r w:rsidRPr="006E3415">
        <w:rPr>
          <w:rFonts w:ascii="Times New Roman" w:hAnsi="Times New Roman" w:cs="Times New Roman"/>
          <w:sz w:val="24"/>
          <w:szCs w:val="24"/>
        </w:rPr>
        <w:t xml:space="preserve">the alleged trustee obtained </w:t>
      </w:r>
      <w:r w:rsidRPr="006E3415">
        <w:rPr>
          <w:rFonts w:ascii="Times New Roman" w:hAnsi="Times New Roman" w:cs="Times New Roman"/>
          <w:sz w:val="24"/>
          <w:szCs w:val="24"/>
        </w:rPr>
        <w:lastRenderedPageBreak/>
        <w:t>title to the property could satisfy s7.</w:t>
      </w:r>
      <w:r w:rsidRPr="006E3415">
        <w:rPr>
          <w:rStyle w:val="FootnoteReference"/>
          <w:rFonts w:ascii="Times New Roman" w:hAnsi="Times New Roman" w:cs="Times New Roman"/>
          <w:sz w:val="24"/>
          <w:szCs w:val="24"/>
        </w:rPr>
        <w:footnoteReference w:id="228"/>
      </w:r>
      <w:r w:rsidRPr="006E3415">
        <w:rPr>
          <w:rFonts w:ascii="Times New Roman" w:hAnsi="Times New Roman" w:cs="Times New Roman"/>
          <w:sz w:val="24"/>
          <w:szCs w:val="24"/>
        </w:rPr>
        <w:t xml:space="preserve"> </w:t>
      </w:r>
      <w:r w:rsidRPr="00185DE5">
        <w:rPr>
          <w:rFonts w:ascii="Times New Roman" w:hAnsi="Times New Roman" w:cs="Times New Roman"/>
          <w:sz w:val="24"/>
          <w:szCs w:val="24"/>
        </w:rPr>
        <w:t>For this reason, it is unlikely that Lindley LJ regarded the trust as an express trust in the usual sense of the phrase.</w:t>
      </w:r>
      <w:r w:rsidR="00F0115F" w:rsidRPr="00185DE5">
        <w:rPr>
          <w:rFonts w:ascii="Times New Roman" w:hAnsi="Times New Roman" w:cs="Times New Roman"/>
          <w:sz w:val="24"/>
          <w:szCs w:val="24"/>
        </w:rPr>
        <w:t xml:space="preserve"> Although Swadling argues that, when read as a whole, Lindley LJ’s judgment can only reasonably be read as recognising the trust as an express trust,</w:t>
      </w:r>
      <w:r w:rsidR="00F0115F" w:rsidRPr="00185DE5">
        <w:rPr>
          <w:rStyle w:val="FootnoteReference"/>
          <w:rFonts w:ascii="Times New Roman" w:hAnsi="Times New Roman" w:cs="Times New Roman"/>
          <w:sz w:val="24"/>
          <w:szCs w:val="24"/>
        </w:rPr>
        <w:footnoteReference w:id="229"/>
      </w:r>
      <w:r w:rsidR="00F0115F" w:rsidRPr="00185DE5">
        <w:rPr>
          <w:rFonts w:ascii="Times New Roman" w:hAnsi="Times New Roman" w:cs="Times New Roman"/>
          <w:sz w:val="24"/>
          <w:szCs w:val="24"/>
        </w:rPr>
        <w:t xml:space="preserve"> it should be noted</w:t>
      </w:r>
      <w:r w:rsidR="007B6373" w:rsidRPr="00185DE5">
        <w:rPr>
          <w:rFonts w:ascii="Times New Roman" w:hAnsi="Times New Roman" w:cs="Times New Roman"/>
          <w:sz w:val="24"/>
          <w:szCs w:val="24"/>
        </w:rPr>
        <w:t xml:space="preserve"> Lindley LJ described the case as an ‘express trust’ at only one other point in his judgment, and </w:t>
      </w:r>
      <w:r w:rsidR="006121D8" w:rsidRPr="00185DE5">
        <w:rPr>
          <w:rFonts w:ascii="Times New Roman" w:hAnsi="Times New Roman" w:cs="Times New Roman"/>
          <w:sz w:val="24"/>
          <w:szCs w:val="24"/>
        </w:rPr>
        <w:t>this was only after he had</w:t>
      </w:r>
      <w:r w:rsidR="00185DE5">
        <w:rPr>
          <w:rFonts w:ascii="Times New Roman" w:hAnsi="Times New Roman" w:cs="Times New Roman"/>
          <w:sz w:val="24"/>
          <w:szCs w:val="24"/>
        </w:rPr>
        <w:t xml:space="preserve"> qualified the</w:t>
      </w:r>
      <w:r w:rsidR="006121D8" w:rsidRPr="00185DE5">
        <w:rPr>
          <w:rFonts w:ascii="Times New Roman" w:hAnsi="Times New Roman" w:cs="Times New Roman"/>
          <w:sz w:val="24"/>
          <w:szCs w:val="24"/>
        </w:rPr>
        <w:t xml:space="preserve"> use of this term by explaining</w:t>
      </w:r>
      <w:r w:rsidR="007B6373" w:rsidRPr="00185DE5">
        <w:rPr>
          <w:rFonts w:ascii="Times New Roman" w:hAnsi="Times New Roman" w:cs="Times New Roman"/>
          <w:sz w:val="24"/>
          <w:szCs w:val="24"/>
        </w:rPr>
        <w:t xml:space="preserve"> what he meant by </w:t>
      </w:r>
      <w:r w:rsidR="007C538C">
        <w:rPr>
          <w:rFonts w:ascii="Times New Roman" w:hAnsi="Times New Roman" w:cs="Times New Roman"/>
          <w:sz w:val="24"/>
          <w:szCs w:val="24"/>
        </w:rPr>
        <w:t xml:space="preserve">an </w:t>
      </w:r>
      <w:r w:rsidR="007B6373" w:rsidRPr="00185DE5">
        <w:rPr>
          <w:rFonts w:ascii="Times New Roman" w:hAnsi="Times New Roman" w:cs="Times New Roman"/>
          <w:sz w:val="24"/>
          <w:szCs w:val="24"/>
        </w:rPr>
        <w:t>express trus</w:t>
      </w:r>
      <w:r w:rsidR="006121D8" w:rsidRPr="00185DE5">
        <w:rPr>
          <w:rFonts w:ascii="Times New Roman" w:hAnsi="Times New Roman" w:cs="Times New Roman"/>
          <w:sz w:val="24"/>
          <w:szCs w:val="24"/>
        </w:rPr>
        <w:t>t within the context of the considerations in the case</w:t>
      </w:r>
      <w:r w:rsidR="007B6373" w:rsidRPr="00185DE5">
        <w:rPr>
          <w:rFonts w:ascii="Times New Roman" w:hAnsi="Times New Roman" w:cs="Times New Roman"/>
          <w:sz w:val="24"/>
          <w:szCs w:val="24"/>
        </w:rPr>
        <w:t>.</w:t>
      </w:r>
      <w:r w:rsidR="006121D8" w:rsidRPr="00185DE5">
        <w:rPr>
          <w:rStyle w:val="FootnoteReference"/>
          <w:rFonts w:ascii="Times New Roman" w:hAnsi="Times New Roman" w:cs="Times New Roman"/>
          <w:sz w:val="24"/>
          <w:szCs w:val="24"/>
        </w:rPr>
        <w:footnoteReference w:id="230"/>
      </w:r>
    </w:p>
    <w:p w:rsidR="00F0115F" w:rsidRPr="006E3415" w:rsidRDefault="00F0115F" w:rsidP="00746BFF">
      <w:pPr>
        <w:spacing w:after="0" w:line="360" w:lineRule="auto"/>
        <w:rPr>
          <w:rFonts w:ascii="Times New Roman" w:hAnsi="Times New Roman" w:cs="Times New Roman"/>
          <w:sz w:val="24"/>
          <w:szCs w:val="24"/>
        </w:rPr>
      </w:pPr>
    </w:p>
    <w:p w:rsidR="000E6639" w:rsidRPr="006E3415" w:rsidRDefault="000E6639" w:rsidP="00746BFF">
      <w:pPr>
        <w:pStyle w:val="ListParagraph"/>
        <w:numPr>
          <w:ilvl w:val="0"/>
          <w:numId w:val="10"/>
        </w:numPr>
        <w:spacing w:line="360" w:lineRule="auto"/>
        <w:rPr>
          <w:rFonts w:cs="Times New Roman"/>
          <w:i/>
          <w:szCs w:val="24"/>
        </w:rPr>
      </w:pPr>
      <w:r w:rsidRPr="006E3415">
        <w:rPr>
          <w:rFonts w:cs="Times New Roman"/>
          <w:i/>
          <w:szCs w:val="24"/>
        </w:rPr>
        <w:t>How were parol trusts recognised under the instrument of fraud principle classified in 1896?</w:t>
      </w:r>
    </w:p>
    <w:p w:rsidR="0079180E" w:rsidRPr="006E3415" w:rsidRDefault="0079180E" w:rsidP="00746BFF">
      <w:pPr>
        <w:spacing w:after="0" w:line="360" w:lineRule="auto"/>
        <w:rPr>
          <w:rFonts w:ascii="Times New Roman" w:hAnsi="Times New Roman" w:cs="Times New Roman"/>
          <w:b/>
          <w:sz w:val="24"/>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In fact, nineteenth century judges did not ordinarily deem it necessary to categorise trusts such as the one in </w:t>
      </w:r>
      <w:r w:rsidRPr="006E3415">
        <w:rPr>
          <w:rFonts w:ascii="Times New Roman" w:hAnsi="Times New Roman" w:cs="Times New Roman"/>
          <w:i/>
          <w:sz w:val="24"/>
          <w:szCs w:val="24"/>
        </w:rPr>
        <w:t xml:space="preserve">Rochefoucauld </w:t>
      </w:r>
      <w:r w:rsidRPr="006E3415">
        <w:rPr>
          <w:rFonts w:ascii="Times New Roman" w:hAnsi="Times New Roman" w:cs="Times New Roman"/>
          <w:sz w:val="24"/>
          <w:szCs w:val="24"/>
        </w:rPr>
        <w:t>as either express, constructive or resulting. There are no authorities in which any parol trust enforced for the prevention of fraud was held to be an express trust.</w:t>
      </w:r>
      <w:r w:rsidRPr="006E3415">
        <w:rPr>
          <w:rStyle w:val="FootnoteReference"/>
          <w:rFonts w:ascii="Times New Roman" w:hAnsi="Times New Roman" w:cs="Times New Roman"/>
          <w:sz w:val="24"/>
          <w:szCs w:val="24"/>
        </w:rPr>
        <w:footnoteReference w:id="231"/>
      </w:r>
      <w:r w:rsidR="007B3290" w:rsidRPr="006E3415">
        <w:rPr>
          <w:rFonts w:ascii="Times New Roman" w:hAnsi="Times New Roman" w:cs="Times New Roman"/>
          <w:sz w:val="24"/>
          <w:szCs w:val="24"/>
        </w:rPr>
        <w:t xml:space="preserve"> </w:t>
      </w:r>
      <w:r w:rsidRPr="006E3415">
        <w:rPr>
          <w:rFonts w:ascii="Times New Roman" w:hAnsi="Times New Roman" w:cs="Times New Roman"/>
          <w:sz w:val="24"/>
          <w:szCs w:val="24"/>
        </w:rPr>
        <w:t>Neither are there any authorities from before the twentieth century in which any such trusts were held to be constructive trusts. Although there are vague references to resulting trusts in some of the cases,</w:t>
      </w:r>
      <w:r w:rsidR="00B17809" w:rsidRPr="006E3415">
        <w:rPr>
          <w:rStyle w:val="FootnoteReference"/>
          <w:rFonts w:ascii="Times New Roman" w:hAnsi="Times New Roman" w:cs="Times New Roman"/>
          <w:sz w:val="24"/>
          <w:szCs w:val="24"/>
        </w:rPr>
        <w:t xml:space="preserve"> </w:t>
      </w:r>
      <w:r w:rsidR="00B17809" w:rsidRPr="006E3415">
        <w:rPr>
          <w:rStyle w:val="FootnoteReference"/>
          <w:rFonts w:ascii="Times New Roman" w:hAnsi="Times New Roman" w:cs="Times New Roman"/>
          <w:sz w:val="24"/>
          <w:szCs w:val="24"/>
        </w:rPr>
        <w:footnoteReference w:id="232"/>
      </w:r>
      <w:r w:rsidR="00B17809" w:rsidRPr="006E3415">
        <w:rPr>
          <w:rFonts w:ascii="Times New Roman" w:hAnsi="Times New Roman" w:cs="Times New Roman"/>
          <w:sz w:val="24"/>
          <w:szCs w:val="24"/>
        </w:rPr>
        <w:t xml:space="preserve"> </w:t>
      </w:r>
      <w:r w:rsidRPr="006E3415">
        <w:rPr>
          <w:rFonts w:ascii="Times New Roman" w:hAnsi="Times New Roman" w:cs="Times New Roman"/>
          <w:sz w:val="24"/>
          <w:szCs w:val="24"/>
        </w:rPr>
        <w:t>no trust enforced pursuant to the instrument of fraud principle was expressly classified as a resulting trust.</w:t>
      </w:r>
      <w:r w:rsidRPr="006E3415">
        <w:rPr>
          <w:rStyle w:val="FootnoteReference"/>
          <w:rFonts w:ascii="Times New Roman" w:hAnsi="Times New Roman" w:cs="Times New Roman"/>
          <w:sz w:val="24"/>
          <w:szCs w:val="24"/>
        </w:rPr>
        <w:footnoteReference w:id="233"/>
      </w:r>
      <w:r w:rsidRPr="006E3415">
        <w:rPr>
          <w:rFonts w:ascii="Times New Roman" w:hAnsi="Times New Roman" w:cs="Times New Roman"/>
          <w:sz w:val="24"/>
          <w:szCs w:val="24"/>
        </w:rPr>
        <w:t xml:space="preserve"> </w:t>
      </w:r>
    </w:p>
    <w:p w:rsidR="0079180E" w:rsidRPr="006E3415" w:rsidRDefault="0079180E" w:rsidP="00746BFF">
      <w:pPr>
        <w:spacing w:after="0" w:line="360" w:lineRule="auto"/>
        <w:rPr>
          <w:rFonts w:ascii="Times New Roman" w:hAnsi="Times New Roman" w:cs="Times New Roman"/>
          <w:sz w:val="24"/>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In fact, it appears that trusts recognised as a result of application of the instrument of fraud principle were simply classified as trusts imposed for the prevention of fraud.</w:t>
      </w:r>
      <w:r w:rsidRPr="006E3415">
        <w:rPr>
          <w:rStyle w:val="FootnoteReference"/>
          <w:rFonts w:ascii="Times New Roman" w:hAnsi="Times New Roman" w:cs="Times New Roman"/>
          <w:sz w:val="24"/>
          <w:szCs w:val="24"/>
        </w:rPr>
        <w:footnoteReference w:id="234"/>
      </w:r>
      <w:r w:rsidRPr="006E3415">
        <w:rPr>
          <w:rFonts w:ascii="Times New Roman" w:hAnsi="Times New Roman" w:cs="Times New Roman"/>
          <w:sz w:val="24"/>
          <w:szCs w:val="24"/>
        </w:rPr>
        <w:t xml:space="preserve"> Because the prevention of fraud was a ground for equitable intervention and an established reason for the recognition and enforcement of a trust, no further classification was required.</w:t>
      </w:r>
      <w:r w:rsidR="000E6639" w:rsidRPr="006E3415">
        <w:rPr>
          <w:rFonts w:ascii="Times New Roman" w:hAnsi="Times New Roman" w:cs="Times New Roman"/>
          <w:sz w:val="24"/>
          <w:szCs w:val="24"/>
        </w:rPr>
        <w:t xml:space="preserve"> This was explained in detail</w:t>
      </w:r>
      <w:r w:rsidRPr="006E3415">
        <w:rPr>
          <w:rFonts w:ascii="Times New Roman" w:hAnsi="Times New Roman" w:cs="Times New Roman"/>
          <w:sz w:val="24"/>
          <w:szCs w:val="24"/>
        </w:rPr>
        <w:t xml:space="preserve"> by Lord Hardwicke LC in </w:t>
      </w:r>
      <w:r w:rsidRPr="006E3415">
        <w:rPr>
          <w:rFonts w:ascii="Times New Roman" w:hAnsi="Times New Roman" w:cs="Times New Roman"/>
          <w:i/>
          <w:sz w:val="24"/>
          <w:szCs w:val="24"/>
        </w:rPr>
        <w:t>Young v Peachy</w:t>
      </w:r>
      <w:r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235"/>
      </w:r>
      <w:r w:rsidRPr="006E3415">
        <w:rPr>
          <w:rFonts w:ascii="Times New Roman" w:hAnsi="Times New Roman" w:cs="Times New Roman"/>
          <w:sz w:val="24"/>
          <w:szCs w:val="24"/>
        </w:rPr>
        <w:t xml:space="preserve"> In this case, a daughter and son-in-law were persuaded by her father to convey the daughter’s interest in some land to him, on the understanding that he would then declare a trust of the interest for the daughter’s own use.</w:t>
      </w:r>
      <w:r w:rsidRPr="006E3415">
        <w:rPr>
          <w:rStyle w:val="FootnoteReference"/>
          <w:rFonts w:ascii="Times New Roman" w:hAnsi="Times New Roman" w:cs="Times New Roman"/>
          <w:sz w:val="24"/>
          <w:szCs w:val="24"/>
        </w:rPr>
        <w:footnoteReference w:id="236"/>
      </w:r>
      <w:r w:rsidRPr="006E3415">
        <w:rPr>
          <w:rFonts w:ascii="Times New Roman" w:hAnsi="Times New Roman" w:cs="Times New Roman"/>
          <w:sz w:val="24"/>
          <w:szCs w:val="24"/>
        </w:rPr>
        <w:t xml:space="preserve"> Having received the conveyance, the father was declared bankrupt. The plaintiffs</w:t>
      </w:r>
      <w:r w:rsidRPr="006E3415">
        <w:rPr>
          <w:rStyle w:val="FootnoteReference"/>
          <w:rFonts w:ascii="Times New Roman" w:hAnsi="Times New Roman" w:cs="Times New Roman"/>
          <w:sz w:val="24"/>
          <w:szCs w:val="24"/>
        </w:rPr>
        <w:footnoteReference w:id="237"/>
      </w:r>
      <w:r w:rsidRPr="006E3415">
        <w:rPr>
          <w:rFonts w:ascii="Times New Roman" w:hAnsi="Times New Roman" w:cs="Times New Roman"/>
          <w:sz w:val="24"/>
          <w:szCs w:val="24"/>
        </w:rPr>
        <w:t xml:space="preserve"> claimed that the father’s assignees held the interest for them by way of ‘a trust resulting by operation of law’.</w:t>
      </w:r>
      <w:r w:rsidRPr="006E3415">
        <w:rPr>
          <w:rStyle w:val="FootnoteReference"/>
          <w:rFonts w:ascii="Times New Roman" w:hAnsi="Times New Roman" w:cs="Times New Roman"/>
          <w:sz w:val="24"/>
          <w:szCs w:val="24"/>
        </w:rPr>
        <w:footnoteReference w:id="238"/>
      </w:r>
      <w:r w:rsidRPr="006E3415">
        <w:rPr>
          <w:rFonts w:ascii="Times New Roman" w:hAnsi="Times New Roman" w:cs="Times New Roman"/>
          <w:sz w:val="24"/>
          <w:szCs w:val="24"/>
        </w:rPr>
        <w:t xml:space="preserve"> Lord Hardwicke explained that: </w:t>
      </w:r>
    </w:p>
    <w:p w:rsidR="008B1360" w:rsidRPr="006E3415" w:rsidRDefault="008B1360" w:rsidP="00746BFF">
      <w:pPr>
        <w:spacing w:after="0" w:line="360" w:lineRule="auto"/>
        <w:rPr>
          <w:rFonts w:ascii="Times New Roman" w:hAnsi="Times New Roman" w:cs="Times New Roman"/>
          <w:sz w:val="24"/>
          <w:szCs w:val="24"/>
        </w:rPr>
      </w:pPr>
    </w:p>
    <w:p w:rsidR="008B1360" w:rsidRPr="006E3415" w:rsidRDefault="008B1360" w:rsidP="00746BFF">
      <w:pPr>
        <w:spacing w:after="0" w:line="360" w:lineRule="auto"/>
        <w:ind w:left="720"/>
        <w:rPr>
          <w:rFonts w:ascii="Times New Roman" w:hAnsi="Times New Roman" w:cs="Times New Roman"/>
          <w:sz w:val="24"/>
          <w:szCs w:val="24"/>
        </w:rPr>
      </w:pPr>
      <w:r w:rsidRPr="006E3415">
        <w:rPr>
          <w:rFonts w:ascii="Times New Roman" w:hAnsi="Times New Roman" w:cs="Times New Roman"/>
          <w:sz w:val="24"/>
          <w:szCs w:val="24"/>
        </w:rPr>
        <w:t>the question is, whether… here is either a trust resulting by operation of law for the benefit of the daughter… or whether there is not a ground… to direct that the assignees, under the commission of bankruptcy… shall execute a reconveyance under the head of fraud.</w:t>
      </w:r>
      <w:r w:rsidRPr="006E3415">
        <w:rPr>
          <w:rStyle w:val="FootnoteReference"/>
          <w:rFonts w:ascii="Times New Roman" w:hAnsi="Times New Roman" w:cs="Times New Roman"/>
          <w:sz w:val="24"/>
          <w:szCs w:val="24"/>
        </w:rPr>
        <w:footnoteReference w:id="239"/>
      </w:r>
    </w:p>
    <w:p w:rsidR="0079180E" w:rsidRPr="006E3415" w:rsidRDefault="0079180E" w:rsidP="00746BFF">
      <w:pPr>
        <w:spacing w:after="0" w:line="360" w:lineRule="auto"/>
        <w:ind w:left="720"/>
        <w:rPr>
          <w:rFonts w:ascii="Times New Roman" w:hAnsi="Times New Roman" w:cs="Times New Roman"/>
          <w:sz w:val="24"/>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Lord Hardwicke held that ‘there was no such trust</w:t>
      </w:r>
      <w:r w:rsidR="004B3908">
        <w:rPr>
          <w:rFonts w:ascii="Times New Roman" w:hAnsi="Times New Roman" w:cs="Times New Roman"/>
          <w:sz w:val="24"/>
          <w:szCs w:val="24"/>
        </w:rPr>
        <w:t xml:space="preserve"> [resulting by operation of law]</w:t>
      </w:r>
      <w:r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240"/>
      </w:r>
      <w:r w:rsidRPr="006E3415">
        <w:rPr>
          <w:rFonts w:ascii="Times New Roman" w:hAnsi="Times New Roman" w:cs="Times New Roman"/>
          <w:sz w:val="24"/>
          <w:szCs w:val="24"/>
        </w:rPr>
        <w:t xml:space="preserve"> but that the plaintiffs ‘had proper ground to be relieved under the head of fraud’.</w:t>
      </w:r>
      <w:r w:rsidRPr="006E3415">
        <w:rPr>
          <w:rStyle w:val="FootnoteReference"/>
          <w:rFonts w:ascii="Times New Roman" w:hAnsi="Times New Roman" w:cs="Times New Roman"/>
          <w:sz w:val="24"/>
          <w:szCs w:val="24"/>
        </w:rPr>
        <w:footnoteReference w:id="241"/>
      </w:r>
      <w:r w:rsidRPr="006E3415">
        <w:rPr>
          <w:rFonts w:ascii="Times New Roman" w:hAnsi="Times New Roman" w:cs="Times New Roman"/>
          <w:sz w:val="24"/>
          <w:szCs w:val="24"/>
        </w:rPr>
        <w:t xml:space="preserve"> The Statute of Frauds could not be relied upon by the defendant because ‘if that objection should be allowed, the statute would tend to promote frauds rather than prevent them’.</w:t>
      </w:r>
      <w:r w:rsidRPr="006E3415">
        <w:rPr>
          <w:rStyle w:val="FootnoteReference"/>
          <w:rFonts w:ascii="Times New Roman" w:hAnsi="Times New Roman" w:cs="Times New Roman"/>
          <w:sz w:val="24"/>
          <w:szCs w:val="24"/>
        </w:rPr>
        <w:footnoteReference w:id="242"/>
      </w:r>
      <w:r w:rsidRPr="006E3415">
        <w:rPr>
          <w:rFonts w:ascii="Times New Roman" w:hAnsi="Times New Roman" w:cs="Times New Roman"/>
          <w:sz w:val="24"/>
          <w:szCs w:val="24"/>
        </w:rPr>
        <w:t xml:space="preserve"> The defendant was therefore found to be a trustee</w:t>
      </w:r>
      <w:r w:rsidRPr="006E3415">
        <w:rPr>
          <w:rStyle w:val="FootnoteReference"/>
          <w:rFonts w:ascii="Times New Roman" w:hAnsi="Times New Roman" w:cs="Times New Roman"/>
          <w:sz w:val="24"/>
          <w:szCs w:val="24"/>
        </w:rPr>
        <w:footnoteReference w:id="243"/>
      </w:r>
      <w:r w:rsidRPr="006E3415">
        <w:rPr>
          <w:rFonts w:ascii="Times New Roman" w:hAnsi="Times New Roman" w:cs="Times New Roman"/>
          <w:sz w:val="24"/>
          <w:szCs w:val="24"/>
        </w:rPr>
        <w:t xml:space="preserve"> and ordered to convey the relevant property to the plaintiffs.</w:t>
      </w:r>
    </w:p>
    <w:p w:rsidR="008B1360" w:rsidRPr="006E3415" w:rsidRDefault="008B1360" w:rsidP="00746BFF">
      <w:pPr>
        <w:pStyle w:val="Standard"/>
        <w:spacing w:line="360" w:lineRule="auto"/>
        <w:rPr>
          <w:rFonts w:cs="Times New Roman"/>
          <w:b/>
        </w:rPr>
      </w:pPr>
    </w:p>
    <w:p w:rsidR="008B1360" w:rsidRPr="006E3415" w:rsidRDefault="000E6639" w:rsidP="00746BFF">
      <w:pPr>
        <w:pStyle w:val="Standard"/>
        <w:numPr>
          <w:ilvl w:val="0"/>
          <w:numId w:val="10"/>
        </w:numPr>
        <w:spacing w:line="360" w:lineRule="auto"/>
        <w:rPr>
          <w:rFonts w:cs="Times New Roman"/>
          <w:i/>
        </w:rPr>
      </w:pPr>
      <w:r w:rsidRPr="006E3415">
        <w:rPr>
          <w:rFonts w:cs="Times New Roman"/>
          <w:i/>
        </w:rPr>
        <w:lastRenderedPageBreak/>
        <w:t xml:space="preserve">Further classification of trusts like </w:t>
      </w:r>
      <w:r w:rsidRPr="006E3415">
        <w:rPr>
          <w:rFonts w:cs="Times New Roman"/>
        </w:rPr>
        <w:t xml:space="preserve">Rochefoucauld </w:t>
      </w:r>
      <w:r w:rsidRPr="006E3415">
        <w:rPr>
          <w:rFonts w:cs="Times New Roman"/>
          <w:i/>
        </w:rPr>
        <w:t xml:space="preserve">was </w:t>
      </w:r>
      <w:r w:rsidR="00E45A26" w:rsidRPr="006E3415">
        <w:rPr>
          <w:rFonts w:cs="Times New Roman"/>
          <w:i/>
        </w:rPr>
        <w:t>unnecessary</w:t>
      </w:r>
      <w:r w:rsidRPr="006E3415">
        <w:rPr>
          <w:rFonts w:cs="Times New Roman"/>
          <w:i/>
        </w:rPr>
        <w:t>: the narrow interpretation of ss7 and 8 of the Statute of Frauds.</w:t>
      </w:r>
    </w:p>
    <w:p w:rsidR="000E6639" w:rsidRPr="006E3415" w:rsidRDefault="000E6639" w:rsidP="00746BFF">
      <w:pPr>
        <w:pStyle w:val="Standard"/>
        <w:spacing w:line="360" w:lineRule="auto"/>
        <w:rPr>
          <w:rFonts w:cs="Times New Roman"/>
        </w:rPr>
      </w:pPr>
    </w:p>
    <w:p w:rsidR="008B1360" w:rsidRPr="006E3415" w:rsidRDefault="008B1360" w:rsidP="00746BFF">
      <w:pPr>
        <w:pStyle w:val="Standard"/>
        <w:spacing w:line="360" w:lineRule="auto"/>
        <w:rPr>
          <w:rFonts w:cs="Times New Roman"/>
        </w:rPr>
      </w:pPr>
      <w:r w:rsidRPr="006E3415">
        <w:rPr>
          <w:rFonts w:cs="Times New Roman"/>
        </w:rPr>
        <w:t xml:space="preserve">If parol trusts such as those in the cases discussed above were not express trusts, it may seem odd that the courts did not classify them as constructive trusts so as to fall within the ambit of s8 of the Statute of Frauds, which exempted from the effect of s7 ‘a Trust or Confidence [which] shall or may arise or result by the Implication or Construction of Law or bee [sic] transferred or extinguished by an act or operation of Law’. </w:t>
      </w:r>
    </w:p>
    <w:p w:rsidR="008B1360" w:rsidRPr="006E3415" w:rsidRDefault="008B1360" w:rsidP="00746BFF">
      <w:pPr>
        <w:pStyle w:val="Standard"/>
        <w:spacing w:line="360" w:lineRule="auto"/>
        <w:rPr>
          <w:rFonts w:cs="Times New Roman"/>
        </w:rPr>
      </w:pPr>
    </w:p>
    <w:p w:rsidR="008B1360" w:rsidRPr="006E3415" w:rsidRDefault="008B1360" w:rsidP="00746BFF">
      <w:pPr>
        <w:spacing w:line="360" w:lineRule="auto"/>
        <w:rPr>
          <w:rFonts w:ascii="Times New Roman" w:hAnsi="Times New Roman" w:cs="Times New Roman"/>
          <w:sz w:val="24"/>
          <w:szCs w:val="24"/>
        </w:rPr>
      </w:pPr>
      <w:r w:rsidRPr="006E3415">
        <w:rPr>
          <w:rFonts w:ascii="Times New Roman" w:hAnsi="Times New Roman" w:cs="Times New Roman"/>
          <w:sz w:val="24"/>
          <w:szCs w:val="24"/>
        </w:rPr>
        <w:t xml:space="preserve">The courts, however, </w:t>
      </w:r>
      <w:r w:rsidR="008778A0">
        <w:rPr>
          <w:rFonts w:ascii="Times New Roman" w:hAnsi="Times New Roman" w:cs="Times New Roman"/>
          <w:sz w:val="24"/>
          <w:szCs w:val="24"/>
        </w:rPr>
        <w:t>di</w:t>
      </w:r>
      <w:r w:rsidR="00AA2F78">
        <w:rPr>
          <w:rFonts w:ascii="Times New Roman" w:hAnsi="Times New Roman" w:cs="Times New Roman"/>
          <w:sz w:val="24"/>
          <w:szCs w:val="24"/>
        </w:rPr>
        <w:t>d not interpret s8 as applying</w:t>
      </w:r>
      <w:r w:rsidRPr="006E3415">
        <w:rPr>
          <w:rFonts w:ascii="Times New Roman" w:hAnsi="Times New Roman" w:cs="Times New Roman"/>
          <w:sz w:val="24"/>
          <w:szCs w:val="24"/>
        </w:rPr>
        <w:t xml:space="preserve"> to constructive trusts.</w:t>
      </w:r>
      <w:r w:rsidRPr="006E3415">
        <w:rPr>
          <w:rStyle w:val="FootnoteReference"/>
          <w:rFonts w:ascii="Times New Roman" w:hAnsi="Times New Roman" w:cs="Times New Roman"/>
          <w:sz w:val="24"/>
          <w:szCs w:val="24"/>
        </w:rPr>
        <w:footnoteReference w:id="244"/>
      </w:r>
      <w:r w:rsidRPr="006E3415">
        <w:rPr>
          <w:rFonts w:ascii="Times New Roman" w:hAnsi="Times New Roman" w:cs="Times New Roman"/>
          <w:sz w:val="24"/>
          <w:szCs w:val="24"/>
        </w:rPr>
        <w:t xml:space="preserve"> Rather, s8 only exempted some of the types of trusts which would now be now classified</w:t>
      </w:r>
      <w:r w:rsidR="00100A9E">
        <w:rPr>
          <w:rFonts w:ascii="Times New Roman" w:hAnsi="Times New Roman" w:cs="Times New Roman"/>
          <w:sz w:val="24"/>
          <w:szCs w:val="24"/>
        </w:rPr>
        <w:t xml:space="preserve"> as resulting trusts. This </w:t>
      </w:r>
      <w:r w:rsidRPr="006E3415">
        <w:rPr>
          <w:rFonts w:ascii="Times New Roman" w:hAnsi="Times New Roman" w:cs="Times New Roman"/>
          <w:sz w:val="24"/>
          <w:szCs w:val="24"/>
        </w:rPr>
        <w:t>limited interpretation of s8 was implied in early cases,</w:t>
      </w:r>
      <w:r w:rsidRPr="006E3415">
        <w:rPr>
          <w:rStyle w:val="FootnoteReference"/>
          <w:rFonts w:ascii="Times New Roman" w:hAnsi="Times New Roman" w:cs="Times New Roman"/>
          <w:sz w:val="24"/>
          <w:szCs w:val="24"/>
        </w:rPr>
        <w:footnoteReference w:id="245"/>
      </w:r>
      <w:r w:rsidRPr="006E3415">
        <w:rPr>
          <w:rFonts w:ascii="Times New Roman" w:hAnsi="Times New Roman" w:cs="Times New Roman"/>
          <w:sz w:val="24"/>
          <w:szCs w:val="24"/>
        </w:rPr>
        <w:t xml:space="preserve"> and was stated expressly by Lord Hardwicke in the leading authority of </w:t>
      </w:r>
      <w:r w:rsidRPr="006E3415">
        <w:rPr>
          <w:rFonts w:ascii="Times New Roman" w:hAnsi="Times New Roman" w:cs="Times New Roman"/>
          <w:i/>
          <w:iCs/>
          <w:sz w:val="24"/>
          <w:szCs w:val="24"/>
        </w:rPr>
        <w:t>Lloyd v Spillit</w:t>
      </w:r>
      <w:r w:rsidR="00066AD0">
        <w:rPr>
          <w:rFonts w:ascii="Times New Roman" w:hAnsi="Times New Roman" w:cs="Times New Roman"/>
          <w:i/>
          <w:iCs/>
          <w:sz w:val="24"/>
          <w:szCs w:val="24"/>
        </w:rPr>
        <w:t xml:space="preserve"> </w:t>
      </w:r>
      <w:r w:rsidR="00066AD0">
        <w:rPr>
          <w:rFonts w:ascii="Times New Roman" w:hAnsi="Times New Roman" w:cs="Times New Roman"/>
          <w:iCs/>
          <w:sz w:val="24"/>
          <w:szCs w:val="24"/>
        </w:rPr>
        <w:t>(1740)</w:t>
      </w:r>
      <w:r w:rsidRPr="006E3415">
        <w:rPr>
          <w:rFonts w:ascii="Times New Roman" w:hAnsi="Times New Roman" w:cs="Times New Roman"/>
          <w:iCs/>
          <w:sz w:val="24"/>
          <w:szCs w:val="24"/>
        </w:rPr>
        <w:t>:</w:t>
      </w:r>
      <w:r w:rsidRPr="006E3415">
        <w:rPr>
          <w:rStyle w:val="FootnoteReference"/>
          <w:rFonts w:ascii="Times New Roman" w:hAnsi="Times New Roman" w:cs="Times New Roman"/>
          <w:sz w:val="24"/>
          <w:szCs w:val="24"/>
        </w:rPr>
        <w:footnoteReference w:id="246"/>
      </w:r>
    </w:p>
    <w:p w:rsidR="008B1360" w:rsidRPr="006E3415" w:rsidRDefault="008B1360" w:rsidP="00746BFF">
      <w:pPr>
        <w:pStyle w:val="Standard"/>
        <w:spacing w:line="360" w:lineRule="auto"/>
        <w:rPr>
          <w:rFonts w:cs="Times New Roman"/>
        </w:rPr>
      </w:pPr>
    </w:p>
    <w:p w:rsidR="008B1360" w:rsidRPr="006E3415" w:rsidRDefault="008B1360" w:rsidP="00746BFF">
      <w:pPr>
        <w:pStyle w:val="Standard"/>
        <w:spacing w:line="360" w:lineRule="auto"/>
        <w:ind w:left="720"/>
        <w:rPr>
          <w:rFonts w:cs="Times New Roman"/>
        </w:rPr>
      </w:pPr>
      <w:r w:rsidRPr="006E3415">
        <w:rPr>
          <w:rFonts w:cs="Times New Roman"/>
        </w:rPr>
        <w:t>in that Statute there is an Exception of Trusts arising by Operation of Law. But his Lordship said, that those have been but of two Kinds, either where the Conveyance has been taken in the Name of one Man, and the Purchase Money paid by another, or where the Owner of an Estate has made a voluntary Conveyance of it, and made a Declaration of the Trust with regard to one Part of the Estate, and has been silent with regard to the other Part of it.</w:t>
      </w:r>
      <w:r w:rsidRPr="006E3415">
        <w:rPr>
          <w:rStyle w:val="FootnoteReference"/>
          <w:rFonts w:cs="Times New Roman"/>
        </w:rPr>
        <w:footnoteReference w:id="247"/>
      </w:r>
    </w:p>
    <w:p w:rsidR="008B1360" w:rsidRPr="006E3415" w:rsidRDefault="008B1360" w:rsidP="00746BFF">
      <w:pPr>
        <w:spacing w:after="0" w:line="360" w:lineRule="auto"/>
        <w:rPr>
          <w:rFonts w:ascii="Times New Roman" w:hAnsi="Times New Roman" w:cs="Times New Roman"/>
          <w:sz w:val="24"/>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lastRenderedPageBreak/>
        <w:t xml:space="preserve">The Lord Chancellor went on to explain, however, that ‘[w]here there has been a Fraud in gaining a Conveyance from another, that may be a Reason for making the Grantee in that Conveyance to be considered </w:t>
      </w:r>
      <w:r w:rsidR="00E062B8" w:rsidRPr="006E3415">
        <w:rPr>
          <w:rFonts w:ascii="Times New Roman" w:hAnsi="Times New Roman" w:cs="Times New Roman"/>
          <w:sz w:val="24"/>
          <w:szCs w:val="24"/>
        </w:rPr>
        <w:t>merely</w:t>
      </w:r>
      <w:r w:rsidRPr="006E3415">
        <w:rPr>
          <w:rFonts w:ascii="Times New Roman" w:hAnsi="Times New Roman" w:cs="Times New Roman"/>
          <w:sz w:val="24"/>
          <w:szCs w:val="24"/>
        </w:rPr>
        <w:t xml:space="preserve"> as a Trustee.’</w:t>
      </w:r>
      <w:r w:rsidRPr="006E3415">
        <w:rPr>
          <w:rStyle w:val="FootnoteReference"/>
          <w:rFonts w:ascii="Times New Roman" w:hAnsi="Times New Roman" w:cs="Times New Roman"/>
          <w:sz w:val="24"/>
          <w:szCs w:val="24"/>
        </w:rPr>
        <w:footnoteReference w:id="248"/>
      </w:r>
    </w:p>
    <w:p w:rsidR="0079180E" w:rsidRPr="006E3415" w:rsidRDefault="0079180E" w:rsidP="00746BFF">
      <w:pPr>
        <w:spacing w:after="0" w:line="360" w:lineRule="auto"/>
        <w:rPr>
          <w:rFonts w:ascii="Times New Roman" w:hAnsi="Times New Roman" w:cs="Times New Roman"/>
          <w:sz w:val="24"/>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This restrictive interpretation of s8 needs to be explained in l</w:t>
      </w:r>
      <w:r w:rsidR="001D49C3">
        <w:rPr>
          <w:rFonts w:ascii="Times New Roman" w:hAnsi="Times New Roman" w:cs="Times New Roman"/>
          <w:sz w:val="24"/>
          <w:szCs w:val="24"/>
        </w:rPr>
        <w:t>ight of the Statute of Uses 1536</w:t>
      </w:r>
      <w:r w:rsidRPr="006E3415">
        <w:rPr>
          <w:rFonts w:ascii="Times New Roman" w:hAnsi="Times New Roman" w:cs="Times New Roman"/>
          <w:sz w:val="24"/>
          <w:szCs w:val="24"/>
        </w:rPr>
        <w:t>. Prior to the Statute, the Court of Chancery recognised that certain transactions, such as purchases of land in the name of a third party, would give rise to a resulting use. In such instances, the third party would take legal title for the use of the true purchaser. The Statute of Uses converted such resulting uses into legal estates by automatically vesting leg</w:t>
      </w:r>
      <w:r w:rsidR="004E5066">
        <w:rPr>
          <w:rFonts w:ascii="Times New Roman" w:hAnsi="Times New Roman" w:cs="Times New Roman"/>
          <w:sz w:val="24"/>
          <w:szCs w:val="24"/>
        </w:rPr>
        <w:t>al title in the true purchaser</w:t>
      </w:r>
      <w:r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249"/>
      </w:r>
      <w:r w:rsidRPr="006E3415">
        <w:rPr>
          <w:rFonts w:ascii="Times New Roman" w:hAnsi="Times New Roman" w:cs="Times New Roman"/>
          <w:sz w:val="24"/>
          <w:szCs w:val="24"/>
        </w:rPr>
        <w:t xml:space="preserve"> Once trusts came to be recognised by the Court of Chancery, the circumstances that would have given rise to resulting uses at common law were recognised by the Court of Chancery as giving rise to trusts by ‘strict analogy to the rule of the </w:t>
      </w:r>
      <w:r w:rsidRPr="006E3415">
        <w:rPr>
          <w:rFonts w:ascii="Times New Roman" w:hAnsi="Times New Roman" w:cs="Times New Roman"/>
          <w:i/>
          <w:sz w:val="24"/>
          <w:szCs w:val="24"/>
        </w:rPr>
        <w:t>common law</w:t>
      </w:r>
      <w:r w:rsidRPr="006E3415">
        <w:rPr>
          <w:rFonts w:ascii="Times New Roman" w:hAnsi="Times New Roman" w:cs="Times New Roman"/>
          <w:sz w:val="24"/>
          <w:szCs w:val="24"/>
        </w:rPr>
        <w:t>.’</w:t>
      </w:r>
      <w:r w:rsidRPr="006E3415">
        <w:rPr>
          <w:rStyle w:val="FootnoteReference"/>
          <w:rFonts w:ascii="Times New Roman" w:hAnsi="Times New Roman" w:cs="Times New Roman"/>
          <w:sz w:val="24"/>
          <w:szCs w:val="24"/>
        </w:rPr>
        <w:footnoteReference w:id="250"/>
      </w:r>
      <w:r w:rsidRPr="006E3415">
        <w:rPr>
          <w:rFonts w:ascii="Times New Roman" w:hAnsi="Times New Roman" w:cs="Times New Roman"/>
          <w:sz w:val="24"/>
          <w:szCs w:val="24"/>
        </w:rPr>
        <w:t xml:space="preserve"> It is thus likely that Lord Hardwicke interpreted s8 of the Statute of Frauds, with its use of the phrase, ‘by the Implication or Construction </w:t>
      </w:r>
      <w:r w:rsidRPr="006E3415">
        <w:rPr>
          <w:rFonts w:ascii="Times New Roman" w:hAnsi="Times New Roman" w:cs="Times New Roman"/>
          <w:i/>
          <w:sz w:val="24"/>
          <w:szCs w:val="24"/>
        </w:rPr>
        <w:t xml:space="preserve">of law </w:t>
      </w:r>
      <w:r w:rsidRPr="006E3415">
        <w:rPr>
          <w:rFonts w:ascii="Times New Roman" w:hAnsi="Times New Roman" w:cs="Times New Roman"/>
          <w:sz w:val="24"/>
          <w:szCs w:val="24"/>
        </w:rPr>
        <w:t>[italics added]</w:t>
      </w:r>
      <w:r w:rsidRPr="006E3415">
        <w:rPr>
          <w:rFonts w:ascii="Times New Roman" w:hAnsi="Times New Roman" w:cs="Times New Roman"/>
          <w:i/>
          <w:sz w:val="24"/>
          <w:szCs w:val="24"/>
        </w:rPr>
        <w:t>’</w:t>
      </w:r>
      <w:r w:rsidRPr="006E3415">
        <w:rPr>
          <w:rFonts w:ascii="Times New Roman" w:hAnsi="Times New Roman" w:cs="Times New Roman"/>
          <w:sz w:val="24"/>
          <w:szCs w:val="24"/>
        </w:rPr>
        <w:t xml:space="preserve"> to extend only to those trusts that were recognised in equity by analogy with common law, as opposed to trusts other than express trusts which arose according to the doctrines of equity.</w:t>
      </w:r>
      <w:r w:rsidRPr="006E3415">
        <w:rPr>
          <w:rStyle w:val="FootnoteReference"/>
          <w:rFonts w:ascii="Times New Roman" w:hAnsi="Times New Roman" w:cs="Times New Roman"/>
          <w:sz w:val="24"/>
          <w:szCs w:val="24"/>
        </w:rPr>
        <w:footnoteReference w:id="251"/>
      </w:r>
      <w:r w:rsidRPr="006E3415">
        <w:rPr>
          <w:rFonts w:ascii="Times New Roman" w:hAnsi="Times New Roman" w:cs="Times New Roman"/>
          <w:sz w:val="24"/>
          <w:szCs w:val="24"/>
        </w:rPr>
        <w:t xml:space="preserve"> Of early jurists, Fonblanque, Roberts and Lewin,</w:t>
      </w:r>
      <w:r w:rsidR="000B0999" w:rsidRPr="000B0999">
        <w:rPr>
          <w:rStyle w:val="FootnoteReference"/>
          <w:rFonts w:ascii="Times New Roman" w:hAnsi="Times New Roman" w:cs="Times New Roman"/>
          <w:sz w:val="24"/>
          <w:szCs w:val="24"/>
        </w:rPr>
        <w:t xml:space="preserve"> </w:t>
      </w:r>
      <w:r w:rsidR="000B0999" w:rsidRPr="006E3415">
        <w:rPr>
          <w:rStyle w:val="FootnoteReference"/>
          <w:rFonts w:ascii="Times New Roman" w:hAnsi="Times New Roman" w:cs="Times New Roman"/>
          <w:sz w:val="24"/>
          <w:szCs w:val="24"/>
        </w:rPr>
        <w:footnoteReference w:id="252"/>
      </w:r>
      <w:r w:rsidR="000B0999" w:rsidRPr="006E3415">
        <w:rPr>
          <w:rFonts w:ascii="Times New Roman" w:hAnsi="Times New Roman" w:cs="Times New Roman"/>
          <w:sz w:val="24"/>
          <w:szCs w:val="24"/>
        </w:rPr>
        <w:t xml:space="preserve"> </w:t>
      </w:r>
      <w:r w:rsidRPr="006E3415">
        <w:rPr>
          <w:rFonts w:ascii="Times New Roman" w:hAnsi="Times New Roman" w:cs="Times New Roman"/>
          <w:sz w:val="24"/>
          <w:szCs w:val="24"/>
        </w:rPr>
        <w:t>for example, were in agreement that Lord Hardwicke interpreted s8 in this manner</w:t>
      </w:r>
      <w:r w:rsidR="000B0999">
        <w:rPr>
          <w:rFonts w:ascii="Times New Roman" w:hAnsi="Times New Roman" w:cs="Times New Roman"/>
          <w:sz w:val="24"/>
          <w:szCs w:val="24"/>
        </w:rPr>
        <w:t>, although Sanders appears to have disagreed</w:t>
      </w:r>
      <w:r w:rsidR="00A81A79">
        <w:rPr>
          <w:rFonts w:ascii="Times New Roman" w:hAnsi="Times New Roman" w:cs="Times New Roman"/>
          <w:sz w:val="24"/>
          <w:szCs w:val="24"/>
        </w:rPr>
        <w:t xml:space="preserve"> at least to some extent</w:t>
      </w:r>
      <w:r w:rsidR="00DF1CC7">
        <w:rPr>
          <w:rFonts w:ascii="Times New Roman" w:hAnsi="Times New Roman" w:cs="Times New Roman"/>
          <w:sz w:val="24"/>
          <w:szCs w:val="24"/>
        </w:rPr>
        <w:t xml:space="preserve"> with this construction</w:t>
      </w:r>
      <w:r w:rsidR="000B0999">
        <w:rPr>
          <w:rFonts w:ascii="Times New Roman" w:hAnsi="Times New Roman" w:cs="Times New Roman"/>
          <w:sz w:val="24"/>
          <w:szCs w:val="24"/>
        </w:rPr>
        <w:t xml:space="preserve">, as he included trusts such as that in </w:t>
      </w:r>
      <w:r w:rsidR="000B0999">
        <w:rPr>
          <w:rFonts w:ascii="Times New Roman" w:hAnsi="Times New Roman" w:cs="Times New Roman"/>
          <w:i/>
          <w:sz w:val="24"/>
          <w:szCs w:val="24"/>
        </w:rPr>
        <w:t>Keech v Sandford</w:t>
      </w:r>
      <w:r w:rsidR="000B0999" w:rsidRPr="000B0999">
        <w:rPr>
          <w:rStyle w:val="FootnoteReference"/>
          <w:rFonts w:ascii="Times New Roman" w:hAnsi="Times New Roman" w:cs="Times New Roman"/>
          <w:sz w:val="24"/>
          <w:szCs w:val="24"/>
        </w:rPr>
        <w:footnoteReference w:id="253"/>
      </w:r>
      <w:r w:rsidRPr="000B0999">
        <w:rPr>
          <w:rFonts w:ascii="Times New Roman" w:hAnsi="Times New Roman" w:cs="Times New Roman"/>
          <w:sz w:val="24"/>
          <w:szCs w:val="24"/>
        </w:rPr>
        <w:t xml:space="preserve"> </w:t>
      </w:r>
      <w:r w:rsidR="000B0999">
        <w:rPr>
          <w:rFonts w:ascii="Times New Roman" w:hAnsi="Times New Roman" w:cs="Times New Roman"/>
          <w:sz w:val="24"/>
          <w:szCs w:val="24"/>
        </w:rPr>
        <w:t>in his s</w:t>
      </w:r>
      <w:r w:rsidR="000B0999" w:rsidRPr="000B0999">
        <w:rPr>
          <w:rFonts w:ascii="Times New Roman" w:hAnsi="Times New Roman" w:cs="Times New Roman"/>
          <w:sz w:val="24"/>
          <w:szCs w:val="24"/>
        </w:rPr>
        <w:t xml:space="preserve">ection on </w:t>
      </w:r>
      <w:r w:rsidR="000B0999" w:rsidRPr="000B0999">
        <w:rPr>
          <w:rFonts w:ascii="Times New Roman" w:hAnsi="Times New Roman" w:cs="Times New Roman"/>
          <w:sz w:val="24"/>
          <w:szCs w:val="24"/>
          <w:lang w:val="en-US" w:eastAsia="en-GB"/>
        </w:rPr>
        <w:t>‘trusts, arising from the operation or construction of equity’</w:t>
      </w:r>
      <w:r w:rsidR="00260639">
        <w:rPr>
          <w:rFonts w:ascii="Times New Roman" w:hAnsi="Times New Roman" w:cs="Times New Roman"/>
          <w:sz w:val="24"/>
          <w:szCs w:val="24"/>
          <w:lang w:val="en-US" w:eastAsia="en-GB"/>
        </w:rPr>
        <w:t xml:space="preserve"> which fell within the ambit of s8</w:t>
      </w:r>
      <w:r w:rsidR="000B0999" w:rsidRPr="000B0999">
        <w:rPr>
          <w:rFonts w:ascii="Times New Roman" w:hAnsi="Times New Roman" w:cs="Times New Roman"/>
          <w:sz w:val="24"/>
          <w:szCs w:val="24"/>
          <w:lang w:val="en-US" w:eastAsia="en-GB"/>
        </w:rPr>
        <w:t>.</w:t>
      </w:r>
      <w:r w:rsidR="000B0999">
        <w:rPr>
          <w:rStyle w:val="FootnoteReference"/>
          <w:rFonts w:ascii="Times New Roman" w:hAnsi="Times New Roman" w:cs="Times New Roman"/>
          <w:sz w:val="24"/>
          <w:szCs w:val="24"/>
          <w:lang w:val="en-US" w:eastAsia="en-GB"/>
        </w:rPr>
        <w:footnoteReference w:id="254"/>
      </w:r>
    </w:p>
    <w:p w:rsidR="0079180E" w:rsidRPr="006E3415" w:rsidRDefault="0079180E" w:rsidP="00746BFF">
      <w:pPr>
        <w:spacing w:after="0" w:line="360" w:lineRule="auto"/>
        <w:rPr>
          <w:rFonts w:ascii="Times New Roman" w:hAnsi="Times New Roman" w:cs="Times New Roman"/>
          <w:sz w:val="24"/>
          <w:szCs w:val="24"/>
        </w:rPr>
      </w:pPr>
    </w:p>
    <w:p w:rsidR="008B1360" w:rsidRPr="006E3415" w:rsidRDefault="00260639" w:rsidP="00746BF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fact that n</w:t>
      </w:r>
      <w:r w:rsidR="008B1360" w:rsidRPr="006E3415">
        <w:rPr>
          <w:rFonts w:ascii="Times New Roman" w:hAnsi="Times New Roman" w:cs="Times New Roman"/>
          <w:sz w:val="24"/>
          <w:szCs w:val="24"/>
        </w:rPr>
        <w:t>umerous types of trusts of land other than those identified b</w:t>
      </w:r>
      <w:r>
        <w:rPr>
          <w:rFonts w:ascii="Times New Roman" w:hAnsi="Times New Roman" w:cs="Times New Roman"/>
          <w:sz w:val="24"/>
          <w:szCs w:val="24"/>
        </w:rPr>
        <w:t xml:space="preserve">y Lord Hardwicke were </w:t>
      </w:r>
      <w:r w:rsidR="008B1360" w:rsidRPr="006E3415">
        <w:rPr>
          <w:rFonts w:ascii="Times New Roman" w:hAnsi="Times New Roman" w:cs="Times New Roman"/>
          <w:sz w:val="24"/>
          <w:szCs w:val="24"/>
        </w:rPr>
        <w:t>recognised without written evidence</w:t>
      </w:r>
      <w:r>
        <w:rPr>
          <w:rFonts w:ascii="Times New Roman" w:hAnsi="Times New Roman" w:cs="Times New Roman"/>
          <w:sz w:val="24"/>
          <w:szCs w:val="24"/>
        </w:rPr>
        <w:t xml:space="preserve"> is difficult to reconcile with his Lordship’s interpretation of s8</w:t>
      </w:r>
      <w:r w:rsidR="008B1360" w:rsidRPr="006E3415">
        <w:rPr>
          <w:rFonts w:ascii="Times New Roman" w:hAnsi="Times New Roman" w:cs="Times New Roman"/>
          <w:sz w:val="24"/>
          <w:szCs w:val="24"/>
        </w:rPr>
        <w:t>. Fonblanque therefore disagreed with Lord Hardwicke’s interpretation, explaining that his ‘construction of [s8] of the Statute of frauds restrains it to such trusts as arise by operation of law, except in cases of fraud, whereas it clearly extends to such as are raised by construction of equity’.</w:t>
      </w:r>
      <w:r w:rsidR="008B1360" w:rsidRPr="006E3415">
        <w:rPr>
          <w:rStyle w:val="FootnoteReference"/>
          <w:rFonts w:ascii="Times New Roman" w:hAnsi="Times New Roman" w:cs="Times New Roman"/>
          <w:sz w:val="24"/>
          <w:szCs w:val="24"/>
        </w:rPr>
        <w:footnoteReference w:id="255"/>
      </w:r>
      <w:r w:rsidR="008B1360" w:rsidRPr="006E3415">
        <w:rPr>
          <w:rFonts w:ascii="Times New Roman" w:hAnsi="Times New Roman" w:cs="Times New Roman"/>
          <w:sz w:val="24"/>
          <w:szCs w:val="24"/>
        </w:rPr>
        <w:t xml:space="preserve"> Roberts, on the other hand, considered that ‘[s]ome other words probably accompanied this observation of the Lord Chancellor’.</w:t>
      </w:r>
      <w:r w:rsidR="008B1360" w:rsidRPr="006E3415">
        <w:rPr>
          <w:rStyle w:val="FootnoteReference"/>
          <w:rFonts w:ascii="Times New Roman" w:hAnsi="Times New Roman" w:cs="Times New Roman"/>
          <w:sz w:val="24"/>
          <w:szCs w:val="24"/>
        </w:rPr>
        <w:footnoteReference w:id="256"/>
      </w:r>
    </w:p>
    <w:p w:rsidR="0079180E" w:rsidRPr="006E3415" w:rsidRDefault="0079180E" w:rsidP="00746BFF">
      <w:pPr>
        <w:spacing w:after="0" w:line="360" w:lineRule="auto"/>
        <w:rPr>
          <w:rFonts w:ascii="Times New Roman" w:hAnsi="Times New Roman" w:cs="Times New Roman"/>
          <w:sz w:val="24"/>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It is submitted, however, that the most convincing interpretation of the meaning of s8 is that of Lewin.</w:t>
      </w:r>
      <w:r w:rsidRPr="006E3415">
        <w:rPr>
          <w:rStyle w:val="FootnoteReference"/>
          <w:rFonts w:ascii="Times New Roman" w:hAnsi="Times New Roman" w:cs="Times New Roman"/>
          <w:sz w:val="24"/>
          <w:szCs w:val="24"/>
        </w:rPr>
        <w:footnoteReference w:id="257"/>
      </w:r>
      <w:r w:rsidRPr="006E3415">
        <w:rPr>
          <w:rFonts w:ascii="Times New Roman" w:hAnsi="Times New Roman" w:cs="Times New Roman"/>
          <w:sz w:val="24"/>
          <w:szCs w:val="24"/>
        </w:rPr>
        <w:t xml:space="preserve"> He thought that Fonblanque and Roberts had erred in assuming that the ‘</w:t>
      </w:r>
      <w:r w:rsidRPr="006E3415">
        <w:rPr>
          <w:rFonts w:ascii="Times New Roman" w:hAnsi="Times New Roman" w:cs="Times New Roman"/>
          <w:i/>
          <w:sz w:val="24"/>
          <w:szCs w:val="24"/>
        </w:rPr>
        <w:t xml:space="preserve">seventh </w:t>
      </w:r>
      <w:r w:rsidRPr="006E3415">
        <w:rPr>
          <w:rFonts w:ascii="Times New Roman" w:hAnsi="Times New Roman" w:cs="Times New Roman"/>
          <w:sz w:val="24"/>
          <w:szCs w:val="24"/>
        </w:rPr>
        <w:t>or enacting clause embraces all trusts indiscriminately, and that such as arise by operation of law are only saved from the act by virtue of the subsequent language contained in the eighth section.’</w:t>
      </w:r>
      <w:r w:rsidRPr="006E3415">
        <w:rPr>
          <w:rStyle w:val="FootnoteReference"/>
          <w:rFonts w:ascii="Times New Roman" w:hAnsi="Times New Roman" w:cs="Times New Roman"/>
          <w:sz w:val="24"/>
          <w:szCs w:val="24"/>
        </w:rPr>
        <w:footnoteReference w:id="258"/>
      </w:r>
      <w:r w:rsidRPr="006E3415">
        <w:rPr>
          <w:rFonts w:ascii="Times New Roman" w:hAnsi="Times New Roman" w:cs="Times New Roman"/>
          <w:sz w:val="24"/>
          <w:szCs w:val="24"/>
        </w:rPr>
        <w:t xml:space="preserve"> Lewin noted that s8 referred only to ‘conveyances’, whilst resulting trusts were routinely imposed on devises. </w:t>
      </w:r>
      <w:r w:rsidR="007B5256" w:rsidRPr="006E3415">
        <w:rPr>
          <w:rFonts w:ascii="Times New Roman" w:hAnsi="Times New Roman" w:cs="Times New Roman"/>
          <w:sz w:val="24"/>
          <w:szCs w:val="24"/>
        </w:rPr>
        <w:t>H</w:t>
      </w:r>
      <w:r w:rsidRPr="006E3415">
        <w:rPr>
          <w:rFonts w:ascii="Times New Roman" w:hAnsi="Times New Roman" w:cs="Times New Roman"/>
          <w:sz w:val="24"/>
          <w:szCs w:val="24"/>
        </w:rPr>
        <w:t>e therefore conclude</w:t>
      </w:r>
      <w:r w:rsidR="007B5256" w:rsidRPr="006E3415">
        <w:rPr>
          <w:rFonts w:ascii="Times New Roman" w:hAnsi="Times New Roman" w:cs="Times New Roman"/>
          <w:sz w:val="24"/>
          <w:szCs w:val="24"/>
        </w:rPr>
        <w:t>d</w:t>
      </w:r>
      <w:r w:rsidRPr="006E3415">
        <w:rPr>
          <w:rFonts w:ascii="Times New Roman" w:hAnsi="Times New Roman" w:cs="Times New Roman"/>
          <w:sz w:val="24"/>
          <w:szCs w:val="24"/>
        </w:rPr>
        <w:t xml:space="preserve"> that s7 only applied to those trusts capable of being manifested and proven by writing, and that ‘[t]he aim of the legislature [in enacting s7] was, not to disturb such trusts as were raised by maxims of equity’.</w:t>
      </w:r>
      <w:r w:rsidRPr="006E3415">
        <w:rPr>
          <w:rStyle w:val="FootnoteReference"/>
          <w:rFonts w:ascii="Times New Roman" w:hAnsi="Times New Roman" w:cs="Times New Roman"/>
          <w:sz w:val="24"/>
          <w:szCs w:val="24"/>
        </w:rPr>
        <w:footnoteReference w:id="259"/>
      </w:r>
      <w:r w:rsidRPr="006E3415">
        <w:rPr>
          <w:rFonts w:ascii="Times New Roman" w:hAnsi="Times New Roman" w:cs="Times New Roman"/>
          <w:sz w:val="24"/>
          <w:szCs w:val="24"/>
        </w:rPr>
        <w:t xml:space="preserve"> The reason, according to Lewin, for the enactment of s8 was simply to confi</w:t>
      </w:r>
      <w:r w:rsidR="005A02A2">
        <w:rPr>
          <w:rFonts w:ascii="Times New Roman" w:hAnsi="Times New Roman" w:cs="Times New Roman"/>
          <w:sz w:val="24"/>
          <w:szCs w:val="24"/>
        </w:rPr>
        <w:t>rm that resulting trusts arising</w:t>
      </w:r>
      <w:r w:rsidRPr="006E3415">
        <w:rPr>
          <w:rFonts w:ascii="Times New Roman" w:hAnsi="Times New Roman" w:cs="Times New Roman"/>
          <w:sz w:val="24"/>
          <w:szCs w:val="24"/>
        </w:rPr>
        <w:t xml:space="preserve"> by analogy with law </w:t>
      </w:r>
      <w:r w:rsidR="00AE6270">
        <w:rPr>
          <w:rFonts w:ascii="Times New Roman" w:hAnsi="Times New Roman" w:cs="Times New Roman"/>
          <w:sz w:val="24"/>
          <w:szCs w:val="24"/>
        </w:rPr>
        <w:t xml:space="preserve">upon apparently absolute conveyances </w:t>
      </w:r>
      <w:r w:rsidRPr="006E3415">
        <w:rPr>
          <w:rFonts w:ascii="Times New Roman" w:hAnsi="Times New Roman" w:cs="Times New Roman"/>
          <w:sz w:val="24"/>
          <w:szCs w:val="24"/>
        </w:rPr>
        <w:t xml:space="preserve">(for example, when an apparently absolute conveyance is deemed </w:t>
      </w:r>
      <w:r w:rsidR="00761D3D">
        <w:rPr>
          <w:rFonts w:ascii="Times New Roman" w:hAnsi="Times New Roman" w:cs="Times New Roman"/>
          <w:sz w:val="24"/>
          <w:szCs w:val="24"/>
        </w:rPr>
        <w:t xml:space="preserve">to be </w:t>
      </w:r>
      <w:r w:rsidRPr="006E3415">
        <w:rPr>
          <w:rFonts w:ascii="Times New Roman" w:hAnsi="Times New Roman" w:cs="Times New Roman"/>
          <w:sz w:val="24"/>
          <w:szCs w:val="24"/>
        </w:rPr>
        <w:t>subject to a resulting trust) did not need to comply with s7.</w:t>
      </w:r>
    </w:p>
    <w:p w:rsidR="00282D17" w:rsidRPr="006E3415" w:rsidRDefault="00282D17" w:rsidP="00746BFF">
      <w:pPr>
        <w:spacing w:after="0" w:line="360" w:lineRule="auto"/>
        <w:rPr>
          <w:rFonts w:ascii="Times New Roman" w:hAnsi="Times New Roman" w:cs="Times New Roman"/>
          <w:sz w:val="24"/>
          <w:szCs w:val="24"/>
        </w:rPr>
      </w:pPr>
    </w:p>
    <w:p w:rsidR="008B1360" w:rsidRPr="006E3415" w:rsidRDefault="008B1360" w:rsidP="00746BFF">
      <w:pPr>
        <w:spacing w:after="0" w:line="360" w:lineRule="auto"/>
        <w:rPr>
          <w:rFonts w:ascii="Times New Roman" w:hAnsi="Times New Roman" w:cs="Times New Roman"/>
          <w:iCs/>
          <w:sz w:val="24"/>
          <w:szCs w:val="24"/>
        </w:rPr>
      </w:pPr>
      <w:r w:rsidRPr="006E3415">
        <w:rPr>
          <w:rFonts w:ascii="Times New Roman" w:hAnsi="Times New Roman" w:cs="Times New Roman"/>
          <w:sz w:val="24"/>
          <w:szCs w:val="24"/>
        </w:rPr>
        <w:t xml:space="preserve">Lewin’s explanation sits well with other observations by Lord Hardwicke such as, for example, his acceptance in </w:t>
      </w:r>
      <w:r w:rsidRPr="006E3415">
        <w:rPr>
          <w:rFonts w:ascii="Times New Roman" w:hAnsi="Times New Roman" w:cs="Times New Roman"/>
          <w:i/>
          <w:sz w:val="24"/>
          <w:szCs w:val="24"/>
        </w:rPr>
        <w:t>Young v Peachy</w:t>
      </w:r>
      <w:r w:rsidRPr="006E3415">
        <w:rPr>
          <w:rFonts w:ascii="Times New Roman" w:hAnsi="Times New Roman" w:cs="Times New Roman"/>
          <w:sz w:val="24"/>
          <w:szCs w:val="24"/>
        </w:rPr>
        <w:t xml:space="preserve"> of a trust imposed for the prevention of fraud as an alternative to a ‘trust resulting by operation of law’.</w:t>
      </w:r>
      <w:r w:rsidRPr="006E3415">
        <w:rPr>
          <w:rStyle w:val="FootnoteReference"/>
          <w:rFonts w:ascii="Times New Roman" w:hAnsi="Times New Roman" w:cs="Times New Roman"/>
          <w:sz w:val="24"/>
          <w:szCs w:val="24"/>
        </w:rPr>
        <w:footnoteReference w:id="260"/>
      </w:r>
      <w:r w:rsidRPr="006E3415">
        <w:rPr>
          <w:rFonts w:ascii="Times New Roman" w:hAnsi="Times New Roman" w:cs="Times New Roman"/>
          <w:sz w:val="24"/>
          <w:szCs w:val="24"/>
        </w:rPr>
        <w:t xml:space="preserve"> In </w:t>
      </w:r>
      <w:r w:rsidRPr="006E3415">
        <w:rPr>
          <w:rFonts w:ascii="Times New Roman" w:hAnsi="Times New Roman" w:cs="Times New Roman"/>
          <w:i/>
          <w:iCs/>
          <w:sz w:val="24"/>
          <w:szCs w:val="24"/>
        </w:rPr>
        <w:t>Willis v Willis</w:t>
      </w:r>
      <w:r w:rsidR="00066AD0">
        <w:rPr>
          <w:rFonts w:ascii="Times New Roman" w:hAnsi="Times New Roman" w:cs="Times New Roman"/>
          <w:i/>
          <w:iCs/>
          <w:sz w:val="24"/>
          <w:szCs w:val="24"/>
        </w:rPr>
        <w:t xml:space="preserve"> </w:t>
      </w:r>
      <w:r w:rsidR="00066AD0">
        <w:rPr>
          <w:rFonts w:ascii="Times New Roman" w:hAnsi="Times New Roman" w:cs="Times New Roman"/>
          <w:iCs/>
          <w:sz w:val="24"/>
          <w:szCs w:val="24"/>
        </w:rPr>
        <w:t>(1740)</w:t>
      </w:r>
      <w:r w:rsidRPr="006E3415">
        <w:rPr>
          <w:rFonts w:ascii="Times New Roman" w:hAnsi="Times New Roman" w:cs="Times New Roman"/>
          <w:i/>
          <w:iCs/>
          <w:sz w:val="24"/>
          <w:szCs w:val="24"/>
        </w:rPr>
        <w:t>,</w:t>
      </w:r>
      <w:r w:rsidRPr="006E3415">
        <w:rPr>
          <w:rStyle w:val="FootnoteReference"/>
          <w:rFonts w:ascii="Times New Roman" w:hAnsi="Times New Roman" w:cs="Times New Roman"/>
          <w:sz w:val="24"/>
          <w:szCs w:val="24"/>
        </w:rPr>
        <w:footnoteReference w:id="261"/>
      </w:r>
      <w:r w:rsidRPr="006E3415">
        <w:rPr>
          <w:rFonts w:ascii="Times New Roman" w:hAnsi="Times New Roman" w:cs="Times New Roman"/>
          <w:i/>
          <w:iCs/>
          <w:sz w:val="24"/>
          <w:szCs w:val="24"/>
        </w:rPr>
        <w:t xml:space="preserve"> </w:t>
      </w:r>
      <w:r w:rsidRPr="006E3415">
        <w:rPr>
          <w:rFonts w:ascii="Times New Roman" w:hAnsi="Times New Roman" w:cs="Times New Roman"/>
          <w:iCs/>
          <w:sz w:val="24"/>
          <w:szCs w:val="24"/>
        </w:rPr>
        <w:t>his Lordship stated that the Statute of Frauds ‘requires that all declarations of trusts should be in writing, otherwise absolutely void, except such as arise by ope</w:t>
      </w:r>
      <w:r w:rsidR="00B96E07">
        <w:rPr>
          <w:rFonts w:ascii="Times New Roman" w:hAnsi="Times New Roman" w:cs="Times New Roman"/>
          <w:iCs/>
          <w:sz w:val="24"/>
          <w:szCs w:val="24"/>
        </w:rPr>
        <w:t xml:space="preserve">ration or construction of law’, but also that </w:t>
      </w:r>
      <w:r w:rsidRPr="006E3415">
        <w:rPr>
          <w:rFonts w:ascii="Times New Roman" w:hAnsi="Times New Roman" w:cs="Times New Roman"/>
          <w:iCs/>
          <w:sz w:val="24"/>
          <w:szCs w:val="24"/>
        </w:rPr>
        <w:t>‘[t]here is another way of taking a case out of the statute, and that is by admitting parol evidence within the rules of this court’.</w:t>
      </w:r>
      <w:r w:rsidRPr="006E3415">
        <w:rPr>
          <w:rStyle w:val="FootnoteReference"/>
          <w:rFonts w:ascii="Times New Roman" w:hAnsi="Times New Roman" w:cs="Times New Roman"/>
          <w:sz w:val="24"/>
          <w:szCs w:val="24"/>
        </w:rPr>
        <w:footnoteReference w:id="262"/>
      </w:r>
      <w:r w:rsidRPr="006E3415">
        <w:rPr>
          <w:rFonts w:ascii="Times New Roman" w:hAnsi="Times New Roman" w:cs="Times New Roman"/>
          <w:iCs/>
          <w:sz w:val="24"/>
          <w:szCs w:val="24"/>
        </w:rPr>
        <w:t xml:space="preserve"> Lord Hardwicke’s view, therefore, appears to have been that trusts arising according to the rules of equity fell outside of the ambit of s7 without needing to be saved by s8.</w:t>
      </w:r>
    </w:p>
    <w:p w:rsidR="0079180E" w:rsidRPr="006E3415" w:rsidRDefault="0079180E" w:rsidP="00746BFF">
      <w:pPr>
        <w:spacing w:after="0" w:line="360" w:lineRule="auto"/>
        <w:rPr>
          <w:rFonts w:ascii="Times New Roman" w:hAnsi="Times New Roman" w:cs="Times New Roman"/>
          <w:iCs/>
          <w:sz w:val="24"/>
          <w:szCs w:val="24"/>
        </w:rPr>
      </w:pPr>
    </w:p>
    <w:p w:rsidR="008B1360" w:rsidRPr="006E3415" w:rsidRDefault="008B1360" w:rsidP="00746BFF">
      <w:pPr>
        <w:spacing w:after="0" w:line="360" w:lineRule="auto"/>
        <w:rPr>
          <w:rFonts w:ascii="Times New Roman" w:hAnsi="Times New Roman" w:cs="Times New Roman"/>
          <w:iCs/>
          <w:sz w:val="24"/>
          <w:szCs w:val="24"/>
        </w:rPr>
      </w:pPr>
      <w:r w:rsidRPr="006E3415">
        <w:rPr>
          <w:rFonts w:ascii="Times New Roman" w:hAnsi="Times New Roman" w:cs="Times New Roman"/>
          <w:iCs/>
          <w:sz w:val="24"/>
          <w:szCs w:val="24"/>
        </w:rPr>
        <w:t>This provides an explanation for the otherwise curious fact that s8 of the Statute of Frauds was cited in numerous early authorities concerning what are now regarded as resulting trusts,</w:t>
      </w:r>
      <w:r w:rsidRPr="006E3415">
        <w:rPr>
          <w:rStyle w:val="FootnoteReference"/>
          <w:rFonts w:ascii="Times New Roman" w:hAnsi="Times New Roman" w:cs="Times New Roman"/>
          <w:sz w:val="24"/>
          <w:szCs w:val="24"/>
        </w:rPr>
        <w:footnoteReference w:id="263"/>
      </w:r>
      <w:r w:rsidRPr="006E3415">
        <w:rPr>
          <w:rFonts w:ascii="Times New Roman" w:hAnsi="Times New Roman" w:cs="Times New Roman"/>
          <w:iCs/>
          <w:sz w:val="24"/>
          <w:szCs w:val="24"/>
        </w:rPr>
        <w:t xml:space="preserve"> but not in cases concerning that would now be described as constructive trusts.</w:t>
      </w:r>
      <w:r w:rsidRPr="006E3415">
        <w:rPr>
          <w:rStyle w:val="FootnoteReference"/>
          <w:rFonts w:ascii="Times New Roman" w:hAnsi="Times New Roman" w:cs="Times New Roman"/>
          <w:sz w:val="24"/>
          <w:szCs w:val="24"/>
        </w:rPr>
        <w:footnoteReference w:id="264"/>
      </w:r>
      <w:r w:rsidRPr="006E3415">
        <w:rPr>
          <w:rFonts w:ascii="Times New Roman" w:hAnsi="Times New Roman" w:cs="Times New Roman"/>
          <w:iCs/>
          <w:sz w:val="24"/>
          <w:szCs w:val="24"/>
        </w:rPr>
        <w:t xml:space="preserve"> It can therefore be seen that there was no need in the nineteenth century and earlier for the courts to classify parol trusts of land arising under the instrument of fraud principle as constructive trusts. They were recognised under an established head of equity, and no added legitimacy would have been gained by recognising them as constructive trusts of land because the latter were also understood to arise under established rules of equity, and not by virtue of s8.</w:t>
      </w:r>
    </w:p>
    <w:p w:rsidR="0079180E" w:rsidRPr="006E3415" w:rsidRDefault="0079180E" w:rsidP="00746BFF">
      <w:pPr>
        <w:spacing w:after="0" w:line="360" w:lineRule="auto"/>
        <w:rPr>
          <w:rFonts w:ascii="Times New Roman" w:hAnsi="Times New Roman" w:cs="Times New Roman"/>
          <w:iCs/>
          <w:sz w:val="24"/>
          <w:szCs w:val="24"/>
        </w:rPr>
      </w:pPr>
    </w:p>
    <w:p w:rsidR="00BD0479" w:rsidRPr="006E3415" w:rsidRDefault="00BD0479" w:rsidP="00746BFF">
      <w:pPr>
        <w:pStyle w:val="ListParagraph"/>
        <w:numPr>
          <w:ilvl w:val="0"/>
          <w:numId w:val="10"/>
        </w:numPr>
        <w:spacing w:line="360" w:lineRule="auto"/>
        <w:rPr>
          <w:rFonts w:cs="Times New Roman"/>
          <w:i/>
          <w:iCs/>
          <w:szCs w:val="24"/>
        </w:rPr>
      </w:pPr>
      <w:r w:rsidRPr="006E3415">
        <w:rPr>
          <w:rFonts w:cs="Times New Roman"/>
          <w:i/>
          <w:iCs/>
          <w:szCs w:val="24"/>
        </w:rPr>
        <w:t>Attempts by nineteenth century jurists to classi</w:t>
      </w:r>
      <w:r w:rsidR="000B0999">
        <w:rPr>
          <w:rFonts w:cs="Times New Roman"/>
          <w:i/>
          <w:iCs/>
          <w:szCs w:val="24"/>
        </w:rPr>
        <w:t>fy trusts arising</w:t>
      </w:r>
      <w:r w:rsidR="009B560D">
        <w:rPr>
          <w:rFonts w:cs="Times New Roman"/>
          <w:i/>
          <w:iCs/>
          <w:szCs w:val="24"/>
        </w:rPr>
        <w:t xml:space="preserve"> under the rules of </w:t>
      </w:r>
      <w:r w:rsidR="000B0999">
        <w:rPr>
          <w:rFonts w:cs="Times New Roman"/>
          <w:i/>
          <w:iCs/>
          <w:szCs w:val="24"/>
        </w:rPr>
        <w:t>equity</w:t>
      </w:r>
    </w:p>
    <w:p w:rsidR="0079180E" w:rsidRPr="006E3415" w:rsidRDefault="0079180E" w:rsidP="00746BFF">
      <w:pPr>
        <w:spacing w:after="0" w:line="360" w:lineRule="auto"/>
        <w:rPr>
          <w:rFonts w:ascii="Times New Roman" w:hAnsi="Times New Roman" w:cs="Times New Roman"/>
          <w:b/>
          <w:iCs/>
          <w:sz w:val="24"/>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iCs/>
          <w:sz w:val="24"/>
          <w:szCs w:val="24"/>
        </w:rPr>
        <w:t xml:space="preserve">There were numerous attempts by commentators to further classify </w:t>
      </w:r>
      <w:r w:rsidR="000B0999">
        <w:rPr>
          <w:rFonts w:ascii="Times New Roman" w:hAnsi="Times New Roman" w:cs="Times New Roman"/>
          <w:iCs/>
          <w:sz w:val="24"/>
          <w:szCs w:val="24"/>
        </w:rPr>
        <w:t>these trusts</w:t>
      </w:r>
      <w:r w:rsidRPr="006E3415">
        <w:rPr>
          <w:rFonts w:ascii="Times New Roman" w:hAnsi="Times New Roman" w:cs="Times New Roman"/>
          <w:iCs/>
          <w:sz w:val="24"/>
          <w:szCs w:val="24"/>
        </w:rPr>
        <w:t xml:space="preserve">, with decidedly inconsistent results. For example, Spence included as examples of constructive trusts those arising in cases such as </w:t>
      </w:r>
      <w:r w:rsidRPr="006E3415">
        <w:rPr>
          <w:rFonts w:ascii="Times New Roman" w:hAnsi="Times New Roman" w:cs="Times New Roman"/>
          <w:i/>
          <w:iCs/>
          <w:sz w:val="24"/>
          <w:szCs w:val="24"/>
        </w:rPr>
        <w:t>Keech v Sandford</w:t>
      </w:r>
      <w:r w:rsidR="00066AD0">
        <w:rPr>
          <w:rFonts w:ascii="Times New Roman" w:hAnsi="Times New Roman" w:cs="Times New Roman"/>
          <w:i/>
          <w:iCs/>
          <w:sz w:val="24"/>
          <w:szCs w:val="24"/>
        </w:rPr>
        <w:t xml:space="preserve"> </w:t>
      </w:r>
      <w:r w:rsidR="00066AD0">
        <w:rPr>
          <w:rFonts w:ascii="Times New Roman" w:hAnsi="Times New Roman" w:cs="Times New Roman"/>
          <w:iCs/>
          <w:sz w:val="24"/>
          <w:szCs w:val="24"/>
        </w:rPr>
        <w:t>(</w:t>
      </w:r>
      <w:r w:rsidR="006B5E0D">
        <w:rPr>
          <w:rFonts w:ascii="Times New Roman" w:hAnsi="Times New Roman" w:cs="Times New Roman"/>
          <w:iCs/>
          <w:sz w:val="24"/>
          <w:szCs w:val="24"/>
        </w:rPr>
        <w:t>1726)</w:t>
      </w:r>
      <w:r w:rsidRPr="006E3415">
        <w:rPr>
          <w:rStyle w:val="FootnoteReference"/>
          <w:rFonts w:ascii="Times New Roman" w:hAnsi="Times New Roman" w:cs="Times New Roman"/>
          <w:sz w:val="24"/>
          <w:szCs w:val="24"/>
        </w:rPr>
        <w:footnoteReference w:id="265"/>
      </w:r>
      <w:r w:rsidRPr="006E3415">
        <w:rPr>
          <w:rFonts w:ascii="Times New Roman" w:hAnsi="Times New Roman" w:cs="Times New Roman"/>
          <w:iCs/>
          <w:sz w:val="24"/>
          <w:szCs w:val="24"/>
        </w:rPr>
        <w:t xml:space="preserve"> and purchases of land with </w:t>
      </w:r>
      <w:r w:rsidRPr="006E3415">
        <w:rPr>
          <w:rFonts w:ascii="Times New Roman" w:hAnsi="Times New Roman" w:cs="Times New Roman"/>
          <w:iCs/>
          <w:sz w:val="24"/>
          <w:szCs w:val="24"/>
        </w:rPr>
        <w:lastRenderedPageBreak/>
        <w:t xml:space="preserve">notice, but he also included purchases </w:t>
      </w:r>
      <w:r w:rsidRPr="006E3415">
        <w:rPr>
          <w:rFonts w:ascii="Times New Roman" w:hAnsi="Times New Roman" w:cs="Times New Roman"/>
          <w:sz w:val="24"/>
          <w:szCs w:val="24"/>
        </w:rPr>
        <w:t>‘by a man, or by his directions, and with his own money, the con</w:t>
      </w:r>
      <w:r w:rsidR="00604F18">
        <w:rPr>
          <w:rFonts w:ascii="Times New Roman" w:hAnsi="Times New Roman" w:cs="Times New Roman"/>
          <w:sz w:val="24"/>
          <w:szCs w:val="24"/>
        </w:rPr>
        <w:t>veyance in fact being take</w:t>
      </w:r>
      <w:r w:rsidRPr="006E3415">
        <w:rPr>
          <w:rFonts w:ascii="Times New Roman" w:hAnsi="Times New Roman" w:cs="Times New Roman"/>
          <w:sz w:val="24"/>
          <w:szCs w:val="24"/>
        </w:rPr>
        <w:t xml:space="preserve"> in the name of another’.</w:t>
      </w:r>
      <w:r w:rsidRPr="006E3415">
        <w:rPr>
          <w:rStyle w:val="FootnoteReference"/>
          <w:rFonts w:ascii="Times New Roman" w:hAnsi="Times New Roman" w:cs="Times New Roman"/>
          <w:sz w:val="24"/>
          <w:szCs w:val="24"/>
        </w:rPr>
        <w:footnoteReference w:id="266"/>
      </w:r>
      <w:r w:rsidRPr="006E3415">
        <w:rPr>
          <w:rFonts w:ascii="Times New Roman" w:hAnsi="Times New Roman" w:cs="Times New Roman"/>
          <w:sz w:val="24"/>
          <w:szCs w:val="24"/>
        </w:rPr>
        <w:t xml:space="preserve"> Meanwhile, Story regarded ‘implied trusts arising from the presumed intention of the parties’</w:t>
      </w:r>
      <w:r w:rsidRPr="006E3415">
        <w:rPr>
          <w:rStyle w:val="FootnoteReference"/>
          <w:rFonts w:ascii="Times New Roman" w:hAnsi="Times New Roman" w:cs="Times New Roman"/>
          <w:sz w:val="24"/>
          <w:szCs w:val="24"/>
        </w:rPr>
        <w:footnoteReference w:id="267"/>
      </w:r>
      <w:r w:rsidRPr="006E3415">
        <w:rPr>
          <w:rFonts w:ascii="Times New Roman" w:hAnsi="Times New Roman" w:cs="Times New Roman"/>
          <w:sz w:val="24"/>
          <w:szCs w:val="24"/>
        </w:rPr>
        <w:t xml:space="preserve"> as resulting trusts, which he viewed as distinct from ‘those implied trusts (or perhaps, more properly speaking, those constructive trusts) which are independent of any such intention and are forced upon the conscience of the party by the mere operation of law’.</w:t>
      </w:r>
      <w:r w:rsidRPr="006E3415">
        <w:rPr>
          <w:rStyle w:val="FootnoteReference"/>
          <w:rFonts w:ascii="Times New Roman" w:hAnsi="Times New Roman" w:cs="Times New Roman"/>
          <w:sz w:val="24"/>
          <w:szCs w:val="24"/>
        </w:rPr>
        <w:footnoteReference w:id="268"/>
      </w:r>
      <w:r w:rsidRPr="006E3415">
        <w:rPr>
          <w:rFonts w:ascii="Times New Roman" w:hAnsi="Times New Roman" w:cs="Times New Roman"/>
          <w:sz w:val="24"/>
          <w:szCs w:val="24"/>
        </w:rPr>
        <w:t xml:space="preserve"> Lewin followed a similar classification to that of Story.</w:t>
      </w:r>
      <w:r w:rsidRPr="006E3415">
        <w:rPr>
          <w:rStyle w:val="FootnoteReference"/>
          <w:rFonts w:ascii="Times New Roman" w:hAnsi="Times New Roman" w:cs="Times New Roman"/>
          <w:sz w:val="24"/>
          <w:szCs w:val="24"/>
        </w:rPr>
        <w:footnoteReference w:id="269"/>
      </w:r>
      <w:r w:rsidRPr="006E3415">
        <w:rPr>
          <w:rFonts w:ascii="Times New Roman" w:hAnsi="Times New Roman" w:cs="Times New Roman"/>
          <w:sz w:val="24"/>
          <w:szCs w:val="24"/>
        </w:rPr>
        <w:t xml:space="preserve"> Hill, on the other hand, contrary to Spence, Story and Lewin, and contrary to the authorities, classified parol trusts arising for the prevention of fraud as constructive trusts.</w:t>
      </w:r>
      <w:r w:rsidRPr="006E3415">
        <w:rPr>
          <w:rStyle w:val="FootnoteReference"/>
          <w:rFonts w:ascii="Times New Roman" w:hAnsi="Times New Roman" w:cs="Times New Roman"/>
          <w:sz w:val="24"/>
          <w:szCs w:val="24"/>
        </w:rPr>
        <w:footnoteReference w:id="270"/>
      </w:r>
      <w:r w:rsidRPr="006E3415">
        <w:rPr>
          <w:rFonts w:ascii="Times New Roman" w:hAnsi="Times New Roman" w:cs="Times New Roman"/>
          <w:sz w:val="24"/>
          <w:szCs w:val="24"/>
        </w:rPr>
        <w:t xml:space="preserve"> Perhaps the inconsistency is epitomised by the fact that Underhill stated in his 1894 edition that ‘[r]esulting trusts… are clearly constructive’,</w:t>
      </w:r>
      <w:r w:rsidRPr="006E3415">
        <w:rPr>
          <w:rStyle w:val="FootnoteReference"/>
          <w:rFonts w:ascii="Times New Roman" w:hAnsi="Times New Roman" w:cs="Times New Roman"/>
          <w:sz w:val="24"/>
          <w:szCs w:val="24"/>
        </w:rPr>
        <w:footnoteReference w:id="271"/>
      </w:r>
      <w:r w:rsidRPr="006E3415">
        <w:rPr>
          <w:rFonts w:ascii="Times New Roman" w:hAnsi="Times New Roman" w:cs="Times New Roman"/>
          <w:sz w:val="24"/>
          <w:szCs w:val="24"/>
        </w:rPr>
        <w:t xml:space="preserve"> whereas in 1912, the same author explained that ‘resulting trusts… are sometimes constructive, and sometimes express in the sense of being intentional’.</w:t>
      </w:r>
      <w:r w:rsidRPr="006E3415">
        <w:rPr>
          <w:rStyle w:val="FootnoteReference"/>
          <w:rFonts w:ascii="Times New Roman" w:hAnsi="Times New Roman" w:cs="Times New Roman"/>
          <w:sz w:val="24"/>
          <w:szCs w:val="24"/>
        </w:rPr>
        <w:footnoteReference w:id="272"/>
      </w:r>
      <w:r w:rsidRPr="006E3415">
        <w:rPr>
          <w:rFonts w:ascii="Times New Roman" w:hAnsi="Times New Roman" w:cs="Times New Roman"/>
          <w:sz w:val="24"/>
          <w:szCs w:val="24"/>
        </w:rPr>
        <w:t xml:space="preserve">  Perhaps this discombobulation is not surprising. As Alexander explained, the last quarter of the nineteenth century was a period in which the classification of trusts was only just beginning to be viewed seriously by commentators,</w:t>
      </w:r>
      <w:r w:rsidRPr="006E3415">
        <w:rPr>
          <w:rStyle w:val="FootnoteReference"/>
          <w:rFonts w:ascii="Times New Roman" w:hAnsi="Times New Roman" w:cs="Times New Roman"/>
          <w:sz w:val="24"/>
          <w:szCs w:val="24"/>
        </w:rPr>
        <w:footnoteReference w:id="273"/>
      </w:r>
      <w:r w:rsidRPr="006E3415">
        <w:rPr>
          <w:rFonts w:ascii="Times New Roman" w:hAnsi="Times New Roman" w:cs="Times New Roman"/>
          <w:sz w:val="24"/>
          <w:szCs w:val="24"/>
        </w:rPr>
        <w:t xml:space="preserve"> and considerable changes, which eventually </w:t>
      </w:r>
      <w:r w:rsidR="00E45A26" w:rsidRPr="006E3415">
        <w:rPr>
          <w:rFonts w:ascii="Times New Roman" w:hAnsi="Times New Roman" w:cs="Times New Roman"/>
          <w:sz w:val="24"/>
          <w:szCs w:val="24"/>
        </w:rPr>
        <w:t>culminated</w:t>
      </w:r>
      <w:r w:rsidRPr="006E3415">
        <w:rPr>
          <w:rFonts w:ascii="Times New Roman" w:hAnsi="Times New Roman" w:cs="Times New Roman"/>
          <w:sz w:val="24"/>
          <w:szCs w:val="24"/>
        </w:rPr>
        <w:t xml:space="preserve"> in something akin to the modern classification system, were beginning to take shape.</w:t>
      </w:r>
      <w:r w:rsidRPr="006E3415">
        <w:rPr>
          <w:rStyle w:val="FootnoteReference"/>
          <w:rFonts w:ascii="Times New Roman" w:hAnsi="Times New Roman" w:cs="Times New Roman"/>
          <w:sz w:val="24"/>
          <w:szCs w:val="24"/>
        </w:rPr>
        <w:footnoteReference w:id="274"/>
      </w:r>
      <w:r w:rsidRPr="006E3415">
        <w:rPr>
          <w:rFonts w:ascii="Times New Roman" w:hAnsi="Times New Roman" w:cs="Times New Roman"/>
          <w:sz w:val="24"/>
          <w:szCs w:val="24"/>
        </w:rPr>
        <w:t xml:space="preserve"> One matter upon which most commentators agreed, however, was that parol trusts enforced pursuant to the instrument of fraud principle were not constructive trusts.</w:t>
      </w:r>
      <w:r w:rsidRPr="006E3415">
        <w:rPr>
          <w:rStyle w:val="FootnoteReference"/>
          <w:rFonts w:ascii="Times New Roman" w:hAnsi="Times New Roman" w:cs="Times New Roman"/>
          <w:sz w:val="24"/>
          <w:szCs w:val="24"/>
        </w:rPr>
        <w:footnoteReference w:id="275"/>
      </w:r>
    </w:p>
    <w:p w:rsidR="00A71D39" w:rsidRPr="006E3415" w:rsidRDefault="00A71D39" w:rsidP="00746BFF">
      <w:pPr>
        <w:spacing w:after="0" w:line="360" w:lineRule="auto"/>
        <w:rPr>
          <w:rFonts w:ascii="Times New Roman" w:hAnsi="Times New Roman" w:cs="Times New Roman"/>
          <w:sz w:val="24"/>
          <w:szCs w:val="24"/>
        </w:rPr>
      </w:pPr>
    </w:p>
    <w:p w:rsidR="00A71D39" w:rsidRPr="006E3415" w:rsidRDefault="00A71D39" w:rsidP="00746BFF">
      <w:pPr>
        <w:pStyle w:val="ListParagraph"/>
        <w:numPr>
          <w:ilvl w:val="0"/>
          <w:numId w:val="10"/>
        </w:numPr>
        <w:spacing w:line="360" w:lineRule="auto"/>
        <w:rPr>
          <w:rFonts w:cs="Times New Roman"/>
          <w:i/>
          <w:szCs w:val="24"/>
        </w:rPr>
      </w:pPr>
      <w:r w:rsidRPr="006E3415">
        <w:rPr>
          <w:rFonts w:cs="Times New Roman"/>
          <w:i/>
          <w:szCs w:val="24"/>
        </w:rPr>
        <w:t>Judicial definitions of constructive trusts in respect of the limitation period</w:t>
      </w:r>
    </w:p>
    <w:p w:rsidR="00A71D39" w:rsidRPr="006E3415" w:rsidRDefault="00A71D39" w:rsidP="00746BFF">
      <w:pPr>
        <w:spacing w:after="0" w:line="360" w:lineRule="auto"/>
        <w:rPr>
          <w:rFonts w:ascii="Times New Roman" w:hAnsi="Times New Roman" w:cs="Times New Roman"/>
          <w:i/>
          <w:sz w:val="24"/>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iCs/>
          <w:sz w:val="24"/>
          <w:szCs w:val="24"/>
        </w:rPr>
        <w:t xml:space="preserve">The inconsistency amongst commentators notwithstanding, by the time of </w:t>
      </w:r>
      <w:r w:rsidRPr="006E3415">
        <w:rPr>
          <w:rFonts w:ascii="Times New Roman" w:hAnsi="Times New Roman" w:cs="Times New Roman"/>
          <w:i/>
          <w:iCs/>
          <w:sz w:val="24"/>
          <w:szCs w:val="24"/>
        </w:rPr>
        <w:t>Rochefoucauld</w:t>
      </w:r>
      <w:r w:rsidRPr="006E3415">
        <w:rPr>
          <w:rFonts w:ascii="Times New Roman" w:hAnsi="Times New Roman" w:cs="Times New Roman"/>
          <w:iCs/>
          <w:sz w:val="24"/>
          <w:szCs w:val="24"/>
        </w:rPr>
        <w:t xml:space="preserve">, a relatively clear judicial definition of constructive trusts had emerged from the courts as a result of the need to classify trustees for the purposes of </w:t>
      </w:r>
      <w:r w:rsidR="00A71D39" w:rsidRPr="006E3415">
        <w:rPr>
          <w:rFonts w:ascii="Times New Roman" w:hAnsi="Times New Roman" w:cs="Times New Roman"/>
          <w:iCs/>
          <w:sz w:val="24"/>
          <w:szCs w:val="24"/>
        </w:rPr>
        <w:t xml:space="preserve">applying the </w:t>
      </w:r>
      <w:r w:rsidRPr="006E3415">
        <w:rPr>
          <w:rFonts w:ascii="Times New Roman" w:hAnsi="Times New Roman" w:cs="Times New Roman"/>
          <w:iCs/>
          <w:sz w:val="24"/>
          <w:szCs w:val="24"/>
        </w:rPr>
        <w:t xml:space="preserve">limitation period. </w:t>
      </w:r>
      <w:r w:rsidRPr="006E3415">
        <w:rPr>
          <w:rFonts w:ascii="Times New Roman" w:hAnsi="Times New Roman" w:cs="Times New Roman"/>
          <w:sz w:val="24"/>
          <w:szCs w:val="24"/>
        </w:rPr>
        <w:t xml:space="preserve">Most </w:t>
      </w:r>
      <w:r w:rsidRPr="006E3415">
        <w:rPr>
          <w:rFonts w:ascii="Times New Roman" w:hAnsi="Times New Roman" w:cs="Times New Roman"/>
          <w:sz w:val="24"/>
          <w:szCs w:val="24"/>
        </w:rPr>
        <w:lastRenderedPageBreak/>
        <w:t>of the authorities are concerned with the distinction between express and constructive trusts; perhaps resulting trusts were, on the whole, so readily distinguishable from express trusts as to obviate the need for litigation.</w:t>
      </w:r>
      <w:r w:rsidRPr="006E3415">
        <w:rPr>
          <w:rStyle w:val="FootnoteReference"/>
          <w:rFonts w:ascii="Times New Roman" w:hAnsi="Times New Roman" w:cs="Times New Roman"/>
          <w:sz w:val="24"/>
          <w:szCs w:val="24"/>
        </w:rPr>
        <w:footnoteReference w:id="276"/>
      </w:r>
      <w:r w:rsidRPr="006E3415">
        <w:rPr>
          <w:rFonts w:ascii="Times New Roman" w:hAnsi="Times New Roman" w:cs="Times New Roman"/>
          <w:sz w:val="24"/>
          <w:szCs w:val="24"/>
        </w:rPr>
        <w:t xml:space="preserve"> The leading late nineteenth century authority on the classification of trusts for limitation purposes is </w:t>
      </w:r>
      <w:r w:rsidRPr="006E3415">
        <w:rPr>
          <w:rFonts w:ascii="Times New Roman" w:hAnsi="Times New Roman" w:cs="Times New Roman"/>
          <w:i/>
          <w:iCs/>
          <w:sz w:val="24"/>
          <w:szCs w:val="24"/>
        </w:rPr>
        <w:t>Soar v Ashwell</w:t>
      </w:r>
      <w:r w:rsidR="006B5E0D">
        <w:rPr>
          <w:rFonts w:ascii="Times New Roman" w:hAnsi="Times New Roman" w:cs="Times New Roman"/>
          <w:i/>
          <w:iCs/>
          <w:sz w:val="24"/>
          <w:szCs w:val="24"/>
        </w:rPr>
        <w:t xml:space="preserve"> </w:t>
      </w:r>
      <w:r w:rsidR="006B5E0D">
        <w:rPr>
          <w:rFonts w:ascii="Times New Roman" w:hAnsi="Times New Roman" w:cs="Times New Roman"/>
          <w:iCs/>
          <w:sz w:val="24"/>
          <w:szCs w:val="24"/>
        </w:rPr>
        <w:t>(1893)</w:t>
      </w:r>
      <w:r w:rsidRPr="006E3415">
        <w:rPr>
          <w:rFonts w:ascii="Times New Roman" w:hAnsi="Times New Roman" w:cs="Times New Roman"/>
          <w:i/>
          <w:iCs/>
          <w:sz w:val="24"/>
          <w:szCs w:val="24"/>
        </w:rPr>
        <w:t>,</w:t>
      </w:r>
      <w:r w:rsidRPr="006E3415">
        <w:rPr>
          <w:rStyle w:val="FootnoteReference"/>
          <w:rFonts w:ascii="Times New Roman" w:hAnsi="Times New Roman" w:cs="Times New Roman"/>
          <w:sz w:val="24"/>
          <w:szCs w:val="24"/>
        </w:rPr>
        <w:footnoteReference w:id="277"/>
      </w:r>
      <w:r w:rsidRPr="006E3415">
        <w:rPr>
          <w:rFonts w:ascii="Times New Roman" w:hAnsi="Times New Roman" w:cs="Times New Roman"/>
          <w:sz w:val="24"/>
          <w:szCs w:val="24"/>
        </w:rPr>
        <w:t xml:space="preserve"> in which the Court of Appeal considered whether a trustee </w:t>
      </w:r>
      <w:r w:rsidRPr="006E3415">
        <w:rPr>
          <w:rFonts w:ascii="Times New Roman" w:hAnsi="Times New Roman" w:cs="Times New Roman"/>
          <w:i/>
          <w:sz w:val="24"/>
          <w:szCs w:val="24"/>
        </w:rPr>
        <w:t xml:space="preserve">de son tort </w:t>
      </w:r>
      <w:r w:rsidRPr="006E3415">
        <w:rPr>
          <w:rFonts w:ascii="Times New Roman" w:hAnsi="Times New Roman" w:cs="Times New Roman"/>
          <w:sz w:val="24"/>
          <w:szCs w:val="24"/>
        </w:rPr>
        <w:t>was, for the purposes of the limitation period, to be treated as an express or constructive trustee.</w:t>
      </w:r>
      <w:r w:rsidRPr="006E3415">
        <w:rPr>
          <w:rStyle w:val="FootnoteReference"/>
          <w:rFonts w:ascii="Times New Roman" w:hAnsi="Times New Roman" w:cs="Times New Roman"/>
          <w:sz w:val="24"/>
          <w:szCs w:val="24"/>
        </w:rPr>
        <w:footnoteReference w:id="278"/>
      </w:r>
      <w:r w:rsidRPr="006E3415">
        <w:rPr>
          <w:rFonts w:ascii="Times New Roman" w:hAnsi="Times New Roman" w:cs="Times New Roman"/>
          <w:sz w:val="24"/>
          <w:szCs w:val="24"/>
        </w:rPr>
        <w:t xml:space="preserve"> Bowen LJ explained that ‘[a] constructive trust is one which arises when a stranger to a trust already constituted is held by the Court to be bound in good faith and in conscience by the trust in consequence of his conduct and behaviour’.</w:t>
      </w:r>
      <w:r w:rsidRPr="006E3415">
        <w:rPr>
          <w:rStyle w:val="FootnoteReference"/>
          <w:rFonts w:ascii="Times New Roman" w:hAnsi="Times New Roman" w:cs="Times New Roman"/>
          <w:sz w:val="24"/>
          <w:szCs w:val="24"/>
        </w:rPr>
        <w:footnoteReference w:id="279"/>
      </w:r>
      <w:r w:rsidRPr="006E3415">
        <w:rPr>
          <w:rFonts w:ascii="Times New Roman" w:hAnsi="Times New Roman" w:cs="Times New Roman"/>
          <w:sz w:val="24"/>
          <w:szCs w:val="24"/>
        </w:rPr>
        <w:t xml:space="preserve"> Similarly, Lord Esher MR stated that when a ‘breach of the legal relation relied on, whether such breach be by way of tort or contract, makes, in the view of a Court of Equity, the defendant a trustee for the plaintiff, the Court of Equity treats the defendant as a trustee become so by construction, and the trust is called a constructive trust.’</w:t>
      </w:r>
      <w:r w:rsidRPr="006E3415">
        <w:rPr>
          <w:rStyle w:val="FootnoteReference"/>
          <w:rFonts w:ascii="Times New Roman" w:hAnsi="Times New Roman" w:cs="Times New Roman"/>
          <w:sz w:val="24"/>
          <w:szCs w:val="24"/>
        </w:rPr>
        <w:footnoteReference w:id="280"/>
      </w:r>
      <w:r w:rsidRPr="006E3415">
        <w:rPr>
          <w:rFonts w:ascii="Times New Roman" w:hAnsi="Times New Roman" w:cs="Times New Roman"/>
          <w:sz w:val="24"/>
          <w:szCs w:val="24"/>
        </w:rPr>
        <w:t xml:space="preserve"> </w:t>
      </w:r>
      <w:r w:rsidR="00A71D39" w:rsidRPr="006E3415">
        <w:rPr>
          <w:rFonts w:ascii="Times New Roman" w:hAnsi="Times New Roman" w:cs="Times New Roman"/>
          <w:sz w:val="24"/>
          <w:szCs w:val="24"/>
        </w:rPr>
        <w:t>According to t</w:t>
      </w:r>
      <w:r w:rsidRPr="006E3415">
        <w:rPr>
          <w:rFonts w:ascii="Times New Roman" w:hAnsi="Times New Roman" w:cs="Times New Roman"/>
          <w:sz w:val="24"/>
          <w:szCs w:val="24"/>
        </w:rPr>
        <w:t>hese definitions</w:t>
      </w:r>
      <w:r w:rsidR="00A71D39" w:rsidRPr="006E3415">
        <w:rPr>
          <w:rFonts w:ascii="Times New Roman" w:hAnsi="Times New Roman" w:cs="Times New Roman"/>
          <w:sz w:val="24"/>
          <w:szCs w:val="24"/>
        </w:rPr>
        <w:t>, which</w:t>
      </w:r>
      <w:r w:rsidRPr="006E3415">
        <w:rPr>
          <w:rFonts w:ascii="Times New Roman" w:hAnsi="Times New Roman" w:cs="Times New Roman"/>
          <w:sz w:val="24"/>
          <w:szCs w:val="24"/>
        </w:rPr>
        <w:t xml:space="preserve"> roughly equate to those of Story and Lewin, rather to that of Hill</w:t>
      </w:r>
      <w:r w:rsidR="00A71D39" w:rsidRPr="006E3415">
        <w:rPr>
          <w:rFonts w:ascii="Times New Roman" w:hAnsi="Times New Roman" w:cs="Times New Roman"/>
          <w:sz w:val="24"/>
          <w:szCs w:val="24"/>
        </w:rPr>
        <w:t>, p</w:t>
      </w:r>
      <w:r w:rsidRPr="006E3415">
        <w:rPr>
          <w:rFonts w:ascii="Times New Roman" w:hAnsi="Times New Roman" w:cs="Times New Roman"/>
          <w:sz w:val="24"/>
          <w:szCs w:val="24"/>
        </w:rPr>
        <w:t xml:space="preserve">arol trusts which were recognised to prevent the Statute of Frauds being used as an engine </w:t>
      </w:r>
      <w:r w:rsidR="00A71D39" w:rsidRPr="006E3415">
        <w:rPr>
          <w:rFonts w:ascii="Times New Roman" w:hAnsi="Times New Roman" w:cs="Times New Roman"/>
          <w:sz w:val="24"/>
          <w:szCs w:val="24"/>
        </w:rPr>
        <w:t>of fraud were clearly not constructive trusts.</w:t>
      </w:r>
    </w:p>
    <w:p w:rsidR="00A71D39" w:rsidRPr="006E3415" w:rsidRDefault="00A71D39" w:rsidP="00746BFF">
      <w:pPr>
        <w:spacing w:after="0" w:line="360" w:lineRule="auto"/>
        <w:rPr>
          <w:rFonts w:ascii="Times New Roman" w:hAnsi="Times New Roman" w:cs="Times New Roman"/>
          <w:sz w:val="24"/>
          <w:szCs w:val="24"/>
        </w:rPr>
      </w:pPr>
    </w:p>
    <w:p w:rsidR="00A71D39" w:rsidRPr="006E3415" w:rsidRDefault="00A71D39" w:rsidP="00746BFF">
      <w:pPr>
        <w:spacing w:after="0" w:line="360" w:lineRule="auto"/>
        <w:rPr>
          <w:rFonts w:ascii="Times New Roman" w:hAnsi="Times New Roman" w:cs="Times New Roman"/>
          <w:sz w:val="24"/>
          <w:szCs w:val="24"/>
        </w:rPr>
      </w:pPr>
    </w:p>
    <w:p w:rsidR="00A71D39" w:rsidRPr="006E3415" w:rsidRDefault="00A71D39" w:rsidP="00746BFF">
      <w:pPr>
        <w:pStyle w:val="ListParagraph"/>
        <w:numPr>
          <w:ilvl w:val="0"/>
          <w:numId w:val="10"/>
        </w:numPr>
        <w:spacing w:line="360" w:lineRule="auto"/>
        <w:rPr>
          <w:rFonts w:cs="Times New Roman"/>
          <w:i/>
          <w:iCs/>
          <w:szCs w:val="24"/>
        </w:rPr>
      </w:pPr>
      <w:r w:rsidRPr="006E3415">
        <w:rPr>
          <w:rFonts w:cs="Times New Roman"/>
          <w:i/>
          <w:iCs/>
          <w:szCs w:val="24"/>
        </w:rPr>
        <w:t>A category of trusts which were neither express nor constructive</w:t>
      </w:r>
    </w:p>
    <w:p w:rsidR="008B1360" w:rsidRPr="006E3415" w:rsidRDefault="008B1360" w:rsidP="00746BFF">
      <w:pPr>
        <w:spacing w:after="0" w:line="360" w:lineRule="auto"/>
        <w:rPr>
          <w:rFonts w:ascii="Times New Roman" w:hAnsi="Times New Roman" w:cs="Times New Roman"/>
          <w:b/>
          <w:i/>
          <w:sz w:val="24"/>
          <w:szCs w:val="24"/>
        </w:rPr>
      </w:pPr>
    </w:p>
    <w:p w:rsidR="008B1360" w:rsidRPr="006E3415" w:rsidRDefault="008B1360" w:rsidP="00746BFF">
      <w:pPr>
        <w:pStyle w:val="Standard"/>
        <w:spacing w:line="360" w:lineRule="auto"/>
        <w:rPr>
          <w:rFonts w:cs="Times New Roman"/>
        </w:rPr>
      </w:pPr>
      <w:r w:rsidRPr="006E3415">
        <w:rPr>
          <w:rFonts w:cs="Times New Roman"/>
          <w:iCs/>
        </w:rPr>
        <w:t xml:space="preserve">The Court of Appeal in </w:t>
      </w:r>
      <w:r w:rsidRPr="006E3415">
        <w:rPr>
          <w:rFonts w:cs="Times New Roman"/>
          <w:i/>
          <w:iCs/>
        </w:rPr>
        <w:t xml:space="preserve">Soar </w:t>
      </w:r>
      <w:r w:rsidRPr="006E3415">
        <w:rPr>
          <w:rFonts w:cs="Times New Roman"/>
          <w:iCs/>
        </w:rPr>
        <w:t>recognised that the dividing line between express and constructive trusts was not always easy to ascertain. Accordingly, it was held that there was a group of trusts which were neither express trusts, nor trusts where the trustees ought to be permitted to avail themselves of the limitation period. The reason why the limitation period applied to claims against constructive trustees was essentially one of policy. As Bowen LJ explained, in actions seeking, after a period of many years, to have a person declared a constructive trustee, ‘</w:t>
      </w:r>
      <w:r w:rsidRPr="006E3415">
        <w:rPr>
          <w:rFonts w:cs="Times New Roman"/>
        </w:rPr>
        <w:t>conflicts of evidence are possible or probable, and to deny to the person to be charged the shelter or benefit of a period of limitation would be obviously dangerous and unjust.’</w:t>
      </w:r>
      <w:r w:rsidRPr="006E3415">
        <w:rPr>
          <w:rStyle w:val="FootnoteReference"/>
          <w:rFonts w:cs="Times New Roman"/>
        </w:rPr>
        <w:footnoteReference w:id="281"/>
      </w:r>
      <w:r w:rsidRPr="006E3415">
        <w:rPr>
          <w:rFonts w:cs="Times New Roman"/>
        </w:rPr>
        <w:t xml:space="preserve"> Where a person had knowingly taken the property as a trustee, or knowingly assumed the role of trustee, the dangers highlighted by Bowen LJ would not apply. This explains Bowen LJ’s statement that ‘‘[i]t has been established beyond doubt by authority </w:t>
      </w:r>
      <w:r w:rsidRPr="006E3415">
        <w:rPr>
          <w:rFonts w:cs="Times New Roman"/>
        </w:rPr>
        <w:lastRenderedPageBreak/>
        <w:t>binding on this Court that a person occupying a fiduciary relation, who has property deposited with him on the strength of such relation, is to be dealt with as an express, and not merely a constructive, trustee of such property.’</w:t>
      </w:r>
      <w:r w:rsidRPr="006E3415">
        <w:rPr>
          <w:rStyle w:val="FootnoteReference"/>
          <w:rFonts w:cs="Times New Roman"/>
        </w:rPr>
        <w:footnoteReference w:id="282"/>
      </w:r>
      <w:r w:rsidRPr="006E3415">
        <w:rPr>
          <w:rFonts w:cs="Times New Roman"/>
        </w:rPr>
        <w:t xml:space="preserve"> Note here that Bowen LJ did not quite state that such trusts </w:t>
      </w:r>
      <w:r w:rsidRPr="006E3415">
        <w:rPr>
          <w:rFonts w:cs="Times New Roman"/>
          <w:i/>
          <w:iCs/>
        </w:rPr>
        <w:t xml:space="preserve">are </w:t>
      </w:r>
      <w:r w:rsidRPr="006E3415">
        <w:rPr>
          <w:rFonts w:cs="Times New Roman"/>
        </w:rPr>
        <w:t>express trusts. Rather, he qualified his classification by use of the words ‘dealt with as’. Lord Esher MR, after having defined express and constructive trusts in similar terms to those used by Bowen LJ, summed up the prevailing standpoint by stating that:</w:t>
      </w:r>
    </w:p>
    <w:p w:rsidR="008B1360" w:rsidRPr="006E3415" w:rsidRDefault="008B1360" w:rsidP="00746BFF">
      <w:pPr>
        <w:pStyle w:val="Standard"/>
        <w:spacing w:line="360" w:lineRule="auto"/>
        <w:rPr>
          <w:rFonts w:cs="Times New Roman"/>
        </w:rPr>
      </w:pPr>
    </w:p>
    <w:p w:rsidR="008B1360" w:rsidRPr="006E3415" w:rsidRDefault="008B1360" w:rsidP="00746BFF">
      <w:pPr>
        <w:pStyle w:val="Standard"/>
        <w:spacing w:line="360" w:lineRule="auto"/>
        <w:ind w:left="720"/>
        <w:rPr>
          <w:rFonts w:cs="Times New Roman"/>
        </w:rPr>
      </w:pPr>
      <w:r w:rsidRPr="006E3415">
        <w:rPr>
          <w:rFonts w:cs="Times New Roman"/>
        </w:rPr>
        <w:t>[t]here are cases not falling strictly within either of those thus enunciated, some of which have been treated by the Courts of Equity as within the class in respect of which a Statute of Limitations will not be allowed to be vouched, and some within the class in respect of which such a statute may be vouched.</w:t>
      </w:r>
      <w:r w:rsidRPr="006E3415">
        <w:rPr>
          <w:rStyle w:val="FootnoteReference"/>
          <w:rFonts w:cs="Times New Roman"/>
        </w:rPr>
        <w:footnoteReference w:id="283"/>
      </w:r>
    </w:p>
    <w:p w:rsidR="008B1360" w:rsidRPr="006E3415" w:rsidRDefault="008B1360" w:rsidP="00746BFF">
      <w:pPr>
        <w:spacing w:after="0" w:line="360" w:lineRule="auto"/>
        <w:rPr>
          <w:rFonts w:ascii="Times New Roman" w:hAnsi="Times New Roman" w:cs="Times New Roman"/>
          <w:iCs/>
          <w:sz w:val="24"/>
          <w:szCs w:val="24"/>
        </w:rPr>
      </w:pPr>
    </w:p>
    <w:p w:rsidR="005D15C2" w:rsidRPr="006E3415" w:rsidRDefault="00A71D39" w:rsidP="00746BFF">
      <w:pPr>
        <w:pStyle w:val="ListParagraph"/>
        <w:numPr>
          <w:ilvl w:val="0"/>
          <w:numId w:val="10"/>
        </w:numPr>
        <w:spacing w:line="360" w:lineRule="auto"/>
        <w:rPr>
          <w:rFonts w:cs="Times New Roman"/>
          <w:i/>
          <w:iCs/>
          <w:szCs w:val="24"/>
        </w:rPr>
      </w:pPr>
      <w:r w:rsidRPr="006E3415">
        <w:rPr>
          <w:rFonts w:cs="Times New Roman"/>
          <w:i/>
          <w:iCs/>
          <w:szCs w:val="24"/>
        </w:rPr>
        <w:t>A summary of the state of the law when the Court of Appeal considered Boustead’s limitation defence</w:t>
      </w:r>
    </w:p>
    <w:p w:rsidR="00A71D39" w:rsidRPr="006E3415" w:rsidRDefault="00A71D39" w:rsidP="00746BFF">
      <w:pPr>
        <w:pStyle w:val="ListParagraph"/>
        <w:spacing w:line="360" w:lineRule="auto"/>
        <w:ind w:left="1080"/>
        <w:rPr>
          <w:rFonts w:cs="Times New Roman"/>
          <w:i/>
          <w:iCs/>
          <w:szCs w:val="24"/>
        </w:rPr>
      </w:pPr>
    </w:p>
    <w:p w:rsidR="008B1360" w:rsidRPr="006E3415" w:rsidRDefault="008B1360"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To recap, when the Court of Appeal came to consider what type of trust bound Boustead, so as to determine the applicability of the limitation period, the state of the law was as follows:</w:t>
      </w:r>
    </w:p>
    <w:p w:rsidR="005D15C2" w:rsidRPr="006E3415" w:rsidRDefault="005D15C2" w:rsidP="00746BFF">
      <w:pPr>
        <w:spacing w:after="0" w:line="360" w:lineRule="auto"/>
        <w:rPr>
          <w:rFonts w:ascii="Times New Roman" w:hAnsi="Times New Roman" w:cs="Times New Roman"/>
          <w:sz w:val="24"/>
          <w:szCs w:val="24"/>
        </w:rPr>
      </w:pPr>
    </w:p>
    <w:p w:rsidR="005D15C2" w:rsidRPr="006E3415" w:rsidRDefault="005D15C2" w:rsidP="00746BFF">
      <w:pPr>
        <w:spacing w:after="0" w:line="360" w:lineRule="auto"/>
        <w:rPr>
          <w:rFonts w:ascii="Times New Roman" w:hAnsi="Times New Roman" w:cs="Times New Roman"/>
          <w:sz w:val="24"/>
          <w:szCs w:val="24"/>
        </w:rPr>
      </w:pPr>
    </w:p>
    <w:p w:rsidR="008B1360" w:rsidRPr="006E3415" w:rsidRDefault="008B1360" w:rsidP="00746BFF">
      <w:pPr>
        <w:pStyle w:val="ListParagraph"/>
        <w:numPr>
          <w:ilvl w:val="0"/>
          <w:numId w:val="1"/>
        </w:numPr>
        <w:spacing w:line="360" w:lineRule="auto"/>
        <w:rPr>
          <w:rFonts w:cs="Times New Roman"/>
          <w:szCs w:val="24"/>
        </w:rPr>
      </w:pPr>
      <w:r w:rsidRPr="006E3415">
        <w:rPr>
          <w:rFonts w:cs="Times New Roman"/>
          <w:szCs w:val="24"/>
        </w:rPr>
        <w:t>there were numerous types of trusts arising according to the rules of equity that were routinely imposed on realty without any need for written evidence;</w:t>
      </w:r>
    </w:p>
    <w:p w:rsidR="008B1360" w:rsidRPr="006E3415" w:rsidRDefault="008B1360" w:rsidP="00746BFF">
      <w:pPr>
        <w:pStyle w:val="ListParagraph"/>
        <w:numPr>
          <w:ilvl w:val="0"/>
          <w:numId w:val="1"/>
        </w:numPr>
        <w:spacing w:line="360" w:lineRule="auto"/>
        <w:rPr>
          <w:rFonts w:cs="Times New Roman"/>
          <w:szCs w:val="24"/>
        </w:rPr>
      </w:pPr>
      <w:r w:rsidRPr="006E3415">
        <w:rPr>
          <w:rFonts w:cs="Times New Roman"/>
          <w:szCs w:val="24"/>
        </w:rPr>
        <w:t>such trusts were recognised and enforced not because they fell within the exemption in s8, but because they were not the type of trusts which were regulated by s7;</w:t>
      </w:r>
    </w:p>
    <w:p w:rsidR="008B1360" w:rsidRPr="006E3415" w:rsidRDefault="008B1360" w:rsidP="00746BFF">
      <w:pPr>
        <w:pStyle w:val="ListParagraph"/>
        <w:numPr>
          <w:ilvl w:val="0"/>
          <w:numId w:val="1"/>
        </w:numPr>
        <w:spacing w:line="360" w:lineRule="auto"/>
        <w:rPr>
          <w:rFonts w:cs="Times New Roman"/>
          <w:szCs w:val="24"/>
        </w:rPr>
      </w:pPr>
      <w:r w:rsidRPr="006E3415">
        <w:rPr>
          <w:rFonts w:cs="Times New Roman"/>
          <w:szCs w:val="24"/>
        </w:rPr>
        <w:t>some such trusts had been defined as constructive trusts for the purposes of applying the limitation period;</w:t>
      </w:r>
    </w:p>
    <w:p w:rsidR="008B1360" w:rsidRPr="006E3415" w:rsidRDefault="008B1360" w:rsidP="00746BFF">
      <w:pPr>
        <w:pStyle w:val="ListParagraph"/>
        <w:numPr>
          <w:ilvl w:val="0"/>
          <w:numId w:val="1"/>
        </w:numPr>
        <w:spacing w:line="360" w:lineRule="auto"/>
        <w:rPr>
          <w:rFonts w:cs="Times New Roman"/>
          <w:szCs w:val="24"/>
        </w:rPr>
      </w:pPr>
      <w:r w:rsidRPr="006E3415">
        <w:rPr>
          <w:rFonts w:cs="Times New Roman"/>
          <w:szCs w:val="24"/>
        </w:rPr>
        <w:t>other such trusts were treated as express trusts for the purposes of the limitation period because, although they were trusts which had not been created in the usual manner in which express trusts were created, the trust property had been deposited in the defendant as a trustee;</w:t>
      </w:r>
    </w:p>
    <w:p w:rsidR="008B1360" w:rsidRPr="006E3415" w:rsidRDefault="008B1360" w:rsidP="00746BFF">
      <w:pPr>
        <w:pStyle w:val="ListParagraph"/>
        <w:numPr>
          <w:ilvl w:val="0"/>
          <w:numId w:val="1"/>
        </w:numPr>
        <w:spacing w:line="360" w:lineRule="auto"/>
        <w:rPr>
          <w:rFonts w:cs="Times New Roman"/>
          <w:szCs w:val="24"/>
        </w:rPr>
      </w:pPr>
      <w:r w:rsidRPr="006E3415">
        <w:rPr>
          <w:rFonts w:cs="Times New Roman"/>
          <w:szCs w:val="24"/>
        </w:rPr>
        <w:t>there was no authority regarding whether trustees of parol trusts imposed for the prevention of fraud could avail themselves of the limitation period;</w:t>
      </w:r>
    </w:p>
    <w:p w:rsidR="008B1360" w:rsidRPr="006E3415" w:rsidRDefault="008B1360" w:rsidP="00746BFF">
      <w:pPr>
        <w:pStyle w:val="ListParagraph"/>
        <w:numPr>
          <w:ilvl w:val="0"/>
          <w:numId w:val="1"/>
        </w:numPr>
        <w:spacing w:line="360" w:lineRule="auto"/>
        <w:rPr>
          <w:rFonts w:cs="Times New Roman"/>
          <w:szCs w:val="24"/>
        </w:rPr>
      </w:pPr>
      <w:r w:rsidRPr="006E3415">
        <w:rPr>
          <w:rFonts w:cs="Times New Roman"/>
          <w:szCs w:val="24"/>
        </w:rPr>
        <w:lastRenderedPageBreak/>
        <w:t>it had long been recognised that the prevention of fraud was sufficient reason fo</w:t>
      </w:r>
      <w:r w:rsidR="00270F94">
        <w:rPr>
          <w:rFonts w:cs="Times New Roman"/>
          <w:szCs w:val="24"/>
        </w:rPr>
        <w:t xml:space="preserve">r the court to declare that </w:t>
      </w:r>
      <w:r w:rsidRPr="006E3415">
        <w:rPr>
          <w:rFonts w:cs="Times New Roman"/>
          <w:szCs w:val="24"/>
        </w:rPr>
        <w:t>a defendant, who had knowingly obtained a conveyance of land subject to a parol trust, had taken that property in a fiduciary capacity as a trustee.</w:t>
      </w:r>
    </w:p>
    <w:p w:rsidR="00A71D39" w:rsidRPr="006E3415" w:rsidRDefault="00A71D39" w:rsidP="00746BFF">
      <w:pPr>
        <w:spacing w:line="360" w:lineRule="auto"/>
        <w:rPr>
          <w:rFonts w:ascii="Times New Roman" w:hAnsi="Times New Roman" w:cs="Times New Roman"/>
          <w:sz w:val="24"/>
          <w:szCs w:val="24"/>
        </w:rPr>
      </w:pPr>
    </w:p>
    <w:p w:rsidR="008B1360" w:rsidRPr="006E3415" w:rsidRDefault="00A71D39" w:rsidP="00746BFF">
      <w:pPr>
        <w:pStyle w:val="ListParagraph"/>
        <w:numPr>
          <w:ilvl w:val="0"/>
          <w:numId w:val="10"/>
        </w:numPr>
        <w:spacing w:line="360" w:lineRule="auto"/>
        <w:rPr>
          <w:rFonts w:cs="Times New Roman"/>
          <w:i/>
          <w:szCs w:val="24"/>
        </w:rPr>
      </w:pPr>
      <w:r w:rsidRPr="006E3415">
        <w:rPr>
          <w:rFonts w:cs="Times New Roman"/>
          <w:i/>
          <w:szCs w:val="24"/>
        </w:rPr>
        <w:t>An uncontroversial precedent</w:t>
      </w:r>
    </w:p>
    <w:p w:rsidR="00A71D39" w:rsidRPr="006E3415" w:rsidRDefault="00A71D39" w:rsidP="00746BFF">
      <w:pPr>
        <w:pStyle w:val="ListParagraph"/>
        <w:spacing w:line="360" w:lineRule="auto"/>
        <w:ind w:left="1080"/>
        <w:rPr>
          <w:rFonts w:cs="Times New Roman"/>
          <w:i/>
          <w:szCs w:val="24"/>
        </w:rPr>
      </w:pPr>
    </w:p>
    <w:p w:rsidR="008B1360" w:rsidRPr="006E3415" w:rsidRDefault="00A71D39"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In light of the above</w:t>
      </w:r>
      <w:r w:rsidR="008B1360" w:rsidRPr="006E3415">
        <w:rPr>
          <w:rFonts w:ascii="Times New Roman" w:hAnsi="Times New Roman" w:cs="Times New Roman"/>
          <w:sz w:val="24"/>
          <w:szCs w:val="24"/>
        </w:rPr>
        <w:t xml:space="preserve">, it is no surprise that the Court of Appeal reached the conclusion that the trust in </w:t>
      </w:r>
      <w:r w:rsidR="008B1360" w:rsidRPr="006E3415">
        <w:rPr>
          <w:rFonts w:ascii="Times New Roman" w:hAnsi="Times New Roman" w:cs="Times New Roman"/>
          <w:i/>
          <w:sz w:val="24"/>
          <w:szCs w:val="24"/>
        </w:rPr>
        <w:t xml:space="preserve">Rochefoucauld </w:t>
      </w:r>
      <w:r w:rsidR="008B1360" w:rsidRPr="006E3415">
        <w:rPr>
          <w:rFonts w:ascii="Times New Roman" w:hAnsi="Times New Roman" w:cs="Times New Roman"/>
          <w:sz w:val="24"/>
          <w:szCs w:val="24"/>
        </w:rPr>
        <w:t xml:space="preserve">was ‘an express trust within the meaning of that expression as expressed in </w:t>
      </w:r>
      <w:r w:rsidR="008B1360" w:rsidRPr="006E3415">
        <w:rPr>
          <w:rFonts w:ascii="Times New Roman" w:hAnsi="Times New Roman" w:cs="Times New Roman"/>
          <w:i/>
          <w:iCs/>
          <w:sz w:val="24"/>
          <w:szCs w:val="24"/>
        </w:rPr>
        <w:t>Soar v Ashwell.</w:t>
      </w:r>
      <w:r w:rsidR="008B1360" w:rsidRPr="006E3415">
        <w:rPr>
          <w:rFonts w:ascii="Times New Roman" w:hAnsi="Times New Roman" w:cs="Times New Roman"/>
          <w:sz w:val="24"/>
          <w:szCs w:val="24"/>
        </w:rPr>
        <w:t>’</w:t>
      </w:r>
      <w:r w:rsidR="008B1360" w:rsidRPr="006E3415">
        <w:rPr>
          <w:rStyle w:val="FootnoteReference"/>
          <w:rFonts w:ascii="Times New Roman" w:hAnsi="Times New Roman" w:cs="Times New Roman"/>
          <w:sz w:val="24"/>
          <w:szCs w:val="24"/>
        </w:rPr>
        <w:footnoteReference w:id="284"/>
      </w:r>
      <w:r w:rsidR="008B1360" w:rsidRPr="006E3415">
        <w:rPr>
          <w:rFonts w:ascii="Times New Roman" w:hAnsi="Times New Roman" w:cs="Times New Roman"/>
          <w:sz w:val="24"/>
          <w:szCs w:val="24"/>
        </w:rPr>
        <w:t xml:space="preserve"> That is was not a true express trust, but one arising for the prevention </w:t>
      </w:r>
      <w:r w:rsidR="00270F94">
        <w:rPr>
          <w:rFonts w:ascii="Times New Roman" w:hAnsi="Times New Roman" w:cs="Times New Roman"/>
          <w:sz w:val="24"/>
          <w:szCs w:val="24"/>
        </w:rPr>
        <w:t xml:space="preserve">of </w:t>
      </w:r>
      <w:r w:rsidR="008B1360" w:rsidRPr="006E3415">
        <w:rPr>
          <w:rFonts w:ascii="Times New Roman" w:hAnsi="Times New Roman" w:cs="Times New Roman"/>
          <w:sz w:val="24"/>
          <w:szCs w:val="24"/>
        </w:rPr>
        <w:t>fraud, was no bar whatsoever to this conclusion; the Court of Appeal had ruled only three years previously that certain types of  t</w:t>
      </w:r>
      <w:r w:rsidR="00F016DB">
        <w:rPr>
          <w:rFonts w:ascii="Times New Roman" w:hAnsi="Times New Roman" w:cs="Times New Roman"/>
          <w:sz w:val="24"/>
          <w:szCs w:val="24"/>
        </w:rPr>
        <w:t>rusts that were not express trusts should be treated by the courts as express trusts when adjudicating upon the applicability of the l</w:t>
      </w:r>
      <w:r w:rsidR="008B1360" w:rsidRPr="006E3415">
        <w:rPr>
          <w:rFonts w:ascii="Times New Roman" w:hAnsi="Times New Roman" w:cs="Times New Roman"/>
          <w:sz w:val="24"/>
          <w:szCs w:val="24"/>
        </w:rPr>
        <w:t xml:space="preserve">imitation period. Thus, although </w:t>
      </w:r>
      <w:r w:rsidR="008B1360" w:rsidRPr="006E3415">
        <w:rPr>
          <w:rFonts w:ascii="Times New Roman" w:hAnsi="Times New Roman" w:cs="Times New Roman"/>
          <w:i/>
          <w:sz w:val="24"/>
          <w:szCs w:val="24"/>
        </w:rPr>
        <w:t xml:space="preserve">Rochefoucauld </w:t>
      </w:r>
      <w:r w:rsidR="008B1360" w:rsidRPr="006E3415">
        <w:rPr>
          <w:rFonts w:ascii="Times New Roman" w:hAnsi="Times New Roman" w:cs="Times New Roman"/>
          <w:sz w:val="24"/>
          <w:szCs w:val="24"/>
        </w:rPr>
        <w:t xml:space="preserve">provided a new precedent on this point, it </w:t>
      </w:r>
      <w:r w:rsidR="005D15C2" w:rsidRPr="006E3415">
        <w:rPr>
          <w:rFonts w:ascii="Times New Roman" w:hAnsi="Times New Roman" w:cs="Times New Roman"/>
          <w:sz w:val="24"/>
          <w:szCs w:val="24"/>
        </w:rPr>
        <w:t xml:space="preserve">is suggested </w:t>
      </w:r>
      <w:r w:rsidR="008B1360" w:rsidRPr="006E3415">
        <w:rPr>
          <w:rFonts w:ascii="Times New Roman" w:hAnsi="Times New Roman" w:cs="Times New Roman"/>
          <w:sz w:val="24"/>
          <w:szCs w:val="24"/>
        </w:rPr>
        <w:t>that this aspect of the case was not controversial or difficult.</w:t>
      </w:r>
    </w:p>
    <w:p w:rsidR="005D15C2" w:rsidRPr="006E3415" w:rsidRDefault="005D15C2" w:rsidP="00746BFF">
      <w:pPr>
        <w:spacing w:after="0" w:line="360" w:lineRule="auto"/>
        <w:rPr>
          <w:rFonts w:ascii="Times New Roman" w:hAnsi="Times New Roman" w:cs="Times New Roman"/>
          <w:sz w:val="24"/>
          <w:szCs w:val="24"/>
        </w:rPr>
      </w:pPr>
    </w:p>
    <w:p w:rsidR="008B1360" w:rsidRPr="006E3415" w:rsidRDefault="008B1360" w:rsidP="00746BFF">
      <w:pPr>
        <w:spacing w:after="0" w:line="360" w:lineRule="auto"/>
        <w:rPr>
          <w:rFonts w:ascii="Times New Roman" w:hAnsi="Times New Roman" w:cs="Times New Roman"/>
          <w:color w:val="000000" w:themeColor="text1"/>
          <w:sz w:val="24"/>
          <w:szCs w:val="24"/>
        </w:rPr>
      </w:pPr>
      <w:r w:rsidRPr="006E3415">
        <w:rPr>
          <w:rFonts w:ascii="Times New Roman" w:hAnsi="Times New Roman" w:cs="Times New Roman"/>
          <w:sz w:val="24"/>
          <w:szCs w:val="24"/>
        </w:rPr>
        <w:t xml:space="preserve">The contemporary reception of </w:t>
      </w:r>
      <w:r w:rsidRPr="006E3415">
        <w:rPr>
          <w:rFonts w:ascii="Times New Roman" w:hAnsi="Times New Roman" w:cs="Times New Roman"/>
          <w:i/>
          <w:sz w:val="24"/>
          <w:szCs w:val="24"/>
        </w:rPr>
        <w:t xml:space="preserve">Rochefoucauld </w:t>
      </w:r>
      <w:r w:rsidRPr="006E3415">
        <w:rPr>
          <w:rFonts w:ascii="Times New Roman" w:hAnsi="Times New Roman" w:cs="Times New Roman"/>
          <w:sz w:val="24"/>
          <w:szCs w:val="24"/>
        </w:rPr>
        <w:t>also suggests that the judgment was not considered groundbreaking on this issue. The first comments, in the Times, devoted little attention to the issue of the classification of the trust, rather vaguely describing the case as ‘a strong decision of the Court of Appeal the other day, enforcing after a very long interval a trust which was, indeed, express, but extremely inferential’.</w:t>
      </w:r>
      <w:r w:rsidRPr="006E3415">
        <w:rPr>
          <w:rStyle w:val="FootnoteReference"/>
          <w:rFonts w:ascii="Times New Roman" w:hAnsi="Times New Roman" w:cs="Times New Roman"/>
          <w:sz w:val="24"/>
          <w:szCs w:val="24"/>
        </w:rPr>
        <w:footnoteReference w:id="285"/>
      </w:r>
      <w:r w:rsidRPr="006E3415">
        <w:rPr>
          <w:rFonts w:ascii="Times New Roman" w:hAnsi="Times New Roman" w:cs="Times New Roman"/>
          <w:sz w:val="24"/>
          <w:szCs w:val="24"/>
        </w:rPr>
        <w:t xml:space="preserve"> These comments are not easy to reconcile with the judgment; nowhere does the Court of Appeal’s judgment refer to inferring the trust. The Solicitors’ </w:t>
      </w:r>
      <w:r w:rsidRPr="006E3415">
        <w:rPr>
          <w:rFonts w:ascii="Times New Roman" w:hAnsi="Times New Roman" w:cs="Times New Roman"/>
          <w:color w:val="000000" w:themeColor="text1"/>
          <w:sz w:val="24"/>
          <w:szCs w:val="24"/>
        </w:rPr>
        <w:t>Journal and Reporter, on the other hand, stated that ‘the trust, although not declared in writing, was nevertheless an express trust in the sense that at the time of the sale to the defendant both he and the plaintiff understood that a trust was to be created, and against such a trust the Statute of Limitations (save by virtue of the Trustee Act, 1888, which in the present case did not apply) does not run.’</w:t>
      </w:r>
      <w:r w:rsidRPr="006E3415">
        <w:rPr>
          <w:rStyle w:val="FootnoteReference"/>
          <w:rFonts w:ascii="Times New Roman" w:hAnsi="Times New Roman" w:cs="Times New Roman"/>
          <w:color w:val="000000" w:themeColor="text1"/>
          <w:sz w:val="24"/>
          <w:szCs w:val="24"/>
        </w:rPr>
        <w:footnoteReference w:id="286"/>
      </w:r>
      <w:r w:rsidRPr="006E3415">
        <w:rPr>
          <w:rFonts w:ascii="Times New Roman" w:hAnsi="Times New Roman" w:cs="Times New Roman"/>
          <w:color w:val="000000" w:themeColor="text1"/>
          <w:sz w:val="24"/>
          <w:szCs w:val="24"/>
        </w:rPr>
        <w:t xml:space="preserve"> This is consistent with what </w:t>
      </w:r>
      <w:r w:rsidR="008778A0">
        <w:rPr>
          <w:rFonts w:ascii="Times New Roman" w:hAnsi="Times New Roman" w:cs="Times New Roman"/>
          <w:color w:val="000000" w:themeColor="text1"/>
          <w:sz w:val="24"/>
          <w:szCs w:val="24"/>
        </w:rPr>
        <w:t xml:space="preserve">this paper </w:t>
      </w:r>
      <w:r w:rsidR="00100A9E">
        <w:rPr>
          <w:rFonts w:ascii="Times New Roman" w:hAnsi="Times New Roman" w:cs="Times New Roman"/>
          <w:color w:val="000000" w:themeColor="text1"/>
          <w:sz w:val="24"/>
          <w:szCs w:val="24"/>
        </w:rPr>
        <w:t>has argued</w:t>
      </w:r>
      <w:r w:rsidRPr="006E3415">
        <w:rPr>
          <w:rFonts w:ascii="Times New Roman" w:hAnsi="Times New Roman" w:cs="Times New Roman"/>
          <w:color w:val="000000" w:themeColor="text1"/>
          <w:sz w:val="24"/>
          <w:szCs w:val="24"/>
        </w:rPr>
        <w:t xml:space="preserve"> regarding how Lindley LJ and his colleagues likely viewed the trust in </w:t>
      </w:r>
      <w:r w:rsidRPr="006E3415">
        <w:rPr>
          <w:rFonts w:ascii="Times New Roman" w:hAnsi="Times New Roman" w:cs="Times New Roman"/>
          <w:i/>
          <w:color w:val="000000" w:themeColor="text1"/>
          <w:sz w:val="24"/>
          <w:szCs w:val="24"/>
        </w:rPr>
        <w:t>Rochefoucauld</w:t>
      </w:r>
      <w:r w:rsidRPr="006E3415">
        <w:rPr>
          <w:rFonts w:ascii="Times New Roman" w:hAnsi="Times New Roman" w:cs="Times New Roman"/>
          <w:color w:val="000000" w:themeColor="text1"/>
          <w:sz w:val="24"/>
          <w:szCs w:val="24"/>
        </w:rPr>
        <w:t>. It is also notable that, as was the case in the Times, the Solicitors’ Journal devoted o</w:t>
      </w:r>
      <w:r w:rsidR="00270F94">
        <w:rPr>
          <w:rFonts w:ascii="Times New Roman" w:hAnsi="Times New Roman" w:cs="Times New Roman"/>
          <w:color w:val="000000" w:themeColor="text1"/>
          <w:sz w:val="24"/>
          <w:szCs w:val="24"/>
        </w:rPr>
        <w:t>nly a small part of its commentary</w:t>
      </w:r>
      <w:r w:rsidRPr="006E3415">
        <w:rPr>
          <w:rFonts w:ascii="Times New Roman" w:hAnsi="Times New Roman" w:cs="Times New Roman"/>
          <w:color w:val="000000" w:themeColor="text1"/>
          <w:sz w:val="24"/>
          <w:szCs w:val="24"/>
        </w:rPr>
        <w:t xml:space="preserve"> on </w:t>
      </w:r>
      <w:r w:rsidRPr="006E3415">
        <w:rPr>
          <w:rFonts w:ascii="Times New Roman" w:hAnsi="Times New Roman" w:cs="Times New Roman"/>
          <w:i/>
          <w:color w:val="000000" w:themeColor="text1"/>
          <w:sz w:val="24"/>
          <w:szCs w:val="24"/>
        </w:rPr>
        <w:t xml:space="preserve">Rochefocuauld </w:t>
      </w:r>
      <w:r w:rsidRPr="006E3415">
        <w:rPr>
          <w:rFonts w:ascii="Times New Roman" w:hAnsi="Times New Roman" w:cs="Times New Roman"/>
          <w:color w:val="000000" w:themeColor="text1"/>
          <w:sz w:val="24"/>
          <w:szCs w:val="24"/>
        </w:rPr>
        <w:t>to the question of the classification of the trust.</w:t>
      </w:r>
    </w:p>
    <w:p w:rsidR="005D15C2" w:rsidRPr="006E3415" w:rsidRDefault="005D15C2" w:rsidP="00746BFF">
      <w:pPr>
        <w:spacing w:after="0" w:line="360" w:lineRule="auto"/>
        <w:jc w:val="center"/>
        <w:rPr>
          <w:rFonts w:ascii="Times New Roman" w:hAnsi="Times New Roman" w:cs="Times New Roman"/>
          <w:b/>
          <w:sz w:val="24"/>
          <w:szCs w:val="24"/>
        </w:rPr>
      </w:pPr>
    </w:p>
    <w:p w:rsidR="00DA2A3A" w:rsidRPr="006E3415" w:rsidRDefault="00EA6F14" w:rsidP="00746BFF">
      <w:pPr>
        <w:pStyle w:val="ListParagraph"/>
        <w:numPr>
          <w:ilvl w:val="0"/>
          <w:numId w:val="8"/>
        </w:numPr>
        <w:spacing w:line="360" w:lineRule="auto"/>
        <w:jc w:val="center"/>
        <w:rPr>
          <w:rFonts w:cs="Times New Roman"/>
          <w:b/>
          <w:szCs w:val="24"/>
        </w:rPr>
      </w:pPr>
      <w:r w:rsidRPr="006E3415">
        <w:rPr>
          <w:rFonts w:cs="Times New Roman"/>
          <w:b/>
          <w:szCs w:val="24"/>
        </w:rPr>
        <w:lastRenderedPageBreak/>
        <w:t>CONCLUSION</w:t>
      </w:r>
    </w:p>
    <w:p w:rsidR="00EA6F14" w:rsidRPr="006E3415" w:rsidRDefault="00EA6F14" w:rsidP="00746BFF">
      <w:pPr>
        <w:spacing w:after="0" w:line="360" w:lineRule="auto"/>
        <w:jc w:val="center"/>
        <w:rPr>
          <w:rFonts w:ascii="Times New Roman" w:hAnsi="Times New Roman" w:cs="Times New Roman"/>
          <w:b/>
          <w:sz w:val="24"/>
          <w:szCs w:val="24"/>
        </w:rPr>
      </w:pPr>
    </w:p>
    <w:p w:rsidR="00EA6F14" w:rsidRPr="006E3415" w:rsidRDefault="00EA6F14"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The research undertaken here has revealed that the facts of </w:t>
      </w:r>
      <w:r w:rsidRPr="006E3415">
        <w:rPr>
          <w:rFonts w:ascii="Times New Roman" w:hAnsi="Times New Roman" w:cs="Times New Roman"/>
          <w:i/>
          <w:sz w:val="24"/>
          <w:szCs w:val="24"/>
        </w:rPr>
        <w:t xml:space="preserve">Rochefoucauld </w:t>
      </w:r>
      <w:r w:rsidRPr="006E3415">
        <w:rPr>
          <w:rFonts w:ascii="Times New Roman" w:hAnsi="Times New Roman" w:cs="Times New Roman"/>
          <w:sz w:val="24"/>
          <w:szCs w:val="24"/>
        </w:rPr>
        <w:t xml:space="preserve">were reported rather imperfectly. Perhaps the most significant finding is that, contrary to what was reported, the Estates were sold by officers of the District Court in Ceylon as a result of the Société having successfully sued Emily for a sale in execution. The evidence shows that, although Emily probably did not instigate the sale, she was able to use the Société’s suit to her advantage in order to prevent Cavendish from obtaining the Estates for himself. After more than ten years of  bitter manoeuvrings between Emily and Cavendish, throughout which he had the English Divorce Court on his side, Emily was able to gain the upper hand, thus </w:t>
      </w:r>
      <w:r w:rsidR="00733CD2" w:rsidRPr="006E3415">
        <w:rPr>
          <w:rFonts w:ascii="Times New Roman" w:hAnsi="Times New Roman" w:cs="Times New Roman"/>
          <w:sz w:val="24"/>
          <w:szCs w:val="24"/>
        </w:rPr>
        <w:t xml:space="preserve">more than </w:t>
      </w:r>
      <w:r w:rsidRPr="006E3415">
        <w:rPr>
          <w:rFonts w:ascii="Times New Roman" w:hAnsi="Times New Roman" w:cs="Times New Roman"/>
          <w:sz w:val="24"/>
          <w:szCs w:val="24"/>
        </w:rPr>
        <w:t>justifying Kekewich J’s description of her as ‘a thoroughly capable woman’.</w:t>
      </w:r>
      <w:r w:rsidRPr="006E3415">
        <w:rPr>
          <w:rStyle w:val="FootnoteReference"/>
          <w:rFonts w:ascii="Times New Roman" w:hAnsi="Times New Roman" w:cs="Times New Roman"/>
          <w:sz w:val="24"/>
          <w:szCs w:val="24"/>
        </w:rPr>
        <w:footnoteReference w:id="287"/>
      </w:r>
    </w:p>
    <w:p w:rsidR="005D15C2" w:rsidRPr="006E3415" w:rsidRDefault="005D15C2" w:rsidP="00746BFF">
      <w:pPr>
        <w:spacing w:after="0" w:line="360" w:lineRule="auto"/>
        <w:rPr>
          <w:rFonts w:ascii="Times New Roman" w:hAnsi="Times New Roman" w:cs="Times New Roman"/>
          <w:sz w:val="24"/>
          <w:szCs w:val="24"/>
        </w:rPr>
      </w:pPr>
    </w:p>
    <w:p w:rsidR="00EA6F14" w:rsidRPr="006E3415" w:rsidRDefault="00EA6F14"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The story unearthed here is therefore of interest because it demonstrates </w:t>
      </w:r>
      <w:r w:rsidR="00EB26FA" w:rsidRPr="006E3415">
        <w:rPr>
          <w:rFonts w:ascii="Times New Roman" w:hAnsi="Times New Roman" w:cs="Times New Roman"/>
          <w:sz w:val="24"/>
          <w:szCs w:val="24"/>
        </w:rPr>
        <w:t xml:space="preserve">not just </w:t>
      </w:r>
      <w:r w:rsidRPr="006E3415">
        <w:rPr>
          <w:rFonts w:ascii="Times New Roman" w:hAnsi="Times New Roman" w:cs="Times New Roman"/>
          <w:sz w:val="24"/>
          <w:szCs w:val="24"/>
        </w:rPr>
        <w:t>how a woman, albeit a woman who moved in illustrious circles, was able</w:t>
      </w:r>
      <w:r w:rsidR="005D15C2" w:rsidRPr="006E3415">
        <w:rPr>
          <w:rFonts w:ascii="Times New Roman" w:hAnsi="Times New Roman" w:cs="Times New Roman"/>
          <w:sz w:val="24"/>
          <w:szCs w:val="24"/>
        </w:rPr>
        <w:t xml:space="preserve"> prevail in a </w:t>
      </w:r>
      <w:r w:rsidR="00E45A26" w:rsidRPr="006E3415">
        <w:rPr>
          <w:rFonts w:ascii="Times New Roman" w:hAnsi="Times New Roman" w:cs="Times New Roman"/>
          <w:sz w:val="24"/>
          <w:szCs w:val="24"/>
        </w:rPr>
        <w:t>nineteenth</w:t>
      </w:r>
      <w:r w:rsidR="005D15C2" w:rsidRPr="006E3415">
        <w:rPr>
          <w:rFonts w:ascii="Times New Roman" w:hAnsi="Times New Roman" w:cs="Times New Roman"/>
          <w:sz w:val="24"/>
          <w:szCs w:val="24"/>
        </w:rPr>
        <w:t xml:space="preserve"> century </w:t>
      </w:r>
      <w:r w:rsidRPr="006E3415">
        <w:rPr>
          <w:rFonts w:ascii="Times New Roman" w:hAnsi="Times New Roman" w:cs="Times New Roman"/>
          <w:sz w:val="24"/>
          <w:szCs w:val="24"/>
        </w:rPr>
        <w:t>matrimonial dispute</w:t>
      </w:r>
      <w:r w:rsidR="00EB26FA" w:rsidRPr="006E3415">
        <w:rPr>
          <w:rFonts w:ascii="Times New Roman" w:hAnsi="Times New Roman" w:cs="Times New Roman"/>
          <w:sz w:val="24"/>
          <w:szCs w:val="24"/>
        </w:rPr>
        <w:t xml:space="preserve">, but also the great lengths to which </w:t>
      </w:r>
      <w:r w:rsidR="00F14B08">
        <w:rPr>
          <w:rFonts w:ascii="Times New Roman" w:hAnsi="Times New Roman" w:cs="Times New Roman"/>
          <w:sz w:val="24"/>
          <w:szCs w:val="24"/>
        </w:rPr>
        <w:t>this impressive character n</w:t>
      </w:r>
      <w:r w:rsidR="00EB26FA" w:rsidRPr="006E3415">
        <w:rPr>
          <w:rFonts w:ascii="Times New Roman" w:hAnsi="Times New Roman" w:cs="Times New Roman"/>
          <w:sz w:val="24"/>
          <w:szCs w:val="24"/>
        </w:rPr>
        <w:t xml:space="preserve">eeded to go </w:t>
      </w:r>
      <w:r w:rsidR="00426CDF" w:rsidRPr="006E3415">
        <w:rPr>
          <w:rFonts w:ascii="Times New Roman" w:hAnsi="Times New Roman" w:cs="Times New Roman"/>
          <w:sz w:val="24"/>
          <w:szCs w:val="24"/>
        </w:rPr>
        <w:t>in order to achieve her triumph</w:t>
      </w:r>
      <w:r w:rsidRPr="006E3415">
        <w:rPr>
          <w:rFonts w:ascii="Times New Roman" w:hAnsi="Times New Roman" w:cs="Times New Roman"/>
          <w:sz w:val="24"/>
          <w:szCs w:val="24"/>
        </w:rPr>
        <w:t>.</w:t>
      </w:r>
      <w:r w:rsidR="006C2729" w:rsidRPr="006E3415">
        <w:rPr>
          <w:rStyle w:val="FootnoteReference"/>
          <w:rFonts w:ascii="Times New Roman" w:hAnsi="Times New Roman" w:cs="Times New Roman"/>
          <w:sz w:val="24"/>
          <w:szCs w:val="24"/>
        </w:rPr>
        <w:footnoteReference w:id="288"/>
      </w:r>
      <w:r w:rsidRPr="006E3415">
        <w:rPr>
          <w:rFonts w:ascii="Times New Roman" w:hAnsi="Times New Roman" w:cs="Times New Roman"/>
          <w:sz w:val="24"/>
          <w:szCs w:val="24"/>
        </w:rPr>
        <w:t xml:space="preserve"> Cavendish’s failure to obtain the Estates also demonstrates that it could be problematic for litigants who had obtained favourable judgments in the English courts to have those judgments enforced in foreign jurisdictions, even within the Empire. In addition, the materials accessed here present an unusual picture, seen from the perspective of the litigants and other interested parties, of the workings of Roman-Dutch law in respect of mortgages of foreign-owned land.</w:t>
      </w:r>
    </w:p>
    <w:p w:rsidR="005D15C2" w:rsidRPr="006E3415" w:rsidRDefault="005D15C2" w:rsidP="00746BFF">
      <w:pPr>
        <w:spacing w:after="0" w:line="360" w:lineRule="auto"/>
        <w:rPr>
          <w:rFonts w:ascii="Times New Roman" w:hAnsi="Times New Roman" w:cs="Times New Roman"/>
          <w:sz w:val="24"/>
          <w:szCs w:val="24"/>
        </w:rPr>
      </w:pPr>
    </w:p>
    <w:p w:rsidR="00EA6F14" w:rsidRPr="006E3415" w:rsidRDefault="00EA6F14" w:rsidP="00746BFF">
      <w:pPr>
        <w:spacing w:after="0" w:line="360" w:lineRule="auto"/>
        <w:rPr>
          <w:rFonts w:ascii="Times New Roman" w:hAnsi="Times New Roman" w:cs="Times New Roman"/>
          <w:sz w:val="24"/>
          <w:szCs w:val="24"/>
        </w:rPr>
      </w:pPr>
      <w:r w:rsidRPr="006E3415">
        <w:rPr>
          <w:rFonts w:ascii="Times New Roman" w:hAnsi="Times New Roman" w:cs="Times New Roman"/>
          <w:sz w:val="24"/>
          <w:szCs w:val="24"/>
        </w:rPr>
        <w:t xml:space="preserve">The full account of the facts of </w:t>
      </w:r>
      <w:r w:rsidRPr="006E3415">
        <w:rPr>
          <w:rFonts w:ascii="Times New Roman" w:hAnsi="Times New Roman" w:cs="Times New Roman"/>
          <w:i/>
          <w:sz w:val="24"/>
          <w:szCs w:val="24"/>
        </w:rPr>
        <w:t>Rochefoucauld,</w:t>
      </w:r>
      <w:r w:rsidRPr="006E3415">
        <w:rPr>
          <w:rFonts w:ascii="Times New Roman" w:hAnsi="Times New Roman" w:cs="Times New Roman"/>
          <w:sz w:val="24"/>
          <w:szCs w:val="24"/>
        </w:rPr>
        <w:t xml:space="preserve"> coupled with analysis of contemporary and earlier case law and academic input, has assisted in placing the legal reasoning from the case within the context of the time of the judgment. Kekewich J’s first instance decision notwithstanding, it seems that there was, amongst judges and commentators, a clear and consistent understanding not only of the principle that equity will not permit a statute to be used as an engine of fraud as it applied to parol trusts of land, but also of the type of conduct that was considered to amount to fraud. Furthermore, although the Court of Appeal set a new precedent regarding the classification of trusts such as those in </w:t>
      </w:r>
      <w:r w:rsidRPr="006E3415">
        <w:rPr>
          <w:rFonts w:ascii="Times New Roman" w:hAnsi="Times New Roman" w:cs="Times New Roman"/>
          <w:i/>
          <w:sz w:val="24"/>
          <w:szCs w:val="24"/>
        </w:rPr>
        <w:t xml:space="preserve">Rochefoucauld </w:t>
      </w:r>
      <w:r w:rsidRPr="006E3415">
        <w:rPr>
          <w:rFonts w:ascii="Times New Roman" w:hAnsi="Times New Roman" w:cs="Times New Roman"/>
          <w:sz w:val="24"/>
          <w:szCs w:val="24"/>
        </w:rPr>
        <w:t xml:space="preserve">for the purposes of applying the limitation period, the decision in this respect represented a relatively </w:t>
      </w:r>
      <w:r w:rsidRPr="006E3415">
        <w:rPr>
          <w:rFonts w:ascii="Times New Roman" w:hAnsi="Times New Roman" w:cs="Times New Roman"/>
          <w:sz w:val="24"/>
          <w:szCs w:val="24"/>
        </w:rPr>
        <w:lastRenderedPageBreak/>
        <w:t>minor and predictable development of the law in this area, despite the classification of trusts generally being in some disarray, at least amongst jurists. Once this is appreciated, it can be seen why, in respect of Boustead’s fraud and the classification of the trust, the judgment was seen by Lindley LJ and his colleagues, as well as by contemporary commentators, as entirely uncontroversial.</w:t>
      </w:r>
    </w:p>
    <w:p w:rsidR="005D15C2" w:rsidRPr="006E3415" w:rsidRDefault="005D15C2" w:rsidP="00746BFF">
      <w:pPr>
        <w:spacing w:after="0" w:line="360" w:lineRule="auto"/>
        <w:rPr>
          <w:rFonts w:ascii="Times New Roman" w:hAnsi="Times New Roman" w:cs="Times New Roman"/>
          <w:sz w:val="24"/>
          <w:szCs w:val="24"/>
        </w:rPr>
      </w:pPr>
    </w:p>
    <w:p w:rsidR="00D62F50" w:rsidRPr="00A37B71" w:rsidRDefault="00D30AB3" w:rsidP="00746BFF">
      <w:pPr>
        <w:spacing w:after="0" w:line="360" w:lineRule="auto"/>
        <w:rPr>
          <w:rFonts w:ascii="Times New Roman" w:hAnsi="Times New Roman" w:cs="Times New Roman"/>
          <w:sz w:val="24"/>
          <w:szCs w:val="24"/>
        </w:rPr>
      </w:pPr>
      <w:r w:rsidRPr="00A37B71">
        <w:rPr>
          <w:rFonts w:ascii="Times New Roman" w:hAnsi="Times New Roman" w:cs="Times New Roman"/>
          <w:sz w:val="24"/>
          <w:szCs w:val="24"/>
        </w:rPr>
        <w:t>A final observation i</w:t>
      </w:r>
      <w:r w:rsidR="00922618" w:rsidRPr="00A37B71">
        <w:rPr>
          <w:rFonts w:ascii="Times New Roman" w:hAnsi="Times New Roman" w:cs="Times New Roman"/>
          <w:sz w:val="24"/>
          <w:szCs w:val="24"/>
        </w:rPr>
        <w:t xml:space="preserve">s that </w:t>
      </w:r>
      <w:r w:rsidR="00554121" w:rsidRPr="00A37B71">
        <w:rPr>
          <w:rFonts w:ascii="Times New Roman" w:hAnsi="Times New Roman" w:cs="Times New Roman"/>
          <w:sz w:val="24"/>
          <w:szCs w:val="24"/>
        </w:rPr>
        <w:t xml:space="preserve">certain aspects of </w:t>
      </w:r>
      <w:r w:rsidR="00922618" w:rsidRPr="00A37B71">
        <w:rPr>
          <w:rFonts w:ascii="Times New Roman" w:hAnsi="Times New Roman" w:cs="Times New Roman"/>
          <w:sz w:val="24"/>
          <w:szCs w:val="24"/>
        </w:rPr>
        <w:t>cases</w:t>
      </w:r>
      <w:r w:rsidR="00D62F50" w:rsidRPr="00A37B71">
        <w:rPr>
          <w:rFonts w:ascii="Times New Roman" w:hAnsi="Times New Roman" w:cs="Times New Roman"/>
          <w:sz w:val="24"/>
          <w:szCs w:val="24"/>
        </w:rPr>
        <w:t>, even leading authorities,</w:t>
      </w:r>
      <w:r w:rsidR="00922618" w:rsidRPr="00A37B71">
        <w:rPr>
          <w:rFonts w:ascii="Times New Roman" w:hAnsi="Times New Roman" w:cs="Times New Roman"/>
          <w:sz w:val="24"/>
          <w:szCs w:val="24"/>
        </w:rPr>
        <w:t xml:space="preserve"> that were regarded as largely straightforward at the time </w:t>
      </w:r>
      <w:r w:rsidR="008128A3" w:rsidRPr="00A37B71">
        <w:rPr>
          <w:rFonts w:ascii="Times New Roman" w:hAnsi="Times New Roman" w:cs="Times New Roman"/>
          <w:sz w:val="24"/>
          <w:szCs w:val="24"/>
        </w:rPr>
        <w:t xml:space="preserve">at which they were decided </w:t>
      </w:r>
      <w:r w:rsidR="00922618" w:rsidRPr="00A37B71">
        <w:rPr>
          <w:rFonts w:ascii="Times New Roman" w:hAnsi="Times New Roman" w:cs="Times New Roman"/>
          <w:sz w:val="24"/>
          <w:szCs w:val="24"/>
        </w:rPr>
        <w:t>may</w:t>
      </w:r>
      <w:r w:rsidR="00BA5F88" w:rsidRPr="00A37B71">
        <w:rPr>
          <w:rFonts w:ascii="Times New Roman" w:hAnsi="Times New Roman" w:cs="Times New Roman"/>
          <w:sz w:val="24"/>
          <w:szCs w:val="24"/>
        </w:rPr>
        <w:t xml:space="preserve"> eventually </w:t>
      </w:r>
      <w:r w:rsidR="008128A3" w:rsidRPr="00A37B71">
        <w:rPr>
          <w:rFonts w:ascii="Times New Roman" w:hAnsi="Times New Roman" w:cs="Times New Roman"/>
          <w:sz w:val="24"/>
          <w:szCs w:val="24"/>
        </w:rPr>
        <w:t xml:space="preserve">come </w:t>
      </w:r>
      <w:r w:rsidR="00BA5F88" w:rsidRPr="00A37B71">
        <w:rPr>
          <w:rFonts w:ascii="Times New Roman" w:hAnsi="Times New Roman" w:cs="Times New Roman"/>
          <w:sz w:val="24"/>
          <w:szCs w:val="24"/>
        </w:rPr>
        <w:t xml:space="preserve">to be seen as </w:t>
      </w:r>
      <w:r w:rsidR="00922618" w:rsidRPr="00A37B71">
        <w:rPr>
          <w:rFonts w:ascii="Times New Roman" w:hAnsi="Times New Roman" w:cs="Times New Roman"/>
          <w:sz w:val="24"/>
          <w:szCs w:val="24"/>
        </w:rPr>
        <w:t xml:space="preserve">controversial. </w:t>
      </w:r>
      <w:r w:rsidR="008D1560" w:rsidRPr="00A37B71">
        <w:rPr>
          <w:rFonts w:ascii="Times New Roman" w:hAnsi="Times New Roman" w:cs="Times New Roman"/>
          <w:sz w:val="24"/>
          <w:szCs w:val="24"/>
        </w:rPr>
        <w:t>This may</w:t>
      </w:r>
      <w:r w:rsidR="00D1188F" w:rsidRPr="00A37B71">
        <w:rPr>
          <w:rFonts w:ascii="Times New Roman" w:hAnsi="Times New Roman" w:cs="Times New Roman"/>
          <w:sz w:val="24"/>
          <w:szCs w:val="24"/>
        </w:rPr>
        <w:t xml:space="preserve"> occur when </w:t>
      </w:r>
      <w:r w:rsidR="00B32D58">
        <w:rPr>
          <w:rFonts w:ascii="Times New Roman" w:hAnsi="Times New Roman" w:cs="Times New Roman"/>
          <w:sz w:val="24"/>
          <w:szCs w:val="24"/>
        </w:rPr>
        <w:t xml:space="preserve">the </w:t>
      </w:r>
      <w:r w:rsidR="00D1188F" w:rsidRPr="00A37B71">
        <w:rPr>
          <w:rFonts w:ascii="Times New Roman" w:hAnsi="Times New Roman" w:cs="Times New Roman"/>
          <w:sz w:val="24"/>
          <w:szCs w:val="24"/>
        </w:rPr>
        <w:t xml:space="preserve">full </w:t>
      </w:r>
      <w:r w:rsidR="008D1560" w:rsidRPr="00A37B71">
        <w:rPr>
          <w:rFonts w:ascii="Times New Roman" w:hAnsi="Times New Roman" w:cs="Times New Roman"/>
          <w:sz w:val="24"/>
          <w:szCs w:val="24"/>
        </w:rPr>
        <w:t xml:space="preserve">facts are not </w:t>
      </w:r>
      <w:r w:rsidR="00D1188F" w:rsidRPr="00A37B71">
        <w:rPr>
          <w:rFonts w:ascii="Times New Roman" w:hAnsi="Times New Roman" w:cs="Times New Roman"/>
          <w:sz w:val="24"/>
          <w:szCs w:val="24"/>
        </w:rPr>
        <w:t>easy to ascertain</w:t>
      </w:r>
      <w:r w:rsidR="008D1560" w:rsidRPr="00A37B71">
        <w:rPr>
          <w:rFonts w:ascii="Times New Roman" w:hAnsi="Times New Roman" w:cs="Times New Roman"/>
          <w:sz w:val="24"/>
          <w:szCs w:val="24"/>
        </w:rPr>
        <w:t xml:space="preserve">, leaving </w:t>
      </w:r>
      <w:r w:rsidR="00A37B71">
        <w:rPr>
          <w:rFonts w:ascii="Times New Roman" w:hAnsi="Times New Roman" w:cs="Times New Roman"/>
          <w:sz w:val="24"/>
          <w:szCs w:val="24"/>
        </w:rPr>
        <w:t>aspects</w:t>
      </w:r>
      <w:r w:rsidR="008D1560" w:rsidRPr="00A37B71">
        <w:rPr>
          <w:rFonts w:ascii="Times New Roman" w:hAnsi="Times New Roman" w:cs="Times New Roman"/>
          <w:sz w:val="24"/>
          <w:szCs w:val="24"/>
        </w:rPr>
        <w:t xml:space="preserve"> of the judgme</w:t>
      </w:r>
      <w:r w:rsidR="00D1188F" w:rsidRPr="00A37B71">
        <w:rPr>
          <w:rFonts w:ascii="Times New Roman" w:hAnsi="Times New Roman" w:cs="Times New Roman"/>
          <w:sz w:val="24"/>
          <w:szCs w:val="24"/>
        </w:rPr>
        <w:t xml:space="preserve">nt open to misinterpretation. </w:t>
      </w:r>
      <w:r w:rsidR="00554121" w:rsidRPr="00A37B71">
        <w:rPr>
          <w:rFonts w:ascii="Times New Roman" w:hAnsi="Times New Roman" w:cs="Times New Roman"/>
          <w:sz w:val="24"/>
          <w:szCs w:val="24"/>
        </w:rPr>
        <w:t>Furthermore</w:t>
      </w:r>
      <w:r w:rsidR="00D1188F" w:rsidRPr="00A37B71">
        <w:rPr>
          <w:rFonts w:ascii="Times New Roman" w:hAnsi="Times New Roman" w:cs="Times New Roman"/>
          <w:sz w:val="24"/>
          <w:szCs w:val="24"/>
        </w:rPr>
        <w:t>, the evolution of</w:t>
      </w:r>
      <w:r w:rsidR="008D1560" w:rsidRPr="00A37B71">
        <w:rPr>
          <w:rFonts w:ascii="Times New Roman" w:hAnsi="Times New Roman" w:cs="Times New Roman"/>
          <w:sz w:val="24"/>
          <w:szCs w:val="24"/>
        </w:rPr>
        <w:t xml:space="preserve"> legal </w:t>
      </w:r>
      <w:r w:rsidR="00284C3C" w:rsidRPr="00A37B71">
        <w:rPr>
          <w:rFonts w:ascii="Times New Roman" w:hAnsi="Times New Roman" w:cs="Times New Roman"/>
          <w:sz w:val="24"/>
          <w:szCs w:val="24"/>
        </w:rPr>
        <w:t xml:space="preserve">doctrines and </w:t>
      </w:r>
      <w:r w:rsidR="008D1560" w:rsidRPr="00A37B71">
        <w:rPr>
          <w:rFonts w:ascii="Times New Roman" w:hAnsi="Times New Roman" w:cs="Times New Roman"/>
          <w:sz w:val="24"/>
          <w:szCs w:val="24"/>
        </w:rPr>
        <w:t xml:space="preserve">terminology </w:t>
      </w:r>
      <w:r w:rsidR="00D1188F" w:rsidRPr="00A37B71">
        <w:rPr>
          <w:rFonts w:ascii="Times New Roman" w:hAnsi="Times New Roman" w:cs="Times New Roman"/>
          <w:sz w:val="24"/>
          <w:szCs w:val="24"/>
        </w:rPr>
        <w:t xml:space="preserve">may cause </w:t>
      </w:r>
      <w:r w:rsidR="00284C3C" w:rsidRPr="00A37B71">
        <w:rPr>
          <w:rFonts w:ascii="Times New Roman" w:hAnsi="Times New Roman" w:cs="Times New Roman"/>
          <w:sz w:val="24"/>
          <w:szCs w:val="24"/>
        </w:rPr>
        <w:t xml:space="preserve">judicial statements to be construed </w:t>
      </w:r>
      <w:r w:rsidR="00D1188F" w:rsidRPr="00A37B71">
        <w:rPr>
          <w:rFonts w:ascii="Times New Roman" w:hAnsi="Times New Roman" w:cs="Times New Roman"/>
          <w:sz w:val="24"/>
          <w:szCs w:val="24"/>
        </w:rPr>
        <w:t xml:space="preserve">by modern authorities </w:t>
      </w:r>
      <w:r w:rsidR="00284C3C" w:rsidRPr="00A37B71">
        <w:rPr>
          <w:rFonts w:ascii="Times New Roman" w:hAnsi="Times New Roman" w:cs="Times New Roman"/>
          <w:sz w:val="24"/>
          <w:szCs w:val="24"/>
        </w:rPr>
        <w:t>in a manner other than that which was originally intended.</w:t>
      </w:r>
      <w:r w:rsidR="007E6F3B" w:rsidRPr="00A37B71">
        <w:rPr>
          <w:rFonts w:ascii="Times New Roman" w:hAnsi="Times New Roman" w:cs="Times New Roman"/>
          <w:sz w:val="24"/>
          <w:szCs w:val="24"/>
        </w:rPr>
        <w:t xml:space="preserve"> It is hoped</w:t>
      </w:r>
      <w:r w:rsidR="00D62F50" w:rsidRPr="00A37B71">
        <w:rPr>
          <w:rFonts w:ascii="Times New Roman" w:hAnsi="Times New Roman" w:cs="Times New Roman"/>
          <w:sz w:val="24"/>
          <w:szCs w:val="24"/>
        </w:rPr>
        <w:t xml:space="preserve"> that this paper has demonstrated h</w:t>
      </w:r>
      <w:r w:rsidR="007E6F3B" w:rsidRPr="00A37B71">
        <w:rPr>
          <w:rFonts w:ascii="Times New Roman" w:hAnsi="Times New Roman" w:cs="Times New Roman"/>
          <w:sz w:val="24"/>
          <w:szCs w:val="24"/>
        </w:rPr>
        <w:t xml:space="preserve">ow seeking to understand cases </w:t>
      </w:r>
      <w:r w:rsidRPr="00A37B71">
        <w:rPr>
          <w:rFonts w:ascii="Times New Roman" w:hAnsi="Times New Roman" w:cs="Times New Roman"/>
          <w:sz w:val="24"/>
          <w:szCs w:val="24"/>
        </w:rPr>
        <w:t>in their origi</w:t>
      </w:r>
      <w:r w:rsidR="007E6F3B" w:rsidRPr="00A37B71">
        <w:rPr>
          <w:rFonts w:ascii="Times New Roman" w:hAnsi="Times New Roman" w:cs="Times New Roman"/>
          <w:sz w:val="24"/>
          <w:szCs w:val="24"/>
        </w:rPr>
        <w:t>nal cont</w:t>
      </w:r>
      <w:r w:rsidR="00CA6E42" w:rsidRPr="00A37B71">
        <w:rPr>
          <w:rFonts w:ascii="Times New Roman" w:hAnsi="Times New Roman" w:cs="Times New Roman"/>
          <w:sz w:val="24"/>
          <w:szCs w:val="24"/>
        </w:rPr>
        <w:t>ext</w:t>
      </w:r>
      <w:r w:rsidR="00D62F50" w:rsidRPr="00A37B71">
        <w:rPr>
          <w:rFonts w:ascii="Times New Roman" w:hAnsi="Times New Roman" w:cs="Times New Roman"/>
          <w:sz w:val="24"/>
          <w:szCs w:val="24"/>
        </w:rPr>
        <w:t xml:space="preserve"> can serve to </w:t>
      </w:r>
      <w:r w:rsidR="007B362D" w:rsidRPr="00A37B71">
        <w:rPr>
          <w:rFonts w:ascii="Times New Roman" w:hAnsi="Times New Roman" w:cs="Times New Roman"/>
          <w:sz w:val="24"/>
          <w:szCs w:val="24"/>
        </w:rPr>
        <w:t>heighten appreciation</w:t>
      </w:r>
      <w:r w:rsidR="008D1560" w:rsidRPr="00A37B71">
        <w:rPr>
          <w:rFonts w:ascii="Times New Roman" w:hAnsi="Times New Roman" w:cs="Times New Roman"/>
          <w:sz w:val="24"/>
          <w:szCs w:val="24"/>
        </w:rPr>
        <w:t xml:space="preserve"> of the hi</w:t>
      </w:r>
      <w:r w:rsidR="00D1188F" w:rsidRPr="00A37B71">
        <w:rPr>
          <w:rFonts w:ascii="Times New Roman" w:hAnsi="Times New Roman" w:cs="Times New Roman"/>
          <w:sz w:val="24"/>
          <w:szCs w:val="24"/>
        </w:rPr>
        <w:t xml:space="preserve">story and development of </w:t>
      </w:r>
      <w:r w:rsidR="004F0152" w:rsidRPr="00A37B71">
        <w:rPr>
          <w:rFonts w:ascii="Times New Roman" w:hAnsi="Times New Roman" w:cs="Times New Roman"/>
          <w:sz w:val="24"/>
          <w:szCs w:val="24"/>
        </w:rPr>
        <w:t>important legal principles</w:t>
      </w:r>
      <w:r w:rsidR="008D1560" w:rsidRPr="00A37B71">
        <w:rPr>
          <w:rFonts w:ascii="Times New Roman" w:hAnsi="Times New Roman" w:cs="Times New Roman"/>
          <w:sz w:val="24"/>
          <w:szCs w:val="24"/>
        </w:rPr>
        <w:t>.</w:t>
      </w:r>
    </w:p>
    <w:p w:rsidR="007E6F3B" w:rsidRPr="00A37B71" w:rsidRDefault="007E6F3B" w:rsidP="00746BFF">
      <w:pPr>
        <w:spacing w:after="0" w:line="360" w:lineRule="auto"/>
        <w:rPr>
          <w:rFonts w:ascii="Times New Roman" w:hAnsi="Times New Roman" w:cs="Times New Roman"/>
          <w:sz w:val="24"/>
          <w:szCs w:val="24"/>
        </w:rPr>
      </w:pPr>
    </w:p>
    <w:sectPr w:rsidR="007E6F3B" w:rsidRPr="00A37B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026F0C" w:rsidRDefault="00026F0C">
      <w:pPr>
        <w:pStyle w:val="CommentText"/>
      </w:pPr>
      <w:r>
        <w:rPr>
          <w:rStyle w:val="CommentReference"/>
        </w:rPr>
        <w:annotationRef/>
      </w:r>
      <w:r>
        <w:t>I presume this is how the sum is notated in the document in question, but just want to check the full stop is not  a misprint?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0C" w:rsidRDefault="00026F0C" w:rsidP="00156B83">
      <w:pPr>
        <w:spacing w:after="0" w:line="240" w:lineRule="auto"/>
      </w:pPr>
      <w:r>
        <w:separator/>
      </w:r>
    </w:p>
  </w:endnote>
  <w:endnote w:type="continuationSeparator" w:id="0">
    <w:p w:rsidR="00026F0C" w:rsidRDefault="00026F0C" w:rsidP="0015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0C" w:rsidRDefault="00026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13269"/>
      <w:docPartObj>
        <w:docPartGallery w:val="Page Numbers (Bottom of Page)"/>
        <w:docPartUnique/>
      </w:docPartObj>
    </w:sdtPr>
    <w:sdtEndPr>
      <w:rPr>
        <w:noProof/>
      </w:rPr>
    </w:sdtEndPr>
    <w:sdtContent>
      <w:p w:rsidR="00026F0C" w:rsidRDefault="00026F0C">
        <w:pPr>
          <w:pStyle w:val="Footer"/>
        </w:pPr>
        <w:r>
          <w:fldChar w:fldCharType="begin"/>
        </w:r>
        <w:r>
          <w:instrText xml:space="preserve"> PAGE   \* MERGEFORMAT </w:instrText>
        </w:r>
        <w:r>
          <w:fldChar w:fldCharType="separate"/>
        </w:r>
        <w:r w:rsidR="00496040">
          <w:rPr>
            <w:noProof/>
          </w:rPr>
          <w:t>3</w:t>
        </w:r>
        <w:r>
          <w:rPr>
            <w:noProof/>
          </w:rPr>
          <w:fldChar w:fldCharType="end"/>
        </w:r>
      </w:p>
    </w:sdtContent>
  </w:sdt>
  <w:p w:rsidR="00026F0C" w:rsidRDefault="0002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0C" w:rsidRDefault="00026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0C" w:rsidRDefault="00026F0C" w:rsidP="00156B83">
      <w:pPr>
        <w:spacing w:after="0" w:line="240" w:lineRule="auto"/>
      </w:pPr>
      <w:r>
        <w:separator/>
      </w:r>
    </w:p>
  </w:footnote>
  <w:footnote w:type="continuationSeparator" w:id="0">
    <w:p w:rsidR="00026F0C" w:rsidRDefault="00026F0C" w:rsidP="00156B83">
      <w:pPr>
        <w:spacing w:after="0" w:line="240" w:lineRule="auto"/>
      </w:pPr>
      <w:r>
        <w:continuationSeparator/>
      </w:r>
    </w:p>
  </w:footnote>
  <w:footnote w:id="1">
    <w:p w:rsidR="00026F0C" w:rsidRDefault="00026F0C" w:rsidP="00CD6159">
      <w:pPr>
        <w:pStyle w:val="FootnoteText"/>
        <w:jc w:val="both"/>
      </w:pPr>
      <w:r>
        <w:rPr>
          <w:rStyle w:val="FootnoteReference"/>
        </w:rPr>
        <w:footnoteRef/>
      </w:r>
      <w:r>
        <w:t xml:space="preserve"> </w:t>
      </w:r>
      <w:r w:rsidRPr="00EA4B80">
        <w:rPr>
          <w:rFonts w:cs="Times New Roman"/>
        </w:rPr>
        <w:t>[1897] 1 Ch. 196.</w:t>
      </w:r>
    </w:p>
  </w:footnote>
  <w:footnote w:id="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William Woodruff, </w:t>
      </w:r>
      <w:r w:rsidRPr="00EA4B80">
        <w:rPr>
          <w:rFonts w:cs="Times New Roman"/>
          <w:i/>
        </w:rPr>
        <w:t xml:space="preserve">Impact of Western Man, </w:t>
      </w:r>
      <w:r w:rsidRPr="00EA4B80">
        <w:rPr>
          <w:rFonts w:cs="Times New Roman"/>
        </w:rPr>
        <w:t>London, 1966, 267, describes Ceylon, along with India, a</w:t>
      </w:r>
      <w:r>
        <w:rPr>
          <w:rFonts w:cs="Times New Roman"/>
        </w:rPr>
        <w:t>s the world’s ‘greatest exporter</w:t>
      </w:r>
      <w:r w:rsidRPr="00EA4B80">
        <w:rPr>
          <w:rFonts w:cs="Times New Roman"/>
        </w:rPr>
        <w:t>’ of tea. At 296, it is stated that by 1960, 85% of the value of Ceylon’s ‘export earnings’ were provided through tea.</w:t>
      </w:r>
    </w:p>
  </w:footnote>
  <w:footnote w:id="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scale of the coffee export industry in Ceylon in the nineteenth </w:t>
      </w:r>
      <w:r>
        <w:rPr>
          <w:rFonts w:cs="Times New Roman"/>
        </w:rPr>
        <w:t xml:space="preserve">century </w:t>
      </w:r>
      <w:r w:rsidRPr="00EA4B80">
        <w:rPr>
          <w:rFonts w:cs="Times New Roman"/>
        </w:rPr>
        <w:t xml:space="preserve">is illustrated by the comment of James S. Duncan </w:t>
      </w:r>
      <w:r w:rsidRPr="00EA4B80">
        <w:rPr>
          <w:rFonts w:cs="Times New Roman"/>
          <w:i/>
        </w:rPr>
        <w:t xml:space="preserve">In the Shadow of the Tropics: Climate, Race and Biopower in Nineteenth Century Ceylon, </w:t>
      </w:r>
      <w:r w:rsidRPr="00EA4B80">
        <w:rPr>
          <w:rFonts w:cs="Times New Roman"/>
        </w:rPr>
        <w:t>London 2007, 175, that in 1870, Ceylon was ‘the third largest exporter of coffee in the world’.</w:t>
      </w:r>
    </w:p>
  </w:footnote>
  <w:footnote w:id="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In The Right Honourable </w:t>
      </w:r>
      <w:r>
        <w:rPr>
          <w:rFonts w:cs="Times New Roman"/>
        </w:rPr>
        <w:t xml:space="preserve">Sir </w:t>
      </w:r>
      <w:r w:rsidRPr="00EA4B80">
        <w:rPr>
          <w:rFonts w:cs="Times New Roman"/>
        </w:rPr>
        <w:t xml:space="preserve">Horace Rumbold, </w:t>
      </w:r>
      <w:r w:rsidRPr="00EA4B80">
        <w:rPr>
          <w:rFonts w:cs="Times New Roman"/>
          <w:i/>
        </w:rPr>
        <w:t xml:space="preserve">Recollections of a Diplomatist, </w:t>
      </w:r>
      <w:r>
        <w:rPr>
          <w:rFonts w:cs="Times New Roman"/>
        </w:rPr>
        <w:t>2 vols., London, 1903</w:t>
      </w:r>
      <w:r w:rsidRPr="00EA4B80">
        <w:rPr>
          <w:rFonts w:cs="Times New Roman"/>
        </w:rPr>
        <w:t>. vol.1, 42, it is explained that the Baron was Prussian, as was his title, but that he had settled in Paris in 1815. At 90-92, the Baron is described as being, by 1847, in a state of ‘ill health and infirmity’.</w:t>
      </w:r>
      <w:r>
        <w:rPr>
          <w:rFonts w:cs="Times New Roman"/>
        </w:rPr>
        <w:t xml:space="preserve"> Horace Rumbold was the Comtesse’s brother.</w:t>
      </w:r>
    </w:p>
  </w:footnote>
  <w:footnote w:id="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Baron’s Ceylon coffee estates were clearly regarded as extremely important assets. </w:t>
      </w:r>
      <w:r>
        <w:rPr>
          <w:rFonts w:cs="Times New Roman"/>
        </w:rPr>
        <w:t xml:space="preserve">In </w:t>
      </w:r>
      <w:r w:rsidRPr="00EA4B80">
        <w:rPr>
          <w:rFonts w:cs="Times New Roman"/>
        </w:rPr>
        <w:t xml:space="preserve">Benjamin Disraeli, </w:t>
      </w:r>
      <w:r w:rsidRPr="00EA4B80">
        <w:rPr>
          <w:rFonts w:cs="Times New Roman"/>
          <w:i/>
        </w:rPr>
        <w:t xml:space="preserve">Letters: 1848-1851, </w:t>
      </w:r>
      <w:r w:rsidRPr="00EA4B80">
        <w:rPr>
          <w:rFonts w:cs="Times New Roman"/>
        </w:rPr>
        <w:t>Toronto, 1993, 203-204, n. 5, it is stated that, in 1851, the Baroness de Delmar ‘referr[ed] to her husband [as] ‘the Baron de Delmar [with] large coffee estates in Ceylon’</w:t>
      </w:r>
      <w:r>
        <w:rPr>
          <w:rFonts w:cs="Times New Roman"/>
        </w:rPr>
        <w:t>.</w:t>
      </w:r>
    </w:p>
  </w:footnote>
  <w:footnote w:id="6">
    <w:p w:rsidR="00026F0C" w:rsidRPr="007D0A77"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See </w:t>
      </w:r>
      <w:r>
        <w:rPr>
          <w:rFonts w:cs="Times New Roman"/>
        </w:rPr>
        <w:t>nn. 26-52 and accompanying text, below, for details of her family background.</w:t>
      </w:r>
    </w:p>
  </w:footnote>
  <w:footnote w:id="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[1897] 1 Ch. 196.</w:t>
      </w:r>
    </w:p>
  </w:footnote>
  <w:footnote w:id="8">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For biographical information regarding Boustead, see </w:t>
      </w:r>
      <w:r w:rsidRPr="008C2ECF">
        <w:rPr>
          <w:rFonts w:cs="Times New Roman"/>
          <w:color w:val="000000" w:themeColor="text1"/>
        </w:rPr>
        <w:t xml:space="preserve">nn 107-109 and </w:t>
      </w:r>
      <w:r>
        <w:rPr>
          <w:rFonts w:cs="Times New Roman"/>
        </w:rPr>
        <w:t xml:space="preserve">accompanying text, </w:t>
      </w:r>
      <w:r w:rsidRPr="00EA4B80">
        <w:rPr>
          <w:rFonts w:cs="Times New Roman"/>
        </w:rPr>
        <w:t>below.</w:t>
      </w:r>
    </w:p>
  </w:footnote>
  <w:footnote w:id="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Ibid.,</w:t>
      </w:r>
      <w:r w:rsidRPr="00EA4B80">
        <w:rPr>
          <w:rFonts w:cs="Times New Roman"/>
          <w:i/>
        </w:rPr>
        <w:t xml:space="preserve"> </w:t>
      </w:r>
      <w:r w:rsidRPr="00EA4B80">
        <w:rPr>
          <w:rFonts w:cs="Times New Roman"/>
        </w:rPr>
        <w:t xml:space="preserve">at 206 </w:t>
      </w:r>
      <w:r w:rsidRPr="00EA4B80">
        <w:rPr>
          <w:rFonts w:cs="Times New Roman"/>
          <w:i/>
        </w:rPr>
        <w:t xml:space="preserve">per </w:t>
      </w:r>
      <w:r w:rsidRPr="00EA4B80">
        <w:rPr>
          <w:rFonts w:cs="Times New Roman"/>
        </w:rPr>
        <w:t>Lindley LJ.</w:t>
      </w:r>
    </w:p>
  </w:footnote>
  <w:footnote w:id="1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defences mentioned in the text are the ones which were afforded significant attention by the Court of Appeal. Boustead pleaded two other defences, both of which were given short shrift by Lindley LJ. His first defence, which was rejected outright, was a flat denial that he had agreed to take as a trustee. He also argued that any beneficial interest that the Comtesse may have possessed did not survive his bankruptcy. This defence was rejected on the ground that s49 of the Bankruptcy Act 1869 did not prohibit claims by beneficiaries against the bankrupt’s estate (</w:t>
      </w:r>
      <w:r w:rsidRPr="00EA4B80">
        <w:rPr>
          <w:rFonts w:cs="Times New Roman"/>
          <w:i/>
        </w:rPr>
        <w:t xml:space="preserve">Rochefoucauld v Boustead </w:t>
      </w:r>
      <w:r w:rsidRPr="00EA4B80">
        <w:rPr>
          <w:rFonts w:cs="Times New Roman"/>
        </w:rPr>
        <w:t xml:space="preserve">[1897] 1 Ch. 196 at 209, </w:t>
      </w:r>
      <w:r w:rsidRPr="00EA4B80">
        <w:rPr>
          <w:rFonts w:cs="Times New Roman"/>
          <w:i/>
        </w:rPr>
        <w:t xml:space="preserve">per </w:t>
      </w:r>
      <w:r w:rsidRPr="00EA4B80">
        <w:rPr>
          <w:rFonts w:cs="Times New Roman"/>
        </w:rPr>
        <w:t>Lindley LJ).</w:t>
      </w:r>
      <w:r>
        <w:rPr>
          <w:rFonts w:cs="Times New Roman"/>
        </w:rPr>
        <w:t xml:space="preserve"> Additionally, he</w:t>
      </w:r>
      <w:r w:rsidRPr="00EA4B80">
        <w:rPr>
          <w:rFonts w:cs="Times New Roman"/>
        </w:rPr>
        <w:t xml:space="preserve"> argued that the Statute did not apply in Ceylon, to which the Court of Appeal’s response was essentially that as the action was being brought in an English court, then the English law applied. The case therefore provides a good example of the extra-territorial effect of equity’s </w:t>
      </w:r>
      <w:r w:rsidRPr="00EA4B80">
        <w:rPr>
          <w:rFonts w:cs="Times New Roman"/>
          <w:i/>
        </w:rPr>
        <w:t xml:space="preserve">in personam </w:t>
      </w:r>
      <w:r w:rsidRPr="00EA4B80">
        <w:rPr>
          <w:rFonts w:cs="Times New Roman"/>
        </w:rPr>
        <w:t xml:space="preserve">jurisdiction. See </w:t>
      </w:r>
      <w:r w:rsidRPr="00EA4B80">
        <w:rPr>
          <w:rFonts w:cs="Times New Roman"/>
          <w:i/>
        </w:rPr>
        <w:t xml:space="preserve">Rochefocuauld v Boustead </w:t>
      </w:r>
      <w:r w:rsidRPr="00EA4B80">
        <w:rPr>
          <w:rFonts w:cs="Times New Roman"/>
        </w:rPr>
        <w:t xml:space="preserve">[1897] 1 Ch. 196 at 206 </w:t>
      </w:r>
      <w:r w:rsidRPr="00EA4B80">
        <w:rPr>
          <w:rFonts w:cs="Times New Roman"/>
          <w:i/>
        </w:rPr>
        <w:t xml:space="preserve">per </w:t>
      </w:r>
      <w:r w:rsidRPr="00EA4B80">
        <w:rPr>
          <w:rFonts w:cs="Times New Roman"/>
        </w:rPr>
        <w:t>Lindley LJ.</w:t>
      </w:r>
    </w:p>
  </w:footnote>
  <w:footnote w:id="1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position with regard to the applicability of the statutory limitation period to be applied in actions against trustees was extremely complicated. See </w:t>
      </w:r>
      <w:r>
        <w:rPr>
          <w:rFonts w:cs="Times New Roman"/>
          <w:color w:val="000000" w:themeColor="text1"/>
        </w:rPr>
        <w:t>nn.219-221</w:t>
      </w:r>
      <w:r w:rsidRPr="008F3634">
        <w:rPr>
          <w:rFonts w:cs="Times New Roman"/>
          <w:color w:val="000000" w:themeColor="text1"/>
        </w:rPr>
        <w:t xml:space="preserve"> and </w:t>
      </w:r>
      <w:r w:rsidRPr="00EA4B80">
        <w:rPr>
          <w:rFonts w:cs="Times New Roman"/>
        </w:rPr>
        <w:t>accompanying text, below, for details.</w:t>
      </w:r>
    </w:p>
  </w:footnote>
  <w:footnote w:id="1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doctrine based on the maxim that delay defeats equity.</w:t>
      </w:r>
    </w:p>
  </w:footnote>
  <w:footnote w:id="1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 xml:space="preserve">[1897] 1 Ch. 196 at 208-209 </w:t>
      </w:r>
      <w:r w:rsidRPr="00EA4B80">
        <w:rPr>
          <w:rFonts w:cs="Times New Roman"/>
          <w:i/>
        </w:rPr>
        <w:t xml:space="preserve">per </w:t>
      </w:r>
      <w:r w:rsidRPr="00EA4B80">
        <w:rPr>
          <w:rFonts w:cs="Times New Roman"/>
        </w:rPr>
        <w:t>Lindley LJ.</w:t>
      </w:r>
    </w:p>
  </w:footnote>
  <w:footnote w:id="1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rPr>
        <w:t xml:space="preserve">at 211 </w:t>
      </w:r>
      <w:r w:rsidRPr="00EA4B80">
        <w:rPr>
          <w:rFonts w:cs="Times New Roman"/>
          <w:i/>
        </w:rPr>
        <w:t xml:space="preserve">per </w:t>
      </w:r>
      <w:r w:rsidRPr="00EA4B80">
        <w:rPr>
          <w:rFonts w:cs="Times New Roman"/>
        </w:rPr>
        <w:t>Lindley LJ.</w:t>
      </w:r>
    </w:p>
  </w:footnote>
  <w:footnote w:id="1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Prior to its acquisition by the British, in 1796, Ceylon had been a Dutch territory for over 100 years, and had been subject to Dutch law. (R. W. Lee, ‘The Fate of the Roman-Dutch Law in the British Colonies' 7 </w:t>
      </w:r>
      <w:r w:rsidRPr="00EA4B80">
        <w:rPr>
          <w:rFonts w:cs="Times New Roman"/>
          <w:i/>
        </w:rPr>
        <w:t xml:space="preserve">Journal of the Society of Comparative Legislation </w:t>
      </w:r>
      <w:r>
        <w:rPr>
          <w:rFonts w:cs="Times New Roman"/>
        </w:rPr>
        <w:t xml:space="preserve">(1906), 357, </w:t>
      </w:r>
      <w:r w:rsidRPr="00EA4B80">
        <w:rPr>
          <w:rFonts w:cs="Times New Roman"/>
        </w:rPr>
        <w:t xml:space="preserve">359). </w:t>
      </w:r>
      <w:r w:rsidRPr="00EA4B80">
        <w:rPr>
          <w:rFonts w:cs="Times New Roman"/>
          <w:bCs/>
        </w:rPr>
        <w:t>When Ceylon was set up as a Crown Colony in 1799, it was ‘declared by proclamation that the administration of justice… should henceforth… be exercised… according to the laws and institutions that subsisted under the ancient government of the United Provinces [of the Netherlands]’.</w:t>
      </w:r>
      <w:r w:rsidRPr="00EA4B80">
        <w:rPr>
          <w:rFonts w:cs="Times New Roman"/>
        </w:rPr>
        <w:t xml:space="preserve"> (Lee, </w:t>
      </w:r>
      <w:r>
        <w:rPr>
          <w:rFonts w:cs="Times New Roman"/>
        </w:rPr>
        <w:t xml:space="preserve">‘The Fate of </w:t>
      </w:r>
      <w:r w:rsidRPr="00EA4B80">
        <w:rPr>
          <w:rFonts w:cs="Times New Roman"/>
        </w:rPr>
        <w:t>Roman-Dutch Law</w:t>
      </w:r>
      <w:r>
        <w:rPr>
          <w:rFonts w:cs="Times New Roman"/>
        </w:rPr>
        <w:t>’</w:t>
      </w:r>
      <w:r w:rsidRPr="00EA4B80">
        <w:rPr>
          <w:rFonts w:cs="Times New Roman"/>
        </w:rPr>
        <w:t>, 358)</w:t>
      </w:r>
      <w:r>
        <w:rPr>
          <w:rFonts w:cs="Times New Roman"/>
        </w:rPr>
        <w:t>. This Dutch law,</w:t>
      </w:r>
      <w:r w:rsidRPr="00EA4B80">
        <w:rPr>
          <w:rFonts w:cs="Times New Roman"/>
        </w:rPr>
        <w:t xml:space="preserve"> </w:t>
      </w:r>
      <w:r w:rsidRPr="00EA4B80">
        <w:rPr>
          <w:rFonts w:cs="Times New Roman"/>
          <w:bCs/>
        </w:rPr>
        <w:t>which was based on Roman law, ceased to operate in Holland in 1810, when a ‘code of the usual Continental type’ (James Williams, ‘</w:t>
      </w:r>
      <w:r w:rsidRPr="00EA4B80">
        <w:rPr>
          <w:rFonts w:cs="Times New Roman"/>
        </w:rPr>
        <w:t xml:space="preserve">Roman-Dutch Law’, 19 Yale Law Review (1909-10), 156, at 156) </w:t>
      </w:r>
      <w:r w:rsidRPr="00EA4B80">
        <w:rPr>
          <w:rFonts w:cs="Times New Roman"/>
          <w:bCs/>
        </w:rPr>
        <w:t>was adopted.</w:t>
      </w:r>
    </w:p>
  </w:footnote>
  <w:footnote w:id="16">
    <w:p w:rsidR="00026F0C" w:rsidRPr="00430435" w:rsidRDefault="00026F0C" w:rsidP="00CD6159">
      <w:pPr>
        <w:pStyle w:val="FootnoteText"/>
        <w:jc w:val="both"/>
        <w:rPr>
          <w:rFonts w:cs="Times New Roman"/>
          <w:color w:val="000000" w:themeColor="text1"/>
        </w:rPr>
      </w:pPr>
      <w:r w:rsidRPr="00430435">
        <w:rPr>
          <w:rStyle w:val="FootnoteReference"/>
          <w:rFonts w:cs="Times New Roman"/>
          <w:color w:val="000000" w:themeColor="text1"/>
        </w:rPr>
        <w:footnoteRef/>
      </w:r>
      <w:r w:rsidRPr="00430435">
        <w:rPr>
          <w:rFonts w:cs="Times New Roman"/>
          <w:color w:val="000000" w:themeColor="text1"/>
        </w:rPr>
        <w:t xml:space="preserve"> See n. 56 and accompanying text, below.</w:t>
      </w:r>
    </w:p>
  </w:footnote>
  <w:footnote w:id="17">
    <w:p w:rsidR="00026F0C" w:rsidRPr="00EA4B80" w:rsidRDefault="00026F0C" w:rsidP="00CD6159">
      <w:pPr>
        <w:pStyle w:val="FootnoteText"/>
        <w:ind w:left="0" w:firstLine="0"/>
        <w:jc w:val="both"/>
        <w:rPr>
          <w:rFonts w:cs="Times New Roman"/>
        </w:rPr>
      </w:pPr>
      <w:r w:rsidRPr="00430435">
        <w:rPr>
          <w:rStyle w:val="FootnoteReference"/>
          <w:rFonts w:cs="Times New Roman"/>
          <w:color w:val="000000" w:themeColor="text1"/>
        </w:rPr>
        <w:footnoteRef/>
      </w:r>
      <w:r w:rsidRPr="00430435">
        <w:rPr>
          <w:rFonts w:cs="Times New Roman"/>
          <w:color w:val="000000" w:themeColor="text1"/>
        </w:rPr>
        <w:t xml:space="preserve"> </w:t>
      </w:r>
      <w:r w:rsidRPr="00430435">
        <w:rPr>
          <w:rFonts w:cs="Times New Roman"/>
          <w:bCs/>
          <w:color w:val="000000" w:themeColor="text1"/>
          <w:kern w:val="0"/>
        </w:rPr>
        <w:t xml:space="preserve">The conveyance has been described as amounting essentially to an assignment from the Comtesse to Boustead subject to the parol trust in her favour (see </w:t>
      </w:r>
      <w:r w:rsidRPr="00430435">
        <w:rPr>
          <w:color w:val="000000" w:themeColor="text1"/>
        </w:rPr>
        <w:t xml:space="preserve">Philip H. Pettit, </w:t>
      </w:r>
      <w:r w:rsidRPr="00430435">
        <w:rPr>
          <w:i/>
          <w:color w:val="000000" w:themeColor="text1"/>
        </w:rPr>
        <w:t xml:space="preserve">Equity &amp; The law of Trusts, </w:t>
      </w:r>
      <w:r w:rsidRPr="00430435">
        <w:rPr>
          <w:color w:val="000000" w:themeColor="text1"/>
        </w:rPr>
        <w:t>10</w:t>
      </w:r>
      <w:r w:rsidRPr="00430435">
        <w:rPr>
          <w:color w:val="000000" w:themeColor="text1"/>
          <w:vertAlign w:val="superscript"/>
        </w:rPr>
        <w:t>th</w:t>
      </w:r>
      <w:r w:rsidRPr="00430435">
        <w:rPr>
          <w:color w:val="000000" w:themeColor="text1"/>
        </w:rPr>
        <w:t xml:space="preserve"> ed., Oxford, 2006, 96; </w:t>
      </w:r>
      <w:r w:rsidRPr="00E8552D">
        <w:t xml:space="preserve">J.D. Feltham, ‘Informal Trusts and Third Parties’, [1987] </w:t>
      </w:r>
      <w:r w:rsidRPr="00E8552D">
        <w:rPr>
          <w:i/>
        </w:rPr>
        <w:t xml:space="preserve">Conveyancer and Property Lawyer </w:t>
      </w:r>
      <w:r w:rsidRPr="00E8552D">
        <w:t>246, at</w:t>
      </w:r>
      <w:r w:rsidRPr="00E8552D">
        <w:rPr>
          <w:i/>
        </w:rPr>
        <w:t xml:space="preserve"> </w:t>
      </w:r>
      <w:r w:rsidRPr="00E8552D">
        <w:t>247</w:t>
      </w:r>
      <w:r>
        <w:t xml:space="preserve">), and as </w:t>
      </w:r>
      <w:r>
        <w:rPr>
          <w:rFonts w:cs="Times New Roman"/>
          <w:bCs/>
          <w:kern w:val="0"/>
        </w:rPr>
        <w:t xml:space="preserve">an assignment executed by the mortgagee in reliance on the parol agreement between the Comtesse and Boustead (see </w:t>
      </w:r>
      <w:r w:rsidRPr="00F56F53">
        <w:t xml:space="preserve">Simon Gardner ‘Reliance-Based Constructive Trusts’ in Charles Mitchell, ed. </w:t>
      </w:r>
      <w:r w:rsidRPr="00F56F53">
        <w:rPr>
          <w:i/>
        </w:rPr>
        <w:t>Constructive and Resulting Trusts</w:t>
      </w:r>
      <w:r w:rsidRPr="00F56F53">
        <w:t xml:space="preserve">, Oxford, 2009, at 68; </w:t>
      </w:r>
      <w:r w:rsidRPr="00F56F53">
        <w:rPr>
          <w:rFonts w:cs="Times New Roman"/>
        </w:rPr>
        <w:t xml:space="preserve">McFarlane, ‘Receipt of Property </w:t>
      </w:r>
      <w:r w:rsidRPr="00F56F53">
        <w:rPr>
          <w:rFonts w:cs="Times New Roman"/>
          <w:i/>
        </w:rPr>
        <w:t>sub Conditione</w:t>
      </w:r>
      <w:r w:rsidRPr="00F56F53">
        <w:rPr>
          <w:rFonts w:cs="Times New Roman"/>
        </w:rPr>
        <w:t>’, 674-675</w:t>
      </w:r>
      <w:r>
        <w:rPr>
          <w:rFonts w:cs="Times New Roman"/>
        </w:rPr>
        <w:t xml:space="preserve">. It has also been described as </w:t>
      </w:r>
      <w:r>
        <w:rPr>
          <w:rFonts w:cs="Times New Roman"/>
          <w:bCs/>
          <w:kern w:val="0"/>
        </w:rPr>
        <w:t xml:space="preserve">an assignment to Boustead subject to, but executed by the mortgagee independently of, the parol agreement (see </w:t>
      </w:r>
      <w:r w:rsidRPr="00F56F53">
        <w:t xml:space="preserve">T.G. Youdan, ‘Formalities for Trusts of Land, and the Doctrine in </w:t>
      </w:r>
      <w:r>
        <w:rPr>
          <w:i/>
        </w:rPr>
        <w:t>Rochefoucauld v Bous</w:t>
      </w:r>
      <w:r w:rsidRPr="00F56F53">
        <w:rPr>
          <w:i/>
        </w:rPr>
        <w:t>tead</w:t>
      </w:r>
      <w:r w:rsidRPr="00F56F53">
        <w:t xml:space="preserve">’, </w:t>
      </w:r>
      <w:r>
        <w:rPr>
          <w:rFonts w:cs="Times New Roman"/>
        </w:rPr>
        <w:t xml:space="preserve">(1984) </w:t>
      </w:r>
      <w:r w:rsidRPr="00F56F53">
        <w:t xml:space="preserve">43 </w:t>
      </w:r>
      <w:r w:rsidRPr="00F56F53">
        <w:rPr>
          <w:i/>
        </w:rPr>
        <w:t xml:space="preserve">Cambridge Law Review </w:t>
      </w:r>
      <w:r w:rsidRPr="00F56F53">
        <w:t>306, at 328-329</w:t>
      </w:r>
      <w:r>
        <w:t xml:space="preserve">). The author of this article has explained the transaction on the basis that the agents of the mortgagee conveyed the Estates to the mortgagees by invoking an irrevocable power of attorney which had been granted by the Comtesse as part of the security, and that the mortgagees then sold the Estates to Boustead in the manner described by Youdan (see Gregory </w:t>
      </w:r>
      <w:bookmarkStart w:id="0" w:name="_GoBack"/>
      <w:r>
        <w:t>Allan</w:t>
      </w:r>
      <w:bookmarkEnd w:id="0"/>
      <w:r>
        <w:t>, ‘</w:t>
      </w:r>
      <w:r w:rsidRPr="007D060F">
        <w:t>Once a fraud, forever a fraud: the time-honoured doctrine of parol agreement trusts’,</w:t>
      </w:r>
      <w:r>
        <w:t xml:space="preserve"> (2014) 34 </w:t>
      </w:r>
      <w:r>
        <w:rPr>
          <w:i/>
        </w:rPr>
        <w:t xml:space="preserve">Legal Studies </w:t>
      </w:r>
      <w:r>
        <w:t>419, at 425, n. 44).</w:t>
      </w:r>
    </w:p>
  </w:footnote>
  <w:footnote w:id="1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In particular, the following reports were utilised, as they contained certain details not recorded in the ICL</w:t>
      </w:r>
      <w:r>
        <w:rPr>
          <w:rFonts w:cs="Times New Roman"/>
        </w:rPr>
        <w:t>R</w:t>
      </w:r>
      <w:r w:rsidRPr="00EA4B80">
        <w:rPr>
          <w:rFonts w:cs="Times New Roman"/>
        </w:rPr>
        <w:t xml:space="preserve"> report: </w:t>
      </w:r>
      <w:r w:rsidRPr="00EA4B80">
        <w:rPr>
          <w:rFonts w:cs="Times New Roman"/>
          <w:i/>
        </w:rPr>
        <w:t xml:space="preserve">Rochefoucauld v Boustead </w:t>
      </w:r>
      <w:r w:rsidRPr="00EA4B80">
        <w:rPr>
          <w:rFonts w:cs="Times New Roman"/>
        </w:rPr>
        <w:t xml:space="preserve">(1896) 65 L.J. Ch. 794; (1896) 74 L.T. 783; [1896] All. E.R. Rep. Ext. 1911; (1896) 66 L.J. Ch. 74. The first two of these are reports of the first instance judgment of Kekewich J. </w:t>
      </w:r>
      <w:r>
        <w:rPr>
          <w:rFonts w:cs="Times New Roman"/>
        </w:rPr>
        <w:t xml:space="preserve">Also, </w:t>
      </w:r>
      <w:r w:rsidRPr="00EA4B80">
        <w:rPr>
          <w:rFonts w:cs="Times New Roman"/>
          <w:i/>
        </w:rPr>
        <w:t>De La Rochefoucauld v Boustead, The Times</w:t>
      </w:r>
      <w:r w:rsidRPr="00EA4B80">
        <w:rPr>
          <w:rFonts w:cs="Times New Roman"/>
        </w:rPr>
        <w:t xml:space="preserve"> , 24 June 1896, 17 col.b-c</w:t>
      </w:r>
      <w:r>
        <w:rPr>
          <w:rFonts w:cs="Times New Roman"/>
        </w:rPr>
        <w:t xml:space="preserve">; </w:t>
      </w:r>
      <w:r w:rsidRPr="00EA4B80">
        <w:rPr>
          <w:rFonts w:cs="Times New Roman"/>
          <w:i/>
        </w:rPr>
        <w:t xml:space="preserve">De La Rochefoucauld v Boustead, The Standard </w:t>
      </w:r>
      <w:r w:rsidRPr="00EA4B80">
        <w:rPr>
          <w:rFonts w:cs="Times New Roman"/>
        </w:rPr>
        <w:t xml:space="preserve">, 28 April 1898, </w:t>
      </w:r>
      <w:r w:rsidRPr="00EA4B80">
        <w:rPr>
          <w:rStyle w:val="mini"/>
          <w:rFonts w:cs="Times New Roman"/>
        </w:rPr>
        <w:t>3 cols.a-b</w:t>
      </w:r>
      <w:r>
        <w:rPr>
          <w:rStyle w:val="mini"/>
          <w:rFonts w:cs="Times New Roman"/>
        </w:rPr>
        <w:t xml:space="preserve"> were used. The following reports concerning the Comtesse de la Rochefoucauld’s divorce from her first husband were also used: </w:t>
      </w:r>
      <w:r w:rsidRPr="00EA4B80">
        <w:rPr>
          <w:rFonts w:cs="Times New Roman"/>
          <w:i/>
        </w:rPr>
        <w:t>Cavendish v Cavendish and Rochefoucauld, The Times</w:t>
      </w:r>
      <w:r w:rsidRPr="00EA4B80">
        <w:rPr>
          <w:rFonts w:cs="Times New Roman"/>
        </w:rPr>
        <w:t xml:space="preserve"> , 18 June 1866, 11 cols.c-d</w:t>
      </w:r>
      <w:r>
        <w:rPr>
          <w:rFonts w:cs="Times New Roman"/>
        </w:rPr>
        <w:t xml:space="preserve">; </w:t>
      </w:r>
      <w:r w:rsidRPr="00EA4B80">
        <w:rPr>
          <w:rFonts w:cs="Times New Roman"/>
          <w:i/>
        </w:rPr>
        <w:t xml:space="preserve">Cavendish v Cavendish and Rochefoucauld </w:t>
      </w:r>
      <w:r w:rsidRPr="00EA4B80">
        <w:rPr>
          <w:rFonts w:cs="Times New Roman"/>
        </w:rPr>
        <w:t>(1868) 19 T.L.R. 497</w:t>
      </w:r>
      <w:r>
        <w:rPr>
          <w:rFonts w:cs="Times New Roman"/>
        </w:rPr>
        <w:t xml:space="preserve">. Finally this report of the liquidation of John Boustead’s firm was utilised: </w:t>
      </w:r>
      <w:r w:rsidRPr="00EA4B80">
        <w:rPr>
          <w:rFonts w:cs="Times New Roman"/>
          <w:i/>
        </w:rPr>
        <w:t>In Re Price, Boustead, and Co.,</w:t>
      </w:r>
      <w:r w:rsidRPr="00EA4B80">
        <w:rPr>
          <w:rFonts w:cs="Times New Roman"/>
        </w:rPr>
        <w:t xml:space="preserve"> </w:t>
      </w:r>
      <w:r w:rsidRPr="00EA4B80">
        <w:rPr>
          <w:rFonts w:cs="Times New Roman"/>
          <w:i/>
        </w:rPr>
        <w:t>The Times</w:t>
      </w:r>
      <w:r w:rsidRPr="00EA4B80">
        <w:rPr>
          <w:rFonts w:cs="Times New Roman"/>
        </w:rPr>
        <w:t xml:space="preserve"> , 30 July 1879, 4 col.c.</w:t>
      </w:r>
    </w:p>
  </w:footnote>
  <w:footnote w:id="19">
    <w:p w:rsidR="00026F0C" w:rsidRPr="00AA5953"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Baring Archive, 60 London Wall, London, EC2M 5TQ</w:t>
      </w:r>
      <w:r>
        <w:rPr>
          <w:rFonts w:cs="Times New Roman"/>
        </w:rPr>
        <w:t xml:space="preserve"> holds many documents which are of fundamental significance to obtaining a full understanding of the facts of </w:t>
      </w:r>
      <w:r>
        <w:rPr>
          <w:rFonts w:cs="Times New Roman"/>
          <w:i/>
        </w:rPr>
        <w:t>Rochefoucauld</w:t>
      </w:r>
      <w:r w:rsidRPr="00EA4B80">
        <w:rPr>
          <w:rFonts w:cs="Times New Roman"/>
        </w:rPr>
        <w:t xml:space="preserve">. I would like to extend my gratitude to Ms Lara Webb of the Baring Archive for her unfailingly efficient, polite and helpful assistance, and for allowing me to utilise her extensive knowledge of the Archive for the benefit of my research. </w:t>
      </w:r>
      <w:r>
        <w:rPr>
          <w:rFonts w:cs="Times New Roman"/>
        </w:rPr>
        <w:t xml:space="preserve">Furthermore, Stadsarcheif Amsterdam, </w:t>
      </w:r>
      <w:r w:rsidRPr="00EA4B80">
        <w:rPr>
          <w:rFonts w:cs="Times New Roman"/>
        </w:rPr>
        <w:t>Vijz</w:t>
      </w:r>
      <w:r>
        <w:rPr>
          <w:rFonts w:cs="Times New Roman"/>
        </w:rPr>
        <w:t xml:space="preserve">elstraat 32, 1017 HL, Amsterdam holds some documents that are of critical importance in determining precisely what happened in respect of the Estates. This is because the Stadsarcheif holds the records of the </w:t>
      </w:r>
      <w:r w:rsidRPr="00EA4B80">
        <w:rPr>
          <w:rFonts w:cs="Times New Roman"/>
        </w:rPr>
        <w:t>Société Genéralé de Commerce et d’Industrie of Amsterdam</w:t>
      </w:r>
      <w:r>
        <w:rPr>
          <w:rFonts w:cs="Times New Roman"/>
        </w:rPr>
        <w:t xml:space="preserve"> (known in Dutch as </w:t>
      </w:r>
      <w:r w:rsidRPr="00EA4B80">
        <w:rPr>
          <w:rFonts w:cs="Times New Roman"/>
        </w:rPr>
        <w:t>the Algemeene Maatsch</w:t>
      </w:r>
      <w:r>
        <w:rPr>
          <w:rFonts w:cs="Times New Roman"/>
        </w:rPr>
        <w:t xml:space="preserve">appij voor Handel en Nijverheid). In 1863, Barings assigned the mortgage and debt to the </w:t>
      </w:r>
      <w:r w:rsidRPr="00EA4B80">
        <w:rPr>
          <w:rFonts w:cs="Times New Roman"/>
        </w:rPr>
        <w:t>Société</w:t>
      </w:r>
      <w:r>
        <w:rPr>
          <w:rFonts w:cs="Times New Roman"/>
        </w:rPr>
        <w:t xml:space="preserve">, and it was the </w:t>
      </w:r>
      <w:r w:rsidRPr="00EA4B80">
        <w:rPr>
          <w:rFonts w:cs="Times New Roman"/>
        </w:rPr>
        <w:t>Société</w:t>
      </w:r>
      <w:r>
        <w:rPr>
          <w:rFonts w:cs="Times New Roman"/>
        </w:rPr>
        <w:t xml:space="preserve"> which caused the Estates to be sold. For details concerning the assignment and the </w:t>
      </w:r>
      <w:r w:rsidRPr="00EA4B80">
        <w:rPr>
          <w:rFonts w:cs="Times New Roman"/>
        </w:rPr>
        <w:t>Société</w:t>
      </w:r>
      <w:r>
        <w:rPr>
          <w:rFonts w:cs="Times New Roman"/>
        </w:rPr>
        <w:t xml:space="preserve">, see nn. 72-90 and accompanying text, below. </w:t>
      </w:r>
      <w:r w:rsidRPr="00EA4B80">
        <w:rPr>
          <w:rFonts w:cs="Times New Roman"/>
        </w:rPr>
        <w:t xml:space="preserve">I would </w:t>
      </w:r>
      <w:r>
        <w:rPr>
          <w:rFonts w:cs="Times New Roman"/>
        </w:rPr>
        <w:t xml:space="preserve">also </w:t>
      </w:r>
      <w:r w:rsidRPr="00EA4B80">
        <w:rPr>
          <w:rFonts w:cs="Times New Roman"/>
        </w:rPr>
        <w:t>like to extend my gratitude to</w:t>
      </w:r>
      <w:r>
        <w:rPr>
          <w:rFonts w:cs="Times New Roman"/>
        </w:rPr>
        <w:t xml:space="preserve"> Mr Harmen Snel and Mr Goran Pravilovic, both of the Stadsarcheif Amsterdam, for their similarly invaluable assistance, and to Mr Snel in particular for searching the archive and locating the documents most relevant to this research. </w:t>
      </w:r>
    </w:p>
  </w:footnote>
  <w:footnote w:id="20">
    <w:p w:rsidR="00026F0C" w:rsidRDefault="00026F0C">
      <w:pPr>
        <w:pStyle w:val="FootnoteText"/>
      </w:pPr>
      <w:r>
        <w:rPr>
          <w:rStyle w:val="FootnoteReference"/>
        </w:rPr>
        <w:footnoteRef/>
      </w:r>
      <w:r>
        <w:t xml:space="preserve"> </w:t>
      </w:r>
      <w:r w:rsidRPr="00EA4B80">
        <w:rPr>
          <w:rFonts w:cs="Times New Roman"/>
        </w:rPr>
        <w:t>For a summary of the extraordinarily patriarchal nature of English society</w:t>
      </w:r>
      <w:r>
        <w:rPr>
          <w:rFonts w:cs="Times New Roman"/>
        </w:rPr>
        <w:t xml:space="preserve"> ‘in the 1860s and early 1870s’</w:t>
      </w:r>
      <w:r w:rsidRPr="00EA4B80">
        <w:rPr>
          <w:rFonts w:cs="Times New Roman"/>
        </w:rPr>
        <w:t>,</w:t>
      </w:r>
      <w:r>
        <w:rPr>
          <w:rFonts w:cs="Times New Roman"/>
        </w:rPr>
        <w:t xml:space="preserve"> see Jose </w:t>
      </w:r>
      <w:r w:rsidRPr="000E0344">
        <w:rPr>
          <w:rFonts w:cs="Times New Roman"/>
        </w:rPr>
        <w:t xml:space="preserve">Harris, </w:t>
      </w:r>
      <w:r w:rsidRPr="000E0344">
        <w:rPr>
          <w:rFonts w:cs="Times New Roman"/>
          <w:i/>
        </w:rPr>
        <w:t xml:space="preserve">Private Lives, Public Spirit: Britain 1870-1914, </w:t>
      </w:r>
      <w:r w:rsidRPr="000E0344">
        <w:rPr>
          <w:rFonts w:cs="Times New Roman"/>
        </w:rPr>
        <w:t>London, 1994</w:t>
      </w:r>
      <w:r>
        <w:rPr>
          <w:rFonts w:cs="Times New Roman"/>
        </w:rPr>
        <w:t>, 73-74.</w:t>
      </w:r>
    </w:p>
  </w:footnote>
  <w:footnote w:id="2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 xml:space="preserve">[1897] 1 Ch. 196 at 204 </w:t>
      </w:r>
      <w:r w:rsidRPr="00EA4B80">
        <w:rPr>
          <w:rFonts w:cs="Times New Roman"/>
          <w:i/>
        </w:rPr>
        <w:t xml:space="preserve">per </w:t>
      </w:r>
      <w:r w:rsidRPr="00EA4B80">
        <w:rPr>
          <w:rFonts w:cs="Times New Roman"/>
        </w:rPr>
        <w:t>Lindley LJ. Lord Halsbury LC and Smith LJ sat with Lindley LJ.</w:t>
      </w:r>
    </w:p>
  </w:footnote>
  <w:footnote w:id="22">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Ibid. at 209 </w:t>
      </w:r>
      <w:r w:rsidRPr="00EA4B80">
        <w:rPr>
          <w:rFonts w:cs="Times New Roman"/>
          <w:i/>
        </w:rPr>
        <w:t xml:space="preserve">per </w:t>
      </w:r>
      <w:r w:rsidRPr="00EA4B80">
        <w:rPr>
          <w:rFonts w:cs="Times New Roman"/>
        </w:rPr>
        <w:t>Lindley LJ.</w:t>
      </w:r>
    </w:p>
  </w:footnote>
  <w:footnote w:id="2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See T.G. Youdan, </w:t>
      </w:r>
      <w:r>
        <w:rPr>
          <w:rFonts w:cs="Times New Roman"/>
        </w:rPr>
        <w:t>‘Formalities for Trusts of Land’, 328-329</w:t>
      </w:r>
      <w:r w:rsidRPr="00EA4B80">
        <w:rPr>
          <w:rFonts w:cs="Times New Roman"/>
        </w:rPr>
        <w:t xml:space="preserve">. For some recent examples of </w:t>
      </w:r>
      <w:r w:rsidRPr="00EA4B80">
        <w:rPr>
          <w:rFonts w:cs="Times New Roman"/>
          <w:i/>
        </w:rPr>
        <w:t xml:space="preserve">Rochefoucauld </w:t>
      </w:r>
      <w:r w:rsidRPr="00EA4B80">
        <w:rPr>
          <w:rFonts w:cs="Times New Roman"/>
        </w:rPr>
        <w:t xml:space="preserve">being cited, see </w:t>
      </w:r>
      <w:r w:rsidRPr="00EA4B80">
        <w:rPr>
          <w:rFonts w:cs="Times New Roman"/>
          <w:i/>
        </w:rPr>
        <w:t xml:space="preserve">Crossco No. 4 v Unlimited v Jolan Ltd </w:t>
      </w:r>
      <w:r w:rsidRPr="00EA4B80">
        <w:rPr>
          <w:rFonts w:cs="Times New Roman"/>
        </w:rPr>
        <w:t xml:space="preserve">[2011] EWCA Civ. 1619 at para. 93 </w:t>
      </w:r>
      <w:r w:rsidRPr="00EA4B80">
        <w:rPr>
          <w:rFonts w:cs="Times New Roman"/>
          <w:i/>
        </w:rPr>
        <w:t xml:space="preserve">per </w:t>
      </w:r>
      <w:r w:rsidRPr="00EA4B80">
        <w:rPr>
          <w:rFonts w:cs="Times New Roman"/>
        </w:rPr>
        <w:t xml:space="preserve">Etherton LJ; </w:t>
      </w:r>
      <w:r w:rsidRPr="00EA4B80">
        <w:rPr>
          <w:rFonts w:cs="Times New Roman"/>
          <w:i/>
        </w:rPr>
        <w:t xml:space="preserve">De Bruyne v De Bruyne </w:t>
      </w:r>
      <w:r w:rsidRPr="00EA4B80">
        <w:rPr>
          <w:rFonts w:cs="Times New Roman"/>
        </w:rPr>
        <w:t xml:space="preserve">[2010] EWCA Civ. 1519 at para. 51 </w:t>
      </w:r>
      <w:r w:rsidRPr="00EA4B80">
        <w:rPr>
          <w:rFonts w:cs="Times New Roman"/>
          <w:i/>
        </w:rPr>
        <w:t xml:space="preserve">per </w:t>
      </w:r>
      <w:r w:rsidRPr="00EA4B80">
        <w:rPr>
          <w:rFonts w:cs="Times New Roman"/>
        </w:rPr>
        <w:t xml:space="preserve">Patten LJ; </w:t>
      </w:r>
      <w:r w:rsidRPr="00EA4B80">
        <w:rPr>
          <w:rFonts w:cs="Times New Roman"/>
          <w:i/>
        </w:rPr>
        <w:t xml:space="preserve">Samad v Thompson </w:t>
      </w:r>
      <w:r w:rsidRPr="00EA4B80">
        <w:rPr>
          <w:rFonts w:cs="Times New Roman"/>
        </w:rPr>
        <w:t xml:space="preserve">[2008] EWHC 2809 (Ch) at para 128 </w:t>
      </w:r>
      <w:r w:rsidRPr="00EA4B80">
        <w:rPr>
          <w:rFonts w:cs="Times New Roman"/>
          <w:i/>
        </w:rPr>
        <w:t xml:space="preserve">per </w:t>
      </w:r>
      <w:r w:rsidRPr="00EA4B80">
        <w:rPr>
          <w:rFonts w:cs="Times New Roman"/>
        </w:rPr>
        <w:t xml:space="preserve">Sales LJ; </w:t>
      </w:r>
      <w:r w:rsidRPr="00EA4B80">
        <w:rPr>
          <w:rFonts w:cs="Times New Roman"/>
          <w:i/>
        </w:rPr>
        <w:t xml:space="preserve">Singh v Anand </w:t>
      </w:r>
      <w:r w:rsidRPr="00EA4B80">
        <w:rPr>
          <w:rFonts w:cs="Times New Roman"/>
        </w:rPr>
        <w:t xml:space="preserve">[2007] EWHC 3346 (Ch) at para 144 </w:t>
      </w:r>
      <w:r w:rsidRPr="00EA4B80">
        <w:rPr>
          <w:rFonts w:cs="Times New Roman"/>
          <w:i/>
        </w:rPr>
        <w:t xml:space="preserve">per </w:t>
      </w:r>
      <w:r w:rsidRPr="00EA4B80">
        <w:rPr>
          <w:rFonts w:cs="Times New Roman"/>
        </w:rPr>
        <w:t xml:space="preserve">Norris J; </w:t>
      </w:r>
      <w:r w:rsidRPr="00EA4B80">
        <w:rPr>
          <w:rFonts w:cs="Times New Roman"/>
          <w:i/>
        </w:rPr>
        <w:t xml:space="preserve">Banner Homes Group Plc. v Luff Developments Ltd. </w:t>
      </w:r>
      <w:r w:rsidRPr="00EA4B80">
        <w:rPr>
          <w:rFonts w:cs="Times New Roman"/>
        </w:rPr>
        <w:t xml:space="preserve">[2000] Ch. 372 at 383 </w:t>
      </w:r>
      <w:r w:rsidRPr="00EA4B80">
        <w:rPr>
          <w:rFonts w:cs="Times New Roman"/>
          <w:i/>
        </w:rPr>
        <w:t xml:space="preserve">per </w:t>
      </w:r>
      <w:r w:rsidRPr="00EA4B80">
        <w:rPr>
          <w:rFonts w:cs="Times New Roman"/>
        </w:rPr>
        <w:t>Chadwick LJ.</w:t>
      </w:r>
    </w:p>
  </w:footnote>
  <w:footnote w:id="2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The Court of Appeal’s judgment in respect of the laches issue is considered at nn. 182-183</w:t>
      </w:r>
      <w:r w:rsidRPr="00C83CF9">
        <w:rPr>
          <w:rFonts w:cs="Times New Roman"/>
        </w:rPr>
        <w:t xml:space="preserve"> and accompanying text, below.</w:t>
      </w:r>
    </w:p>
  </w:footnote>
  <w:footnote w:id="2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See, for example William Swadling ‘The Nature of the Trust in </w:t>
      </w:r>
      <w:r w:rsidRPr="00EA4B80">
        <w:rPr>
          <w:rFonts w:cs="Times New Roman"/>
          <w:i/>
        </w:rPr>
        <w:t xml:space="preserve">Rochefoucauld v Boustead’, </w:t>
      </w:r>
      <w:r w:rsidRPr="00EA4B80">
        <w:rPr>
          <w:rFonts w:cs="Times New Roman"/>
        </w:rPr>
        <w:t xml:space="preserve">in Charles Mitchell, ed., </w:t>
      </w:r>
      <w:r w:rsidRPr="00EA4B80">
        <w:rPr>
          <w:rFonts w:cs="Times New Roman"/>
          <w:i/>
        </w:rPr>
        <w:t>Constructive and Resulting Trusts</w:t>
      </w:r>
      <w:r w:rsidRPr="00EA4B80">
        <w:rPr>
          <w:rFonts w:cs="Times New Roman"/>
        </w:rPr>
        <w:t>, Oxford, 2009, 68</w:t>
      </w:r>
      <w:r>
        <w:rPr>
          <w:rFonts w:cs="Times New Roman"/>
        </w:rPr>
        <w:t>.</w:t>
      </w:r>
    </w:p>
  </w:footnote>
  <w:footnote w:id="26">
    <w:p w:rsidR="00026F0C" w:rsidRPr="00EA4B80" w:rsidRDefault="00026F0C" w:rsidP="00CD6159">
      <w:pPr>
        <w:pStyle w:val="FootnoteText"/>
        <w:jc w:val="both"/>
        <w:rPr>
          <w:rFonts w:cs="Times New Roman"/>
        </w:rPr>
      </w:pPr>
      <w:r w:rsidRPr="00EA4B80">
        <w:rPr>
          <w:rStyle w:val="FootnoteReference"/>
          <w:rFonts w:cs="Times New Roman"/>
        </w:rPr>
        <w:footnoteRef/>
      </w:r>
      <w:r>
        <w:rPr>
          <w:rFonts w:cs="Times New Roman"/>
        </w:rPr>
        <w:t xml:space="preserve"> Rumbold</w:t>
      </w:r>
      <w:r w:rsidRPr="00EA4B80">
        <w:rPr>
          <w:rFonts w:cs="Times New Roman"/>
        </w:rPr>
        <w:t xml:space="preserve">, </w:t>
      </w:r>
      <w:r w:rsidRPr="00EA4B80">
        <w:rPr>
          <w:rFonts w:cs="Times New Roman"/>
          <w:i/>
        </w:rPr>
        <w:t>Recollections</w:t>
      </w:r>
      <w:r>
        <w:rPr>
          <w:rFonts w:cs="Times New Roman"/>
        </w:rPr>
        <w:t>, 42-44. The Baron’s enjoyment of this lifestyle was tempered by the fact that, in November 1835, he became blind.</w:t>
      </w:r>
    </w:p>
  </w:footnote>
  <w:footnote w:id="2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See n. 5, above for evidence that, by 1851, the Baron certainly owned the Estates.</w:t>
      </w:r>
    </w:p>
  </w:footnote>
  <w:footnote w:id="28">
    <w:p w:rsidR="00026F0C" w:rsidRPr="00EA4B80" w:rsidRDefault="00026F0C" w:rsidP="00CD6159">
      <w:pPr>
        <w:pStyle w:val="FootnoteText"/>
        <w:jc w:val="both"/>
        <w:rPr>
          <w:rFonts w:cs="Times New Roman"/>
        </w:rPr>
      </w:pPr>
      <w:r w:rsidRPr="00EA4B80">
        <w:rPr>
          <w:rStyle w:val="FootnoteReference"/>
          <w:rFonts w:cs="Times New Roman"/>
        </w:rPr>
        <w:footnoteRef/>
      </w:r>
      <w:r>
        <w:rPr>
          <w:rFonts w:cs="Times New Roman"/>
        </w:rPr>
        <w:t xml:space="preserve"> Rumbold</w:t>
      </w:r>
      <w:r w:rsidRPr="00EA4B80">
        <w:rPr>
          <w:rFonts w:cs="Times New Roman"/>
        </w:rPr>
        <w:t xml:space="preserve">, </w:t>
      </w:r>
      <w:r w:rsidRPr="00EA4B80">
        <w:rPr>
          <w:rFonts w:cs="Times New Roman"/>
          <w:i/>
        </w:rPr>
        <w:t>Recollections</w:t>
      </w:r>
      <w:r w:rsidRPr="00EA4B80">
        <w:rPr>
          <w:rFonts w:cs="Times New Roman"/>
        </w:rPr>
        <w:t>, 2-3.</w:t>
      </w:r>
    </w:p>
  </w:footnote>
  <w:footnote w:id="29">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r w:rsidRPr="00EA4B80">
        <w:rPr>
          <w:rFonts w:cs="Times New Roman"/>
        </w:rPr>
        <w:t xml:space="preserve"> 5.</w:t>
      </w:r>
    </w:p>
  </w:footnote>
  <w:footnote w:id="3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rPr>
        <w:t xml:space="preserve">13. Emily’s marriage notice </w:t>
      </w:r>
      <w:r w:rsidRPr="00EA4B80">
        <w:rPr>
          <w:rFonts w:cs="Times New Roman"/>
          <w:i/>
        </w:rPr>
        <w:t xml:space="preserve">The Times </w:t>
      </w:r>
      <w:r w:rsidRPr="00EA4B80">
        <w:rPr>
          <w:rFonts w:cs="Times New Roman"/>
        </w:rPr>
        <w:t>, 18 Oct. 1848, 7 col.a, suggests that she may not have formally been adopted, as it lists her as the niece of the Delmars and the daughter of Sir William Rumbold.</w:t>
      </w:r>
    </w:p>
  </w:footnote>
  <w:footnote w:id="31">
    <w:p w:rsidR="00026F0C" w:rsidRPr="006C57ED"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The Times</w:t>
      </w:r>
      <w:r w:rsidRPr="00EA4B80">
        <w:rPr>
          <w:rFonts w:cs="Times New Roman"/>
        </w:rPr>
        <w:t xml:space="preserve"> , 18 Oct. 1848, 7 col.a. </w:t>
      </w:r>
      <w:r w:rsidRPr="00DE6519">
        <w:rPr>
          <w:rFonts w:cs="Times New Roman"/>
        </w:rPr>
        <w:t>Major</w:t>
      </w:r>
      <w:r w:rsidRPr="00EA4B80">
        <w:rPr>
          <w:rFonts w:cs="Times New Roman"/>
        </w:rPr>
        <w:t xml:space="preserve"> General Henry Cavendish was the third son of George Cavendish, the first earl of Burlington (&lt;http://thepeerage.com/p1028.htm#i10276&gt; accessed 3 July 2014).</w:t>
      </w:r>
      <w:r>
        <w:rPr>
          <w:rFonts w:cs="Times New Roman"/>
        </w:rPr>
        <w:t xml:space="preserve"> According to Rumbold, </w:t>
      </w:r>
      <w:r w:rsidRPr="003E672F">
        <w:rPr>
          <w:rFonts w:cs="Times New Roman"/>
          <w:i/>
        </w:rPr>
        <w:t>Recollections</w:t>
      </w:r>
      <w:r>
        <w:rPr>
          <w:rFonts w:cs="Times New Roman"/>
        </w:rPr>
        <w:t>, 90-92, the wedding, which took place on 16</w:t>
      </w:r>
      <w:r w:rsidRPr="00DE6519">
        <w:rPr>
          <w:rFonts w:cs="Times New Roman"/>
          <w:vertAlign w:val="superscript"/>
        </w:rPr>
        <w:t>th</w:t>
      </w:r>
      <w:r>
        <w:rPr>
          <w:rFonts w:cs="Times New Roman"/>
        </w:rPr>
        <w:t xml:space="preserve"> October 1848, and was arranged by William Cavendish, sixth Duke of Devonshire, a distant cousin of the bridegroom. The Duke apparently ‘took a great interest in’ this marriage.</w:t>
      </w:r>
    </w:p>
  </w:footnote>
  <w:footnote w:id="32">
    <w:p w:rsidR="00026F0C" w:rsidRDefault="00026F0C">
      <w:pPr>
        <w:pStyle w:val="FootnoteText"/>
      </w:pPr>
      <w:r>
        <w:rPr>
          <w:rStyle w:val="FootnoteReference"/>
        </w:rPr>
        <w:footnoteRef/>
      </w:r>
      <w:r w:rsidRPr="00EA4B80">
        <w:rPr>
          <w:rFonts w:cs="Times New Roman"/>
          <w:i/>
        </w:rPr>
        <w:t>Cavendish v Cavendish and Rochefoucauld, The Times</w:t>
      </w:r>
      <w:r w:rsidRPr="00EA4B80">
        <w:rPr>
          <w:rFonts w:cs="Times New Roman"/>
        </w:rPr>
        <w:t xml:space="preserve"> , 18 June 1866, 11 cols.c-d. at col.c.</w:t>
      </w:r>
    </w:p>
  </w:footnote>
  <w:footnote w:id="3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See generally E.J. Taylor, ‘Registration of Title Deeds Under Roman-Dutch Law’, 2 </w:t>
      </w:r>
      <w:r w:rsidRPr="00EA4B80">
        <w:rPr>
          <w:rFonts w:cs="Times New Roman"/>
          <w:i/>
        </w:rPr>
        <w:t>Law Quarterly Review</w:t>
      </w:r>
      <w:r w:rsidRPr="00EA4B80">
        <w:rPr>
          <w:rFonts w:cs="Times New Roman"/>
        </w:rPr>
        <w:t xml:space="preserve"> (1886), 347.</w:t>
      </w:r>
    </w:p>
  </w:footnote>
  <w:footnote w:id="3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It is also clear from the will of the Baroness de Delmar that Emily was to take the estates in her own righ</w:t>
      </w:r>
      <w:r>
        <w:rPr>
          <w:rFonts w:cs="Times New Roman"/>
        </w:rPr>
        <w:t xml:space="preserve">t (the Baroness’s will is held by the </w:t>
      </w:r>
      <w:r w:rsidRPr="00EA4B80">
        <w:rPr>
          <w:rFonts w:cs="Times New Roman"/>
        </w:rPr>
        <w:t xml:space="preserve">Baring Archive, HC6.3.22.3, 1859). At this time, as the Married Women’s Property Act 1870 had not yet been enacted, a woman’s husband, under English law, took legal title to all of her property in right of her. She could only own property in her own right under a trust. Under Roman-Dutch law, however, it was possible for a woman to retain ownership of, and control over, her property after marriage. See R.W. Lee, </w:t>
      </w:r>
      <w:r w:rsidRPr="00EA4B80">
        <w:rPr>
          <w:rFonts w:cs="Times New Roman"/>
          <w:i/>
        </w:rPr>
        <w:t xml:space="preserve">An Introduction to Roman-Dutch Law, </w:t>
      </w:r>
      <w:r>
        <w:rPr>
          <w:rFonts w:cs="Times New Roman"/>
        </w:rPr>
        <w:t>1st ed., Oxford, 1914, 9</w:t>
      </w:r>
      <w:r w:rsidRPr="00EA4B80">
        <w:rPr>
          <w:rFonts w:cs="Times New Roman"/>
        </w:rPr>
        <w:t>1. It is apparent from the deed transferring the mortgage from Barings to the Société (Baring Archive, HC6.3.7, 1864) that the Comtesse had the power to deal with the estates unfettered by her husband. Although George Cavendish was a party to the deed, it is expressly stated that this is out of convention, but not out of necessity. The memorandum of agreement (23 Dec. 1863) whereby Barings agreed to transfer the mortgage and debt to the Société also describes the Emily as being the owner of the land ‘for her separate use free from the Debts control or engagements of her husband’. (HC6.3.7, 1864).</w:t>
      </w:r>
    </w:p>
  </w:footnote>
  <w:footnote w:id="35">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This appears in the will of the Baroness, Baring Archive, HC6.3.22.3, 1859.</w:t>
      </w:r>
    </w:p>
  </w:footnote>
  <w:footnote w:id="3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The record of  Cavendish’s petition for divorce is held in the National Archive</w:t>
      </w:r>
      <w:r>
        <w:rPr>
          <w:rFonts w:cs="Times New Roman"/>
        </w:rPr>
        <w:t>s</w:t>
      </w:r>
      <w:r w:rsidRPr="00EA4B80">
        <w:rPr>
          <w:rFonts w:cs="Times New Roman"/>
        </w:rPr>
        <w:t>, Kew (&lt;</w:t>
      </w:r>
      <w:r w:rsidRPr="008D759B">
        <w:rPr>
          <w:rFonts w:cs="Times New Roman"/>
        </w:rPr>
        <w:t>http://discovery.nationalarchives.gov.uk/SearchUI/Details/AssetMain?iaid=C7973268</w:t>
      </w:r>
      <w:r w:rsidRPr="00EA4B80">
        <w:rPr>
          <w:rFonts w:cs="Times New Roman"/>
        </w:rPr>
        <w:t>&gt; accessed 3 July 2014).</w:t>
      </w:r>
    </w:p>
  </w:footnote>
  <w:footnote w:id="37">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Cavendish v Cavendish and Rochefoucauld, The Times</w:t>
      </w:r>
      <w:r w:rsidRPr="00EA4B80">
        <w:rPr>
          <w:rFonts w:cs="Times New Roman"/>
        </w:rPr>
        <w:t xml:space="preserve"> , 18 June 1866, 11 cols.c-d. at col.c.</w:t>
      </w:r>
      <w:r>
        <w:rPr>
          <w:rFonts w:cs="Times New Roman"/>
        </w:rPr>
        <w:t xml:space="preserve"> According to The Right Honourable Sir Horace Rumbold, </w:t>
      </w:r>
      <w:r>
        <w:rPr>
          <w:rFonts w:cs="Times New Roman"/>
          <w:i/>
        </w:rPr>
        <w:t xml:space="preserve">Further Recollections of a Diplomatist, </w:t>
      </w:r>
      <w:r>
        <w:rPr>
          <w:rFonts w:cs="Times New Roman"/>
        </w:rPr>
        <w:t xml:space="preserve">London, 1904, 88, the Comte de la Rochefoucauld had served in Madrid and Washington as Second and then First Secretary to the French Embassies in those cities. He then lived with Emily in Baden Baden, before settling with her and her daughter in Biarritz. The Comte seems to have lived a life of leisure following his diplomatic service- Rumbold, </w:t>
      </w:r>
      <w:r>
        <w:rPr>
          <w:rFonts w:cs="Times New Roman"/>
          <w:i/>
        </w:rPr>
        <w:t xml:space="preserve">Further Recollections, </w:t>
      </w:r>
      <w:r>
        <w:rPr>
          <w:rFonts w:cs="Times New Roman"/>
        </w:rPr>
        <w:t>88-89 described the Comte as ‘a most creditable specimen of those gentlemen of France, cast in an old mould which is fast being broken up, who have always served the country well at its hours of need, but for whom this Republican age no longer finds any uses.’ Rumbold reports, 177, that political pressures prevented the Comte from ever resuming his diplomatic career.</w:t>
      </w:r>
    </w:p>
  </w:footnote>
  <w:footnote w:id="38">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Ibid. </w:t>
      </w:r>
    </w:p>
  </w:footnote>
  <w:footnote w:id="39">
    <w:p w:rsidR="00026F0C" w:rsidRPr="00EA4B80" w:rsidRDefault="00026F0C" w:rsidP="00CD6159">
      <w:pPr>
        <w:spacing w:after="0"/>
        <w:jc w:val="both"/>
        <w:rPr>
          <w:rFonts w:ascii="Times New Roman" w:hAnsi="Times New Roman" w:cs="Times New Roman"/>
          <w:sz w:val="20"/>
          <w:szCs w:val="20"/>
        </w:rPr>
      </w:pPr>
      <w:r w:rsidRPr="00EA4B80">
        <w:rPr>
          <w:rStyle w:val="FootnoteReference"/>
          <w:rFonts w:ascii="Times New Roman" w:hAnsi="Times New Roman" w:cs="Times New Roman"/>
          <w:sz w:val="20"/>
          <w:szCs w:val="20"/>
        </w:rPr>
        <w:footnoteRef/>
      </w:r>
      <w:r w:rsidRPr="00EA4B80">
        <w:rPr>
          <w:rFonts w:ascii="Times New Roman" w:hAnsi="Times New Roman" w:cs="Times New Roman"/>
          <w:sz w:val="20"/>
          <w:szCs w:val="20"/>
        </w:rPr>
        <w:t xml:space="preserve"> For example, the divorce was reported in </w:t>
      </w:r>
      <w:r w:rsidRPr="00EA4B80">
        <w:rPr>
          <w:rFonts w:ascii="Times New Roman" w:hAnsi="Times New Roman" w:cs="Times New Roman"/>
          <w:i/>
          <w:sz w:val="20"/>
          <w:szCs w:val="20"/>
        </w:rPr>
        <w:t>Birmingham Daily Post</w:t>
      </w:r>
      <w:r w:rsidRPr="00EA4B80">
        <w:rPr>
          <w:rFonts w:ascii="Times New Roman" w:hAnsi="Times New Roman" w:cs="Times New Roman"/>
          <w:sz w:val="20"/>
          <w:szCs w:val="20"/>
        </w:rPr>
        <w:t xml:space="preserve"> , 19 June 1866, 6 col.b and </w:t>
      </w:r>
      <w:r w:rsidRPr="00EA4B80">
        <w:rPr>
          <w:rFonts w:ascii="Times New Roman" w:hAnsi="Times New Roman" w:cs="Times New Roman"/>
          <w:i/>
          <w:sz w:val="20"/>
          <w:szCs w:val="20"/>
        </w:rPr>
        <w:t xml:space="preserve">Liverpool Mercury </w:t>
      </w:r>
      <w:r w:rsidRPr="00EA4B80">
        <w:rPr>
          <w:rFonts w:ascii="Times New Roman" w:hAnsi="Times New Roman" w:cs="Times New Roman"/>
          <w:sz w:val="20"/>
          <w:szCs w:val="20"/>
        </w:rPr>
        <w:t>, 19 June 1866, col.c under the headline ‘Divorce in High Life’.</w:t>
      </w:r>
    </w:p>
  </w:footnote>
  <w:footnote w:id="40">
    <w:p w:rsidR="00026F0C" w:rsidRPr="007067B5" w:rsidRDefault="00026F0C" w:rsidP="00CD6159">
      <w:pPr>
        <w:pStyle w:val="FootnoteText"/>
        <w:ind w:left="0" w:firstLine="0"/>
        <w:jc w:val="both"/>
      </w:pPr>
      <w:r>
        <w:rPr>
          <w:rStyle w:val="FootnoteReference"/>
        </w:rPr>
        <w:footnoteRef/>
      </w:r>
      <w:r>
        <w:t xml:space="preserve"> </w:t>
      </w:r>
      <w:r w:rsidRPr="00EA4B80">
        <w:rPr>
          <w:rFonts w:cs="Times New Roman"/>
          <w:i/>
        </w:rPr>
        <w:t>Cavendish v Cavendish and Rochefoucauld, The Times</w:t>
      </w:r>
      <w:r w:rsidRPr="00EA4B80">
        <w:rPr>
          <w:rFonts w:cs="Times New Roman"/>
        </w:rPr>
        <w:t xml:space="preserve"> , 18 June 1866, 11 cols.c-d. at col.c.</w:t>
      </w:r>
      <w:r>
        <w:rPr>
          <w:rFonts w:cs="Times New Roman"/>
        </w:rPr>
        <w:t xml:space="preserve"> </w:t>
      </w:r>
      <w:r>
        <w:t xml:space="preserve">According to this report, </w:t>
      </w:r>
      <w:r w:rsidRPr="00380B41">
        <w:t>Ibid</w:t>
      </w:r>
      <w:r>
        <w:rPr>
          <w:i/>
        </w:rPr>
        <w:t xml:space="preserve">., </w:t>
      </w:r>
      <w:r>
        <w:t>Emily had, whilst in Baden Baden, taken to hosting lavish social events. Allegedly, one guest was the King of Prussia.</w:t>
      </w:r>
    </w:p>
  </w:footnote>
  <w:footnote w:id="41">
    <w:p w:rsidR="00026F0C" w:rsidRPr="00B7397B" w:rsidRDefault="00026F0C" w:rsidP="00CD6159">
      <w:pPr>
        <w:spacing w:after="0"/>
        <w:jc w:val="both"/>
        <w:rPr>
          <w:rFonts w:ascii="Times New Roman" w:hAnsi="Times New Roman" w:cs="Times New Roman"/>
          <w:sz w:val="20"/>
          <w:szCs w:val="20"/>
        </w:rPr>
      </w:pPr>
      <w:r w:rsidRPr="00EA4B80">
        <w:rPr>
          <w:rStyle w:val="FootnoteReference"/>
          <w:rFonts w:ascii="Times New Roman" w:hAnsi="Times New Roman" w:cs="Times New Roman"/>
          <w:sz w:val="20"/>
          <w:szCs w:val="20"/>
        </w:rPr>
        <w:footnoteRef/>
      </w:r>
      <w:r w:rsidRPr="00EA4B80">
        <w:rPr>
          <w:rFonts w:ascii="Times New Roman" w:hAnsi="Times New Roman" w:cs="Times New Roman"/>
          <w:sz w:val="20"/>
          <w:szCs w:val="20"/>
        </w:rPr>
        <w:t xml:space="preserve"> </w:t>
      </w:r>
      <w:r w:rsidRPr="00EA4B80">
        <w:rPr>
          <w:rFonts w:ascii="Times New Roman" w:hAnsi="Times New Roman" w:cs="Times New Roman"/>
          <w:i/>
          <w:sz w:val="20"/>
          <w:szCs w:val="20"/>
        </w:rPr>
        <w:t>Birmingham Daily Post</w:t>
      </w:r>
      <w:r w:rsidRPr="00EA4B80">
        <w:rPr>
          <w:rFonts w:ascii="Times New Roman" w:hAnsi="Times New Roman" w:cs="Times New Roman"/>
          <w:sz w:val="20"/>
          <w:szCs w:val="20"/>
        </w:rPr>
        <w:t xml:space="preserve"> , 19 June 1866, 6 col.b. Also, </w:t>
      </w:r>
      <w:r w:rsidRPr="00EA4B80">
        <w:rPr>
          <w:rStyle w:val="mini"/>
          <w:rFonts w:ascii="Times New Roman" w:hAnsi="Times New Roman" w:cs="Times New Roman"/>
          <w:sz w:val="20"/>
          <w:szCs w:val="20"/>
        </w:rPr>
        <w:t xml:space="preserve">according to </w:t>
      </w:r>
      <w:r w:rsidRPr="00EA4B80">
        <w:rPr>
          <w:rFonts w:ascii="Times New Roman" w:hAnsi="Times New Roman" w:cs="Times New Roman"/>
          <w:i/>
          <w:sz w:val="20"/>
          <w:szCs w:val="20"/>
        </w:rPr>
        <w:t>Cavendish v Cavendish and Rochefoucauld, The Times</w:t>
      </w:r>
      <w:r w:rsidRPr="00EA4B80">
        <w:rPr>
          <w:rFonts w:ascii="Times New Roman" w:hAnsi="Times New Roman" w:cs="Times New Roman"/>
          <w:sz w:val="20"/>
          <w:szCs w:val="20"/>
        </w:rPr>
        <w:t xml:space="preserve"> , 18 June 1866, 11 cols.c-d. at col.c</w:t>
      </w:r>
      <w:r w:rsidRPr="00EA4B80">
        <w:rPr>
          <w:rStyle w:val="mini"/>
          <w:rFonts w:ascii="Times New Roman" w:hAnsi="Times New Roman" w:cs="Times New Roman"/>
          <w:sz w:val="20"/>
          <w:szCs w:val="20"/>
        </w:rPr>
        <w:t>, Emily claimed that she needed to remain ‘on the Continent until her affairs were settled’. There is no direct reference to the Ceylon estates, although it is stated that ‘[t]he affairs of the Baron and Baroness were found to be very much involved’.</w:t>
      </w:r>
      <w:r>
        <w:rPr>
          <w:rStyle w:val="mini"/>
          <w:rFonts w:ascii="Times New Roman" w:hAnsi="Times New Roman" w:cs="Times New Roman"/>
          <w:sz w:val="20"/>
          <w:szCs w:val="20"/>
        </w:rPr>
        <w:t xml:space="preserve"> </w:t>
      </w:r>
      <w:r w:rsidRPr="000C7708">
        <w:rPr>
          <w:rStyle w:val="mini"/>
          <w:rFonts w:ascii="Times New Roman" w:hAnsi="Times New Roman" w:cs="Times New Roman"/>
          <w:iCs/>
          <w:sz w:val="20"/>
          <w:szCs w:val="20"/>
        </w:rPr>
        <w:t xml:space="preserve">In a letter written by Emily to Barings, dated 8 Sept. 1862, requesting further advances, she </w:t>
      </w:r>
      <w:r>
        <w:rPr>
          <w:rStyle w:val="mini"/>
          <w:rFonts w:ascii="Times New Roman" w:hAnsi="Times New Roman" w:cs="Times New Roman"/>
          <w:iCs/>
          <w:sz w:val="20"/>
          <w:szCs w:val="20"/>
        </w:rPr>
        <w:t xml:space="preserve">makes reference to having had to instruct ‘several celebrated French Advocates’. </w:t>
      </w:r>
      <w:r w:rsidRPr="000C7708">
        <w:rPr>
          <w:rStyle w:val="mini"/>
          <w:rFonts w:ascii="Times New Roman" w:hAnsi="Times New Roman" w:cs="Times New Roman"/>
          <w:iCs/>
          <w:sz w:val="20"/>
          <w:szCs w:val="20"/>
        </w:rPr>
        <w:t>(</w:t>
      </w:r>
      <w:r>
        <w:rPr>
          <w:rFonts w:ascii="Times New Roman" w:hAnsi="Times New Roman" w:cs="Times New Roman"/>
          <w:sz w:val="20"/>
          <w:szCs w:val="20"/>
        </w:rPr>
        <w:t xml:space="preserve">Baring Archive, HC6.3.22, </w:t>
      </w:r>
      <w:r w:rsidRPr="000C7708">
        <w:rPr>
          <w:rFonts w:ascii="Times New Roman" w:hAnsi="Times New Roman" w:cs="Times New Roman"/>
          <w:sz w:val="20"/>
          <w:szCs w:val="20"/>
        </w:rPr>
        <w:t>1862).</w:t>
      </w:r>
      <w:r>
        <w:rPr>
          <w:rFonts w:ascii="Times New Roman" w:hAnsi="Times New Roman" w:cs="Times New Roman"/>
          <w:sz w:val="20"/>
          <w:szCs w:val="20"/>
        </w:rPr>
        <w:t xml:space="preserve"> </w:t>
      </w:r>
      <w:r>
        <w:rPr>
          <w:rStyle w:val="mini"/>
          <w:rFonts w:ascii="Times New Roman" w:hAnsi="Times New Roman" w:cs="Times New Roman"/>
          <w:sz w:val="20"/>
          <w:szCs w:val="20"/>
        </w:rPr>
        <w:t xml:space="preserve">According to Rumbold, </w:t>
      </w:r>
      <w:r>
        <w:rPr>
          <w:rStyle w:val="mini"/>
          <w:rFonts w:ascii="Times New Roman" w:hAnsi="Times New Roman" w:cs="Times New Roman"/>
          <w:i/>
          <w:sz w:val="20"/>
          <w:szCs w:val="20"/>
        </w:rPr>
        <w:t>Recollections</w:t>
      </w:r>
      <w:r>
        <w:rPr>
          <w:rStyle w:val="mini"/>
          <w:rFonts w:ascii="Times New Roman" w:hAnsi="Times New Roman" w:cs="Times New Roman"/>
          <w:sz w:val="20"/>
          <w:szCs w:val="20"/>
        </w:rPr>
        <w:t xml:space="preserve">, 282, the Baron, in 1857, travelled to Prussia to obtain ‘a large </w:t>
      </w:r>
      <w:r w:rsidRPr="000C7708">
        <w:rPr>
          <w:rStyle w:val="mini"/>
          <w:rFonts w:ascii="Times New Roman" w:hAnsi="Times New Roman" w:cs="Times New Roman"/>
          <w:sz w:val="20"/>
          <w:szCs w:val="20"/>
        </w:rPr>
        <w:t xml:space="preserve">advance’ ‘on the royal guarantee’ of the Prussian crown. The need for this loan was ‘caused by heavy losses on his Ceylon property’. It is not inconceivable that the Paris litigation was concerned in some way with this loan. </w:t>
      </w:r>
    </w:p>
  </w:footnote>
  <w:footnote w:id="42">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Cavendish v Cavendish and Rochefoucauld, The Times</w:t>
      </w:r>
      <w:r w:rsidRPr="00EA4B80">
        <w:rPr>
          <w:rFonts w:cs="Times New Roman"/>
        </w:rPr>
        <w:t xml:space="preserve"> , 18 June 1866, 11 cols.c-d. at col.c</w:t>
      </w:r>
      <w:r>
        <w:rPr>
          <w:rStyle w:val="mini"/>
          <w:rFonts w:cs="Times New Roman"/>
        </w:rPr>
        <w:t>.</w:t>
      </w:r>
    </w:p>
  </w:footnote>
  <w:footnote w:id="43">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rPr>
        <w:t>at col.d.</w:t>
      </w:r>
    </w:p>
  </w:footnote>
  <w:footnote w:id="44">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Ibid.</w:t>
      </w:r>
    </w:p>
  </w:footnote>
  <w:footnote w:id="45">
    <w:p w:rsidR="00026F0C" w:rsidRPr="00D12C0F" w:rsidRDefault="00026F0C" w:rsidP="00CD6159">
      <w:pPr>
        <w:pStyle w:val="FootnoteText"/>
        <w:ind w:left="0" w:firstLine="0"/>
        <w:jc w:val="both"/>
        <w:rPr>
          <w:rFonts w:cs="Times New Roman"/>
          <w:color w:val="000000" w:themeColor="text1"/>
        </w:rPr>
      </w:pPr>
      <w:r w:rsidRPr="00EA4B80">
        <w:rPr>
          <w:rStyle w:val="FootnoteReference"/>
          <w:rFonts w:cs="Times New Roman"/>
        </w:rPr>
        <w:footnoteRef/>
      </w:r>
      <w:r w:rsidRPr="00EA4B80">
        <w:rPr>
          <w:rFonts w:cs="Times New Roman"/>
        </w:rPr>
        <w:t xml:space="preserve"> The Matrimonial Causes Act 1857, s45 gave the wife’s adultery as a ground for divorce, whilst the husband’s adultery al</w:t>
      </w:r>
      <w:r>
        <w:rPr>
          <w:rFonts w:cs="Times New Roman"/>
        </w:rPr>
        <w:t xml:space="preserve">one was </w:t>
      </w:r>
      <w:r w:rsidRPr="00D12C0F">
        <w:rPr>
          <w:rFonts w:cs="Times New Roman"/>
          <w:color w:val="000000" w:themeColor="text1"/>
        </w:rPr>
        <w:t>not a sufficient ground.</w:t>
      </w:r>
    </w:p>
  </w:footnote>
  <w:footnote w:id="46">
    <w:p w:rsidR="00026F0C" w:rsidRPr="00D12C0F" w:rsidRDefault="00026F0C" w:rsidP="00CD6159">
      <w:pPr>
        <w:pStyle w:val="FootnoteText"/>
        <w:spacing w:line="240" w:lineRule="auto"/>
        <w:jc w:val="both"/>
        <w:rPr>
          <w:rFonts w:cs="Times New Roman"/>
          <w:color w:val="000000" w:themeColor="text1"/>
        </w:rPr>
      </w:pPr>
      <w:r w:rsidRPr="00D12C0F">
        <w:rPr>
          <w:rStyle w:val="FootnoteReference"/>
          <w:rFonts w:cs="Times New Roman"/>
          <w:color w:val="000000" w:themeColor="text1"/>
        </w:rPr>
        <w:footnoteRef/>
      </w:r>
      <w:r w:rsidRPr="00D12C0F">
        <w:rPr>
          <w:rFonts w:cs="Times New Roman"/>
          <w:color w:val="000000" w:themeColor="text1"/>
        </w:rPr>
        <w:t xml:space="preserve"> According to </w:t>
      </w:r>
      <w:r w:rsidRPr="00D12C0F">
        <w:rPr>
          <w:rFonts w:cs="Times New Roman"/>
          <w:i/>
          <w:color w:val="000000" w:themeColor="text1"/>
        </w:rPr>
        <w:t xml:space="preserve">Cavendish v Cavendish and Rochefoucauld </w:t>
      </w:r>
      <w:r w:rsidRPr="00D12C0F">
        <w:rPr>
          <w:rFonts w:cs="Times New Roman"/>
          <w:color w:val="000000" w:themeColor="text1"/>
        </w:rPr>
        <w:t>(1868) 19 T.L.R. 497.</w:t>
      </w:r>
    </w:p>
  </w:footnote>
  <w:footnote w:id="47">
    <w:p w:rsidR="00026F0C" w:rsidRPr="00EA4B80" w:rsidRDefault="00026F0C" w:rsidP="00CD6159">
      <w:pPr>
        <w:pStyle w:val="FootnoteText"/>
        <w:spacing w:line="240" w:lineRule="auto"/>
        <w:jc w:val="both"/>
        <w:rPr>
          <w:rFonts w:cs="Times New Roman"/>
        </w:rPr>
      </w:pPr>
      <w:r w:rsidRPr="00D12C0F">
        <w:rPr>
          <w:rStyle w:val="FootnoteReference"/>
          <w:rFonts w:cs="Times New Roman"/>
          <w:color w:val="000000" w:themeColor="text1"/>
        </w:rPr>
        <w:footnoteRef/>
      </w:r>
      <w:r w:rsidRPr="00D12C0F">
        <w:rPr>
          <w:rFonts w:cs="Times New Roman"/>
          <w:color w:val="000000" w:themeColor="text1"/>
        </w:rPr>
        <w:t xml:space="preserve"> &lt;http://www.thepeerage.com/p56333.htm</w:t>
      </w:r>
      <w:r w:rsidRPr="00D12C0F">
        <w:rPr>
          <w:rStyle w:val="Hyperlink"/>
          <w:rFonts w:cs="Times New Roman"/>
          <w:color w:val="000000" w:themeColor="text1"/>
          <w:u w:val="none"/>
        </w:rPr>
        <w:t>&gt;accessed 25 July 2014.</w:t>
      </w:r>
    </w:p>
  </w:footnote>
  <w:footnote w:id="48">
    <w:p w:rsidR="00026F0C" w:rsidRPr="00EA4B80" w:rsidRDefault="00026F0C" w:rsidP="00CD6159">
      <w:pPr>
        <w:pStyle w:val="FootnoteText"/>
        <w:spacing w:line="240" w:lineRule="auto"/>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Cavendish v Cavendish and Rochefoucauld, The Times</w:t>
      </w:r>
      <w:r w:rsidRPr="00EA4B80">
        <w:rPr>
          <w:rFonts w:cs="Times New Roman"/>
        </w:rPr>
        <w:t xml:space="preserve"> , 18 June 1866, 11 cols.c-d. at col.d.</w:t>
      </w:r>
    </w:p>
  </w:footnote>
  <w:footnote w:id="4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Pr>
          <w:rFonts w:cs="Times New Roman"/>
        </w:rPr>
        <w:t xml:space="preserve"> In </w:t>
      </w:r>
      <w:r w:rsidRPr="00EA4B80">
        <w:rPr>
          <w:rFonts w:cs="Times New Roman"/>
        </w:rPr>
        <w:t>Harris</w:t>
      </w:r>
      <w:r>
        <w:rPr>
          <w:rFonts w:cs="Times New Roman"/>
        </w:rPr>
        <w:t>,</w:t>
      </w:r>
      <w:r w:rsidRPr="00EA4B80">
        <w:rPr>
          <w:rFonts w:cs="Times New Roman"/>
        </w:rPr>
        <w:t xml:space="preserve"> </w:t>
      </w:r>
      <w:r>
        <w:rPr>
          <w:rFonts w:cs="Times New Roman"/>
          <w:i/>
        </w:rPr>
        <w:t>Private Lives</w:t>
      </w:r>
      <w:r w:rsidRPr="00EA4B80">
        <w:rPr>
          <w:rFonts w:cs="Times New Roman"/>
        </w:rPr>
        <w:t>, 74, it is noted that ‘[i]n disputes over custody mid-Victorian judges almost invariably upheld the rights of a father, however reprobate, against a mother, however virtuous’.</w:t>
      </w:r>
    </w:p>
  </w:footnote>
  <w:footnote w:id="50">
    <w:p w:rsidR="00026F0C" w:rsidRPr="00EA4B80" w:rsidRDefault="00026F0C" w:rsidP="00CD6159">
      <w:pPr>
        <w:pStyle w:val="NormalWeb"/>
        <w:spacing w:before="0" w:beforeAutospacing="0" w:after="0" w:afterAutospacing="0"/>
        <w:jc w:val="both"/>
        <w:rPr>
          <w:sz w:val="20"/>
          <w:szCs w:val="20"/>
        </w:rPr>
      </w:pPr>
      <w:r w:rsidRPr="00EA4B80">
        <w:rPr>
          <w:rStyle w:val="FootnoteReference"/>
          <w:sz w:val="20"/>
          <w:szCs w:val="20"/>
        </w:rPr>
        <w:footnoteRef/>
      </w:r>
      <w:r w:rsidRPr="00EA4B80">
        <w:rPr>
          <w:sz w:val="20"/>
          <w:szCs w:val="20"/>
        </w:rPr>
        <w:t xml:space="preserve"> </w:t>
      </w:r>
      <w:r w:rsidRPr="00EA4B80">
        <w:rPr>
          <w:i/>
          <w:sz w:val="20"/>
          <w:szCs w:val="20"/>
        </w:rPr>
        <w:t>Cavendish v Cavendish and Rochefoucauld</w:t>
      </w:r>
      <w:r w:rsidRPr="00EA4B80">
        <w:rPr>
          <w:b/>
          <w:bCs/>
          <w:sz w:val="20"/>
          <w:szCs w:val="20"/>
        </w:rPr>
        <w:t xml:space="preserve">, </w:t>
      </w:r>
      <w:r w:rsidRPr="00EA4B80">
        <w:rPr>
          <w:bCs/>
          <w:i/>
          <w:sz w:val="20"/>
          <w:szCs w:val="20"/>
        </w:rPr>
        <w:t>The Times</w:t>
      </w:r>
      <w:r w:rsidRPr="00EA4B80">
        <w:rPr>
          <w:bCs/>
          <w:sz w:val="20"/>
          <w:szCs w:val="20"/>
        </w:rPr>
        <w:t xml:space="preserve"> , 28 Nov. 1866,</w:t>
      </w:r>
      <w:r w:rsidRPr="00EA4B80">
        <w:rPr>
          <w:bCs/>
          <w:i/>
          <w:sz w:val="20"/>
          <w:szCs w:val="20"/>
        </w:rPr>
        <w:t xml:space="preserve"> </w:t>
      </w:r>
      <w:r w:rsidRPr="00EA4B80">
        <w:rPr>
          <w:bCs/>
          <w:sz w:val="20"/>
          <w:szCs w:val="20"/>
        </w:rPr>
        <w:t>9 cols.d-e.</w:t>
      </w:r>
      <w:r w:rsidRPr="00EA4B80">
        <w:rPr>
          <w:sz w:val="20"/>
          <w:szCs w:val="20"/>
        </w:rPr>
        <w:t>    </w:t>
      </w:r>
    </w:p>
  </w:footnote>
  <w:footnote w:id="5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Cavendish v Cavendish and Rochefoucauld </w:t>
      </w:r>
      <w:r w:rsidRPr="00EA4B80">
        <w:rPr>
          <w:rFonts w:cs="Times New Roman"/>
        </w:rPr>
        <w:t xml:space="preserve">(1868) 19 TLR 497 at 497. </w:t>
      </w:r>
      <w:r w:rsidRPr="00EA4B80">
        <w:rPr>
          <w:rStyle w:val="mini"/>
          <w:rFonts w:cs="Times New Roman"/>
        </w:rPr>
        <w:t xml:space="preserve">The Dutch Company mentioned may have been the </w:t>
      </w:r>
      <w:r w:rsidRPr="00EA4B80">
        <w:rPr>
          <w:rFonts w:cs="Times New Roman"/>
        </w:rPr>
        <w:t xml:space="preserve">Société. </w:t>
      </w:r>
      <w:r w:rsidRPr="00EA4B80">
        <w:rPr>
          <w:rStyle w:val="mini"/>
          <w:rFonts w:cs="Times New Roman"/>
        </w:rPr>
        <w:t xml:space="preserve">Although Emily is not listed as a shareholder in the records of the </w:t>
      </w:r>
      <w:r w:rsidRPr="00EA4B80">
        <w:rPr>
          <w:rFonts w:cs="Times New Roman"/>
        </w:rPr>
        <w:t>Société</w:t>
      </w:r>
      <w:r w:rsidRPr="00EA4B80">
        <w:rPr>
          <w:rStyle w:val="mini"/>
          <w:rFonts w:cs="Times New Roman"/>
        </w:rPr>
        <w:t>, she may have owned shares through a nominee, or possessed some other type of interest. Probably, the extent of any interest that she may have possessed in the</w:t>
      </w:r>
      <w:r w:rsidRPr="00EA4B80">
        <w:rPr>
          <w:rStyle w:val="mini"/>
          <w:rFonts w:cs="Times New Roman"/>
          <w:b/>
        </w:rPr>
        <w:t xml:space="preserve"> </w:t>
      </w:r>
      <w:r w:rsidRPr="00EA4B80">
        <w:rPr>
          <w:rFonts w:cs="Times New Roman"/>
        </w:rPr>
        <w:t>Société is now impossible to ascertain.</w:t>
      </w:r>
    </w:p>
  </w:footnote>
  <w:footnote w:id="52">
    <w:p w:rsidR="00026F0C" w:rsidRPr="00C753CE" w:rsidRDefault="00026F0C" w:rsidP="003A1D37">
      <w:pPr>
        <w:pStyle w:val="FootnoteText"/>
      </w:pPr>
      <w:r>
        <w:rPr>
          <w:rStyle w:val="FootnoteReference"/>
        </w:rPr>
        <w:footnoteRef/>
      </w:r>
      <w:r>
        <w:t xml:space="preserve"> Although there is no evidence that the Emperor personally interceded in Emily’s favour, she was seemingly on good terms with him. According to Rumbold, </w:t>
      </w:r>
      <w:r>
        <w:rPr>
          <w:i/>
        </w:rPr>
        <w:t>Recollections</w:t>
      </w:r>
      <w:r>
        <w:t>, 90-91, she first struck up ‘a considerable friendship’ with Napoleon III in 1847 in England. According to Rumbold, this friendship was long-lasting.</w:t>
      </w:r>
    </w:p>
  </w:footnote>
  <w:footnote w:id="53">
    <w:p w:rsidR="00026F0C" w:rsidRPr="000C7708" w:rsidRDefault="00026F0C" w:rsidP="00CD6159">
      <w:pPr>
        <w:pStyle w:val="FootnoteText"/>
        <w:ind w:left="0" w:firstLine="0"/>
        <w:jc w:val="both"/>
        <w:rPr>
          <w:rFonts w:cs="Times New Roman"/>
          <w:i/>
        </w:rPr>
      </w:pPr>
      <w:r w:rsidRPr="00EA4B80">
        <w:rPr>
          <w:rStyle w:val="FootnoteReference"/>
          <w:rFonts w:cs="Times New Roman"/>
        </w:rPr>
        <w:footnoteRef/>
      </w:r>
      <w:r w:rsidRPr="00EA4B80">
        <w:rPr>
          <w:rFonts w:cs="Times New Roman"/>
        </w:rPr>
        <w:t xml:space="preserve"> </w:t>
      </w:r>
      <w:r w:rsidRPr="00EA4B80">
        <w:rPr>
          <w:rFonts w:cs="Times New Roman"/>
          <w:i/>
        </w:rPr>
        <w:t xml:space="preserve">De La Rochefoucauld v Boustead, The Standard </w:t>
      </w:r>
      <w:r w:rsidRPr="00EA4B80">
        <w:rPr>
          <w:rFonts w:cs="Times New Roman"/>
        </w:rPr>
        <w:t xml:space="preserve">, 28 April 1898, </w:t>
      </w:r>
      <w:r w:rsidRPr="00EA4B80">
        <w:rPr>
          <w:rStyle w:val="mini"/>
          <w:rFonts w:cs="Times New Roman"/>
        </w:rPr>
        <w:t>3 cols.a-b, at a.</w:t>
      </w:r>
    </w:p>
  </w:footnote>
  <w:footnote w:id="5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A </w:t>
      </w:r>
      <w:r w:rsidRPr="00EA4B80">
        <w:rPr>
          <w:rFonts w:cs="Times New Roman"/>
        </w:rPr>
        <w:t>signed and sealed copy of the original 1857 mortgag</w:t>
      </w:r>
      <w:r>
        <w:rPr>
          <w:rFonts w:cs="Times New Roman"/>
        </w:rPr>
        <w:t xml:space="preserve">e deed </w:t>
      </w:r>
      <w:r w:rsidRPr="00EA4B80">
        <w:rPr>
          <w:rFonts w:cs="Times New Roman"/>
        </w:rPr>
        <w:t>is currently in the possession of the Baring Archive (Baring Archive, HC6.3.7, 1857).</w:t>
      </w:r>
      <w:r>
        <w:rPr>
          <w:rFonts w:cs="Times New Roman"/>
        </w:rPr>
        <w:t xml:space="preserve"> </w:t>
      </w:r>
      <w:r>
        <w:rPr>
          <w:rStyle w:val="mini"/>
          <w:rFonts w:cs="Times New Roman"/>
          <w:iCs/>
        </w:rPr>
        <w:t>Richard Baring executed this</w:t>
      </w:r>
      <w:r w:rsidRPr="00EA4B80">
        <w:rPr>
          <w:rStyle w:val="mini"/>
          <w:rFonts w:cs="Times New Roman"/>
          <w:iCs/>
        </w:rPr>
        <w:t xml:space="preserve"> instrument in Ceylon as the attorney of the Baron. Although several of the law reports state that the Estates were mortgaged for £25,000, the documentation in the Baring Archive (</w:t>
      </w:r>
      <w:r w:rsidRPr="00EA4B80">
        <w:rPr>
          <w:rFonts w:cs="Times New Roman"/>
        </w:rPr>
        <w:t>HC6.3.7, 1857 and 1864) makes it clear that the Baron ‘became bound to [Barings] in the sum of £50,000’. It seems that Barings also ‘lent to him the sum of £25,000’. Ther</w:t>
      </w:r>
      <w:r>
        <w:rPr>
          <w:rFonts w:cs="Times New Roman"/>
        </w:rPr>
        <w:t xml:space="preserve">efore, in total, the Baron was </w:t>
      </w:r>
      <w:r w:rsidRPr="00EA4B80">
        <w:rPr>
          <w:rFonts w:cs="Times New Roman"/>
        </w:rPr>
        <w:t>advanced £75,000.</w:t>
      </w:r>
    </w:p>
  </w:footnote>
  <w:footnote w:id="5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This information appears in the </w:t>
      </w:r>
      <w:r w:rsidRPr="00EA4B80">
        <w:rPr>
          <w:rStyle w:val="mini"/>
          <w:rFonts w:cs="Times New Roman"/>
          <w:iCs/>
        </w:rPr>
        <w:t xml:space="preserve">recitals in the deed dated 28 Dec. 1863 transferring the debt, mortgage and power of attorney to the </w:t>
      </w:r>
      <w:r w:rsidRPr="00EA4B80">
        <w:rPr>
          <w:rFonts w:cs="Times New Roman"/>
        </w:rPr>
        <w:t>Société (Baring Archive, HC6.3.7, 1864). The deed states that Richard Baring was authorised to act as attorney of the Baron ‘</w:t>
      </w:r>
      <w:r w:rsidRPr="00EA4B80">
        <w:rPr>
          <w:rStyle w:val="mini"/>
          <w:rFonts w:cs="Times New Roman"/>
          <w:iCs/>
        </w:rPr>
        <w:t>by a letter of attorney bearing date at Paris the eleventh day of April [1857]’.</w:t>
      </w:r>
    </w:p>
  </w:footnote>
  <w:footnote w:id="56">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Henry William Byerley Thomson, </w:t>
      </w:r>
      <w:r w:rsidRPr="00EA4B80">
        <w:rPr>
          <w:rFonts w:cs="Times New Roman"/>
          <w:i/>
        </w:rPr>
        <w:t>Institutes of the Laws of Ceylon</w:t>
      </w:r>
      <w:r w:rsidRPr="00EA4B80">
        <w:rPr>
          <w:rFonts w:cs="Times New Roman"/>
        </w:rPr>
        <w:t>, 1</w:t>
      </w:r>
      <w:r w:rsidRPr="00EA4B80">
        <w:rPr>
          <w:rFonts w:cs="Times New Roman"/>
          <w:vertAlign w:val="superscript"/>
        </w:rPr>
        <w:t>st</w:t>
      </w:r>
      <w:r w:rsidRPr="00EA4B80">
        <w:rPr>
          <w:rFonts w:cs="Times New Roman"/>
        </w:rPr>
        <w:t xml:space="preserve"> ed., London, 1866, x.</w:t>
      </w:r>
    </w:p>
  </w:footnote>
  <w:footnote w:id="57">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Ibid.,</w:t>
      </w:r>
      <w:r>
        <w:rPr>
          <w:rFonts w:cs="Times New Roman"/>
        </w:rPr>
        <w:t xml:space="preserve"> 256.</w:t>
      </w:r>
    </w:p>
  </w:footnote>
  <w:footnote w:id="58">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r w:rsidRPr="00EA4B80">
        <w:rPr>
          <w:rFonts w:cs="Times New Roman"/>
          <w:i/>
        </w:rPr>
        <w:t>.</w:t>
      </w:r>
      <w:r w:rsidRPr="00EA4B80">
        <w:rPr>
          <w:rFonts w:cs="Times New Roman"/>
        </w:rPr>
        <w:t>, 349-355.</w:t>
      </w:r>
    </w:p>
  </w:footnote>
  <w:footnote w:id="59">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Josiah W. Smith </w:t>
      </w:r>
      <w:r>
        <w:rPr>
          <w:rFonts w:cs="Times New Roman"/>
          <w:i/>
        </w:rPr>
        <w:t xml:space="preserve">A Manual of Equity Jurisprudence, </w:t>
      </w:r>
      <w:r>
        <w:rPr>
          <w:rFonts w:cs="Times New Roman"/>
        </w:rPr>
        <w:t>5</w:t>
      </w:r>
      <w:r w:rsidRPr="00E7688A">
        <w:rPr>
          <w:rFonts w:cs="Times New Roman"/>
          <w:vertAlign w:val="superscript"/>
        </w:rPr>
        <w:t>th</w:t>
      </w:r>
      <w:r>
        <w:rPr>
          <w:rFonts w:cs="Times New Roman"/>
        </w:rPr>
        <w:t xml:space="preserve"> ed., London, 1856, 252-253.</w:t>
      </w:r>
    </w:p>
  </w:footnote>
  <w:footnote w:id="60">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r w:rsidRPr="00EA4B80">
        <w:rPr>
          <w:rFonts w:cs="Times New Roman"/>
          <w:i/>
        </w:rPr>
        <w:t xml:space="preserve"> </w:t>
      </w:r>
      <w:r w:rsidRPr="00EA4B80">
        <w:rPr>
          <w:rFonts w:cs="Times New Roman"/>
        </w:rPr>
        <w:t>253-254.</w:t>
      </w:r>
    </w:p>
  </w:footnote>
  <w:footnote w:id="61">
    <w:p w:rsidR="00026F0C" w:rsidRPr="00EA4B80" w:rsidRDefault="00026F0C" w:rsidP="00671C69">
      <w:pPr>
        <w:pStyle w:val="FootnoteText"/>
        <w:jc w:val="both"/>
        <w:rPr>
          <w:rFonts w:cs="Times New Roman"/>
        </w:rPr>
      </w:pPr>
      <w:r w:rsidRPr="00EA4B80">
        <w:rPr>
          <w:rStyle w:val="FootnoteReference"/>
          <w:rFonts w:cs="Times New Roman"/>
        </w:rPr>
        <w:footnoteRef/>
      </w:r>
      <w:r w:rsidRPr="00EA4B80">
        <w:rPr>
          <w:rFonts w:cs="Times New Roman"/>
        </w:rPr>
        <w:t xml:space="preserve"> Lee, </w:t>
      </w:r>
      <w:r w:rsidRPr="00EA4B80">
        <w:rPr>
          <w:rFonts w:cs="Times New Roman"/>
          <w:i/>
        </w:rPr>
        <w:t>An I</w:t>
      </w:r>
      <w:r>
        <w:rPr>
          <w:rFonts w:cs="Times New Roman"/>
          <w:i/>
        </w:rPr>
        <w:t>ntroduction</w:t>
      </w:r>
      <w:r>
        <w:rPr>
          <w:rFonts w:cs="Times New Roman"/>
        </w:rPr>
        <w:t xml:space="preserve">, </w:t>
      </w:r>
      <w:r w:rsidRPr="00EA4B80">
        <w:rPr>
          <w:rFonts w:cs="Times New Roman"/>
        </w:rPr>
        <w:t>180-181.</w:t>
      </w:r>
    </w:p>
  </w:footnote>
  <w:footnote w:id="62">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[1897] 1 Ch. 196 at 197.</w:t>
      </w:r>
    </w:p>
  </w:footnote>
  <w:footnote w:id="6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The attorneys of the </w:t>
      </w:r>
      <w:r w:rsidRPr="00EA4B80">
        <w:rPr>
          <w:rFonts w:cs="Times New Roman"/>
        </w:rPr>
        <w:t>Société</w:t>
      </w:r>
      <w:r>
        <w:rPr>
          <w:rFonts w:cs="Times New Roman"/>
        </w:rPr>
        <w:t xml:space="preserve"> in Ceylon, Robertsons, wrote to the </w:t>
      </w:r>
      <w:r w:rsidRPr="00EA4B80">
        <w:rPr>
          <w:rFonts w:cs="Times New Roman"/>
        </w:rPr>
        <w:t>Société</w:t>
      </w:r>
      <w:r>
        <w:rPr>
          <w:rFonts w:cs="Times New Roman"/>
        </w:rPr>
        <w:t xml:space="preserve"> on 22 July 1871 to explain that ‘the foreclosure of your mortgage is being proceeded with’ (Stadsarcheif, Amsterdam, inventory number 20</w:t>
      </w:r>
      <w:r w:rsidRPr="00EA4B80">
        <w:rPr>
          <w:rFonts w:cs="Times New Roman"/>
        </w:rPr>
        <w:t xml:space="preserve"> of archive 650</w:t>
      </w:r>
      <w:r>
        <w:rPr>
          <w:rFonts w:cs="Times New Roman"/>
        </w:rPr>
        <w:t xml:space="preserve">, 1871). </w:t>
      </w:r>
    </w:p>
  </w:footnote>
  <w:footnote w:id="6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Style w:val="mini"/>
          <w:rFonts w:cs="Times New Roman"/>
          <w:iCs/>
        </w:rPr>
        <w:t>In a letter written by Emily to Barings, dated 8 Sept. 1862, requesting further advances, she expressed her understanding that, as soon as the power of attorney was executed, Barings would provide the said advances (</w:t>
      </w:r>
      <w:r w:rsidRPr="00EA4B80">
        <w:rPr>
          <w:rFonts w:cs="Times New Roman"/>
        </w:rPr>
        <w:t xml:space="preserve">Baring Archive, HC6.3.22, 1862). </w:t>
      </w:r>
      <w:r w:rsidRPr="00EA4B80">
        <w:rPr>
          <w:rStyle w:val="mini"/>
          <w:rFonts w:cs="Times New Roman"/>
        </w:rPr>
        <w:t xml:space="preserve">A letter sent by Cavendish to Barings, dated 15 Jan. 1872 </w:t>
      </w:r>
      <w:r w:rsidRPr="00EA4B80">
        <w:rPr>
          <w:rStyle w:val="mini"/>
          <w:rFonts w:cs="Times New Roman"/>
          <w:iCs/>
        </w:rPr>
        <w:t>alludes to the fact that the advancements that Emily had sought were indeed provided by Barings (</w:t>
      </w:r>
      <w:r w:rsidRPr="00EA4B80">
        <w:rPr>
          <w:rFonts w:cs="Times New Roman"/>
        </w:rPr>
        <w:t>Baring Archive, HC6.3.22.13, 1872</w:t>
      </w:r>
      <w:r>
        <w:rPr>
          <w:rFonts w:cs="Times New Roman"/>
        </w:rPr>
        <w:t>)</w:t>
      </w:r>
      <w:r w:rsidRPr="00EA4B80">
        <w:rPr>
          <w:rFonts w:cs="Times New Roman"/>
        </w:rPr>
        <w:t>.</w:t>
      </w:r>
    </w:p>
  </w:footnote>
  <w:footnote w:id="6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A certified copy of the deed, dated 28 Dec. 1863, by which the mortgage was assigned to the Société, is held by the Baring Archive, HC6.3.7, 1864. The recitals to this instrument reveal the details concerning the 1862 power of attorney. This instrument also emphasises that the Estates were ‘expressly limited to the said Emily Victorine Elizabeth Cavendish for her sole and separate use free from the control interference debts or engagements of her present or any future husband and the said George Henry Cavendish having been made a party to and executed this deed solely for the sake of conformity’.</w:t>
      </w:r>
    </w:p>
  </w:footnote>
  <w:footnote w:id="6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It should be noted that, although the 1862 power of attorney seems to have been executed in Europe, the recitals to the 1863 instrument also state </w:t>
      </w:r>
      <w:r w:rsidRPr="00EA4B80">
        <w:rPr>
          <w:rStyle w:val="mini"/>
          <w:rFonts w:cs="Times New Roman"/>
          <w:iCs/>
        </w:rPr>
        <w:t>that ‘</w:t>
      </w:r>
      <w:r w:rsidRPr="00EA4B80">
        <w:rPr>
          <w:rFonts w:cs="Times New Roman"/>
        </w:rPr>
        <w:t>a deed or instrument of assignment was duly executed in the said Island of Ceylon in pursuance of the said Power of Attorney.’</w:t>
      </w:r>
    </w:p>
  </w:footnote>
  <w:footnote w:id="6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power of attorney was granted to ‘James Murray Robertson, George Christian and Henry Bois constituting the Firm of J.M. Robertson &amp; Co. of Colombo’ (Baring Archive, HC6.3.7, 1864). James Murray Robertson is described in the Baring Archive Catalogue as having, in 1849, been ‘Barings [sic] agent and manager in Ceylon’ (Baring Archive Catalogue, HC6, Indian Sub-continent, Far East &amp; Australia, at 11, available at &lt; </w:t>
      </w:r>
      <w:r w:rsidRPr="008D759B">
        <w:rPr>
          <w:rFonts w:cs="Times New Roman"/>
        </w:rPr>
        <w:t>http://www.baringarchive.org.uk/materials/the_baring_archive_hc6.pdf</w:t>
      </w:r>
      <w:r>
        <w:rPr>
          <w:rFonts w:cs="Times New Roman"/>
        </w:rPr>
        <w:t xml:space="preserve">&gt; </w:t>
      </w:r>
      <w:r w:rsidRPr="00EA4B80">
        <w:rPr>
          <w:rFonts w:cs="Times New Roman"/>
        </w:rPr>
        <w:t>accessed 1 July 2012). It is therefore safe to assume that the firm of Robertson and Co. acted in a similar capacity.</w:t>
      </w:r>
    </w:p>
  </w:footnote>
  <w:footnote w:id="68">
    <w:p w:rsidR="00026F0C" w:rsidRPr="00EA4B80" w:rsidRDefault="00026F0C" w:rsidP="00CD6159">
      <w:pPr>
        <w:pStyle w:val="FootnoteText"/>
        <w:spacing w:line="240" w:lineRule="auto"/>
        <w:ind w:left="0" w:firstLine="0"/>
        <w:jc w:val="both"/>
        <w:rPr>
          <w:rFonts w:cs="Times New Roman"/>
        </w:rPr>
      </w:pPr>
      <w:r w:rsidRPr="00EA4B80">
        <w:rPr>
          <w:rStyle w:val="FootnoteReference"/>
          <w:rFonts w:cs="Times New Roman"/>
        </w:rPr>
        <w:footnoteRef/>
      </w:r>
      <w:r>
        <w:rPr>
          <w:rFonts w:cs="Times New Roman"/>
        </w:rPr>
        <w:t xml:space="preserve"> See n. </w:t>
      </w:r>
      <w:r>
        <w:rPr>
          <w:rFonts w:cs="Times New Roman"/>
          <w:color w:val="000000" w:themeColor="text1"/>
        </w:rPr>
        <w:t>15</w:t>
      </w:r>
      <w:r>
        <w:rPr>
          <w:rFonts w:cs="Times New Roman"/>
        </w:rPr>
        <w:t xml:space="preserve">, above. </w:t>
      </w:r>
    </w:p>
  </w:footnote>
  <w:footnote w:id="69">
    <w:p w:rsidR="00026F0C" w:rsidRPr="00EA4B80" w:rsidRDefault="00026F0C" w:rsidP="00CD6159">
      <w:pPr>
        <w:pStyle w:val="western"/>
        <w:spacing w:before="0" w:beforeAutospacing="0" w:after="0"/>
        <w:jc w:val="both"/>
        <w:rPr>
          <w:sz w:val="20"/>
          <w:szCs w:val="20"/>
        </w:rPr>
      </w:pPr>
      <w:r w:rsidRPr="00EA4B80">
        <w:rPr>
          <w:rStyle w:val="FootnoteReference"/>
          <w:sz w:val="20"/>
          <w:szCs w:val="20"/>
        </w:rPr>
        <w:footnoteRef/>
      </w:r>
      <w:r w:rsidRPr="00EA4B80">
        <w:rPr>
          <w:sz w:val="20"/>
          <w:szCs w:val="20"/>
        </w:rPr>
        <w:t xml:space="preserve"> Lee, ‘Roman Dutch Law’, 369.</w:t>
      </w:r>
    </w:p>
  </w:footnote>
  <w:footnote w:id="70">
    <w:p w:rsidR="00026F0C" w:rsidRPr="00EA4B80" w:rsidRDefault="00026F0C" w:rsidP="00CD6159">
      <w:pPr>
        <w:pStyle w:val="FootnoteText"/>
        <w:spacing w:line="240" w:lineRule="auto"/>
        <w:ind w:left="0" w:firstLine="0"/>
        <w:jc w:val="both"/>
        <w:rPr>
          <w:rFonts w:cs="Times New Roman"/>
        </w:rPr>
      </w:pPr>
      <w:r w:rsidRPr="00EA4B80">
        <w:rPr>
          <w:rStyle w:val="FootnoteReference"/>
          <w:rFonts w:cs="Times New Roman"/>
        </w:rPr>
        <w:footnoteRef/>
      </w:r>
      <w:r w:rsidRPr="00EA4B80">
        <w:rPr>
          <w:rFonts w:cs="Times New Roman"/>
        </w:rPr>
        <w:t xml:space="preserve"> Ibid., 366.</w:t>
      </w:r>
    </w:p>
  </w:footnote>
  <w:footnote w:id="71">
    <w:p w:rsidR="00026F0C" w:rsidRPr="00EA4B80" w:rsidRDefault="00026F0C" w:rsidP="00CD6159">
      <w:pPr>
        <w:pStyle w:val="FootnoteText"/>
        <w:spacing w:line="240" w:lineRule="auto"/>
        <w:ind w:left="0" w:firstLine="0"/>
        <w:jc w:val="both"/>
        <w:rPr>
          <w:rFonts w:cs="Times New Roman"/>
        </w:rPr>
      </w:pPr>
      <w:r w:rsidRPr="00EA4B80">
        <w:rPr>
          <w:rStyle w:val="FootnoteReference"/>
          <w:rFonts w:cs="Times New Roman"/>
        </w:rPr>
        <w:footnoteRef/>
      </w:r>
      <w:r w:rsidRPr="00EA4B80">
        <w:rPr>
          <w:rFonts w:cs="Times New Roman"/>
        </w:rPr>
        <w:t xml:space="preserve"> L.B. Clarence, ‘The Administration of Justice in Ceylon’, 2 </w:t>
      </w:r>
      <w:r w:rsidRPr="00EA4B80">
        <w:rPr>
          <w:rFonts w:cs="Times New Roman"/>
          <w:i/>
        </w:rPr>
        <w:t>Law Quarterly Review</w:t>
      </w:r>
      <w:r w:rsidRPr="00EA4B80">
        <w:rPr>
          <w:rFonts w:cs="Times New Roman"/>
        </w:rPr>
        <w:t xml:space="preserve"> 28 (1886), at 44.</w:t>
      </w:r>
    </w:p>
  </w:footnote>
  <w:footnote w:id="7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Baring Archive, HC6.3.7, 1864. The new power of attorney was in all material respects similar to the old one, except that the Société took the place of Barings. The power also empowered Robertsons to ‘to sign and execute all such deeds or documents and so all such acts matters and things as [they] may think proper’ in furtherance of securing repayment of the debts.</w:t>
      </w:r>
    </w:p>
  </w:footnote>
  <w:footnote w:id="7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See </w:t>
      </w:r>
      <w:r>
        <w:rPr>
          <w:rFonts w:cs="Times New Roman"/>
          <w:color w:val="000000" w:themeColor="text1"/>
        </w:rPr>
        <w:t>n. 65</w:t>
      </w:r>
      <w:r>
        <w:rPr>
          <w:rFonts w:cs="Times New Roman"/>
        </w:rPr>
        <w:t>, above.</w:t>
      </w:r>
    </w:p>
  </w:footnote>
  <w:footnote w:id="74">
    <w:p w:rsidR="00026F0C" w:rsidRPr="00C933D7" w:rsidRDefault="00026F0C" w:rsidP="00CD6159">
      <w:pPr>
        <w:pStyle w:val="FootnoteText"/>
        <w:ind w:left="0" w:firstLine="0"/>
        <w:jc w:val="both"/>
        <w:rPr>
          <w:color w:val="FF0000"/>
        </w:rPr>
      </w:pPr>
      <w:r>
        <w:rPr>
          <w:rStyle w:val="FootnoteReference"/>
        </w:rPr>
        <w:footnoteRef/>
      </w:r>
      <w:r>
        <w:t xml:space="preserve"> For details relating to the Stadsarcheif Amsterdam, see n.</w:t>
      </w:r>
      <w:r>
        <w:rPr>
          <w:color w:val="000000" w:themeColor="text1"/>
        </w:rPr>
        <w:t xml:space="preserve"> 19</w:t>
      </w:r>
      <w:r w:rsidRPr="009128A5">
        <w:rPr>
          <w:color w:val="000000" w:themeColor="text1"/>
        </w:rPr>
        <w:t>, above.</w:t>
      </w:r>
    </w:p>
  </w:footnote>
  <w:footnote w:id="7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1863 instrument transferring the debt and mortgage to the Société explains that the Société was known in the Netherlands as the Algemeene Maatschappij vor</w:t>
      </w:r>
      <w:r>
        <w:rPr>
          <w:rFonts w:cs="Times New Roman"/>
        </w:rPr>
        <w:t xml:space="preserve">  Nijverheid en Handel [sic.]. </w:t>
      </w:r>
      <w:r w:rsidRPr="00EA4B80">
        <w:rPr>
          <w:rFonts w:cs="Times New Roman"/>
        </w:rPr>
        <w:t>The prospectus of the c</w:t>
      </w:r>
      <w:r>
        <w:rPr>
          <w:rFonts w:cs="Times New Roman"/>
        </w:rPr>
        <w:t xml:space="preserve">ompany (Stadsarcheif Amsterdam 650/4, 1863) </w:t>
      </w:r>
      <w:r w:rsidRPr="00EA4B80">
        <w:rPr>
          <w:rFonts w:cs="Times New Roman"/>
        </w:rPr>
        <w:t xml:space="preserve">makes it clear that the Société Genéralé de Commerce et d’Industrie of Amsterdam was also known as the Algemeene Maatschappij voor Handel en Nijverheid. </w:t>
      </w:r>
    </w:p>
  </w:footnote>
  <w:footnote w:id="7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Michael Wintle </w:t>
      </w:r>
      <w:r w:rsidRPr="00EA4B80">
        <w:rPr>
          <w:rFonts w:cs="Times New Roman"/>
          <w:i/>
        </w:rPr>
        <w:t xml:space="preserve">An Economic and Social History of the Netherlands 1800-1920 Demographic, Economic and Social Transition, </w:t>
      </w:r>
      <w:r w:rsidRPr="00EA4B80">
        <w:rPr>
          <w:rFonts w:cs="Times New Roman"/>
        </w:rPr>
        <w:t>Cambridge, 2000, 105.</w:t>
      </w:r>
    </w:p>
  </w:footnote>
  <w:footnote w:id="7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Stadsarcheif Amsterdam, 650/4</w:t>
      </w:r>
      <w:r>
        <w:rPr>
          <w:rFonts w:cs="Times New Roman"/>
        </w:rPr>
        <w:t>, 1863</w:t>
      </w:r>
      <w:r w:rsidRPr="00EA4B80">
        <w:rPr>
          <w:rFonts w:cs="Times New Roman"/>
        </w:rPr>
        <w:t>.</w:t>
      </w:r>
    </w:p>
  </w:footnote>
  <w:footnote w:id="7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Report to the Société’s annual general meeting of shareholders, 29 March, 1864,</w:t>
      </w:r>
      <w:r w:rsidRPr="00EA4B80">
        <w:rPr>
          <w:rFonts w:cs="Times New Roman"/>
          <w:b/>
        </w:rPr>
        <w:t xml:space="preserve"> </w:t>
      </w:r>
      <w:r w:rsidRPr="00EA4B80">
        <w:rPr>
          <w:rFonts w:cs="Times New Roman"/>
        </w:rPr>
        <w:t>Stadsarcheiif Amsterdam, 650/4</w:t>
      </w:r>
      <w:r>
        <w:rPr>
          <w:rFonts w:cs="Times New Roman"/>
        </w:rPr>
        <w:t>, 1864</w:t>
      </w:r>
      <w:r w:rsidRPr="00EA4B80">
        <w:rPr>
          <w:rFonts w:cs="Times New Roman"/>
        </w:rPr>
        <w:t>.</w:t>
      </w:r>
    </w:p>
  </w:footnote>
  <w:footnote w:id="7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Manfred Pohl and Sabine Freitag, </w:t>
      </w:r>
      <w:r w:rsidRPr="00EA4B80">
        <w:rPr>
          <w:rFonts w:cs="Times New Roman"/>
          <w:i/>
        </w:rPr>
        <w:t>Handbook on the History of European Banks</w:t>
      </w:r>
      <w:r w:rsidRPr="00EA4B80">
        <w:rPr>
          <w:rFonts w:cs="Times New Roman"/>
        </w:rPr>
        <w:t>, European Association for Banking History, Aldershot, 1994, 722.</w:t>
      </w:r>
    </w:p>
  </w:footnote>
  <w:footnote w:id="8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Report to the Société’s annual general meeting of shareholders, 29 March, 1864,</w:t>
      </w:r>
      <w:r w:rsidRPr="00EA4B80">
        <w:rPr>
          <w:rFonts w:cs="Times New Roman"/>
          <w:b/>
        </w:rPr>
        <w:t xml:space="preserve"> </w:t>
      </w:r>
      <w:r>
        <w:rPr>
          <w:rFonts w:cs="Times New Roman"/>
        </w:rPr>
        <w:t xml:space="preserve">Stadsarcheiif Amsterdam, </w:t>
      </w:r>
      <w:r w:rsidRPr="00EA4B80">
        <w:rPr>
          <w:rFonts w:cs="Times New Roman"/>
        </w:rPr>
        <w:t>650/4</w:t>
      </w:r>
      <w:r>
        <w:rPr>
          <w:rFonts w:cs="Times New Roman"/>
        </w:rPr>
        <w:t>, 1864</w:t>
      </w:r>
      <w:r w:rsidRPr="00EA4B80">
        <w:rPr>
          <w:rFonts w:cs="Times New Roman"/>
        </w:rPr>
        <w:t>.</w:t>
      </w:r>
    </w:p>
  </w:footnote>
  <w:footnote w:id="8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p>
  </w:footnote>
  <w:footnote w:id="8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p>
  </w:footnote>
  <w:footnote w:id="8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Telegrams sent by Martin on 7 Aug.</w:t>
      </w:r>
      <w:r>
        <w:rPr>
          <w:rFonts w:cs="Times New Roman"/>
        </w:rPr>
        <w:t xml:space="preserve"> </w:t>
      </w:r>
      <w:r w:rsidRPr="00EA4B80">
        <w:rPr>
          <w:rFonts w:cs="Times New Roman"/>
        </w:rPr>
        <w:t>and 28 Aug. 1870 were sent from Paris</w:t>
      </w:r>
      <w:r>
        <w:rPr>
          <w:rFonts w:cs="Times New Roman"/>
        </w:rPr>
        <w:t xml:space="preserve">. The tone of these telegrams strongly suggests </w:t>
      </w:r>
      <w:r w:rsidRPr="00EA4B80">
        <w:rPr>
          <w:rFonts w:cs="Times New Roman"/>
        </w:rPr>
        <w:t>that Martin was based there (Stadsarcheiif Amsterdam, 650/20</w:t>
      </w:r>
      <w:r>
        <w:rPr>
          <w:rFonts w:cs="Times New Roman"/>
        </w:rPr>
        <w:t>, 1870</w:t>
      </w:r>
      <w:r w:rsidRPr="00EA4B80">
        <w:rPr>
          <w:rFonts w:cs="Times New Roman"/>
        </w:rPr>
        <w:t>).</w:t>
      </w:r>
    </w:p>
  </w:footnote>
  <w:footnote w:id="84">
    <w:p w:rsidR="00026F0C" w:rsidRPr="00EA4B80" w:rsidRDefault="00026F0C" w:rsidP="00BE1FCD">
      <w:pPr>
        <w:pStyle w:val="FootnoteText"/>
        <w:ind w:left="0" w:firstLine="0"/>
        <w:rPr>
          <w:rFonts w:cs="Times New Roman"/>
        </w:rPr>
      </w:pPr>
      <w:r w:rsidRPr="00EA4B80">
        <w:rPr>
          <w:rStyle w:val="FootnoteReference"/>
          <w:rFonts w:cs="Times New Roman"/>
        </w:rPr>
        <w:footnoteRef/>
      </w:r>
      <w:r w:rsidRPr="00EA4B80">
        <w:rPr>
          <w:rFonts w:cs="Times New Roman"/>
        </w:rPr>
        <w:t xml:space="preserve"> Nederlands Nationaal Archeif 2.18.33, PDF available at </w:t>
      </w:r>
      <w:r>
        <w:rPr>
          <w:rFonts w:cs="Times New Roman"/>
        </w:rPr>
        <w:t>&lt;</w:t>
      </w:r>
      <w:r w:rsidRPr="009128A5">
        <w:rPr>
          <w:rFonts w:cs="Times New Roman"/>
        </w:rPr>
        <w:t>http://www.gahetna.nl/en/collectie/archief/ead/index/eadid/2.18.33/anchor/descgrp-appendices-odd/zoekterm/Leichlingen/aantal/20/open/descgrp-appendices-odd#descgrp-appendices-odd</w:t>
      </w:r>
      <w:r>
        <w:rPr>
          <w:rFonts w:cs="Times New Roman"/>
        </w:rPr>
        <w:t xml:space="preserve">&gt; </w:t>
      </w:r>
      <w:r w:rsidRPr="00EA4B80">
        <w:rPr>
          <w:rFonts w:cs="Times New Roman"/>
        </w:rPr>
        <w:t>accessed 10 June 2014.</w:t>
      </w:r>
    </w:p>
  </w:footnote>
  <w:footnote w:id="8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Report of the resolutions of the Société’s annual general mee</w:t>
      </w:r>
      <w:r>
        <w:rPr>
          <w:rFonts w:cs="Times New Roman"/>
        </w:rPr>
        <w:t>ting of shareholders, 25 March 1868 (Stadsarcheiif Amsterdam, 650/4, 1868).</w:t>
      </w:r>
    </w:p>
  </w:footnote>
  <w:footnote w:id="8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According to </w:t>
      </w:r>
      <w:r w:rsidRPr="00EA4B80">
        <w:rPr>
          <w:rFonts w:cs="Times New Roman"/>
          <w:kern w:val="2"/>
        </w:rPr>
        <w:t xml:space="preserve">Rajneesh Narula and Roger van Hoesel (eds.) </w:t>
      </w:r>
      <w:r w:rsidRPr="00EA4B80">
        <w:rPr>
          <w:rFonts w:cs="Times New Roman"/>
          <w:i/>
          <w:kern w:val="2"/>
        </w:rPr>
        <w:t xml:space="preserve">Multinational Enterprises from the Netherlands, </w:t>
      </w:r>
      <w:r w:rsidRPr="00EA4B80">
        <w:rPr>
          <w:rFonts w:cs="Times New Roman"/>
          <w:kern w:val="2"/>
        </w:rPr>
        <w:t xml:space="preserve">London, 1999, 48, n. 32, the </w:t>
      </w:r>
      <w:r w:rsidRPr="00EA4B80">
        <w:rPr>
          <w:rFonts w:cs="Times New Roman"/>
        </w:rPr>
        <w:t>Société was liquidated in 1864/67</w:t>
      </w:r>
      <w:r w:rsidRPr="00EA4B80">
        <w:rPr>
          <w:rFonts w:cs="Times New Roman"/>
          <w:kern w:val="2"/>
        </w:rPr>
        <w:t xml:space="preserve">. According to </w:t>
      </w:r>
      <w:r w:rsidRPr="00EA4B80">
        <w:rPr>
          <w:rFonts w:cs="Times New Roman"/>
        </w:rPr>
        <w:t xml:space="preserve">Pohl and Freitag, </w:t>
      </w:r>
      <w:r w:rsidRPr="00EA4B80">
        <w:rPr>
          <w:rFonts w:cs="Times New Roman"/>
          <w:i/>
        </w:rPr>
        <w:t xml:space="preserve">European Banks, </w:t>
      </w:r>
      <w:r w:rsidRPr="00EA4B80">
        <w:rPr>
          <w:rFonts w:cs="Times New Roman"/>
        </w:rPr>
        <w:t>722, the Société was wound up in 1868.</w:t>
      </w:r>
    </w:p>
  </w:footnote>
  <w:footnote w:id="87">
    <w:p w:rsidR="00026F0C" w:rsidRPr="00EA4B80" w:rsidRDefault="00026F0C" w:rsidP="00CD6159">
      <w:pPr>
        <w:pStyle w:val="FootnoteText"/>
        <w:ind w:left="0" w:firstLine="0"/>
        <w:jc w:val="both"/>
        <w:rPr>
          <w:rFonts w:cs="Times New Roman"/>
          <w:kern w:val="2"/>
        </w:rPr>
      </w:pPr>
      <w:r w:rsidRPr="00EA4B80">
        <w:rPr>
          <w:rStyle w:val="FootnoteReference"/>
          <w:rFonts w:cs="Times New Roman"/>
        </w:rPr>
        <w:footnoteRef/>
      </w:r>
      <w:r w:rsidRPr="00EA4B80">
        <w:rPr>
          <w:rFonts w:cs="Times New Roman"/>
        </w:rPr>
        <w:t xml:space="preserve"> Photocopies of 35 letters conce</w:t>
      </w:r>
      <w:r>
        <w:rPr>
          <w:rFonts w:cs="Times New Roman"/>
        </w:rPr>
        <w:t xml:space="preserve">rning the Delmar Estates sent </w:t>
      </w:r>
      <w:r w:rsidRPr="00EA4B80">
        <w:rPr>
          <w:rFonts w:cs="Times New Roman"/>
        </w:rPr>
        <w:t xml:space="preserve"> from J.M Robertson &amp; Co to</w:t>
      </w:r>
      <w:r>
        <w:rPr>
          <w:rFonts w:cs="Times New Roman"/>
        </w:rPr>
        <w:t xml:space="preserve"> the</w:t>
      </w:r>
      <w:r w:rsidRPr="00EA4B80">
        <w:rPr>
          <w:rFonts w:cs="Times New Roman"/>
        </w:rPr>
        <w:t xml:space="preserve"> directors of the Société between 13</w:t>
      </w:r>
      <w:r w:rsidRPr="00EA4B80">
        <w:rPr>
          <w:rFonts w:cs="Times New Roman"/>
          <w:vertAlign w:val="superscript"/>
        </w:rPr>
        <w:t>th</w:t>
      </w:r>
      <w:r w:rsidRPr="00EA4B80">
        <w:rPr>
          <w:rFonts w:cs="Times New Roman"/>
        </w:rPr>
        <w:t xml:space="preserve"> May 1871 and 21 Feb. 1873 have been obtained from the Stadsarcheif Amsterdam, 650/20. The last letter addressed to the Société ‘in liquidation’ was sent on 18 Aug. 1872. All letters sent from 15 Oct 1872 omit ‘</w:t>
      </w:r>
      <w:r w:rsidRPr="00EA4B80">
        <w:rPr>
          <w:rFonts w:cs="Times New Roman"/>
          <w:kern w:val="2"/>
        </w:rPr>
        <w:t>in liquidation’ from the Société’s name.</w:t>
      </w:r>
    </w:p>
  </w:footnote>
  <w:footnote w:id="88">
    <w:p w:rsidR="00026F0C" w:rsidRPr="00EA4B80" w:rsidRDefault="00026F0C" w:rsidP="00CD6159">
      <w:pPr>
        <w:pStyle w:val="FootnoteText"/>
        <w:jc w:val="both"/>
        <w:rPr>
          <w:rFonts w:cs="Times New Roman"/>
          <w:kern w:val="2"/>
        </w:rPr>
      </w:pPr>
      <w:r w:rsidRPr="00EA4B80">
        <w:rPr>
          <w:rStyle w:val="FootnoteReference"/>
          <w:rFonts w:cs="Times New Roman"/>
          <w:kern w:val="2"/>
        </w:rPr>
        <w:footnoteRef/>
      </w:r>
      <w:r w:rsidRPr="00EA4B80">
        <w:rPr>
          <w:rFonts w:cs="Times New Roman"/>
          <w:kern w:val="2"/>
        </w:rPr>
        <w:t xml:space="preserve"> Stadsarcheif Amsterdam, 650/26 and 650/27.</w:t>
      </w:r>
    </w:p>
  </w:footnote>
  <w:footnote w:id="89">
    <w:p w:rsidR="00026F0C" w:rsidRPr="00EA4B80" w:rsidRDefault="00026F0C" w:rsidP="00CD6159">
      <w:pPr>
        <w:spacing w:after="0"/>
        <w:jc w:val="both"/>
        <w:rPr>
          <w:rFonts w:ascii="Times New Roman" w:hAnsi="Times New Roman" w:cs="Times New Roman"/>
          <w:sz w:val="20"/>
          <w:szCs w:val="20"/>
        </w:rPr>
      </w:pPr>
      <w:r w:rsidRPr="00EA4B80">
        <w:rPr>
          <w:rStyle w:val="FootnoteReference"/>
          <w:rFonts w:ascii="Times New Roman" w:hAnsi="Times New Roman" w:cs="Times New Roman"/>
          <w:kern w:val="2"/>
          <w:sz w:val="20"/>
          <w:szCs w:val="20"/>
        </w:rPr>
        <w:footnoteRef/>
      </w:r>
      <w:r w:rsidRPr="00EA4B80">
        <w:rPr>
          <w:rFonts w:ascii="Times New Roman" w:hAnsi="Times New Roman" w:cs="Times New Roman"/>
          <w:kern w:val="2"/>
          <w:sz w:val="20"/>
          <w:szCs w:val="20"/>
        </w:rPr>
        <w:t xml:space="preserve"> Rajneesh Narula and Roger van Hoesel </w:t>
      </w:r>
      <w:r w:rsidRPr="00EA4B80">
        <w:rPr>
          <w:rFonts w:ascii="Times New Roman" w:hAnsi="Times New Roman" w:cs="Times New Roman"/>
          <w:i/>
          <w:kern w:val="2"/>
          <w:sz w:val="20"/>
          <w:szCs w:val="20"/>
        </w:rPr>
        <w:t xml:space="preserve">Multinational Enterprises from the Netherlands, </w:t>
      </w:r>
      <w:r w:rsidRPr="00EA4B80">
        <w:rPr>
          <w:rFonts w:ascii="Times New Roman" w:hAnsi="Times New Roman" w:cs="Times New Roman"/>
          <w:kern w:val="2"/>
          <w:sz w:val="20"/>
          <w:szCs w:val="20"/>
        </w:rPr>
        <w:t>London, 1999, 48, n. 32.</w:t>
      </w:r>
    </w:p>
  </w:footnote>
  <w:footnote w:id="90">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Pohl and Freitag, </w:t>
      </w:r>
      <w:r w:rsidRPr="00EA4B80">
        <w:rPr>
          <w:rFonts w:cs="Times New Roman"/>
          <w:i/>
        </w:rPr>
        <w:t>European Banks</w:t>
      </w:r>
      <w:r w:rsidRPr="00EA4B80">
        <w:rPr>
          <w:rFonts w:cs="Times New Roman"/>
        </w:rPr>
        <w:t>, 722.</w:t>
      </w:r>
    </w:p>
  </w:footnote>
  <w:footnote w:id="91">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(1896) 74 L.T. 783 at 783.</w:t>
      </w:r>
    </w:p>
  </w:footnote>
  <w:footnote w:id="92">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p>
  </w:footnote>
  <w:footnote w:id="93">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[1897] 1 Ch. 196 at 196.</w:t>
      </w:r>
    </w:p>
  </w:footnote>
  <w:footnote w:id="94">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 xml:space="preserve">[1896] All. E.R. Rep. Ext. 1911 at 1914 </w:t>
      </w:r>
      <w:r w:rsidRPr="00EA4B80">
        <w:rPr>
          <w:rFonts w:cs="Times New Roman"/>
          <w:i/>
        </w:rPr>
        <w:t xml:space="preserve">per </w:t>
      </w:r>
      <w:r w:rsidRPr="00EA4B80">
        <w:rPr>
          <w:rFonts w:cs="Times New Roman"/>
        </w:rPr>
        <w:t>Lindley LJ.</w:t>
      </w:r>
    </w:p>
  </w:footnote>
  <w:footnote w:id="95">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[1897] 1 Ch. 196 at 196.</w:t>
      </w:r>
    </w:p>
  </w:footnote>
  <w:footnote w:id="96">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 xml:space="preserve">[1896] All. E.R. Rep. Ext. 1911 at 1914 </w:t>
      </w:r>
      <w:r w:rsidRPr="00EA4B80">
        <w:rPr>
          <w:rFonts w:cs="Times New Roman"/>
          <w:i/>
        </w:rPr>
        <w:t xml:space="preserve">per </w:t>
      </w:r>
      <w:r w:rsidRPr="00EA4B80">
        <w:rPr>
          <w:rFonts w:cs="Times New Roman"/>
        </w:rPr>
        <w:t>Lindley LJ.</w:t>
      </w:r>
    </w:p>
  </w:footnote>
  <w:footnote w:id="9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kern w:val="2"/>
        </w:rPr>
        <w:t>Stadsarcheif Amsterdam, 650/17</w:t>
      </w:r>
      <w:r>
        <w:rPr>
          <w:rFonts w:cs="Times New Roman"/>
          <w:kern w:val="2"/>
        </w:rPr>
        <w:t>, 1866</w:t>
      </w:r>
      <w:r w:rsidRPr="00EA4B80">
        <w:rPr>
          <w:rFonts w:cs="Times New Roman"/>
          <w:kern w:val="2"/>
        </w:rPr>
        <w:t xml:space="preserve">. A copy of this letter, or the original itself, was evidently forwarded to the </w:t>
      </w:r>
      <w:r w:rsidRPr="00EA4B80">
        <w:rPr>
          <w:rFonts w:cs="Times New Roman"/>
        </w:rPr>
        <w:t xml:space="preserve">Société and retained for its records. The </w:t>
      </w:r>
      <w:r>
        <w:rPr>
          <w:rFonts w:cs="Times New Roman"/>
        </w:rPr>
        <w:t>statutory</w:t>
      </w:r>
      <w:r w:rsidRPr="00EA4B80">
        <w:rPr>
          <w:rFonts w:cs="Times New Roman"/>
        </w:rPr>
        <w:t xml:space="preserve"> provision to which Hodgson was referring was the Matrimonial Causes Act 1857, s45. </w:t>
      </w:r>
    </w:p>
  </w:footnote>
  <w:footnote w:id="98">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CE14CC">
        <w:rPr>
          <w:rFonts w:cs="Times New Roman"/>
        </w:rPr>
        <w:t>Ibid.</w:t>
      </w:r>
    </w:p>
  </w:footnote>
  <w:footnote w:id="99">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CE14CC">
        <w:rPr>
          <w:rFonts w:cs="Times New Roman"/>
        </w:rPr>
        <w:t>Ibid.</w:t>
      </w:r>
    </w:p>
  </w:footnote>
  <w:footnote w:id="10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earliest references are from 7 and 28 Aug. 1870. On these dates, Antide Martin sent telegrams to Mr Pourek, his agent in Amsterdam, urging Pourek to send some signed documents to Ceylon in order that more prompt action could be taken in respect of the Estates. Martin had granted Pourek a power of attorney to act on his behalf in respect of these matters in fear of potential communication breakdowns caused by an impending crisis (</w:t>
      </w:r>
      <w:r w:rsidRPr="00EA4B80">
        <w:rPr>
          <w:rFonts w:cs="Times New Roman"/>
          <w:kern w:val="2"/>
        </w:rPr>
        <w:t>Stadsarchei</w:t>
      </w:r>
      <w:r>
        <w:rPr>
          <w:rFonts w:cs="Times New Roman"/>
          <w:kern w:val="2"/>
        </w:rPr>
        <w:t xml:space="preserve">f Amsterdam, 650/20, 1870). </w:t>
      </w:r>
      <w:r w:rsidRPr="00EA4B80">
        <w:rPr>
          <w:rFonts w:cs="Times New Roman"/>
        </w:rPr>
        <w:t xml:space="preserve">Given the dates, it is very likely that the crisis in question was the Franco-Prussian war. </w:t>
      </w:r>
    </w:p>
  </w:footnote>
  <w:footnote w:id="10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first specific reference to a sale in the available documentation appears in Robertson’s account, in a letter sent to the Société dated 13</w:t>
      </w:r>
      <w:r w:rsidRPr="00EA4B80">
        <w:rPr>
          <w:rFonts w:cs="Times New Roman"/>
          <w:vertAlign w:val="superscript"/>
        </w:rPr>
        <w:t>th</w:t>
      </w:r>
      <w:r w:rsidRPr="00EA4B80">
        <w:rPr>
          <w:rFonts w:cs="Times New Roman"/>
        </w:rPr>
        <w:t xml:space="preserve"> May 1871 (</w:t>
      </w:r>
      <w:r w:rsidRPr="00EA4B80">
        <w:rPr>
          <w:rFonts w:cs="Times New Roman"/>
          <w:kern w:val="2"/>
        </w:rPr>
        <w:t>Stadsarcheif Amsterdam, 650/20, 1871)</w:t>
      </w:r>
      <w:r>
        <w:rPr>
          <w:rFonts w:cs="Times New Roman"/>
        </w:rPr>
        <w:t xml:space="preserve">, of a telegram sent by Müller </w:t>
      </w:r>
      <w:r w:rsidRPr="00EA4B80">
        <w:rPr>
          <w:rFonts w:cs="Times New Roman"/>
        </w:rPr>
        <w:t>to Robertsons</w:t>
      </w:r>
      <w:r>
        <w:rPr>
          <w:rFonts w:cs="Times New Roman"/>
        </w:rPr>
        <w:t xml:space="preserve"> whereby Müller </w:t>
      </w:r>
      <w:r w:rsidRPr="00EA4B80">
        <w:rPr>
          <w:rFonts w:cs="Times New Roman"/>
        </w:rPr>
        <w:t>had enquired urgently as to whether the sale of the Estates had been fixed.</w:t>
      </w:r>
    </w:p>
  </w:footnote>
  <w:footnote w:id="10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kern w:val="2"/>
        </w:rPr>
        <w:t xml:space="preserve">This information is contained in a telegram sent by </w:t>
      </w:r>
      <w:r w:rsidRPr="00EA4B80">
        <w:rPr>
          <w:rFonts w:cs="Times New Roman"/>
        </w:rPr>
        <w:t xml:space="preserve">Müller to the Société on 23 Feb. 1871 </w:t>
      </w:r>
      <w:r w:rsidRPr="00EA4B80">
        <w:rPr>
          <w:rFonts w:cs="Times New Roman"/>
          <w:kern w:val="2"/>
        </w:rPr>
        <w:t xml:space="preserve">The telegram was sent at 12.12pm on </w:t>
      </w:r>
      <w:r w:rsidRPr="00EA4B80">
        <w:rPr>
          <w:rFonts w:cs="Times New Roman"/>
        </w:rPr>
        <w:t>23 Feb. 1871 from Rotterdam and received at 12.17pm Amsterdam on the same date (</w:t>
      </w:r>
      <w:r w:rsidRPr="00EA4B80">
        <w:rPr>
          <w:rFonts w:cs="Times New Roman"/>
          <w:kern w:val="2"/>
        </w:rPr>
        <w:t>Stadsarcheif Amsterdam, 650/20, 1871).</w:t>
      </w:r>
    </w:p>
  </w:footnote>
  <w:footnote w:id="103">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7C52FE">
        <w:rPr>
          <w:rFonts w:cs="Times New Roman"/>
          <w:kern w:val="2"/>
        </w:rPr>
        <w:t>Ibid.</w:t>
      </w:r>
    </w:p>
  </w:footnote>
  <w:footnote w:id="104">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 xml:space="preserve">[1896] All. E.R. Rep. Ext. 1911 at 1915 </w:t>
      </w:r>
      <w:r w:rsidRPr="00EA4B80">
        <w:rPr>
          <w:rFonts w:cs="Times New Roman"/>
          <w:i/>
        </w:rPr>
        <w:t xml:space="preserve">per </w:t>
      </w:r>
      <w:r w:rsidRPr="00EA4B80">
        <w:rPr>
          <w:rFonts w:cs="Times New Roman"/>
        </w:rPr>
        <w:t>Lindley LJ.</w:t>
      </w:r>
    </w:p>
  </w:footnote>
  <w:footnote w:id="105">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rPr>
        <w:t xml:space="preserve">at 1914 </w:t>
      </w:r>
      <w:r w:rsidRPr="00EA4B80">
        <w:rPr>
          <w:rFonts w:cs="Times New Roman"/>
          <w:i/>
        </w:rPr>
        <w:t xml:space="preserve">per </w:t>
      </w:r>
      <w:r w:rsidRPr="00EA4B80">
        <w:rPr>
          <w:rFonts w:cs="Times New Roman"/>
        </w:rPr>
        <w:t>Lindley LJ. Attempts to obtain further information about</w:t>
      </w:r>
      <w:r>
        <w:rPr>
          <w:rFonts w:cs="Times New Roman"/>
        </w:rPr>
        <w:t xml:space="preserve"> Duff have been fruitless.</w:t>
      </w:r>
    </w:p>
  </w:footnote>
  <w:footnote w:id="106">
    <w:p w:rsidR="00026F0C" w:rsidRPr="006548D4" w:rsidRDefault="00026F0C" w:rsidP="00CD6159">
      <w:pPr>
        <w:pStyle w:val="FootnoteText"/>
        <w:ind w:left="0" w:firstLine="0"/>
        <w:jc w:val="both"/>
        <w:rPr>
          <w:rFonts w:cs="Times New Roman"/>
        </w:rPr>
      </w:pPr>
      <w:r w:rsidRPr="00EA4B80">
        <w:rPr>
          <w:rStyle w:val="FootnoteReference"/>
          <w:rFonts w:cs="Times New Roman"/>
        </w:rPr>
        <w:footnoteRef/>
      </w:r>
      <w:r w:rsidRPr="00B17354">
        <w:rPr>
          <w:rFonts w:cs="Times New Roman"/>
        </w:rPr>
        <w:t xml:space="preserve"> Sabonadière was probably William Sabonadière, author of </w:t>
      </w:r>
      <w:r w:rsidRPr="00B17354">
        <w:rPr>
          <w:rFonts w:cs="Times New Roman"/>
          <w:i/>
        </w:rPr>
        <w:t xml:space="preserve">The Coffee Planter of Ceylon, </w:t>
      </w:r>
      <w:r w:rsidRPr="00B17354">
        <w:rPr>
          <w:rFonts w:cs="Times New Roman"/>
        </w:rPr>
        <w:t>2</w:t>
      </w:r>
      <w:r w:rsidRPr="00B17354">
        <w:rPr>
          <w:rFonts w:cs="Times New Roman"/>
          <w:vertAlign w:val="superscript"/>
        </w:rPr>
        <w:t>nd</w:t>
      </w:r>
      <w:r>
        <w:rPr>
          <w:rFonts w:cs="Times New Roman"/>
        </w:rPr>
        <w:t xml:space="preserve"> ed., London, 1870, who took over the management of several estates in Ceylon in the mid nineteenth century from his brother, F. R. </w:t>
      </w:r>
      <w:r w:rsidRPr="00B17354">
        <w:rPr>
          <w:rFonts w:cs="Times New Roman"/>
        </w:rPr>
        <w:t>Sabonadière</w:t>
      </w:r>
      <w:r>
        <w:rPr>
          <w:rFonts w:cs="Times New Roman"/>
        </w:rPr>
        <w:t>, including Delta, which was the largest and most profitable of the Delmar Estates.</w:t>
      </w:r>
    </w:p>
  </w:footnote>
  <w:footnote w:id="107">
    <w:p w:rsidR="00026F0C" w:rsidRPr="00712E83"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[1896] All. E.R. Rep. Ext.</w:t>
      </w:r>
      <w:r>
        <w:rPr>
          <w:rFonts w:cs="Times New Roman"/>
        </w:rPr>
        <w:t xml:space="preserve"> 1911 at 1914 </w:t>
      </w:r>
      <w:r>
        <w:rPr>
          <w:rFonts w:cs="Times New Roman"/>
          <w:i/>
        </w:rPr>
        <w:t xml:space="preserve">per </w:t>
      </w:r>
      <w:r>
        <w:rPr>
          <w:rFonts w:cs="Times New Roman"/>
        </w:rPr>
        <w:t>Lindley LJ.</w:t>
      </w:r>
    </w:p>
  </w:footnote>
  <w:footnote w:id="108">
    <w:p w:rsidR="00026F0C" w:rsidRPr="00EA4B80" w:rsidRDefault="00026F0C" w:rsidP="00CD6159">
      <w:pPr>
        <w:pStyle w:val="NormalWeb"/>
        <w:shd w:val="clear" w:color="auto" w:fill="FFFFFF"/>
        <w:spacing w:before="0" w:beforeAutospacing="0" w:after="0" w:afterAutospacing="0"/>
        <w:jc w:val="both"/>
        <w:rPr>
          <w:sz w:val="20"/>
          <w:szCs w:val="20"/>
        </w:rPr>
      </w:pPr>
      <w:r w:rsidRPr="00EA4B80">
        <w:rPr>
          <w:rStyle w:val="FootnoteReference"/>
          <w:rFonts w:eastAsia="SimSun"/>
          <w:sz w:val="20"/>
          <w:szCs w:val="20"/>
        </w:rPr>
        <w:footnoteRef/>
      </w:r>
      <w:r w:rsidRPr="00EA4B80">
        <w:rPr>
          <w:sz w:val="20"/>
          <w:szCs w:val="20"/>
        </w:rPr>
        <w:t xml:space="preserve"> </w:t>
      </w:r>
      <w:r>
        <w:rPr>
          <w:sz w:val="20"/>
          <w:szCs w:val="20"/>
        </w:rPr>
        <w:t>The diary (1 Aug. 1855- 18 Jan. 1861) of John Boustead [snr.] is held at the National Archives, Kew (&lt;</w:t>
      </w:r>
      <w:r w:rsidRPr="0032393E">
        <w:rPr>
          <w:sz w:val="20"/>
          <w:szCs w:val="20"/>
        </w:rPr>
        <w:t>http://www.nationalarchives.gov.uk/A2A/records.aspx?cat=094-accession950&amp;cid=-1#-1</w:t>
      </w:r>
      <w:r>
        <w:rPr>
          <w:sz w:val="20"/>
          <w:szCs w:val="20"/>
        </w:rPr>
        <w:t>&gt; accessed 3 July 2014). According to the Archives’s information on this source, ‘</w:t>
      </w:r>
      <w:r w:rsidRPr="00EA4B80">
        <w:rPr>
          <w:sz w:val="20"/>
          <w:szCs w:val="20"/>
        </w:rPr>
        <w:t>John Boustead [snr] was one of the co-founders of the firm of Price and Boustead of 33 and 34 Strand’.</w:t>
      </w:r>
      <w:r>
        <w:rPr>
          <w:sz w:val="20"/>
          <w:szCs w:val="20"/>
        </w:rPr>
        <w:t xml:space="preserve"> It is also revealed by this source that his first son, and second child, John, was born in Ceylon in 1823.</w:t>
      </w:r>
    </w:p>
  </w:footnote>
  <w:footnote w:id="10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In Re Price, Boustead, and Co.,</w:t>
      </w:r>
      <w:r w:rsidRPr="00EA4B80">
        <w:rPr>
          <w:rFonts w:cs="Times New Roman"/>
        </w:rPr>
        <w:t xml:space="preserve"> </w:t>
      </w:r>
      <w:r w:rsidRPr="00EA4B80">
        <w:rPr>
          <w:rFonts w:cs="Times New Roman"/>
          <w:i/>
        </w:rPr>
        <w:t>The Times</w:t>
      </w:r>
      <w:r w:rsidRPr="00EA4B80">
        <w:rPr>
          <w:rFonts w:cs="Times New Roman"/>
        </w:rPr>
        <w:t xml:space="preserve"> , 30 July 1879, 4 col.c. This report from the Court of Bankruptcy describes the estates of the firm as being ‘under the management, as regards cultivation, of agents’. Also, in </w:t>
      </w:r>
      <w:r w:rsidRPr="00EA4B80">
        <w:rPr>
          <w:rFonts w:cs="Times New Roman"/>
          <w:i/>
        </w:rPr>
        <w:t xml:space="preserve">Rochefoucauld v Boustead </w:t>
      </w:r>
      <w:r w:rsidRPr="00EA4B80">
        <w:rPr>
          <w:rFonts w:cs="Times New Roman"/>
        </w:rPr>
        <w:t>[1896] All. E.R. Rep. Ext. 1911 at 1915, Lindley LJ explained that Boustead ‘hoped to become the plaintiff’s representative in England’.</w:t>
      </w:r>
    </w:p>
  </w:footnote>
  <w:footnote w:id="110">
    <w:p w:rsidR="00026F0C" w:rsidRPr="008A1A4C"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 xml:space="preserve">[1897] 1 Ch. 196 </w:t>
      </w:r>
      <w:r w:rsidRPr="008A1A4C">
        <w:rPr>
          <w:rFonts w:cs="Times New Roman"/>
        </w:rPr>
        <w:t>at 198.</w:t>
      </w:r>
      <w:r w:rsidRPr="008A1A4C">
        <w:rPr>
          <w:rFonts w:cs="Times New Roman"/>
          <w:i/>
        </w:rPr>
        <w:t xml:space="preserve"> </w:t>
      </w:r>
    </w:p>
  </w:footnote>
  <w:footnote w:id="111">
    <w:p w:rsidR="00026F0C" w:rsidRPr="008A1A4C" w:rsidRDefault="00026F0C" w:rsidP="00CD6159">
      <w:pPr>
        <w:pStyle w:val="FootnoteText"/>
        <w:jc w:val="both"/>
        <w:rPr>
          <w:rFonts w:cs="Times New Roman"/>
        </w:rPr>
      </w:pPr>
      <w:r w:rsidRPr="008A1A4C">
        <w:rPr>
          <w:rStyle w:val="FootnoteReference"/>
          <w:rFonts w:cs="Times New Roman"/>
        </w:rPr>
        <w:footnoteRef/>
      </w:r>
      <w:r w:rsidRPr="008A1A4C">
        <w:rPr>
          <w:rFonts w:cs="Times New Roman"/>
        </w:rPr>
        <w:t xml:space="preserve"> Certainly, the business in Ceylon of Emily and Boustead was conducted by agents.</w:t>
      </w:r>
    </w:p>
  </w:footnote>
  <w:footnote w:id="112">
    <w:p w:rsidR="00026F0C" w:rsidRPr="00EA4B80" w:rsidRDefault="00026F0C" w:rsidP="00CD6159">
      <w:pPr>
        <w:pStyle w:val="FootnoteText"/>
        <w:jc w:val="both"/>
        <w:rPr>
          <w:rFonts w:cs="Times New Roman"/>
        </w:rPr>
      </w:pPr>
      <w:r w:rsidRPr="008A1A4C">
        <w:rPr>
          <w:rStyle w:val="FootnoteReference"/>
          <w:rFonts w:cs="Times New Roman"/>
        </w:rPr>
        <w:footnoteRef/>
      </w:r>
      <w:r w:rsidRPr="008A1A4C">
        <w:rPr>
          <w:rFonts w:cs="Times New Roman"/>
        </w:rPr>
        <w:t xml:space="preserve"> </w:t>
      </w:r>
      <w:r w:rsidRPr="008A1A4C">
        <w:rPr>
          <w:rFonts w:cs="Times New Roman"/>
          <w:i/>
        </w:rPr>
        <w:t xml:space="preserve">Rochefoucauld v Boustead </w:t>
      </w:r>
      <w:r w:rsidRPr="008A1A4C">
        <w:rPr>
          <w:rFonts w:cs="Times New Roman"/>
        </w:rPr>
        <w:t xml:space="preserve">[1896] All. E.R. Rep. Ext. 1911 at 1915 </w:t>
      </w:r>
      <w:r w:rsidRPr="008A1A4C">
        <w:rPr>
          <w:rFonts w:cs="Times New Roman"/>
          <w:i/>
        </w:rPr>
        <w:t xml:space="preserve">per </w:t>
      </w:r>
      <w:r w:rsidRPr="008A1A4C">
        <w:rPr>
          <w:rFonts w:cs="Times New Roman"/>
        </w:rPr>
        <w:t>Lindley LJ.</w:t>
      </w:r>
    </w:p>
  </w:footnote>
  <w:footnote w:id="113">
    <w:p w:rsidR="00026F0C" w:rsidRPr="00584219"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at 1914 </w:t>
      </w:r>
      <w:r>
        <w:rPr>
          <w:rFonts w:cs="Times New Roman"/>
          <w:i/>
        </w:rPr>
        <w:t xml:space="preserve">per </w:t>
      </w:r>
      <w:r>
        <w:rPr>
          <w:rFonts w:cs="Times New Roman"/>
        </w:rPr>
        <w:t>Lindley LJ.</w:t>
      </w:r>
    </w:p>
  </w:footnote>
  <w:footnote w:id="11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Several of the letters from Robertsons to the </w:t>
      </w:r>
      <w:r w:rsidRPr="00EA4B80">
        <w:rPr>
          <w:rFonts w:cs="Times New Roman"/>
          <w:bCs/>
        </w:rPr>
        <w:t>Société refer to the suit being against Emily. These include letters dated 18 Aug.  1871, 27 Oct. 1871 (</w:t>
      </w:r>
      <w:r w:rsidRPr="00EA4B80">
        <w:rPr>
          <w:rFonts w:cs="Times New Roman"/>
          <w:kern w:val="2"/>
        </w:rPr>
        <w:t xml:space="preserve">Stadsarcheif Amsterdam, 650/20, 1871) and </w:t>
      </w:r>
      <w:r w:rsidRPr="00EA4B80">
        <w:rPr>
          <w:rFonts w:cs="Times New Roman"/>
          <w:bCs/>
        </w:rPr>
        <w:t>7 Feb. 1872 (</w:t>
      </w:r>
      <w:r w:rsidRPr="00EA4B80">
        <w:rPr>
          <w:rFonts w:cs="Times New Roman"/>
          <w:kern w:val="2"/>
        </w:rPr>
        <w:t>Stadsarcheif Amsterdam, 650/20, 1872)</w:t>
      </w:r>
      <w:r>
        <w:rPr>
          <w:rFonts w:cs="Times New Roman"/>
          <w:bCs/>
        </w:rPr>
        <w:t xml:space="preserve">. </w:t>
      </w:r>
    </w:p>
  </w:footnote>
  <w:footnote w:id="115">
    <w:p w:rsidR="00026F0C" w:rsidRDefault="00026F0C" w:rsidP="00CD6159">
      <w:pPr>
        <w:pStyle w:val="FootnoteText"/>
        <w:ind w:left="0" w:firstLine="0"/>
        <w:jc w:val="both"/>
      </w:pPr>
      <w:r>
        <w:rPr>
          <w:rStyle w:val="FootnoteReference"/>
        </w:rPr>
        <w:footnoteRef/>
      </w:r>
      <w:r>
        <w:t xml:space="preserve"> Rochefoucauld was made a defendant merely because he was Emily’s husband at the time. This is made clear in a </w:t>
      </w:r>
      <w:r>
        <w:rPr>
          <w:rFonts w:cs="Times New Roman"/>
          <w:bCs/>
        </w:rPr>
        <w:t xml:space="preserve">letter from Robertsons to the </w:t>
      </w:r>
      <w:r w:rsidRPr="00EA4B80">
        <w:rPr>
          <w:rFonts w:cs="Times New Roman"/>
          <w:bCs/>
        </w:rPr>
        <w:t>Société</w:t>
      </w:r>
      <w:r>
        <w:rPr>
          <w:rFonts w:cs="Times New Roman"/>
          <w:bCs/>
        </w:rPr>
        <w:t>, dated 30 Oct 1872, (Stadsarcheif Amsterdam, 650/20, 1872).</w:t>
      </w:r>
    </w:p>
  </w:footnote>
  <w:footnote w:id="11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L</w:t>
      </w:r>
      <w:r>
        <w:rPr>
          <w:rFonts w:cs="Times New Roman"/>
          <w:bCs/>
        </w:rPr>
        <w:t xml:space="preserve">etter from Robertsons to the </w:t>
      </w:r>
      <w:r w:rsidRPr="00EA4B80">
        <w:rPr>
          <w:rFonts w:cs="Times New Roman"/>
          <w:bCs/>
        </w:rPr>
        <w:t>Société</w:t>
      </w:r>
      <w:r>
        <w:rPr>
          <w:rFonts w:cs="Times New Roman"/>
          <w:bCs/>
        </w:rPr>
        <w:t xml:space="preserve">, 30 Oct 1872, Stadsarcheif Amsterdam, 650/20, 1872. </w:t>
      </w:r>
    </w:p>
  </w:footnote>
  <w:footnote w:id="11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kern w:val="2"/>
        </w:rPr>
        <w:t>Stadsarcheif Amsterdam, 650/20, 1871.</w:t>
      </w:r>
    </w:p>
  </w:footnote>
  <w:footnote w:id="11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The fiscals were (and are) officers of the courts in Ceylon (Sri Lanka) with responsibility, </w:t>
      </w:r>
      <w:r>
        <w:rPr>
          <w:rFonts w:cs="Times New Roman"/>
          <w:i/>
        </w:rPr>
        <w:t>inter alia</w:t>
      </w:r>
      <w:r>
        <w:rPr>
          <w:rFonts w:cs="Times New Roman"/>
        </w:rPr>
        <w:t xml:space="preserve">, for conducting sales in execution of immoveable property (Civil Procedure Code, 236-250).  The Royal Charter of Justice of 1801, s19, mentioned the fiscals as being ‘hereby authorized to execute all </w:t>
      </w:r>
      <w:r>
        <w:t>the Citations, Monitions, Summonses, Mandates, Rules, Orders, Warrants, Commands, and Process of the said Supreme Court of Judicature in the Island of Ceylon’. The fiscals retained similar powers in relation to the District Courts when the latter were established by Royal Charter of Justice of 1833.</w:t>
      </w:r>
    </w:p>
  </w:footnote>
  <w:footnote w:id="11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Thomson, </w:t>
      </w:r>
      <w:r w:rsidRPr="00EA4B80">
        <w:rPr>
          <w:rFonts w:cs="Times New Roman"/>
          <w:i/>
        </w:rPr>
        <w:t>Laws of Ceylon</w:t>
      </w:r>
      <w:r w:rsidRPr="00EA4B80">
        <w:rPr>
          <w:rFonts w:cs="Times New Roman"/>
        </w:rPr>
        <w:t>, 350.</w:t>
      </w:r>
    </w:p>
  </w:footnote>
  <w:footnote w:id="12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392FE9">
        <w:rPr>
          <w:rFonts w:cs="Times New Roman"/>
        </w:rPr>
        <w:t>Ibid</w:t>
      </w:r>
      <w:r w:rsidRPr="00EA4B80">
        <w:rPr>
          <w:rFonts w:cs="Times New Roman"/>
          <w:i/>
        </w:rPr>
        <w:t>.</w:t>
      </w:r>
      <w:r w:rsidRPr="00EA4B80">
        <w:rPr>
          <w:rFonts w:cs="Times New Roman"/>
        </w:rPr>
        <w:t>, 354.</w:t>
      </w:r>
    </w:p>
  </w:footnote>
  <w:footnote w:id="12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392FE9">
        <w:rPr>
          <w:rFonts w:cs="Times New Roman"/>
        </w:rPr>
        <w:t>Ibid</w:t>
      </w:r>
      <w:r w:rsidRPr="00EA4B80">
        <w:rPr>
          <w:rFonts w:cs="Times New Roman"/>
          <w:i/>
        </w:rPr>
        <w:t>.</w:t>
      </w:r>
      <w:r w:rsidRPr="00EA4B80">
        <w:rPr>
          <w:rFonts w:cs="Times New Roman"/>
        </w:rPr>
        <w:t>, 353.</w:t>
      </w:r>
    </w:p>
  </w:footnote>
  <w:footnote w:id="12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Letter from Robertsons to the </w:t>
      </w:r>
      <w:r w:rsidRPr="00EA4B80">
        <w:rPr>
          <w:rFonts w:cs="Times New Roman"/>
          <w:bCs/>
        </w:rPr>
        <w:t>Société, 12</w:t>
      </w:r>
      <w:r w:rsidRPr="00EA4B80">
        <w:rPr>
          <w:rFonts w:cs="Times New Roman"/>
          <w:bCs/>
          <w:vertAlign w:val="superscript"/>
        </w:rPr>
        <w:t>th</w:t>
      </w:r>
      <w:r w:rsidRPr="00EA4B80">
        <w:rPr>
          <w:rFonts w:cs="Times New Roman"/>
          <w:bCs/>
        </w:rPr>
        <w:t xml:space="preserve"> Feb. 1872, </w:t>
      </w:r>
      <w:r w:rsidRPr="00EA4B80">
        <w:rPr>
          <w:rFonts w:cs="Times New Roman"/>
          <w:kern w:val="2"/>
        </w:rPr>
        <w:t>Stadsarcheif Amsterdam, 650/20, 1872.</w:t>
      </w:r>
      <w:r>
        <w:rPr>
          <w:rFonts w:cs="Times New Roman"/>
          <w:kern w:val="2"/>
        </w:rPr>
        <w:t xml:space="preserve"> </w:t>
      </w:r>
      <w:r w:rsidRPr="00EA4B80">
        <w:rPr>
          <w:rFonts w:cs="Times New Roman"/>
        </w:rPr>
        <w:t>In this letter, Robertsons transcribes a telegram that was sent to M</w:t>
      </w:r>
      <w:r w:rsidRPr="00EA4B80">
        <w:rPr>
          <w:rStyle w:val="Emphasis"/>
          <w:rFonts w:cs="Times New Roman"/>
          <w:i w:val="0"/>
        </w:rPr>
        <w:t>ü</w:t>
      </w:r>
      <w:r w:rsidRPr="00EA4B80">
        <w:rPr>
          <w:rFonts w:cs="Times New Roman"/>
        </w:rPr>
        <w:t>ller informing him that sequestration had been applied for, and the letter itself explains that, since the telegram, sequestration had been granted.</w:t>
      </w:r>
    </w:p>
  </w:footnote>
  <w:footnote w:id="123">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p>
  </w:footnote>
  <w:footnote w:id="124">
    <w:p w:rsidR="00026F0C" w:rsidRPr="00EA4B80" w:rsidRDefault="00026F0C" w:rsidP="00CD6159">
      <w:pPr>
        <w:pStyle w:val="FootnoteText"/>
        <w:jc w:val="both"/>
        <w:rPr>
          <w:rFonts w:cs="Times New Roman"/>
        </w:rPr>
      </w:pPr>
      <w:r w:rsidRPr="00EA4B80">
        <w:rPr>
          <w:rStyle w:val="FootnoteReference"/>
          <w:rFonts w:cs="Times New Roman"/>
        </w:rPr>
        <w:footnoteRef/>
      </w:r>
      <w:r w:rsidRPr="00EA4B80">
        <w:rPr>
          <w:rFonts w:cs="Times New Roman"/>
        </w:rPr>
        <w:t xml:space="preserve"> Thomson, </w:t>
      </w:r>
      <w:r w:rsidRPr="00EA4B80">
        <w:rPr>
          <w:rFonts w:cs="Times New Roman"/>
          <w:i/>
        </w:rPr>
        <w:t>Laws of Ceylon</w:t>
      </w:r>
      <w:r w:rsidRPr="00EA4B80">
        <w:rPr>
          <w:rFonts w:cs="Times New Roman"/>
        </w:rPr>
        <w:t>, 378.</w:t>
      </w:r>
    </w:p>
  </w:footnote>
  <w:footnote w:id="12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Letter from Robertsons to the </w:t>
      </w:r>
      <w:r w:rsidRPr="00EA4B80">
        <w:rPr>
          <w:rFonts w:cs="Times New Roman"/>
          <w:bCs/>
        </w:rPr>
        <w:t>Société, 12</w:t>
      </w:r>
      <w:r w:rsidRPr="00EA4B80">
        <w:rPr>
          <w:rFonts w:cs="Times New Roman"/>
          <w:bCs/>
          <w:vertAlign w:val="superscript"/>
        </w:rPr>
        <w:t>th</w:t>
      </w:r>
      <w:r w:rsidRPr="00EA4B80">
        <w:rPr>
          <w:rFonts w:cs="Times New Roman"/>
          <w:bCs/>
        </w:rPr>
        <w:t xml:space="preserve"> Feb. 1872, </w:t>
      </w:r>
      <w:r w:rsidRPr="00EA4B80">
        <w:rPr>
          <w:rFonts w:cs="Times New Roman"/>
          <w:kern w:val="2"/>
        </w:rPr>
        <w:t>Stadsarcheif Amsterdam, 650/20, 1872. Robertsons hinted that the defendants’ refusal to admit the accounts was causing delays in the suit.</w:t>
      </w:r>
    </w:p>
  </w:footnote>
  <w:footnote w:id="12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Letters from Robertsons to the </w:t>
      </w:r>
      <w:r>
        <w:rPr>
          <w:rFonts w:cs="Times New Roman"/>
          <w:bCs/>
        </w:rPr>
        <w:t>Société, 14 April</w:t>
      </w:r>
      <w:r w:rsidRPr="00EA4B80">
        <w:rPr>
          <w:rFonts w:cs="Times New Roman"/>
          <w:bCs/>
        </w:rPr>
        <w:t xml:space="preserve"> 1872 (one letter registered post, one letter ordinary post), </w:t>
      </w:r>
      <w:r w:rsidRPr="00EA4B80">
        <w:rPr>
          <w:rFonts w:cs="Times New Roman"/>
          <w:kern w:val="2"/>
        </w:rPr>
        <w:t>Stadsarcheif Amsterdam, 650/20, 1872. The letter by registered post requested urgently a list of documents required to be put before a commission on account of the fact that, as against Cavendish, the suit was to be heard ex parte.</w:t>
      </w:r>
    </w:p>
  </w:footnote>
  <w:footnote w:id="12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kern w:val="2"/>
        </w:rPr>
        <w:t>Stadsarcheif Amsterdam, 650/20, 1871.</w:t>
      </w:r>
    </w:p>
  </w:footnote>
  <w:footnote w:id="12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kern w:val="2"/>
        </w:rPr>
        <w:t>Stadsarcheif Amsterdam, 650/20, 1872.</w:t>
      </w:r>
      <w:r>
        <w:rPr>
          <w:rFonts w:cs="Times New Roman"/>
          <w:kern w:val="2"/>
        </w:rPr>
        <w:t xml:space="preserve"> Although there is no evidence that Cavendish was ever furnished with the statement that he desired, the </w:t>
      </w:r>
      <w:r>
        <w:rPr>
          <w:rFonts w:cs="Times New Roman"/>
          <w:bCs/>
        </w:rPr>
        <w:t xml:space="preserve">Société did, with the acquiescence of Emily’s attorney, finally permit his agents to inspect the Estates (letter from Robertsons to </w:t>
      </w:r>
      <w:r w:rsidRPr="00EA4B80">
        <w:rPr>
          <w:rFonts w:cs="Times New Roman"/>
        </w:rPr>
        <w:t xml:space="preserve">the </w:t>
      </w:r>
      <w:r w:rsidRPr="00EA4B80">
        <w:rPr>
          <w:rFonts w:cs="Times New Roman"/>
          <w:bCs/>
        </w:rPr>
        <w:t>Société</w:t>
      </w:r>
      <w:r>
        <w:rPr>
          <w:rFonts w:cs="Times New Roman"/>
          <w:bCs/>
        </w:rPr>
        <w:t>, 12 Feb. 1872).</w:t>
      </w:r>
    </w:p>
  </w:footnote>
  <w:footnote w:id="12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Baring Archive, HC6.3.22.13, 1872.</w:t>
      </w:r>
      <w:r>
        <w:rPr>
          <w:rFonts w:cs="Times New Roman"/>
        </w:rPr>
        <w:t xml:space="preserve"> In a letter to the </w:t>
      </w:r>
      <w:r w:rsidRPr="00EA4B80">
        <w:rPr>
          <w:rFonts w:cs="Times New Roman"/>
          <w:bCs/>
        </w:rPr>
        <w:t>Société</w:t>
      </w:r>
      <w:r>
        <w:rPr>
          <w:rFonts w:cs="Times New Roman"/>
          <w:bCs/>
        </w:rPr>
        <w:t xml:space="preserve"> dated 11 Nov. 1871, Cavendish had indicated that he was planning to ‘make enquiries from London Firms if they will pay [the debt owed to the </w:t>
      </w:r>
      <w:r w:rsidRPr="00EA4B80">
        <w:rPr>
          <w:rFonts w:cs="Times New Roman"/>
          <w:bCs/>
        </w:rPr>
        <w:t>Société</w:t>
      </w:r>
      <w:r>
        <w:rPr>
          <w:rFonts w:cs="Times New Roman"/>
          <w:bCs/>
        </w:rPr>
        <w:t>] off’ (</w:t>
      </w:r>
      <w:r w:rsidRPr="00EA4B80">
        <w:rPr>
          <w:rFonts w:cs="Times New Roman"/>
          <w:kern w:val="2"/>
        </w:rPr>
        <w:t>Stad</w:t>
      </w:r>
      <w:r>
        <w:rPr>
          <w:rFonts w:cs="Times New Roman"/>
          <w:kern w:val="2"/>
        </w:rPr>
        <w:t>sarcheif Amsterdam, 650/20, 1871).</w:t>
      </w:r>
    </w:p>
  </w:footnote>
  <w:footnote w:id="13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p>
  </w:footnote>
  <w:footnote w:id="13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 This is almost certainly a reference to the trustees to whom Emily was ordered to transfer the Estates in 1868 (see n. 51 and accompanying text, above).  The order was made by the Court for Divorce and Matrimonial Causes. It may therefore be that Cavendish was mistaken about the identify of the court which appointed the trustees. On the other hand, the trustees in question were seemingly trustees of Cavendish and Emily’s marriage settlement, so they may well have been appointed by the Court of Chancery, perhaps before the divorce.</w:t>
      </w:r>
    </w:p>
  </w:footnote>
  <w:footnote w:id="13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This account appears in a letter from Robertsons to the </w:t>
      </w:r>
      <w:r w:rsidRPr="00EA4B80">
        <w:rPr>
          <w:rFonts w:cs="Times New Roman"/>
          <w:bCs/>
        </w:rPr>
        <w:t xml:space="preserve">Société, 30 Oct. 1872, </w:t>
      </w:r>
      <w:r w:rsidRPr="00EA4B80">
        <w:rPr>
          <w:rFonts w:cs="Times New Roman"/>
          <w:kern w:val="2"/>
        </w:rPr>
        <w:t>Stadsarcheif Amsterdam, 650/20, 1873.</w:t>
      </w:r>
    </w:p>
  </w:footnote>
  <w:footnote w:id="133">
    <w:p w:rsidR="00026F0C" w:rsidRPr="00554121"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correspondence makes reference to a Mrs Arabin, who claimed an annuity under the will. Presumably, this came to nothing, as there is no mention of it in any of the other sources that have been consulted for the purposes of this article.</w:t>
      </w:r>
      <w:r>
        <w:rPr>
          <w:rFonts w:cs="Times New Roman"/>
        </w:rPr>
        <w:t xml:space="preserve"> According to Rumbold, </w:t>
      </w:r>
      <w:r>
        <w:rPr>
          <w:rFonts w:cs="Times New Roman"/>
          <w:i/>
        </w:rPr>
        <w:t xml:space="preserve">Recollections, </w:t>
      </w:r>
      <w:r>
        <w:rPr>
          <w:rFonts w:cs="Times New Roman"/>
        </w:rPr>
        <w:t xml:space="preserve">139, Emily’s paternal aunt, Maria, married an Admiral Arabin. As Maria Arabin lived until after the sale of the Estates, it is likely that she was the Mrs Arabin referred to in the correspondence. According to Rumbold, </w:t>
      </w:r>
      <w:r>
        <w:rPr>
          <w:rFonts w:cs="Times New Roman"/>
          <w:i/>
        </w:rPr>
        <w:t>Further Recollections</w:t>
      </w:r>
      <w:r>
        <w:rPr>
          <w:rFonts w:cs="Times New Roman"/>
        </w:rPr>
        <w:t>, 87, Maria Arabin died in 1875.</w:t>
      </w:r>
    </w:p>
  </w:footnote>
  <w:footnote w:id="13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This account appears in a l</w:t>
      </w:r>
      <w:r w:rsidRPr="00EA4B80">
        <w:rPr>
          <w:rFonts w:cs="Times New Roman"/>
        </w:rPr>
        <w:t xml:space="preserve">etter from Robertsons to the </w:t>
      </w:r>
      <w:r w:rsidRPr="00EA4B80">
        <w:rPr>
          <w:rFonts w:cs="Times New Roman"/>
          <w:bCs/>
        </w:rPr>
        <w:t xml:space="preserve">Société, 20 Feb. 1873, </w:t>
      </w:r>
      <w:r w:rsidRPr="00EA4B80">
        <w:rPr>
          <w:rFonts w:cs="Times New Roman"/>
          <w:kern w:val="2"/>
        </w:rPr>
        <w:t>Stadsarcheif Amsterdam, 650/20, 1873.</w:t>
      </w:r>
      <w:r>
        <w:rPr>
          <w:rFonts w:cs="Times New Roman"/>
          <w:kern w:val="2"/>
        </w:rPr>
        <w:t xml:space="preserve"> Robertsons also sent a letter to the </w:t>
      </w:r>
      <w:r w:rsidRPr="00EA4B80">
        <w:rPr>
          <w:rFonts w:cs="Times New Roman"/>
          <w:bCs/>
        </w:rPr>
        <w:t>Société</w:t>
      </w:r>
      <w:r>
        <w:rPr>
          <w:rFonts w:cs="Times New Roman"/>
          <w:bCs/>
        </w:rPr>
        <w:t xml:space="preserve"> dated 19 Feb. 1873 with a brief account. The letter of 19 Feb. also reveals that, on that date, a telegram was sent to</w:t>
      </w:r>
      <w:r w:rsidRPr="001D16C3">
        <w:rPr>
          <w:rFonts w:cs="Times New Roman"/>
          <w:bCs/>
        </w:rPr>
        <w:t xml:space="preserve"> </w:t>
      </w:r>
      <w:r w:rsidRPr="001D16C3">
        <w:t>Müller</w:t>
      </w:r>
      <w:r>
        <w:t xml:space="preserve"> to inform him that the Estates had been sold.</w:t>
      </w:r>
    </w:p>
  </w:footnote>
  <w:footnote w:id="13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p>
  </w:footnote>
  <w:footnote w:id="13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Letter from Robertsons to the </w:t>
      </w:r>
      <w:r w:rsidRPr="00EA4B80">
        <w:rPr>
          <w:rFonts w:cs="Times New Roman"/>
          <w:bCs/>
        </w:rPr>
        <w:t>Société, 13</w:t>
      </w:r>
      <w:r w:rsidRPr="00EA4B80">
        <w:rPr>
          <w:rFonts w:cs="Times New Roman"/>
          <w:bCs/>
          <w:vertAlign w:val="superscript"/>
        </w:rPr>
        <w:t>th</w:t>
      </w:r>
      <w:r w:rsidRPr="00EA4B80">
        <w:rPr>
          <w:rFonts w:cs="Times New Roman"/>
          <w:bCs/>
        </w:rPr>
        <w:t xml:space="preserve"> Nov. 1872, </w:t>
      </w:r>
      <w:r w:rsidRPr="00EA4B80">
        <w:rPr>
          <w:rFonts w:cs="Times New Roman"/>
          <w:kern w:val="2"/>
        </w:rPr>
        <w:t>Stadsarcheif Amsterdam, 650/2</w:t>
      </w:r>
      <w:r>
        <w:rPr>
          <w:rFonts w:cs="Times New Roman"/>
          <w:kern w:val="2"/>
        </w:rPr>
        <w:t xml:space="preserve">0, 1872. </w:t>
      </w:r>
    </w:p>
  </w:footnote>
  <w:footnote w:id="137">
    <w:p w:rsidR="00026F0C" w:rsidRPr="00F35E4E" w:rsidRDefault="00026F0C" w:rsidP="00CD6159">
      <w:pPr>
        <w:pStyle w:val="FootnoteText"/>
        <w:ind w:left="0" w:firstLine="0"/>
        <w:jc w:val="both"/>
        <w:rPr>
          <w:rFonts w:cs="Times New Roman"/>
          <w:color w:val="FF0000"/>
        </w:rPr>
      </w:pPr>
      <w:r w:rsidRPr="00EA4B80">
        <w:rPr>
          <w:rStyle w:val="FootnoteReference"/>
          <w:rFonts w:cs="Times New Roman"/>
        </w:rPr>
        <w:footnoteRef/>
      </w:r>
      <w:r>
        <w:rPr>
          <w:rFonts w:cs="Times New Roman"/>
        </w:rPr>
        <w:t xml:space="preserve"> </w:t>
      </w:r>
      <w:r w:rsidRPr="0032393E">
        <w:rPr>
          <w:rFonts w:cs="Times New Roman"/>
          <w:color w:val="000000" w:themeColor="text1"/>
        </w:rPr>
        <w:t>See n. 56 and accompanying text, above.</w:t>
      </w:r>
    </w:p>
  </w:footnote>
  <w:footnote w:id="13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£53,700 plus £2,500 that Robertsons thought may </w:t>
      </w:r>
      <w:r>
        <w:rPr>
          <w:rFonts w:cs="Times New Roman"/>
        </w:rPr>
        <w:t xml:space="preserve">have </w:t>
      </w:r>
      <w:r w:rsidRPr="00EA4B80">
        <w:rPr>
          <w:rFonts w:cs="Times New Roman"/>
        </w:rPr>
        <w:t>be</w:t>
      </w:r>
      <w:r>
        <w:rPr>
          <w:rFonts w:cs="Times New Roman"/>
        </w:rPr>
        <w:t>en</w:t>
      </w:r>
      <w:r w:rsidRPr="00EA4B80">
        <w:rPr>
          <w:rFonts w:cs="Times New Roman"/>
        </w:rPr>
        <w:t xml:space="preserve"> claimable by Mrs Arabin owing to her annuity. This is explained in a letter from Robertsons to the </w:t>
      </w:r>
      <w:r w:rsidRPr="00EA4B80">
        <w:rPr>
          <w:rFonts w:cs="Times New Roman"/>
          <w:bCs/>
        </w:rPr>
        <w:t xml:space="preserve">Société, 20 February 1873, </w:t>
      </w:r>
      <w:r w:rsidRPr="00EA4B80">
        <w:rPr>
          <w:rFonts w:cs="Times New Roman"/>
          <w:kern w:val="2"/>
        </w:rPr>
        <w:t>Stadsarcheif Amsterdam, 650/20, 1873.</w:t>
      </w:r>
    </w:p>
  </w:footnote>
  <w:footnote w:id="13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Note that, according to Thomson, </w:t>
      </w:r>
      <w:r w:rsidRPr="00EA4B80">
        <w:rPr>
          <w:rFonts w:cs="Times New Roman"/>
          <w:i/>
        </w:rPr>
        <w:t>Laws of Ceylon</w:t>
      </w:r>
      <w:r w:rsidRPr="00EA4B80">
        <w:rPr>
          <w:rFonts w:cs="Times New Roman"/>
        </w:rPr>
        <w:t xml:space="preserve">, 354, ‘[i]f the party who issued execution purchases any of the property, the amount is allowed in reduction of his claim ; and if it exceed his claim, he only pays the residue…’ Therefore, it would seem that the </w:t>
      </w:r>
      <w:r w:rsidRPr="00EA4B80">
        <w:rPr>
          <w:rFonts w:cs="Times New Roman"/>
          <w:bCs/>
        </w:rPr>
        <w:t>Société’s desire to purchase the Estates was not unusual.</w:t>
      </w:r>
    </w:p>
  </w:footnote>
  <w:footnote w:id="140">
    <w:p w:rsidR="00026F0C" w:rsidRPr="00EA4B80" w:rsidRDefault="00026F0C" w:rsidP="00CD6159">
      <w:pPr>
        <w:pStyle w:val="FootnoteText"/>
        <w:ind w:left="0" w:firstLine="0"/>
        <w:jc w:val="both"/>
        <w:rPr>
          <w:rFonts w:cs="Times New Roman"/>
          <w:i/>
        </w:rPr>
      </w:pPr>
      <w:r w:rsidRPr="00EA4B80">
        <w:rPr>
          <w:rStyle w:val="FootnoteReference"/>
          <w:rFonts w:cs="Times New Roman"/>
        </w:rPr>
        <w:footnoteRef/>
      </w:r>
      <w:r w:rsidRPr="00EA4B80">
        <w:rPr>
          <w:rFonts w:cs="Times New Roman"/>
        </w:rPr>
        <w:t xml:space="preserve"> Letter from Robertsons to the </w:t>
      </w:r>
      <w:r w:rsidRPr="00EA4B80">
        <w:rPr>
          <w:rFonts w:cs="Times New Roman"/>
          <w:bCs/>
        </w:rPr>
        <w:t xml:space="preserve">Société, 20 Feb. 1873, </w:t>
      </w:r>
      <w:r w:rsidRPr="00EA4B80">
        <w:rPr>
          <w:rFonts w:cs="Times New Roman"/>
          <w:kern w:val="2"/>
        </w:rPr>
        <w:t>Stadsarcheif Amsterdam, 650/20, 1873.</w:t>
      </w:r>
    </w:p>
  </w:footnote>
  <w:footnote w:id="14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3E2BC2">
        <w:rPr>
          <w:rFonts w:cs="Times New Roman"/>
        </w:rPr>
        <w:t>Ibid.</w:t>
      </w:r>
      <w:r w:rsidRPr="00EA4B80">
        <w:rPr>
          <w:rFonts w:cs="Times New Roman"/>
          <w:i/>
        </w:rPr>
        <w:t xml:space="preserve"> </w:t>
      </w:r>
      <w:r w:rsidRPr="00EA4B80">
        <w:rPr>
          <w:rFonts w:cs="Times New Roman"/>
          <w:bCs/>
        </w:rPr>
        <w:t>Each of the individual estates which together comprised the Estates were auctioned in individual lots.</w:t>
      </w:r>
    </w:p>
  </w:footnote>
  <w:footnote w:id="14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3E2BC2">
        <w:rPr>
          <w:rFonts w:cs="Times New Roman"/>
        </w:rPr>
        <w:t>Ibid.</w:t>
      </w:r>
    </w:p>
  </w:footnote>
  <w:footnote w:id="143">
    <w:p w:rsidR="00026F0C" w:rsidRPr="00EA4B80" w:rsidRDefault="00026F0C" w:rsidP="00CD6159">
      <w:pPr>
        <w:pStyle w:val="FootnoteText"/>
        <w:ind w:left="0" w:firstLine="0"/>
        <w:jc w:val="both"/>
        <w:rPr>
          <w:rFonts w:cs="Times New Roman"/>
          <w:i/>
        </w:rPr>
      </w:pPr>
      <w:r w:rsidRPr="00EA4B80">
        <w:rPr>
          <w:rStyle w:val="FootnoteReference"/>
          <w:rFonts w:cs="Times New Roman"/>
        </w:rPr>
        <w:footnoteRef/>
      </w:r>
      <w:r w:rsidRPr="00EA4B80">
        <w:rPr>
          <w:rFonts w:cs="Times New Roman"/>
        </w:rPr>
        <w:t xml:space="preserve"> </w:t>
      </w:r>
      <w:r w:rsidRPr="001D16C3">
        <w:rPr>
          <w:rFonts w:cs="Times New Roman"/>
        </w:rPr>
        <w:t>Ibid.</w:t>
      </w:r>
    </w:p>
  </w:footnote>
  <w:footnote w:id="14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Letter from Robertsons to the </w:t>
      </w:r>
      <w:r w:rsidRPr="00EA4B80">
        <w:rPr>
          <w:rFonts w:cs="Times New Roman"/>
          <w:bCs/>
        </w:rPr>
        <w:t xml:space="preserve">Société, 24 Dec. 1872, </w:t>
      </w:r>
      <w:r w:rsidRPr="00EA4B80">
        <w:rPr>
          <w:rFonts w:cs="Times New Roman"/>
          <w:kern w:val="2"/>
        </w:rPr>
        <w:t>Stadsarcheif Amsterdam, 650/20, 1872.</w:t>
      </w:r>
    </w:p>
  </w:footnote>
  <w:footnote w:id="14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Note that this was one of the estates collectively referred to as the ‘Delmar Estates’.</w:t>
      </w:r>
      <w:r>
        <w:rPr>
          <w:rFonts w:cs="Times New Roman"/>
        </w:rPr>
        <w:t xml:space="preserve"> Others included Delta, Alwick, Kudnoya, Maguhapittia and Pahalateme (</w:t>
      </w:r>
      <w:r w:rsidRPr="00EA4B80">
        <w:rPr>
          <w:rFonts w:cs="Times New Roman"/>
        </w:rPr>
        <w:t xml:space="preserve">Letter from Robertsons to the </w:t>
      </w:r>
      <w:r w:rsidRPr="00EA4B80">
        <w:rPr>
          <w:rFonts w:cs="Times New Roman"/>
          <w:bCs/>
        </w:rPr>
        <w:t xml:space="preserve">Société, 20 Feb. 1873, </w:t>
      </w:r>
      <w:r w:rsidRPr="00EA4B80">
        <w:rPr>
          <w:rFonts w:cs="Times New Roman"/>
          <w:kern w:val="2"/>
        </w:rPr>
        <w:t>Stadsarcheif Amsterdam, 650/20, 1873.</w:t>
      </w:r>
      <w:r>
        <w:rPr>
          <w:rFonts w:cs="Times New Roman"/>
          <w:kern w:val="2"/>
        </w:rPr>
        <w:t>).</w:t>
      </w:r>
    </w:p>
  </w:footnote>
  <w:footnote w:id="14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L</w:t>
      </w:r>
      <w:r w:rsidRPr="00EA4B80">
        <w:rPr>
          <w:rFonts w:cs="Times New Roman"/>
        </w:rPr>
        <w:t xml:space="preserve">etter from Robertsons to the </w:t>
      </w:r>
      <w:r w:rsidRPr="00EA4B80">
        <w:rPr>
          <w:rFonts w:cs="Times New Roman"/>
          <w:bCs/>
        </w:rPr>
        <w:t xml:space="preserve">Société, 20 Feb. 1873, </w:t>
      </w:r>
      <w:r w:rsidRPr="00EA4B80">
        <w:rPr>
          <w:rFonts w:cs="Times New Roman"/>
          <w:kern w:val="2"/>
        </w:rPr>
        <w:t>Stadsarcheif Amsterdam, 650/20, 1873.</w:t>
      </w:r>
    </w:p>
  </w:footnote>
  <w:footnote w:id="14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Pr>
          <w:rFonts w:cs="Times New Roman"/>
        </w:rPr>
        <w:t>(1896) 66 L.J. Ch. 74 at 77.</w:t>
      </w:r>
    </w:p>
  </w:footnote>
  <w:footnote w:id="148">
    <w:p w:rsidR="00026F0C" w:rsidRPr="00F24921"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i/>
        </w:rPr>
        <w:t xml:space="preserve">Rochefoucauld v Boustead </w:t>
      </w:r>
      <w:r>
        <w:rPr>
          <w:rFonts w:cs="Times New Roman"/>
        </w:rPr>
        <w:t>[1897] 2 Ch. 196 at 206.</w:t>
      </w:r>
    </w:p>
  </w:footnote>
  <w:footnote w:id="14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Notably, the standard wording for deeds of conveyance in Ceylon contained no scope for declarations of trust- s</w:t>
      </w:r>
      <w:r w:rsidRPr="00EA4B80">
        <w:rPr>
          <w:rFonts w:cs="Times New Roman"/>
        </w:rPr>
        <w:t>ee Taylor</w:t>
      </w:r>
      <w:r>
        <w:rPr>
          <w:rFonts w:cs="Times New Roman"/>
        </w:rPr>
        <w:t xml:space="preserve">, ‘Roman-Dutch Law’, </w:t>
      </w:r>
      <w:r w:rsidRPr="00EA4B80">
        <w:rPr>
          <w:rFonts w:cs="Times New Roman"/>
        </w:rPr>
        <w:t>352.</w:t>
      </w:r>
    </w:p>
  </w:footnote>
  <w:footnote w:id="15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Letter from Robertsons to the </w:t>
      </w:r>
      <w:r w:rsidRPr="00EA4B80">
        <w:rPr>
          <w:rFonts w:cs="Times New Roman"/>
          <w:bCs/>
        </w:rPr>
        <w:t xml:space="preserve">Société, 19 Feb. 1873, </w:t>
      </w:r>
      <w:r w:rsidRPr="00EA4B80">
        <w:rPr>
          <w:rFonts w:cs="Times New Roman"/>
          <w:kern w:val="2"/>
        </w:rPr>
        <w:t>Stadsarcheif Amsterdam, 650/20, 1873.</w:t>
      </w:r>
    </w:p>
  </w:footnote>
  <w:footnote w:id="15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kern w:val="2"/>
        </w:rPr>
        <w:t>In this letter, Robertson</w:t>
      </w:r>
      <w:r>
        <w:rPr>
          <w:rFonts w:cs="Times New Roman"/>
          <w:kern w:val="2"/>
        </w:rPr>
        <w:t>s</w:t>
      </w:r>
      <w:r w:rsidRPr="00EA4B80">
        <w:rPr>
          <w:rFonts w:cs="Times New Roman"/>
          <w:kern w:val="2"/>
        </w:rPr>
        <w:t xml:space="preserve"> transcribed the contents of the telegram in question.</w:t>
      </w:r>
    </w:p>
  </w:footnote>
  <w:footnote w:id="152">
    <w:p w:rsidR="00026F0C" w:rsidRPr="00EA4B80" w:rsidRDefault="00026F0C" w:rsidP="00867A6F">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Letter from Robertsons to the </w:t>
      </w:r>
      <w:r>
        <w:rPr>
          <w:rFonts w:cs="Times New Roman"/>
          <w:bCs/>
        </w:rPr>
        <w:t>Société, 20</w:t>
      </w:r>
      <w:r w:rsidRPr="00EA4B80">
        <w:rPr>
          <w:rFonts w:cs="Times New Roman"/>
          <w:bCs/>
        </w:rPr>
        <w:t xml:space="preserve"> Feb. 1873, </w:t>
      </w:r>
      <w:r w:rsidRPr="00EA4B80">
        <w:rPr>
          <w:rFonts w:cs="Times New Roman"/>
          <w:kern w:val="2"/>
        </w:rPr>
        <w:t>Stadsarcheif Amsterdam, 650/20, 1873.</w:t>
      </w:r>
      <w:r>
        <w:rPr>
          <w:rFonts w:cs="Times New Roman"/>
          <w:kern w:val="2"/>
        </w:rPr>
        <w:t xml:space="preserve"> Similar wording was used in the letter of 19 Feb. 1873: ‘Mr Sabadoniere gave the name of John Boustead of London as the purchaser. He has intimated to us that the Estates are to be taken for the ultimate benefit of Mrs. Cavendish and her family’. </w:t>
      </w:r>
    </w:p>
  </w:footnote>
  <w:footnote w:id="15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See n</w:t>
      </w:r>
      <w:r w:rsidRPr="0032393E">
        <w:rPr>
          <w:rFonts w:cs="Times New Roman"/>
          <w:color w:val="000000" w:themeColor="text1"/>
        </w:rPr>
        <w:t>. 65 and accompanying text, above.</w:t>
      </w:r>
    </w:p>
  </w:footnote>
  <w:footnote w:id="15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Taylor</w:t>
      </w:r>
      <w:r>
        <w:rPr>
          <w:rFonts w:cs="Times New Roman"/>
        </w:rPr>
        <w:t>, ‘Roman-Dutch Law’, 349, 351 and 354-355.</w:t>
      </w:r>
    </w:p>
  </w:footnote>
  <w:footnote w:id="155">
    <w:p w:rsidR="00026F0C" w:rsidRDefault="00026F0C">
      <w:pPr>
        <w:pStyle w:val="FootnoteText"/>
      </w:pPr>
      <w:r>
        <w:rPr>
          <w:rStyle w:val="FootnoteReference"/>
        </w:rPr>
        <w:footnoteRef/>
      </w:r>
      <w:r>
        <w:t xml:space="preserve"> It seems that her husband’s influence was much reduced after the advent of the Third Republic (see n. 37, above). Of course, France’s defeat in the Franco-Prussian war brought about the fall of her friend Napoleon III and the Second Empire. Through her connection with the Baron and the Prussian Crown (see n. 40, above) Emily is likely to have had influential friends within the upper echelons of the society of the victors of that war.</w:t>
      </w:r>
    </w:p>
  </w:footnote>
  <w:footnote w:id="15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[1896] All E</w:t>
      </w:r>
      <w:r>
        <w:rPr>
          <w:rFonts w:cs="Times New Roman"/>
        </w:rPr>
        <w:t>.</w:t>
      </w:r>
      <w:r w:rsidRPr="00EA4B80">
        <w:rPr>
          <w:rFonts w:cs="Times New Roman"/>
        </w:rPr>
        <w:t>R</w:t>
      </w:r>
      <w:r>
        <w:rPr>
          <w:rFonts w:cs="Times New Roman"/>
        </w:rPr>
        <w:t>.</w:t>
      </w:r>
      <w:r w:rsidRPr="00EA4B80">
        <w:rPr>
          <w:rFonts w:cs="Times New Roman"/>
        </w:rPr>
        <w:t xml:space="preserve"> Rep</w:t>
      </w:r>
      <w:r>
        <w:rPr>
          <w:rFonts w:cs="Times New Roman"/>
        </w:rPr>
        <w:t>.</w:t>
      </w:r>
      <w:r w:rsidRPr="00EA4B80">
        <w:rPr>
          <w:rFonts w:cs="Times New Roman"/>
        </w:rPr>
        <w:t xml:space="preserve"> Ext</w:t>
      </w:r>
      <w:r>
        <w:rPr>
          <w:rFonts w:cs="Times New Roman"/>
        </w:rPr>
        <w:t>.</w:t>
      </w:r>
      <w:r w:rsidRPr="00EA4B80">
        <w:rPr>
          <w:rFonts w:cs="Times New Roman"/>
        </w:rPr>
        <w:t xml:space="preserve"> 1911 at 1915 </w:t>
      </w:r>
      <w:r w:rsidRPr="00EA4B80">
        <w:rPr>
          <w:rFonts w:cs="Times New Roman"/>
          <w:i/>
        </w:rPr>
        <w:t xml:space="preserve">per </w:t>
      </w:r>
      <w:r w:rsidRPr="00EA4B80">
        <w:rPr>
          <w:rFonts w:cs="Times New Roman"/>
        </w:rPr>
        <w:t>Lindley LJ.</w:t>
      </w:r>
    </w:p>
  </w:footnote>
  <w:footnote w:id="15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See </w:t>
      </w:r>
      <w:r w:rsidRPr="00EA4B80">
        <w:rPr>
          <w:rFonts w:cs="Times New Roman"/>
          <w:i/>
        </w:rPr>
        <w:t xml:space="preserve">Rochefoucauld v Boustead </w:t>
      </w:r>
      <w:r w:rsidRPr="00EA4B80">
        <w:rPr>
          <w:rFonts w:cs="Times New Roman"/>
        </w:rPr>
        <w:t>(1896) 66 L.J. Ch. 74 at 75.</w:t>
      </w:r>
    </w:p>
  </w:footnote>
  <w:footnote w:id="15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According to the accounts of the 1870-17 season (sent by letter dated 18 Aug. 1872 by Robertsons to </w:t>
      </w:r>
      <w:r w:rsidRPr="00411006">
        <w:rPr>
          <w:rFonts w:cs="Times New Roman"/>
        </w:rPr>
        <w:t xml:space="preserve">the </w:t>
      </w:r>
      <w:r w:rsidRPr="00411006">
        <w:rPr>
          <w:rFonts w:cs="Times New Roman"/>
          <w:bCs/>
        </w:rPr>
        <w:t>Société</w:t>
      </w:r>
      <w:r>
        <w:rPr>
          <w:rFonts w:cs="Times New Roman"/>
          <w:bCs/>
        </w:rPr>
        <w:t xml:space="preserve">, </w:t>
      </w:r>
      <w:r w:rsidRPr="00EA4B80">
        <w:rPr>
          <w:rFonts w:cs="Times New Roman"/>
          <w:kern w:val="2"/>
        </w:rPr>
        <w:t>Stads</w:t>
      </w:r>
      <w:r>
        <w:rPr>
          <w:rFonts w:cs="Times New Roman"/>
          <w:kern w:val="2"/>
        </w:rPr>
        <w:t xml:space="preserve">archeif Amsterdam, 650/20, 1871), the net profits were £9600. Cavendish’s letter to Barings (15 Jan. 1872, </w:t>
      </w:r>
      <w:r w:rsidRPr="00EA4B80">
        <w:rPr>
          <w:rFonts w:cs="Times New Roman"/>
        </w:rPr>
        <w:t>Bar</w:t>
      </w:r>
      <w:r>
        <w:rPr>
          <w:rFonts w:cs="Times New Roman"/>
        </w:rPr>
        <w:t xml:space="preserve">ing Archive, HC6.3.22.13, 1872) also states that the profits from the Estates for ‘the last 3 years’ were ‘about £10000 per annum’. In the letter, Cavendish states that he had received this information from Mr. Christian. According to the </w:t>
      </w:r>
      <w:r w:rsidRPr="00EA4B80">
        <w:rPr>
          <w:rStyle w:val="mini"/>
          <w:rFonts w:cs="Times New Roman"/>
          <w:iCs/>
        </w:rPr>
        <w:t xml:space="preserve">recitals in the deed dated 28 Dec. 1863 transferring the debt, mortgage and power of attorney to the </w:t>
      </w:r>
      <w:r w:rsidRPr="00EA4B80">
        <w:rPr>
          <w:rFonts w:cs="Times New Roman"/>
        </w:rPr>
        <w:t>Société (</w:t>
      </w:r>
      <w:r>
        <w:rPr>
          <w:rFonts w:cs="Times New Roman"/>
        </w:rPr>
        <w:t xml:space="preserve">Baring Archive, HC6.3.7, 1864), George Christian was a partner in Robertsons. </w:t>
      </w:r>
    </w:p>
  </w:footnote>
  <w:footnote w:id="15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The l</w:t>
      </w:r>
      <w:r w:rsidRPr="00EA4B80">
        <w:rPr>
          <w:rFonts w:cs="Times New Roman"/>
        </w:rPr>
        <w:t xml:space="preserve">etter from Robertsons to the </w:t>
      </w:r>
      <w:r>
        <w:rPr>
          <w:rFonts w:cs="Times New Roman"/>
          <w:bCs/>
        </w:rPr>
        <w:t xml:space="preserve">Société of </w:t>
      </w:r>
      <w:r w:rsidRPr="00EA4B80">
        <w:rPr>
          <w:rFonts w:cs="Times New Roman"/>
          <w:bCs/>
        </w:rPr>
        <w:t>12</w:t>
      </w:r>
      <w:r w:rsidRPr="00EA4B80">
        <w:rPr>
          <w:rFonts w:cs="Times New Roman"/>
          <w:bCs/>
          <w:vertAlign w:val="superscript"/>
        </w:rPr>
        <w:t>th</w:t>
      </w:r>
      <w:r>
        <w:rPr>
          <w:rFonts w:cs="Times New Roman"/>
          <w:bCs/>
        </w:rPr>
        <w:t xml:space="preserve"> Feb. 1872 (</w:t>
      </w:r>
      <w:r w:rsidRPr="00EA4B80">
        <w:rPr>
          <w:rFonts w:cs="Times New Roman"/>
          <w:kern w:val="2"/>
        </w:rPr>
        <w:t>Stads</w:t>
      </w:r>
      <w:r>
        <w:rPr>
          <w:rFonts w:cs="Times New Roman"/>
          <w:kern w:val="2"/>
        </w:rPr>
        <w:t xml:space="preserve">archeif Amsterdam, 650/20, 1872) refers to the </w:t>
      </w:r>
      <w:r>
        <w:rPr>
          <w:rFonts w:cs="Times New Roman"/>
          <w:bCs/>
        </w:rPr>
        <w:t>Société</w:t>
      </w:r>
      <w:r>
        <w:rPr>
          <w:rFonts w:cs="Times New Roman"/>
          <w:kern w:val="2"/>
        </w:rPr>
        <w:t xml:space="preserve"> as ‘already being in possession as mortgagees’.</w:t>
      </w:r>
    </w:p>
  </w:footnote>
  <w:footnote w:id="16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[1897] 1 Ch. 196 at 198.</w:t>
      </w:r>
    </w:p>
  </w:footnote>
  <w:footnote w:id="16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According to Lee, </w:t>
      </w:r>
      <w:r>
        <w:rPr>
          <w:rFonts w:cs="Times New Roman"/>
          <w:i/>
        </w:rPr>
        <w:t>An Introduction</w:t>
      </w:r>
      <w:r>
        <w:rPr>
          <w:rFonts w:cs="Times New Roman"/>
        </w:rPr>
        <w:t>,181, ‘</w:t>
      </w:r>
      <w:r>
        <w:t>The mortgaged property may be sold without an order of Court with the consent of the debtor ; but an agreement for extra-judicial sale contained in the mortgage deed will not be enforced if the debtor afterwards objects’.</w:t>
      </w:r>
    </w:p>
  </w:footnote>
  <w:footnote w:id="162">
    <w:p w:rsidR="00026F0C" w:rsidRPr="00EA4B80" w:rsidRDefault="00026F0C" w:rsidP="005F48A7">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In a l</w:t>
      </w:r>
      <w:r w:rsidRPr="00EA4B80">
        <w:rPr>
          <w:rFonts w:cs="Times New Roman"/>
        </w:rPr>
        <w:t xml:space="preserve">etter from Robertsons to the </w:t>
      </w:r>
      <w:r w:rsidRPr="00EA4B80">
        <w:rPr>
          <w:rFonts w:cs="Times New Roman"/>
          <w:bCs/>
        </w:rPr>
        <w:t xml:space="preserve">Société, </w:t>
      </w:r>
      <w:r>
        <w:rPr>
          <w:rFonts w:cs="Times New Roman"/>
          <w:bCs/>
        </w:rPr>
        <w:t>18 Aug 1871</w:t>
      </w:r>
      <w:r w:rsidRPr="00EA4B80">
        <w:rPr>
          <w:rFonts w:cs="Times New Roman"/>
          <w:bCs/>
        </w:rPr>
        <w:t xml:space="preserve">, </w:t>
      </w:r>
      <w:r w:rsidRPr="00EA4B80">
        <w:rPr>
          <w:rFonts w:cs="Times New Roman"/>
          <w:kern w:val="2"/>
        </w:rPr>
        <w:t>Stad</w:t>
      </w:r>
      <w:r>
        <w:rPr>
          <w:rFonts w:cs="Times New Roman"/>
          <w:kern w:val="2"/>
        </w:rPr>
        <w:t>sarcheif Amsterdam, 650/20, 1871, it is stated that the Deputy Queen’s Advocate, Mr Cayley, had been retained by Emily</w:t>
      </w:r>
      <w:r w:rsidRPr="00EA4B80">
        <w:rPr>
          <w:rFonts w:cs="Times New Roman"/>
          <w:kern w:val="2"/>
        </w:rPr>
        <w:t>.</w:t>
      </w:r>
      <w:r>
        <w:rPr>
          <w:rFonts w:cs="Times New Roman"/>
          <w:kern w:val="2"/>
        </w:rPr>
        <w:t xml:space="preserve"> Furthermore the letter from Robertsons to the </w:t>
      </w:r>
      <w:r w:rsidRPr="00EA4B80">
        <w:rPr>
          <w:rFonts w:cs="Times New Roman"/>
          <w:bCs/>
        </w:rPr>
        <w:t>Société</w:t>
      </w:r>
      <w:r>
        <w:rPr>
          <w:rFonts w:cs="Times New Roman"/>
        </w:rPr>
        <w:t xml:space="preserve">, 30 Oct 1872, </w:t>
      </w:r>
      <w:r w:rsidRPr="00EA4B80">
        <w:rPr>
          <w:rFonts w:cs="Times New Roman"/>
          <w:kern w:val="2"/>
        </w:rPr>
        <w:t>Stad</w:t>
      </w:r>
      <w:r>
        <w:rPr>
          <w:rFonts w:cs="Times New Roman"/>
          <w:kern w:val="2"/>
        </w:rPr>
        <w:t xml:space="preserve">sarcheif Amsterdam, 650/20, 1872, which contains a detailed account of the trial, states that ‘The Countess Rochefoucauld having in the meantime confessed judgment- the services of the Queen’s Advocate, who had until then been retained on her behalf, were thereby released to us’. As the ‘Queen’s Advocate’ is referred to as Mr Cayley, it is clearly the same person who was identified as the ‘Deputy Queen’s Advocate’ in the letter of 1871. Note also that </w:t>
      </w:r>
      <w:r>
        <w:rPr>
          <w:rFonts w:cs="Times New Roman"/>
        </w:rPr>
        <w:t xml:space="preserve">in January 1872, Cavendish feared that, if what he thought of as the foreclosure (i.e. the sale in execution) did go ahead, his claim would be extinguished. See </w:t>
      </w:r>
      <w:r w:rsidRPr="0032393E">
        <w:rPr>
          <w:rFonts w:cs="Times New Roman"/>
          <w:color w:val="000000" w:themeColor="text1"/>
        </w:rPr>
        <w:t>n. 129</w:t>
      </w:r>
      <w:r w:rsidRPr="00D87590">
        <w:rPr>
          <w:rFonts w:cs="Times New Roman"/>
          <w:color w:val="FF0000"/>
        </w:rPr>
        <w:t xml:space="preserve"> </w:t>
      </w:r>
      <w:r>
        <w:rPr>
          <w:rFonts w:cs="Times New Roman"/>
        </w:rPr>
        <w:t>and accompanying text, above. As Emily was obviously a party to the marriage settlement, he would have been able to pursue his claim under the 1868 decree against her, had she openly purchased the Estates at the auctions. He almost certainly had no rights against any other purchasers, however. Hodgson’s letter of 9 Nov. 1866 (</w:t>
      </w:r>
      <w:r w:rsidRPr="00EA4B80">
        <w:rPr>
          <w:rFonts w:cs="Times New Roman"/>
          <w:kern w:val="2"/>
        </w:rPr>
        <w:t>Stadsarcheif Amsterdam, 650/17</w:t>
      </w:r>
      <w:r>
        <w:rPr>
          <w:rFonts w:cs="Times New Roman"/>
          <w:kern w:val="2"/>
        </w:rPr>
        <w:t>, 1866) makes it clear th</w:t>
      </w:r>
      <w:r w:rsidRPr="00CF73F7">
        <w:rPr>
          <w:rFonts w:cs="Times New Roman"/>
          <w:kern w:val="2"/>
        </w:rPr>
        <w:t xml:space="preserve">at </w:t>
      </w:r>
      <w:r w:rsidRPr="00CF73F7">
        <w:rPr>
          <w:rFonts w:cs="Times New Roman"/>
        </w:rPr>
        <w:t>the Société’s rights as mortgagees would not be compromised by any order of the Divorce Court.</w:t>
      </w:r>
      <w:r>
        <w:rPr>
          <w:rFonts w:cs="Times New Roman"/>
        </w:rPr>
        <w:t xml:space="preserve"> Also, Thomson explains that ‘</w:t>
      </w:r>
      <w:r>
        <w:t>a sale in execution is an assignment by operation of law, and the purchaser must take the property, subject to the same conditions and liable to the same forfeitures as it was subject and liable in the hands of the original owner’ (</w:t>
      </w:r>
      <w:r w:rsidRPr="00EA4B80">
        <w:rPr>
          <w:rFonts w:cs="Times New Roman"/>
        </w:rPr>
        <w:t xml:space="preserve">Thomson, </w:t>
      </w:r>
      <w:r w:rsidRPr="00EA4B80">
        <w:rPr>
          <w:rFonts w:cs="Times New Roman"/>
          <w:i/>
        </w:rPr>
        <w:t>Laws of Ceylon</w:t>
      </w:r>
      <w:r>
        <w:rPr>
          <w:rFonts w:cs="Times New Roman"/>
        </w:rPr>
        <w:t>, 354). Given what Hodgson wrote, and that the mortgage pre-dated both the 1868 decree and the Baroness’s will, it is difficult to see how a claim by Cavendish founded on either the 1868 decree or the Baroness’s will could have succeeded against any outsider purchaser.</w:t>
      </w:r>
    </w:p>
  </w:footnote>
  <w:footnote w:id="16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For the reasons explained, Ibid., above, it is most unlikely that the children could have pursued their claim against any purchaser of the Estates other than Emily herself. </w:t>
      </w:r>
    </w:p>
  </w:footnote>
  <w:footnote w:id="164">
    <w:p w:rsidR="00026F0C" w:rsidRPr="00FE3325"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See </w:t>
      </w:r>
      <w:r w:rsidRPr="00EA4B80">
        <w:rPr>
          <w:rFonts w:cs="Times New Roman"/>
          <w:i/>
        </w:rPr>
        <w:t>Cavendish v Cavendish and Rochefoucauld, The Times</w:t>
      </w:r>
      <w:r w:rsidRPr="00EA4B80">
        <w:rPr>
          <w:rFonts w:cs="Times New Roman"/>
        </w:rPr>
        <w:t xml:space="preserve"> , 18 June 1866, 11 cols.c-d.</w:t>
      </w:r>
      <w:r>
        <w:rPr>
          <w:rFonts w:cs="Times New Roman"/>
        </w:rPr>
        <w:t xml:space="preserve"> Furthermore, in Rumbold, </w:t>
      </w:r>
      <w:r>
        <w:rPr>
          <w:rFonts w:cs="Times New Roman"/>
          <w:i/>
        </w:rPr>
        <w:t xml:space="preserve">Recollections, </w:t>
      </w:r>
      <w:r>
        <w:rPr>
          <w:rFonts w:cs="Times New Roman"/>
        </w:rPr>
        <w:t>92, Emily is described as having been Baron Delmar’s ‘most trusted private secretary’.</w:t>
      </w:r>
    </w:p>
  </w:footnote>
  <w:footnote w:id="16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 xml:space="preserve">[1896] All ER Rep Ext 1911 at 1914 </w:t>
      </w:r>
      <w:r w:rsidRPr="00EA4B80">
        <w:rPr>
          <w:rFonts w:cs="Times New Roman"/>
          <w:i/>
        </w:rPr>
        <w:t xml:space="preserve">per </w:t>
      </w:r>
      <w:r w:rsidRPr="00EA4B80">
        <w:rPr>
          <w:rFonts w:cs="Times New Roman"/>
        </w:rPr>
        <w:t>Lindley LJ.</w:t>
      </w:r>
    </w:p>
  </w:footnote>
  <w:footnote w:id="16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&lt;</w:t>
      </w:r>
      <w:r w:rsidRPr="00EA4B80">
        <w:rPr>
          <w:rFonts w:cs="Times New Roman"/>
        </w:rPr>
        <w:t>http://thepeerage.com/p1028.htm#i10276&gt; accessed 2</w:t>
      </w:r>
      <w:r>
        <w:rPr>
          <w:rFonts w:cs="Times New Roman"/>
        </w:rPr>
        <w:t>5 July 2014</w:t>
      </w:r>
      <w:r w:rsidRPr="00EA4B80">
        <w:rPr>
          <w:rFonts w:cs="Times New Roman"/>
        </w:rPr>
        <w:t>.</w:t>
      </w:r>
    </w:p>
  </w:footnote>
  <w:footnote w:id="16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It should also be noted that, according to </w:t>
      </w:r>
      <w:r w:rsidRPr="00EA4B80">
        <w:rPr>
          <w:rFonts w:cs="Times New Roman"/>
          <w:i/>
        </w:rPr>
        <w:t xml:space="preserve">Rochefoucauld v Boustead </w:t>
      </w:r>
      <w:r w:rsidRPr="00EA4B80">
        <w:rPr>
          <w:rFonts w:cs="Times New Roman"/>
        </w:rPr>
        <w:t>[1896] All. E.R. Rep. Ext. 1911 at 1911. the Baron also ‘covenanted with the trustees of the marriage settlement [of George and Emily Cavendish] for the payment to them of £20,000 after the death of the Baron and his wife’. That this was mentioned in the report suggests that Cavendish may have had some interest in the Estates as a result of the covenant. There is, however, no evidence in any of the reports or documentation that has been studied for the purposes of this article that any of Cavendish’s claims were actually founded on this covenant to settle.</w:t>
      </w:r>
    </w:p>
  </w:footnote>
  <w:footnote w:id="16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[1897] 1 Ch. 196 at 198.</w:t>
      </w:r>
    </w:p>
  </w:footnote>
  <w:footnote w:id="16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 xml:space="preserve">[1896] All. E.R. Rep. Ext. 1911 at 1913. In </w:t>
      </w:r>
      <w:r w:rsidRPr="00EA4B80">
        <w:rPr>
          <w:rFonts w:cs="Times New Roman"/>
          <w:i/>
        </w:rPr>
        <w:t>In Re Price, Boustead, and Co.,</w:t>
      </w:r>
      <w:r w:rsidRPr="00EA4B80">
        <w:rPr>
          <w:rFonts w:cs="Times New Roman"/>
        </w:rPr>
        <w:t xml:space="preserve"> </w:t>
      </w:r>
      <w:r w:rsidRPr="00EA4B80">
        <w:rPr>
          <w:rFonts w:cs="Times New Roman"/>
          <w:i/>
        </w:rPr>
        <w:t>The Times</w:t>
      </w:r>
      <w:r w:rsidRPr="00EA4B80">
        <w:rPr>
          <w:rFonts w:cs="Times New Roman"/>
        </w:rPr>
        <w:t xml:space="preserve"> , 30 July 1879, 4 col.c, it is reported that the firm’s application for liquidation was granted.</w:t>
      </w:r>
    </w:p>
  </w:footnote>
  <w:footnote w:id="17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In </w:t>
      </w:r>
      <w:r w:rsidRPr="00EA4B80">
        <w:rPr>
          <w:rFonts w:cs="Times New Roman"/>
          <w:i/>
        </w:rPr>
        <w:t xml:space="preserve">Rochefoucauld v Boustead </w:t>
      </w:r>
      <w:r w:rsidRPr="00EA4B80">
        <w:rPr>
          <w:rFonts w:cs="Times New Roman"/>
        </w:rPr>
        <w:t>[1896] All. E.R. Rep. Ext. 1911 at 1913, it is stated that the plaintiff’s case was that ‘defendant had committed various breaches of trust between 1876 and 1879 in having, unknown to her, mortgaged or sold the Delmar estates, or parts of them, without having accounted for the mortgage money or proceeds, and also, in 1880, in having conveyed to the trustee of his bankrupt estate so much of the estates as remained unsold.’</w:t>
      </w:r>
    </w:p>
  </w:footnote>
  <w:footnote w:id="17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[1897] 1 Ch. 196 at 210.</w:t>
      </w:r>
    </w:p>
  </w:footnote>
  <w:footnote w:id="17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rPr>
        <w:t>at 198.</w:t>
      </w:r>
    </w:p>
  </w:footnote>
  <w:footnote w:id="17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This is evidenced by a letter written by Emily on 9 Aug. 1880 to the trustee in bankruptcy, claiming the Estates were hers. The letter was cited in </w:t>
      </w:r>
      <w:r w:rsidRPr="00EA4B80">
        <w:rPr>
          <w:rFonts w:cs="Times New Roman"/>
          <w:i/>
        </w:rPr>
        <w:t xml:space="preserve">Rochefoucauld v Boustead </w:t>
      </w:r>
      <w:r w:rsidRPr="00EA4B80">
        <w:rPr>
          <w:rFonts w:cs="Times New Roman"/>
        </w:rPr>
        <w:t>[1897] 1 Ch. 196 at 198.</w:t>
      </w:r>
    </w:p>
  </w:footnote>
  <w:footnote w:id="17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 xml:space="preserve">[1896] All. E.R. Rep. Ext. 1911 at 1918, </w:t>
      </w:r>
      <w:r w:rsidRPr="00EA4B80">
        <w:rPr>
          <w:rFonts w:cs="Times New Roman"/>
          <w:i/>
        </w:rPr>
        <w:t xml:space="preserve">per </w:t>
      </w:r>
      <w:r w:rsidRPr="00EA4B80">
        <w:rPr>
          <w:rFonts w:cs="Times New Roman"/>
        </w:rPr>
        <w:t>Lindley LJ.</w:t>
      </w:r>
    </w:p>
  </w:footnote>
  <w:footnote w:id="175">
    <w:p w:rsidR="00026F0C" w:rsidRPr="00EA4B80" w:rsidRDefault="00026F0C" w:rsidP="00CD6159">
      <w:pPr>
        <w:pStyle w:val="FootnoteText"/>
        <w:spacing w:line="240" w:lineRule="auto"/>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[1897] 1 Ch. 196 at 199. The letter was quoted from in the Court of Appeal.</w:t>
      </w:r>
    </w:p>
  </w:footnote>
  <w:footnote w:id="176">
    <w:p w:rsidR="00026F0C" w:rsidRPr="00EA4B80" w:rsidRDefault="00026F0C" w:rsidP="00CD6159">
      <w:pPr>
        <w:pStyle w:val="FootnoteText1"/>
        <w:pageBreakBefore/>
        <w:spacing w:line="240" w:lineRule="auto"/>
        <w:jc w:val="both"/>
        <w:rPr>
          <w:rFonts w:cs="Times New Roman"/>
        </w:rPr>
      </w:pPr>
      <w:r w:rsidRPr="00EA4B80">
        <w:rPr>
          <w:rStyle w:val="FootnoteReference"/>
          <w:rFonts w:cs="Times New Roman"/>
        </w:rPr>
        <w:footnoteRef/>
      </w:r>
      <w:r>
        <w:rPr>
          <w:rFonts w:cs="Times New Roman"/>
        </w:rPr>
        <w:t xml:space="preserve"> See generally Duncan,</w:t>
      </w:r>
      <w:r w:rsidRPr="00EA4B80">
        <w:rPr>
          <w:rFonts w:cs="Times New Roman"/>
        </w:rPr>
        <w:t xml:space="preserve"> </w:t>
      </w:r>
      <w:r>
        <w:rPr>
          <w:rFonts w:cs="Times New Roman"/>
          <w:i/>
        </w:rPr>
        <w:t xml:space="preserve">In the Shadow, </w:t>
      </w:r>
      <w:r w:rsidRPr="00EA4B80">
        <w:rPr>
          <w:rFonts w:cs="Times New Roman"/>
        </w:rPr>
        <w:t>Chapter 7, entitled “Landscapes of Despair: The Last Years of Coffee”</w:t>
      </w:r>
      <w:r>
        <w:rPr>
          <w:rFonts w:cs="Times New Roman"/>
        </w:rPr>
        <w:t>.</w:t>
      </w:r>
      <w:r w:rsidRPr="00EA4B80">
        <w:rPr>
          <w:rFonts w:cs="Times New Roman"/>
        </w:rPr>
        <w:t xml:space="preserve"> </w:t>
      </w:r>
    </w:p>
  </w:footnote>
  <w:footnote w:id="17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rPr>
        <w:t>172</w:t>
      </w:r>
      <w:r>
        <w:rPr>
          <w:rFonts w:cs="Times New Roman"/>
        </w:rPr>
        <w:t>.</w:t>
      </w:r>
    </w:p>
  </w:footnote>
  <w:footnote w:id="17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p>
  </w:footnote>
  <w:footnote w:id="179">
    <w:p w:rsidR="00026F0C" w:rsidRPr="00EA4B80" w:rsidRDefault="00026F0C" w:rsidP="00CD6159">
      <w:pPr>
        <w:pStyle w:val="FootnoteText"/>
        <w:spacing w:line="240" w:lineRule="auto"/>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rPr>
        <w:t>175. In his letter of Nov. 1882, Boustead referred to ‘the terrible blight of leaf disease [that] would so extend throughout Ceylon as in effect to utterly destroy the coffee enterprise’. In his letter o</w:t>
      </w:r>
      <w:r>
        <w:rPr>
          <w:rFonts w:cs="Times New Roman"/>
        </w:rPr>
        <w:t>f</w:t>
      </w:r>
      <w:r w:rsidRPr="00EA4B80">
        <w:rPr>
          <w:rFonts w:cs="Times New Roman"/>
        </w:rPr>
        <w:t xml:space="preserve"> Dec. 1882, Boustead stated that, on the Estates, ‘the yield of the coffee trees has ceased’ (</w:t>
      </w:r>
      <w:r>
        <w:rPr>
          <w:rFonts w:cs="Times New Roman"/>
        </w:rPr>
        <w:t xml:space="preserve">both quotes taken from </w:t>
      </w:r>
      <w:r w:rsidRPr="00EA4B80">
        <w:rPr>
          <w:rFonts w:cs="Times New Roman"/>
          <w:i/>
        </w:rPr>
        <w:t xml:space="preserve">Rochefoucauld v Boustead </w:t>
      </w:r>
      <w:r w:rsidRPr="00EA4B80">
        <w:rPr>
          <w:rFonts w:cs="Times New Roman"/>
        </w:rPr>
        <w:t xml:space="preserve">[1897] 1 Ch. 196 at 199). </w:t>
      </w:r>
    </w:p>
  </w:footnote>
  <w:footnote w:id="18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Pr>
          <w:rFonts w:cs="Times New Roman"/>
        </w:rPr>
        <w:t>[1897] 1 Ch. 196 at 198-199</w:t>
      </w:r>
      <w:r w:rsidRPr="00EA4B80">
        <w:rPr>
          <w:rFonts w:cs="Times New Roman"/>
        </w:rPr>
        <w:t>.</w:t>
      </w:r>
    </w:p>
  </w:footnote>
  <w:footnote w:id="18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r w:rsidRPr="00EA4B80">
        <w:rPr>
          <w:rFonts w:cs="Times New Roman"/>
        </w:rPr>
        <w:t xml:space="preserve"> at 199.</w:t>
      </w:r>
    </w:p>
  </w:footnote>
  <w:footnote w:id="18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at </w:t>
      </w:r>
      <w:r w:rsidRPr="00EA4B80">
        <w:rPr>
          <w:rFonts w:cs="Times New Roman"/>
        </w:rPr>
        <w:t>210.</w:t>
      </w:r>
    </w:p>
  </w:footnote>
  <w:footnote w:id="18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at </w:t>
      </w:r>
      <w:r w:rsidRPr="00EA4B80">
        <w:rPr>
          <w:rFonts w:cs="Times New Roman"/>
        </w:rPr>
        <w:t xml:space="preserve">212 </w:t>
      </w:r>
      <w:r w:rsidRPr="00EA4B80">
        <w:rPr>
          <w:rFonts w:cs="Times New Roman"/>
          <w:i/>
        </w:rPr>
        <w:t xml:space="preserve">per </w:t>
      </w:r>
      <w:r w:rsidRPr="00EA4B80">
        <w:rPr>
          <w:rFonts w:cs="Times New Roman"/>
        </w:rPr>
        <w:t>Lindley LJ.</w:t>
      </w:r>
    </w:p>
  </w:footnote>
  <w:footnote w:id="18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at </w:t>
      </w:r>
      <w:r w:rsidRPr="00EA4B80">
        <w:rPr>
          <w:rFonts w:cs="Times New Roman"/>
        </w:rPr>
        <w:t>203.</w:t>
      </w:r>
    </w:p>
  </w:footnote>
  <w:footnote w:id="18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&lt;</w:t>
      </w:r>
      <w:r w:rsidRPr="00EA4B80">
        <w:rPr>
          <w:rFonts w:cs="Times New Roman"/>
        </w:rPr>
        <w:t>http://thepeerage.com/p1028.htm#i10276&gt; accessed 2</w:t>
      </w:r>
      <w:r>
        <w:rPr>
          <w:rFonts w:cs="Times New Roman"/>
        </w:rPr>
        <w:t>5 July 2014</w:t>
      </w:r>
      <w:r w:rsidRPr="00EA4B80">
        <w:rPr>
          <w:rFonts w:cs="Times New Roman"/>
        </w:rPr>
        <w:t>.</w:t>
      </w:r>
    </w:p>
  </w:footnote>
  <w:footnote w:id="186">
    <w:p w:rsidR="00026F0C" w:rsidRPr="00B65A64" w:rsidRDefault="00026F0C">
      <w:pPr>
        <w:pStyle w:val="FootnoteText"/>
      </w:pPr>
      <w:r>
        <w:rPr>
          <w:rStyle w:val="FootnoteReference"/>
        </w:rPr>
        <w:footnoteRef/>
      </w:r>
      <w:r>
        <w:t xml:space="preserve"> The Princess was known as Ida Cavendish. She married Prince Louis Pignatelli d’Aragon in May 1877 (Rumbold, </w:t>
      </w:r>
      <w:r>
        <w:rPr>
          <w:i/>
        </w:rPr>
        <w:t>Further Recollections</w:t>
      </w:r>
      <w:r>
        <w:t>, 126-127).</w:t>
      </w:r>
    </w:p>
  </w:footnote>
  <w:footnote w:id="18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(1896) 66 L.J. Ch. 74 at 75.</w:t>
      </w:r>
    </w:p>
  </w:footnote>
  <w:footnote w:id="18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In </w:t>
      </w:r>
      <w:r w:rsidRPr="00EA4B80">
        <w:rPr>
          <w:rFonts w:cs="Times New Roman"/>
          <w:i/>
        </w:rPr>
        <w:t xml:space="preserve">Rochefoucauld v Boustead </w:t>
      </w:r>
      <w:r w:rsidRPr="00EA4B80">
        <w:rPr>
          <w:rFonts w:cs="Times New Roman"/>
        </w:rPr>
        <w:t xml:space="preserve">[1897] 1 Ch 196 at 205, Lindley LJ commented that ‘the circumstances under which the Delmar estates were conveyed to the defendant are to be gathered from the verbal testimony of the plaintiff, the defendant, and Mr. Duff, and a mass of correspondence both before and after the conveyance.’ In </w:t>
      </w:r>
      <w:r w:rsidRPr="00EA4B80">
        <w:rPr>
          <w:rFonts w:cs="Times New Roman"/>
          <w:i/>
        </w:rPr>
        <w:t>De La Rochefoucauld v Boustead, The Times</w:t>
      </w:r>
      <w:r w:rsidRPr="00EA4B80">
        <w:rPr>
          <w:rFonts w:cs="Times New Roman"/>
        </w:rPr>
        <w:t xml:space="preserve"> , 24 June 1896, 17 col.b-c, at b, it is reported that ‘there was a vast amount of correspondence, which had been gone into at great length’. It is perhaps unlikely that this correspondence did not refer to the nature of the sale.</w:t>
      </w:r>
    </w:p>
  </w:footnote>
  <w:footnote w:id="18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(1896) 65 L.J. Ch. 794 at 794.</w:t>
      </w:r>
    </w:p>
  </w:footnote>
  <w:footnote w:id="190">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Note that this point was not contested in the appeal to the Court of Appeal.</w:t>
      </w:r>
    </w:p>
  </w:footnote>
  <w:footnote w:id="19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Rochefoucauld v Boustead </w:t>
      </w:r>
      <w:r w:rsidRPr="00EA4B80">
        <w:rPr>
          <w:rFonts w:cs="Times New Roman"/>
        </w:rPr>
        <w:t xml:space="preserve">[1897] 1 Ch 196 at 206 </w:t>
      </w:r>
      <w:r w:rsidRPr="00EA4B80">
        <w:rPr>
          <w:rFonts w:cs="Times New Roman"/>
          <w:i/>
        </w:rPr>
        <w:t xml:space="preserve">per </w:t>
      </w:r>
      <w:r w:rsidRPr="00EA4B80">
        <w:rPr>
          <w:rFonts w:cs="Times New Roman"/>
        </w:rPr>
        <w:t>Lindley LJ.</w:t>
      </w:r>
    </w:p>
  </w:footnote>
  <w:footnote w:id="192">
    <w:p w:rsidR="00026F0C" w:rsidRPr="00EA4B80" w:rsidRDefault="00026F0C" w:rsidP="00CD6159">
      <w:pPr>
        <w:pStyle w:val="FootnoteText"/>
        <w:ind w:left="0" w:firstLine="0"/>
        <w:jc w:val="both"/>
        <w:rPr>
          <w:rFonts w:cs="Times New Roman"/>
          <w:color w:val="FF0000"/>
        </w:rPr>
      </w:pPr>
      <w:r w:rsidRPr="00EA4B80">
        <w:rPr>
          <w:rStyle w:val="FootnoteReference"/>
          <w:rFonts w:cs="Times New Roman"/>
        </w:rPr>
        <w:footnoteRef/>
      </w:r>
      <w:r w:rsidRPr="00EA4B80">
        <w:rPr>
          <w:rFonts w:cs="Times New Roman"/>
        </w:rPr>
        <w:t xml:space="preserve"> Lindley LJ makes this point himself, </w:t>
      </w:r>
      <w:r w:rsidRPr="00FB5CB5">
        <w:rPr>
          <w:rFonts w:cs="Times New Roman"/>
        </w:rPr>
        <w:t>Ibid.,</w:t>
      </w:r>
      <w:r w:rsidRPr="00EA4B80">
        <w:rPr>
          <w:rFonts w:cs="Times New Roman"/>
        </w:rPr>
        <w:t xml:space="preserve"> at 206. </w:t>
      </w:r>
      <w:r>
        <w:rPr>
          <w:rFonts w:cs="Times New Roman"/>
        </w:rPr>
        <w:t xml:space="preserve">See also </w:t>
      </w:r>
      <w:r w:rsidRPr="00EA4B80">
        <w:rPr>
          <w:rFonts w:cs="Times New Roman"/>
        </w:rPr>
        <w:t xml:space="preserve">Arthur Underhill, </w:t>
      </w:r>
      <w:r w:rsidRPr="00EA4B80">
        <w:rPr>
          <w:rFonts w:cs="Times New Roman"/>
          <w:i/>
        </w:rPr>
        <w:t>A Practical and Concise Manual of the Law Relating to Private Trusts and Trustees</w:t>
      </w:r>
      <w:r w:rsidRPr="00EA4B80">
        <w:rPr>
          <w:rFonts w:cs="Times New Roman"/>
        </w:rPr>
        <w:t>, 4</w:t>
      </w:r>
      <w:r w:rsidRPr="00EA4B80">
        <w:rPr>
          <w:rFonts w:cs="Times New Roman"/>
          <w:vertAlign w:val="superscript"/>
        </w:rPr>
        <w:t>th</w:t>
      </w:r>
      <w:r w:rsidRPr="00EA4B80">
        <w:rPr>
          <w:rFonts w:cs="Times New Roman"/>
        </w:rPr>
        <w:t xml:space="preserve"> edn., London, 1894, 12</w:t>
      </w:r>
      <w:r>
        <w:rPr>
          <w:rFonts w:cs="Times New Roman"/>
        </w:rPr>
        <w:t xml:space="preserve">; </w:t>
      </w:r>
      <w:r w:rsidRPr="00EA4B80">
        <w:rPr>
          <w:rFonts w:cs="Times New Roman"/>
        </w:rPr>
        <w:t xml:space="preserve">Smith, </w:t>
      </w:r>
      <w:r w:rsidRPr="00EA4B80">
        <w:rPr>
          <w:rFonts w:cs="Times New Roman"/>
          <w:i/>
        </w:rPr>
        <w:t>Equity Jurisprudence</w:t>
      </w:r>
      <w:r>
        <w:rPr>
          <w:rFonts w:cs="Times New Roman"/>
        </w:rPr>
        <w:t xml:space="preserve">, 76-77; </w:t>
      </w:r>
      <w:r w:rsidRPr="00EA4B80">
        <w:rPr>
          <w:rFonts w:cs="Times New Roman"/>
        </w:rPr>
        <w:t xml:space="preserve">Joseph Story and Melville Bigelow, </w:t>
      </w:r>
      <w:r w:rsidRPr="00EA4B80">
        <w:rPr>
          <w:rFonts w:cs="Times New Roman"/>
          <w:i/>
        </w:rPr>
        <w:t xml:space="preserve">Commentaries on Equity Jurisprudence as Administered in England and America, </w:t>
      </w:r>
      <w:r w:rsidRPr="00EA4B80">
        <w:rPr>
          <w:rFonts w:cs="Times New Roman"/>
        </w:rPr>
        <w:t>2 vols., 13</w:t>
      </w:r>
      <w:r w:rsidRPr="00EA4B80">
        <w:rPr>
          <w:rFonts w:cs="Times New Roman"/>
          <w:vertAlign w:val="superscript"/>
        </w:rPr>
        <w:t>th</w:t>
      </w:r>
      <w:r>
        <w:rPr>
          <w:rFonts w:cs="Times New Roman"/>
        </w:rPr>
        <w:t xml:space="preserve"> edn., Boston, 1886, vol.2, 264 and 271.</w:t>
      </w:r>
    </w:p>
  </w:footnote>
  <w:footnote w:id="193">
    <w:p w:rsidR="00026F0C" w:rsidRPr="00EA4B80" w:rsidRDefault="00026F0C" w:rsidP="00CD6159">
      <w:pPr>
        <w:pStyle w:val="Standard"/>
        <w:jc w:val="both"/>
        <w:rPr>
          <w:rFonts w:cs="Times New Roman"/>
          <w:sz w:val="20"/>
          <w:szCs w:val="20"/>
        </w:rPr>
      </w:pPr>
      <w:r w:rsidRPr="00EA4B80">
        <w:rPr>
          <w:rStyle w:val="FootnoteReference"/>
          <w:rFonts w:cs="Times New Roman"/>
          <w:sz w:val="20"/>
          <w:szCs w:val="20"/>
        </w:rPr>
        <w:footnoteRef/>
      </w:r>
      <w:r w:rsidRPr="00EA4B80">
        <w:rPr>
          <w:rFonts w:cs="Times New Roman"/>
          <w:sz w:val="20"/>
          <w:szCs w:val="20"/>
        </w:rPr>
        <w:t xml:space="preserve"> Ibid., at 207 </w:t>
      </w:r>
      <w:r w:rsidRPr="00EA4B80">
        <w:rPr>
          <w:rFonts w:cs="Times New Roman"/>
          <w:i/>
          <w:sz w:val="20"/>
          <w:szCs w:val="20"/>
        </w:rPr>
        <w:t xml:space="preserve">per </w:t>
      </w:r>
      <w:r w:rsidRPr="00EA4B80">
        <w:rPr>
          <w:rFonts w:cs="Times New Roman"/>
          <w:sz w:val="20"/>
          <w:szCs w:val="20"/>
        </w:rPr>
        <w:t>Lindley LJ.</w:t>
      </w:r>
    </w:p>
  </w:footnote>
  <w:footnote w:id="194">
    <w:p w:rsidR="00026F0C" w:rsidRPr="00EA4B80" w:rsidRDefault="00026F0C" w:rsidP="00CD6159">
      <w:pPr>
        <w:pStyle w:val="Standard"/>
        <w:jc w:val="both"/>
        <w:rPr>
          <w:rFonts w:cs="Times New Roman"/>
          <w:sz w:val="20"/>
          <w:szCs w:val="20"/>
        </w:rPr>
      </w:pPr>
      <w:r w:rsidRPr="00EA4B80">
        <w:rPr>
          <w:rStyle w:val="FootnoteReference"/>
          <w:rFonts w:cs="Times New Roman"/>
          <w:sz w:val="20"/>
          <w:szCs w:val="20"/>
        </w:rPr>
        <w:footnoteRef/>
      </w:r>
      <w:r>
        <w:rPr>
          <w:rFonts w:cs="Times New Roman"/>
          <w:sz w:val="20"/>
          <w:szCs w:val="20"/>
        </w:rPr>
        <w:t xml:space="preserve"> </w:t>
      </w:r>
      <w:r w:rsidRPr="00EA4B80">
        <w:rPr>
          <w:rFonts w:cs="Times New Roman"/>
          <w:sz w:val="20"/>
          <w:szCs w:val="20"/>
        </w:rPr>
        <w:t xml:space="preserve">(1759) 1 Eden. 515. In fact, in </w:t>
      </w:r>
      <w:r w:rsidRPr="00EA4B80">
        <w:rPr>
          <w:rFonts w:cs="Times New Roman"/>
          <w:i/>
          <w:sz w:val="20"/>
          <w:szCs w:val="20"/>
        </w:rPr>
        <w:t xml:space="preserve">James v Smith </w:t>
      </w:r>
      <w:r w:rsidRPr="00EA4B80">
        <w:rPr>
          <w:rFonts w:cs="Times New Roman"/>
          <w:sz w:val="20"/>
          <w:szCs w:val="20"/>
        </w:rPr>
        <w:t>[1891] 1 Ch. 384, Kekewich J had already held himself bound by</w:t>
      </w:r>
      <w:r w:rsidRPr="00EA4B80">
        <w:rPr>
          <w:rFonts w:cs="Times New Roman"/>
          <w:i/>
          <w:sz w:val="20"/>
          <w:szCs w:val="20"/>
        </w:rPr>
        <w:t xml:space="preserve"> Bartlett, </w:t>
      </w:r>
      <w:r w:rsidRPr="00EA4B80">
        <w:rPr>
          <w:rFonts w:cs="Times New Roman"/>
          <w:sz w:val="20"/>
          <w:szCs w:val="20"/>
        </w:rPr>
        <w:t xml:space="preserve">albeit </w:t>
      </w:r>
      <w:r w:rsidRPr="00EA4B80">
        <w:rPr>
          <w:rFonts w:cs="Times New Roman"/>
          <w:i/>
          <w:sz w:val="20"/>
          <w:szCs w:val="20"/>
        </w:rPr>
        <w:t>obiter.</w:t>
      </w:r>
    </w:p>
  </w:footnote>
  <w:footnote w:id="195">
    <w:p w:rsidR="00026F0C" w:rsidRPr="00EA4B80" w:rsidRDefault="00026F0C" w:rsidP="00CD6159">
      <w:pPr>
        <w:pStyle w:val="Standard"/>
        <w:jc w:val="both"/>
        <w:rPr>
          <w:rFonts w:cs="Times New Roman"/>
          <w:sz w:val="20"/>
          <w:szCs w:val="20"/>
        </w:rPr>
      </w:pPr>
      <w:r w:rsidRPr="00EA4B80">
        <w:rPr>
          <w:rStyle w:val="FootnoteReference"/>
          <w:rFonts w:cs="Times New Roman"/>
          <w:sz w:val="20"/>
          <w:szCs w:val="20"/>
        </w:rPr>
        <w:footnoteRef/>
      </w:r>
      <w:r w:rsidRPr="00EA4B80">
        <w:rPr>
          <w:rFonts w:cs="Times New Roman"/>
          <w:sz w:val="20"/>
          <w:szCs w:val="20"/>
        </w:rPr>
        <w:t xml:space="preserve"> Property was sold by a vendor to Pickersgill subject to an oral agreement made between Bartlett and Pickersgill that Pickersgill would hold the property on trust for Bartlett. Henley LK held that because the defendant had provided the purchase money, there could be no resulting trust and that as the mere refusal by the defendant to perform the parol agreement did not amount to a fraud, s7 of the Statute of Frauds prevented the oral agreement from being enforced. The plaintiff attempted to file a supplemental bill after the defendant was convicted of perjury in relation to his denial of the parol agreement. Henley LK refused, however.</w:t>
      </w:r>
    </w:p>
  </w:footnote>
  <w:footnote w:id="196">
    <w:p w:rsidR="00026F0C" w:rsidRPr="00EA4B80" w:rsidRDefault="00026F0C" w:rsidP="00CD6159">
      <w:pPr>
        <w:spacing w:after="0"/>
        <w:jc w:val="both"/>
        <w:rPr>
          <w:rFonts w:ascii="Times New Roman" w:hAnsi="Times New Roman" w:cs="Times New Roman"/>
          <w:sz w:val="20"/>
          <w:szCs w:val="20"/>
        </w:rPr>
      </w:pPr>
      <w:r w:rsidRPr="00EA4B80">
        <w:rPr>
          <w:rStyle w:val="FootnoteReference"/>
          <w:rFonts w:ascii="Times New Roman" w:hAnsi="Times New Roman" w:cs="Times New Roman"/>
          <w:sz w:val="20"/>
          <w:szCs w:val="20"/>
        </w:rPr>
        <w:footnoteRef/>
      </w:r>
      <w:r w:rsidRPr="00EA4B80">
        <w:rPr>
          <w:rFonts w:ascii="Times New Roman" w:hAnsi="Times New Roman" w:cs="Times New Roman"/>
          <w:sz w:val="20"/>
          <w:szCs w:val="20"/>
        </w:rPr>
        <w:t xml:space="preserve"> Examples from the second half of the nineteenth century include </w:t>
      </w:r>
      <w:r w:rsidRPr="00EA4B80">
        <w:rPr>
          <w:rFonts w:ascii="Times New Roman" w:hAnsi="Times New Roman" w:cs="Times New Roman"/>
          <w:i/>
          <w:iCs/>
          <w:sz w:val="20"/>
          <w:szCs w:val="20"/>
        </w:rPr>
        <w:t>Briggs v Penny</w:t>
      </w:r>
      <w:r w:rsidRPr="00EA4B80">
        <w:rPr>
          <w:rFonts w:ascii="Times New Roman" w:hAnsi="Times New Roman" w:cs="Times New Roman"/>
          <w:sz w:val="20"/>
          <w:szCs w:val="20"/>
        </w:rPr>
        <w:t xml:space="preserve"> (1851) 3 M</w:t>
      </w:r>
      <w:r>
        <w:rPr>
          <w:rFonts w:ascii="Times New Roman" w:hAnsi="Times New Roman" w:cs="Times New Roman"/>
          <w:sz w:val="20"/>
          <w:szCs w:val="20"/>
        </w:rPr>
        <w:t>.</w:t>
      </w:r>
      <w:r w:rsidRPr="00EA4B80">
        <w:rPr>
          <w:rFonts w:ascii="Times New Roman" w:hAnsi="Times New Roman" w:cs="Times New Roman"/>
          <w:sz w:val="20"/>
          <w:szCs w:val="20"/>
        </w:rPr>
        <w:t xml:space="preserve"> &amp; G</w:t>
      </w:r>
      <w:r>
        <w:rPr>
          <w:rFonts w:ascii="Times New Roman" w:hAnsi="Times New Roman" w:cs="Times New Roman"/>
          <w:sz w:val="20"/>
          <w:szCs w:val="20"/>
        </w:rPr>
        <w:t>.</w:t>
      </w:r>
      <w:r w:rsidRPr="00EA4B80">
        <w:rPr>
          <w:rFonts w:ascii="Times New Roman" w:hAnsi="Times New Roman" w:cs="Times New Roman"/>
          <w:sz w:val="20"/>
          <w:szCs w:val="20"/>
        </w:rPr>
        <w:t xml:space="preserve"> 546; </w:t>
      </w:r>
      <w:r w:rsidRPr="00EA4B80">
        <w:rPr>
          <w:rFonts w:ascii="Times New Roman" w:hAnsi="Times New Roman" w:cs="Times New Roman"/>
          <w:i/>
          <w:iCs/>
          <w:sz w:val="20"/>
          <w:szCs w:val="20"/>
        </w:rPr>
        <w:t>Wallgrave v Tebbs</w:t>
      </w:r>
      <w:r w:rsidRPr="00EA4B80">
        <w:rPr>
          <w:rFonts w:ascii="Times New Roman" w:hAnsi="Times New Roman" w:cs="Times New Roman"/>
          <w:sz w:val="20"/>
          <w:szCs w:val="20"/>
        </w:rPr>
        <w:t xml:space="preserve"> (1855) 2 K</w:t>
      </w:r>
      <w:r>
        <w:rPr>
          <w:rFonts w:ascii="Times New Roman" w:hAnsi="Times New Roman" w:cs="Times New Roman"/>
          <w:sz w:val="20"/>
          <w:szCs w:val="20"/>
        </w:rPr>
        <w:t>.</w:t>
      </w:r>
      <w:r w:rsidRPr="00EA4B80">
        <w:rPr>
          <w:rFonts w:ascii="Times New Roman" w:hAnsi="Times New Roman" w:cs="Times New Roman"/>
          <w:sz w:val="20"/>
          <w:szCs w:val="20"/>
        </w:rPr>
        <w:t xml:space="preserve"> &amp; J</w:t>
      </w:r>
      <w:r>
        <w:rPr>
          <w:rFonts w:ascii="Times New Roman" w:hAnsi="Times New Roman" w:cs="Times New Roman"/>
          <w:sz w:val="20"/>
          <w:szCs w:val="20"/>
        </w:rPr>
        <w:t>.</w:t>
      </w:r>
      <w:r w:rsidRPr="00EA4B80">
        <w:rPr>
          <w:rFonts w:ascii="Times New Roman" w:hAnsi="Times New Roman" w:cs="Times New Roman"/>
          <w:sz w:val="20"/>
          <w:szCs w:val="20"/>
        </w:rPr>
        <w:t xml:space="preserve"> 313; </w:t>
      </w:r>
      <w:r w:rsidRPr="00EA4B80">
        <w:rPr>
          <w:rFonts w:ascii="Times New Roman" w:hAnsi="Times New Roman" w:cs="Times New Roman"/>
          <w:i/>
          <w:iCs/>
          <w:sz w:val="20"/>
          <w:szCs w:val="20"/>
        </w:rPr>
        <w:t>Lomax v Ripley</w:t>
      </w:r>
      <w:r w:rsidRPr="00EA4B80">
        <w:rPr>
          <w:rFonts w:ascii="Times New Roman" w:hAnsi="Times New Roman" w:cs="Times New Roman"/>
          <w:sz w:val="20"/>
          <w:szCs w:val="20"/>
        </w:rPr>
        <w:t xml:space="preserve"> (1855) 3 Sm</w:t>
      </w:r>
      <w:r>
        <w:rPr>
          <w:rFonts w:ascii="Times New Roman" w:hAnsi="Times New Roman" w:cs="Times New Roman"/>
          <w:sz w:val="20"/>
          <w:szCs w:val="20"/>
        </w:rPr>
        <w:t>.</w:t>
      </w:r>
      <w:r w:rsidRPr="00EA4B80">
        <w:rPr>
          <w:rFonts w:ascii="Times New Roman" w:hAnsi="Times New Roman" w:cs="Times New Roman"/>
          <w:sz w:val="20"/>
          <w:szCs w:val="20"/>
        </w:rPr>
        <w:t xml:space="preserve"> &amp; G</w:t>
      </w:r>
      <w:r>
        <w:rPr>
          <w:rFonts w:ascii="Times New Roman" w:hAnsi="Times New Roman" w:cs="Times New Roman"/>
          <w:sz w:val="20"/>
          <w:szCs w:val="20"/>
        </w:rPr>
        <w:t>.</w:t>
      </w:r>
      <w:r w:rsidRPr="00EA4B80">
        <w:rPr>
          <w:rFonts w:ascii="Times New Roman" w:hAnsi="Times New Roman" w:cs="Times New Roman"/>
          <w:sz w:val="20"/>
          <w:szCs w:val="20"/>
        </w:rPr>
        <w:t xml:space="preserve"> 48; </w:t>
      </w:r>
      <w:r w:rsidRPr="00EA4B80">
        <w:rPr>
          <w:rFonts w:ascii="Times New Roman" w:hAnsi="Times New Roman" w:cs="Times New Roman"/>
          <w:i/>
          <w:iCs/>
          <w:sz w:val="20"/>
          <w:szCs w:val="20"/>
        </w:rPr>
        <w:t>Tee v Ferris</w:t>
      </w:r>
      <w:r w:rsidRPr="00EA4B80">
        <w:rPr>
          <w:rFonts w:ascii="Times New Roman" w:hAnsi="Times New Roman" w:cs="Times New Roman"/>
          <w:sz w:val="20"/>
          <w:szCs w:val="20"/>
        </w:rPr>
        <w:t xml:space="preserve"> (1856) 2 K</w:t>
      </w:r>
      <w:r>
        <w:rPr>
          <w:rFonts w:ascii="Times New Roman" w:hAnsi="Times New Roman" w:cs="Times New Roman"/>
          <w:sz w:val="20"/>
          <w:szCs w:val="20"/>
        </w:rPr>
        <w:t>.</w:t>
      </w:r>
      <w:r w:rsidRPr="00EA4B80">
        <w:rPr>
          <w:rFonts w:ascii="Times New Roman" w:hAnsi="Times New Roman" w:cs="Times New Roman"/>
          <w:sz w:val="20"/>
          <w:szCs w:val="20"/>
        </w:rPr>
        <w:t xml:space="preserve"> &amp; J</w:t>
      </w:r>
      <w:r>
        <w:rPr>
          <w:rFonts w:ascii="Times New Roman" w:hAnsi="Times New Roman" w:cs="Times New Roman"/>
          <w:sz w:val="20"/>
          <w:szCs w:val="20"/>
        </w:rPr>
        <w:t>.</w:t>
      </w:r>
      <w:r w:rsidRPr="00EA4B80">
        <w:rPr>
          <w:rFonts w:ascii="Times New Roman" w:hAnsi="Times New Roman" w:cs="Times New Roman"/>
          <w:sz w:val="20"/>
          <w:szCs w:val="20"/>
        </w:rPr>
        <w:t xml:space="preserve"> 357; </w:t>
      </w:r>
      <w:r w:rsidRPr="00EA4B80">
        <w:rPr>
          <w:rFonts w:ascii="Times New Roman" w:hAnsi="Times New Roman" w:cs="Times New Roman"/>
          <w:i/>
          <w:iCs/>
          <w:sz w:val="20"/>
          <w:szCs w:val="20"/>
        </w:rPr>
        <w:t>Moss v Cooper</w:t>
      </w:r>
      <w:r w:rsidRPr="00EA4B80">
        <w:rPr>
          <w:rFonts w:ascii="Times New Roman" w:hAnsi="Times New Roman" w:cs="Times New Roman"/>
          <w:sz w:val="20"/>
          <w:szCs w:val="20"/>
        </w:rPr>
        <w:t xml:space="preserve"> (1861) 1 J</w:t>
      </w:r>
      <w:r>
        <w:rPr>
          <w:rFonts w:ascii="Times New Roman" w:hAnsi="Times New Roman" w:cs="Times New Roman"/>
          <w:sz w:val="20"/>
          <w:szCs w:val="20"/>
        </w:rPr>
        <w:t>.</w:t>
      </w:r>
      <w:r w:rsidRPr="00EA4B80">
        <w:rPr>
          <w:rFonts w:ascii="Times New Roman" w:hAnsi="Times New Roman" w:cs="Times New Roman"/>
          <w:sz w:val="20"/>
          <w:szCs w:val="20"/>
        </w:rPr>
        <w:t xml:space="preserve"> &amp; H</w:t>
      </w:r>
      <w:r>
        <w:rPr>
          <w:rFonts w:ascii="Times New Roman" w:hAnsi="Times New Roman" w:cs="Times New Roman"/>
          <w:sz w:val="20"/>
          <w:szCs w:val="20"/>
        </w:rPr>
        <w:t>.</w:t>
      </w:r>
      <w:r w:rsidRPr="00EA4B80">
        <w:rPr>
          <w:rFonts w:ascii="Times New Roman" w:hAnsi="Times New Roman" w:cs="Times New Roman"/>
          <w:sz w:val="20"/>
          <w:szCs w:val="20"/>
        </w:rPr>
        <w:t xml:space="preserve"> 352; </w:t>
      </w:r>
      <w:r w:rsidRPr="00EA4B80">
        <w:rPr>
          <w:rFonts w:ascii="Times New Roman" w:hAnsi="Times New Roman" w:cs="Times New Roman"/>
          <w:i/>
          <w:iCs/>
          <w:sz w:val="20"/>
          <w:szCs w:val="20"/>
        </w:rPr>
        <w:t>Sweeting v Sweeting</w:t>
      </w:r>
      <w:r w:rsidRPr="00EA4B80">
        <w:rPr>
          <w:rFonts w:ascii="Times New Roman" w:hAnsi="Times New Roman" w:cs="Times New Roman"/>
          <w:sz w:val="20"/>
          <w:szCs w:val="20"/>
        </w:rPr>
        <w:t xml:space="preserve"> (1863) 33 L</w:t>
      </w:r>
      <w:r>
        <w:rPr>
          <w:rFonts w:ascii="Times New Roman" w:hAnsi="Times New Roman" w:cs="Times New Roman"/>
          <w:sz w:val="20"/>
          <w:szCs w:val="20"/>
        </w:rPr>
        <w:t>.</w:t>
      </w:r>
      <w:r w:rsidRPr="00EA4B80">
        <w:rPr>
          <w:rFonts w:ascii="Times New Roman" w:hAnsi="Times New Roman" w:cs="Times New Roman"/>
          <w:sz w:val="20"/>
          <w:szCs w:val="20"/>
        </w:rPr>
        <w:t>J</w:t>
      </w:r>
      <w:r>
        <w:rPr>
          <w:rFonts w:ascii="Times New Roman" w:hAnsi="Times New Roman" w:cs="Times New Roman"/>
          <w:sz w:val="20"/>
          <w:szCs w:val="20"/>
        </w:rPr>
        <w:t>.</w:t>
      </w:r>
      <w:r w:rsidRPr="00EA4B80">
        <w:rPr>
          <w:rFonts w:ascii="Times New Roman" w:hAnsi="Times New Roman" w:cs="Times New Roman"/>
          <w:sz w:val="20"/>
          <w:szCs w:val="20"/>
        </w:rPr>
        <w:t xml:space="preserve"> Ch</w:t>
      </w:r>
      <w:r>
        <w:rPr>
          <w:rFonts w:ascii="Times New Roman" w:hAnsi="Times New Roman" w:cs="Times New Roman"/>
          <w:sz w:val="20"/>
          <w:szCs w:val="20"/>
        </w:rPr>
        <w:t>.</w:t>
      </w:r>
      <w:r w:rsidRPr="00EA4B80">
        <w:rPr>
          <w:rFonts w:ascii="Times New Roman" w:hAnsi="Times New Roman" w:cs="Times New Roman"/>
          <w:sz w:val="20"/>
          <w:szCs w:val="20"/>
        </w:rPr>
        <w:t xml:space="preserve"> 211; </w:t>
      </w:r>
      <w:r w:rsidRPr="00EA4B80">
        <w:rPr>
          <w:rFonts w:ascii="Times New Roman" w:hAnsi="Times New Roman" w:cs="Times New Roman"/>
          <w:i/>
          <w:iCs/>
          <w:sz w:val="20"/>
          <w:szCs w:val="20"/>
        </w:rPr>
        <w:t>Cullen v Attorney General for Ireland</w:t>
      </w:r>
      <w:r w:rsidRPr="00EA4B80">
        <w:rPr>
          <w:rFonts w:ascii="Times New Roman" w:hAnsi="Times New Roman" w:cs="Times New Roman"/>
          <w:sz w:val="20"/>
          <w:szCs w:val="20"/>
        </w:rPr>
        <w:t xml:space="preserve"> (1868) L</w:t>
      </w:r>
      <w:r>
        <w:rPr>
          <w:rFonts w:ascii="Times New Roman" w:hAnsi="Times New Roman" w:cs="Times New Roman"/>
          <w:sz w:val="20"/>
          <w:szCs w:val="20"/>
        </w:rPr>
        <w:t>.</w:t>
      </w:r>
      <w:r w:rsidRPr="00EA4B80">
        <w:rPr>
          <w:rFonts w:ascii="Times New Roman" w:hAnsi="Times New Roman" w:cs="Times New Roman"/>
          <w:sz w:val="20"/>
          <w:szCs w:val="20"/>
        </w:rPr>
        <w:t>R</w:t>
      </w:r>
      <w:r>
        <w:rPr>
          <w:rFonts w:ascii="Times New Roman" w:hAnsi="Times New Roman" w:cs="Times New Roman"/>
          <w:sz w:val="20"/>
          <w:szCs w:val="20"/>
        </w:rPr>
        <w:t>.</w:t>
      </w:r>
      <w:r w:rsidRPr="00EA4B80">
        <w:rPr>
          <w:rFonts w:ascii="Times New Roman" w:hAnsi="Times New Roman" w:cs="Times New Roman"/>
          <w:sz w:val="20"/>
          <w:szCs w:val="20"/>
        </w:rPr>
        <w:t xml:space="preserve"> 3 Ch</w:t>
      </w:r>
      <w:r>
        <w:rPr>
          <w:rFonts w:ascii="Times New Roman" w:hAnsi="Times New Roman" w:cs="Times New Roman"/>
          <w:sz w:val="20"/>
          <w:szCs w:val="20"/>
        </w:rPr>
        <w:t>.</w:t>
      </w:r>
      <w:r w:rsidRPr="00EA4B80">
        <w:rPr>
          <w:rFonts w:ascii="Times New Roman" w:hAnsi="Times New Roman" w:cs="Times New Roman"/>
          <w:sz w:val="20"/>
          <w:szCs w:val="20"/>
        </w:rPr>
        <w:t xml:space="preserve"> App</w:t>
      </w:r>
      <w:r>
        <w:rPr>
          <w:rFonts w:ascii="Times New Roman" w:hAnsi="Times New Roman" w:cs="Times New Roman"/>
          <w:sz w:val="20"/>
          <w:szCs w:val="20"/>
        </w:rPr>
        <w:t>.</w:t>
      </w:r>
      <w:r w:rsidRPr="00EA4B80">
        <w:rPr>
          <w:rFonts w:ascii="Times New Roman" w:hAnsi="Times New Roman" w:cs="Times New Roman"/>
          <w:sz w:val="20"/>
          <w:szCs w:val="20"/>
        </w:rPr>
        <w:t xml:space="preserve"> 362; </w:t>
      </w:r>
      <w:r w:rsidRPr="00EA4B80">
        <w:rPr>
          <w:rFonts w:ascii="Times New Roman" w:hAnsi="Times New Roman" w:cs="Times New Roman"/>
          <w:i/>
          <w:iCs/>
          <w:sz w:val="20"/>
          <w:szCs w:val="20"/>
        </w:rPr>
        <w:t>Jones v Badley</w:t>
      </w:r>
      <w:r w:rsidRPr="00EA4B80">
        <w:rPr>
          <w:rFonts w:ascii="Times New Roman" w:hAnsi="Times New Roman" w:cs="Times New Roman"/>
          <w:sz w:val="20"/>
          <w:szCs w:val="20"/>
        </w:rPr>
        <w:t xml:space="preserve"> (1868) L</w:t>
      </w:r>
      <w:r>
        <w:rPr>
          <w:rFonts w:ascii="Times New Roman" w:hAnsi="Times New Roman" w:cs="Times New Roman"/>
          <w:sz w:val="20"/>
          <w:szCs w:val="20"/>
        </w:rPr>
        <w:t>.</w:t>
      </w:r>
      <w:r w:rsidRPr="00EA4B80">
        <w:rPr>
          <w:rFonts w:ascii="Times New Roman" w:hAnsi="Times New Roman" w:cs="Times New Roman"/>
          <w:sz w:val="20"/>
          <w:szCs w:val="20"/>
        </w:rPr>
        <w:t>R</w:t>
      </w:r>
      <w:r>
        <w:rPr>
          <w:rFonts w:ascii="Times New Roman" w:hAnsi="Times New Roman" w:cs="Times New Roman"/>
          <w:sz w:val="20"/>
          <w:szCs w:val="20"/>
        </w:rPr>
        <w:t>.</w:t>
      </w:r>
      <w:r w:rsidRPr="00EA4B80">
        <w:rPr>
          <w:rFonts w:ascii="Times New Roman" w:hAnsi="Times New Roman" w:cs="Times New Roman"/>
          <w:sz w:val="20"/>
          <w:szCs w:val="20"/>
        </w:rPr>
        <w:t xml:space="preserve"> 3 Ch</w:t>
      </w:r>
      <w:r>
        <w:rPr>
          <w:rFonts w:ascii="Times New Roman" w:hAnsi="Times New Roman" w:cs="Times New Roman"/>
          <w:sz w:val="20"/>
          <w:szCs w:val="20"/>
        </w:rPr>
        <w:t>.</w:t>
      </w:r>
      <w:r w:rsidRPr="00EA4B80">
        <w:rPr>
          <w:rFonts w:ascii="Times New Roman" w:hAnsi="Times New Roman" w:cs="Times New Roman"/>
          <w:sz w:val="20"/>
          <w:szCs w:val="20"/>
        </w:rPr>
        <w:t xml:space="preserve"> App</w:t>
      </w:r>
      <w:r>
        <w:rPr>
          <w:rFonts w:ascii="Times New Roman" w:hAnsi="Times New Roman" w:cs="Times New Roman"/>
          <w:sz w:val="20"/>
          <w:szCs w:val="20"/>
        </w:rPr>
        <w:t>.</w:t>
      </w:r>
      <w:r w:rsidRPr="00EA4B80">
        <w:rPr>
          <w:rFonts w:ascii="Times New Roman" w:hAnsi="Times New Roman" w:cs="Times New Roman"/>
          <w:sz w:val="20"/>
          <w:szCs w:val="20"/>
        </w:rPr>
        <w:t xml:space="preserve"> 362; </w:t>
      </w:r>
      <w:r w:rsidRPr="00EA4B80">
        <w:rPr>
          <w:rFonts w:ascii="Times New Roman" w:hAnsi="Times New Roman" w:cs="Times New Roman"/>
          <w:i/>
          <w:iCs/>
          <w:sz w:val="20"/>
          <w:szCs w:val="20"/>
        </w:rPr>
        <w:t>McCormick v Grogan</w:t>
      </w:r>
      <w:r w:rsidRPr="00EA4B80">
        <w:rPr>
          <w:rFonts w:ascii="Times New Roman" w:hAnsi="Times New Roman" w:cs="Times New Roman"/>
          <w:sz w:val="20"/>
          <w:szCs w:val="20"/>
        </w:rPr>
        <w:t xml:space="preserve"> (1869) L</w:t>
      </w:r>
      <w:r>
        <w:rPr>
          <w:rFonts w:ascii="Times New Roman" w:hAnsi="Times New Roman" w:cs="Times New Roman"/>
          <w:sz w:val="20"/>
          <w:szCs w:val="20"/>
        </w:rPr>
        <w:t>.</w:t>
      </w:r>
      <w:r w:rsidRPr="00EA4B80">
        <w:rPr>
          <w:rFonts w:ascii="Times New Roman" w:hAnsi="Times New Roman" w:cs="Times New Roman"/>
          <w:sz w:val="20"/>
          <w:szCs w:val="20"/>
        </w:rPr>
        <w:t>R</w:t>
      </w:r>
      <w:r>
        <w:rPr>
          <w:rFonts w:ascii="Times New Roman" w:hAnsi="Times New Roman" w:cs="Times New Roman"/>
          <w:sz w:val="20"/>
          <w:szCs w:val="20"/>
        </w:rPr>
        <w:t>.</w:t>
      </w:r>
      <w:r w:rsidRPr="00EA4B80">
        <w:rPr>
          <w:rFonts w:ascii="Times New Roman" w:hAnsi="Times New Roman" w:cs="Times New Roman"/>
          <w:sz w:val="20"/>
          <w:szCs w:val="20"/>
        </w:rPr>
        <w:t xml:space="preserve"> 4 H</w:t>
      </w:r>
      <w:r>
        <w:rPr>
          <w:rFonts w:ascii="Times New Roman" w:hAnsi="Times New Roman" w:cs="Times New Roman"/>
          <w:sz w:val="20"/>
          <w:szCs w:val="20"/>
        </w:rPr>
        <w:t>.</w:t>
      </w:r>
      <w:r w:rsidRPr="00EA4B80">
        <w:rPr>
          <w:rFonts w:ascii="Times New Roman" w:hAnsi="Times New Roman" w:cs="Times New Roman"/>
          <w:sz w:val="20"/>
          <w:szCs w:val="20"/>
        </w:rPr>
        <w:t>L</w:t>
      </w:r>
      <w:r>
        <w:rPr>
          <w:rFonts w:ascii="Times New Roman" w:hAnsi="Times New Roman" w:cs="Times New Roman"/>
          <w:sz w:val="20"/>
          <w:szCs w:val="20"/>
        </w:rPr>
        <w:t>.</w:t>
      </w:r>
      <w:r w:rsidRPr="00EA4B80">
        <w:rPr>
          <w:rFonts w:ascii="Times New Roman" w:hAnsi="Times New Roman" w:cs="Times New Roman"/>
          <w:sz w:val="20"/>
          <w:szCs w:val="20"/>
        </w:rPr>
        <w:t xml:space="preserve"> 82; </w:t>
      </w:r>
      <w:r w:rsidRPr="00EA4B80">
        <w:rPr>
          <w:rFonts w:ascii="Times New Roman" w:hAnsi="Times New Roman" w:cs="Times New Roman"/>
          <w:i/>
          <w:iCs/>
          <w:sz w:val="20"/>
          <w:szCs w:val="20"/>
        </w:rPr>
        <w:t>Norris v Frazer</w:t>
      </w:r>
      <w:r w:rsidRPr="00EA4B80">
        <w:rPr>
          <w:rFonts w:ascii="Times New Roman" w:hAnsi="Times New Roman" w:cs="Times New Roman"/>
          <w:sz w:val="20"/>
          <w:szCs w:val="20"/>
        </w:rPr>
        <w:t xml:space="preserve"> (1873) L</w:t>
      </w:r>
      <w:r>
        <w:rPr>
          <w:rFonts w:ascii="Times New Roman" w:hAnsi="Times New Roman" w:cs="Times New Roman"/>
          <w:sz w:val="20"/>
          <w:szCs w:val="20"/>
        </w:rPr>
        <w:t>.</w:t>
      </w:r>
      <w:r w:rsidRPr="00EA4B80">
        <w:rPr>
          <w:rFonts w:ascii="Times New Roman" w:hAnsi="Times New Roman" w:cs="Times New Roman"/>
          <w:sz w:val="20"/>
          <w:szCs w:val="20"/>
        </w:rPr>
        <w:t>R</w:t>
      </w:r>
      <w:r>
        <w:rPr>
          <w:rFonts w:ascii="Times New Roman" w:hAnsi="Times New Roman" w:cs="Times New Roman"/>
          <w:sz w:val="20"/>
          <w:szCs w:val="20"/>
        </w:rPr>
        <w:t>.</w:t>
      </w:r>
      <w:r w:rsidRPr="00EA4B80">
        <w:rPr>
          <w:rFonts w:ascii="Times New Roman" w:hAnsi="Times New Roman" w:cs="Times New Roman"/>
          <w:sz w:val="20"/>
          <w:szCs w:val="20"/>
        </w:rPr>
        <w:t xml:space="preserve"> 15 Eq</w:t>
      </w:r>
      <w:r>
        <w:rPr>
          <w:rFonts w:ascii="Times New Roman" w:hAnsi="Times New Roman" w:cs="Times New Roman"/>
          <w:sz w:val="20"/>
          <w:szCs w:val="20"/>
        </w:rPr>
        <w:t>.</w:t>
      </w:r>
      <w:r w:rsidRPr="00EA4B80">
        <w:rPr>
          <w:rFonts w:ascii="Times New Roman" w:hAnsi="Times New Roman" w:cs="Times New Roman"/>
          <w:sz w:val="20"/>
          <w:szCs w:val="20"/>
        </w:rPr>
        <w:t xml:space="preserve"> 318; </w:t>
      </w:r>
      <w:r w:rsidRPr="00EA4B80">
        <w:rPr>
          <w:rFonts w:ascii="Times New Roman" w:hAnsi="Times New Roman" w:cs="Times New Roman"/>
          <w:i/>
          <w:iCs/>
          <w:sz w:val="20"/>
          <w:szCs w:val="20"/>
        </w:rPr>
        <w:t>Rowbotham v Dunnett</w:t>
      </w:r>
      <w:r w:rsidRPr="00EA4B80">
        <w:rPr>
          <w:rFonts w:ascii="Times New Roman" w:hAnsi="Times New Roman" w:cs="Times New Roman"/>
          <w:sz w:val="20"/>
          <w:szCs w:val="20"/>
        </w:rPr>
        <w:t xml:space="preserve"> (1878) 8 Ch</w:t>
      </w:r>
      <w:r>
        <w:rPr>
          <w:rFonts w:ascii="Times New Roman" w:hAnsi="Times New Roman" w:cs="Times New Roman"/>
          <w:sz w:val="20"/>
          <w:szCs w:val="20"/>
        </w:rPr>
        <w:t>.</w:t>
      </w:r>
      <w:r w:rsidRPr="00EA4B80">
        <w:rPr>
          <w:rFonts w:ascii="Times New Roman" w:hAnsi="Times New Roman" w:cs="Times New Roman"/>
          <w:sz w:val="20"/>
          <w:szCs w:val="20"/>
        </w:rPr>
        <w:t xml:space="preserve"> D</w:t>
      </w:r>
      <w:r>
        <w:rPr>
          <w:rFonts w:ascii="Times New Roman" w:hAnsi="Times New Roman" w:cs="Times New Roman"/>
          <w:sz w:val="20"/>
          <w:szCs w:val="20"/>
        </w:rPr>
        <w:t>.</w:t>
      </w:r>
      <w:r w:rsidRPr="00EA4B80">
        <w:rPr>
          <w:rFonts w:ascii="Times New Roman" w:hAnsi="Times New Roman" w:cs="Times New Roman"/>
          <w:sz w:val="20"/>
          <w:szCs w:val="20"/>
        </w:rPr>
        <w:t xml:space="preserve"> 430; </w:t>
      </w:r>
      <w:r w:rsidRPr="00EA4B80">
        <w:rPr>
          <w:rFonts w:ascii="Times New Roman" w:hAnsi="Times New Roman" w:cs="Times New Roman"/>
          <w:i/>
          <w:iCs/>
          <w:sz w:val="20"/>
          <w:szCs w:val="20"/>
        </w:rPr>
        <w:t>Re Fleetwood</w:t>
      </w:r>
      <w:r w:rsidRPr="00EA4B80">
        <w:rPr>
          <w:rFonts w:ascii="Times New Roman" w:hAnsi="Times New Roman" w:cs="Times New Roman"/>
          <w:sz w:val="20"/>
          <w:szCs w:val="20"/>
        </w:rPr>
        <w:t xml:space="preserve"> (1880) 15 Ch</w:t>
      </w:r>
      <w:r>
        <w:rPr>
          <w:rFonts w:ascii="Times New Roman" w:hAnsi="Times New Roman" w:cs="Times New Roman"/>
          <w:sz w:val="20"/>
          <w:szCs w:val="20"/>
        </w:rPr>
        <w:t>.</w:t>
      </w:r>
      <w:r w:rsidRPr="00EA4B80">
        <w:rPr>
          <w:rFonts w:ascii="Times New Roman" w:hAnsi="Times New Roman" w:cs="Times New Roman"/>
          <w:sz w:val="20"/>
          <w:szCs w:val="20"/>
        </w:rPr>
        <w:t xml:space="preserve"> D 594; </w:t>
      </w:r>
      <w:r w:rsidRPr="00EA4B80">
        <w:rPr>
          <w:rFonts w:ascii="Times New Roman" w:hAnsi="Times New Roman" w:cs="Times New Roman"/>
          <w:i/>
          <w:iCs/>
          <w:sz w:val="20"/>
          <w:szCs w:val="20"/>
        </w:rPr>
        <w:t>Re Boyes</w:t>
      </w:r>
      <w:r w:rsidRPr="00EA4B80">
        <w:rPr>
          <w:rFonts w:ascii="Times New Roman" w:hAnsi="Times New Roman" w:cs="Times New Roman"/>
          <w:sz w:val="20"/>
          <w:szCs w:val="20"/>
        </w:rPr>
        <w:t xml:space="preserve"> (1884) 26 Ch D</w:t>
      </w:r>
      <w:r>
        <w:rPr>
          <w:rFonts w:ascii="Times New Roman" w:hAnsi="Times New Roman" w:cs="Times New Roman"/>
          <w:sz w:val="20"/>
          <w:szCs w:val="20"/>
        </w:rPr>
        <w:t>.</w:t>
      </w:r>
      <w:r w:rsidRPr="00EA4B80">
        <w:rPr>
          <w:rFonts w:ascii="Times New Roman" w:hAnsi="Times New Roman" w:cs="Times New Roman"/>
          <w:sz w:val="20"/>
          <w:szCs w:val="20"/>
        </w:rPr>
        <w:t xml:space="preserve"> 531; </w:t>
      </w:r>
      <w:r w:rsidRPr="00EA4B80">
        <w:rPr>
          <w:rFonts w:ascii="Times New Roman" w:hAnsi="Times New Roman" w:cs="Times New Roman"/>
          <w:i/>
          <w:iCs/>
          <w:sz w:val="20"/>
          <w:szCs w:val="20"/>
        </w:rPr>
        <w:t>Re Spencer's Will</w:t>
      </w:r>
      <w:r w:rsidRPr="00EA4B80">
        <w:rPr>
          <w:rFonts w:ascii="Times New Roman" w:hAnsi="Times New Roman" w:cs="Times New Roman"/>
          <w:sz w:val="20"/>
          <w:szCs w:val="20"/>
        </w:rPr>
        <w:t xml:space="preserve"> (1887) 57 L</w:t>
      </w:r>
      <w:r>
        <w:rPr>
          <w:rFonts w:ascii="Times New Roman" w:hAnsi="Times New Roman" w:cs="Times New Roman"/>
          <w:sz w:val="20"/>
          <w:szCs w:val="20"/>
        </w:rPr>
        <w:t>.</w:t>
      </w:r>
      <w:r w:rsidRPr="00EA4B80">
        <w:rPr>
          <w:rFonts w:ascii="Times New Roman" w:hAnsi="Times New Roman" w:cs="Times New Roman"/>
          <w:sz w:val="20"/>
          <w:szCs w:val="20"/>
        </w:rPr>
        <w:t>T</w:t>
      </w:r>
      <w:r>
        <w:rPr>
          <w:rFonts w:ascii="Times New Roman" w:hAnsi="Times New Roman" w:cs="Times New Roman"/>
          <w:sz w:val="20"/>
          <w:szCs w:val="20"/>
        </w:rPr>
        <w:t>.</w:t>
      </w:r>
      <w:r w:rsidRPr="00EA4B80">
        <w:rPr>
          <w:rFonts w:ascii="Times New Roman" w:hAnsi="Times New Roman" w:cs="Times New Roman"/>
          <w:sz w:val="20"/>
          <w:szCs w:val="20"/>
        </w:rPr>
        <w:t xml:space="preserve"> 519.</w:t>
      </w:r>
    </w:p>
  </w:footnote>
  <w:footnote w:id="19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McCormick v Grogan </w:t>
      </w:r>
      <w:r w:rsidRPr="00EA4B80">
        <w:rPr>
          <w:rFonts w:cs="Times New Roman"/>
        </w:rPr>
        <w:t xml:space="preserve">(1869) L.R. 4 H.L. 82 at 89 </w:t>
      </w:r>
      <w:r w:rsidRPr="00EA4B80">
        <w:rPr>
          <w:rFonts w:cs="Times New Roman"/>
          <w:i/>
        </w:rPr>
        <w:t xml:space="preserve">per </w:t>
      </w:r>
      <w:r w:rsidRPr="00EA4B80">
        <w:rPr>
          <w:rFonts w:cs="Times New Roman"/>
        </w:rPr>
        <w:t xml:space="preserve">Lord Hatherley. See also at 97-98 </w:t>
      </w:r>
      <w:r w:rsidRPr="00EA4B80">
        <w:rPr>
          <w:rFonts w:cs="Times New Roman"/>
          <w:i/>
        </w:rPr>
        <w:t xml:space="preserve">per </w:t>
      </w:r>
      <w:r w:rsidRPr="00EA4B80">
        <w:rPr>
          <w:rFonts w:cs="Times New Roman"/>
        </w:rPr>
        <w:t>Lord Westbury.</w:t>
      </w:r>
    </w:p>
  </w:footnote>
  <w:footnote w:id="19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G.P.J Costigan, ‘Classification of Trusts as Express, Resulting and Constructive’, 27 </w:t>
      </w:r>
      <w:r w:rsidRPr="002B4138">
        <w:rPr>
          <w:rFonts w:cs="Times New Roman"/>
          <w:i/>
        </w:rPr>
        <w:t>Harv. L. Rev.</w:t>
      </w:r>
      <w:r>
        <w:rPr>
          <w:rFonts w:cs="Times New Roman"/>
        </w:rPr>
        <w:t xml:space="preserve"> 437 (1914), at n. 45, </w:t>
      </w:r>
      <w:r w:rsidRPr="00EA4B80">
        <w:rPr>
          <w:rFonts w:cs="Times New Roman"/>
        </w:rPr>
        <w:t>460-461.</w:t>
      </w:r>
    </w:p>
  </w:footnote>
  <w:footnote w:id="199">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F50FC0">
        <w:rPr>
          <w:rFonts w:cs="Times New Roman"/>
        </w:rPr>
        <w:t>Ibid.</w:t>
      </w:r>
    </w:p>
  </w:footnote>
  <w:footnote w:id="200">
    <w:p w:rsidR="00026F0C" w:rsidRPr="00EA4B80" w:rsidRDefault="00026F0C" w:rsidP="00CD6159">
      <w:pPr>
        <w:pStyle w:val="Standard"/>
        <w:jc w:val="both"/>
        <w:rPr>
          <w:rFonts w:cs="Times New Roman"/>
          <w:sz w:val="20"/>
          <w:szCs w:val="20"/>
        </w:rPr>
      </w:pPr>
      <w:r w:rsidRPr="00EA4B80">
        <w:rPr>
          <w:rStyle w:val="FootnoteReference"/>
          <w:rFonts w:cs="Times New Roman"/>
          <w:sz w:val="20"/>
          <w:szCs w:val="20"/>
        </w:rPr>
        <w:footnoteRef/>
      </w:r>
      <w:r w:rsidRPr="00EA4B80">
        <w:rPr>
          <w:rFonts w:cs="Times New Roman"/>
          <w:sz w:val="20"/>
          <w:szCs w:val="20"/>
        </w:rPr>
        <w:t xml:space="preserve"> (1873) L.R 16 Eq. 182</w:t>
      </w:r>
      <w:r>
        <w:rPr>
          <w:rFonts w:cs="Times New Roman"/>
          <w:sz w:val="20"/>
          <w:szCs w:val="20"/>
        </w:rPr>
        <w:t>.</w:t>
      </w:r>
    </w:p>
  </w:footnote>
  <w:footnote w:id="201">
    <w:p w:rsidR="00026F0C" w:rsidRPr="00EA4B80" w:rsidRDefault="00026F0C" w:rsidP="00CD6159">
      <w:pPr>
        <w:pStyle w:val="Standard"/>
        <w:jc w:val="both"/>
        <w:rPr>
          <w:rFonts w:cs="Times New Roman"/>
          <w:sz w:val="20"/>
          <w:szCs w:val="20"/>
        </w:rPr>
      </w:pPr>
      <w:r w:rsidRPr="00EA4B80">
        <w:rPr>
          <w:rStyle w:val="FootnoteReference"/>
          <w:rFonts w:cs="Times New Roman"/>
          <w:sz w:val="20"/>
          <w:szCs w:val="20"/>
        </w:rPr>
        <w:footnoteRef/>
      </w:r>
      <w:r w:rsidRPr="00EA4B80">
        <w:rPr>
          <w:rFonts w:cs="Times New Roman"/>
          <w:sz w:val="20"/>
          <w:szCs w:val="20"/>
        </w:rPr>
        <w:t xml:space="preserve"> (1865) 35 Beav. 20</w:t>
      </w:r>
      <w:r>
        <w:rPr>
          <w:rFonts w:cs="Times New Roman"/>
          <w:sz w:val="20"/>
          <w:szCs w:val="20"/>
        </w:rPr>
        <w:t>8.</w:t>
      </w:r>
    </w:p>
  </w:footnote>
  <w:footnote w:id="20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(1872) L. R. 7 Ch. 469</w:t>
      </w:r>
      <w:r>
        <w:rPr>
          <w:rFonts w:cs="Times New Roman"/>
        </w:rPr>
        <w:t>.</w:t>
      </w:r>
    </w:p>
  </w:footnote>
  <w:footnote w:id="203">
    <w:p w:rsidR="00026F0C" w:rsidRPr="00EA4B80" w:rsidRDefault="00026F0C" w:rsidP="00CD6159">
      <w:pPr>
        <w:pStyle w:val="Standard"/>
        <w:jc w:val="both"/>
        <w:rPr>
          <w:rFonts w:cs="Times New Roman"/>
          <w:sz w:val="20"/>
          <w:szCs w:val="20"/>
        </w:rPr>
      </w:pPr>
      <w:r w:rsidRPr="00EA4B80">
        <w:rPr>
          <w:rStyle w:val="FootnoteReference"/>
          <w:rFonts w:cs="Times New Roman"/>
          <w:sz w:val="20"/>
          <w:szCs w:val="20"/>
        </w:rPr>
        <w:footnoteRef/>
      </w:r>
      <w:r w:rsidRPr="00EA4B80">
        <w:rPr>
          <w:rFonts w:cs="Times New Roman"/>
          <w:sz w:val="20"/>
          <w:szCs w:val="20"/>
        </w:rPr>
        <w:t xml:space="preserve"> [1894] 2 Ch. 133.</w:t>
      </w:r>
    </w:p>
  </w:footnote>
  <w:footnote w:id="20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(1859) De. G. &amp; J. 16.</w:t>
      </w:r>
    </w:p>
  </w:footnote>
  <w:footnote w:id="20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Equitable mortgages (except for those created by deposit of title deeds) fell within the scope of s4 of the Statute of Frauds, and therefore were required to be agreed in writing and signed by the grantor.</w:t>
      </w:r>
    </w:p>
  </w:footnote>
  <w:footnote w:id="20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i/>
        </w:rPr>
        <w:t xml:space="preserve"> Lincoln v Wright </w:t>
      </w:r>
      <w:r w:rsidRPr="00EA4B80">
        <w:rPr>
          <w:rFonts w:cs="Times New Roman"/>
        </w:rPr>
        <w:t xml:space="preserve">(1859) De. G. &amp; J. 16 at 22 </w:t>
      </w:r>
      <w:r w:rsidRPr="00EA4B80">
        <w:rPr>
          <w:rFonts w:cs="Times New Roman"/>
          <w:i/>
        </w:rPr>
        <w:t xml:space="preserve">per </w:t>
      </w:r>
      <w:r w:rsidRPr="00EA4B80">
        <w:rPr>
          <w:rFonts w:cs="Times New Roman"/>
        </w:rPr>
        <w:t>Turner LJ. Note that Knight Bruce LJ upheld the parol agreement on the grounds that it had been partly performed, but he also suggested (at 21) that, were it not for the part performance, the Statute still would not have applied.</w:t>
      </w:r>
    </w:p>
  </w:footnote>
  <w:footnote w:id="20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Although Knight Bruce LJ held that the agreement could be enforced pursuant to the doctrine of part performance he also agreed with Turner LJ that the defendant could not rely on the Statute of Frauds because his conduct amounted to ‘an unjustifiable attempt to defeat or evade a fair agreement</w:t>
      </w:r>
      <w:r>
        <w:rPr>
          <w:rFonts w:cs="Times New Roman"/>
        </w:rPr>
        <w:t>.</w:t>
      </w:r>
    </w:p>
  </w:footnote>
  <w:footnote w:id="208">
    <w:p w:rsidR="00026F0C" w:rsidRPr="00754B4E" w:rsidRDefault="00026F0C" w:rsidP="00CD6159">
      <w:pPr>
        <w:pStyle w:val="FootnoteText"/>
        <w:ind w:left="0" w:firstLine="0"/>
        <w:jc w:val="both"/>
      </w:pPr>
      <w:r>
        <w:rPr>
          <w:rStyle w:val="FootnoteReference"/>
        </w:rPr>
        <w:footnoteRef/>
      </w:r>
      <w:r>
        <w:t xml:space="preserve"> Swadling argues (Swadling, </w:t>
      </w:r>
      <w:r>
        <w:rPr>
          <w:i/>
        </w:rPr>
        <w:t xml:space="preserve">Rochefoucauld v </w:t>
      </w:r>
      <w:r w:rsidRPr="00240015">
        <w:rPr>
          <w:i/>
        </w:rPr>
        <w:t>Boustead</w:t>
      </w:r>
      <w:r>
        <w:t xml:space="preserve">, 106) that the fraud in </w:t>
      </w:r>
      <w:r>
        <w:rPr>
          <w:i/>
        </w:rPr>
        <w:t xml:space="preserve">Rochefoucauld </w:t>
      </w:r>
      <w:r>
        <w:t xml:space="preserve">was not Boustead ‘reneging on his promise’, but his ‘reliance on the statute’. </w:t>
      </w:r>
      <w:r>
        <w:rPr>
          <w:i/>
        </w:rPr>
        <w:t xml:space="preserve">Rochefoucauld </w:t>
      </w:r>
      <w:r>
        <w:t>itself and the other authorities cited in this section suggest otherwise. Boustead’s conduct amounted to a fraud, and the statute could not be utilised as a tool to legitimise this fraud.</w:t>
      </w:r>
    </w:p>
  </w:footnote>
  <w:footnote w:id="209">
    <w:p w:rsidR="00026F0C" w:rsidRPr="00EA4B80" w:rsidRDefault="00026F0C" w:rsidP="00CD6159">
      <w:pPr>
        <w:pStyle w:val="Footnote"/>
        <w:ind w:left="0" w:firstLine="0"/>
        <w:jc w:val="both"/>
        <w:rPr>
          <w:rFonts w:cs="Times New Roman"/>
        </w:rPr>
      </w:pPr>
      <w:r w:rsidRPr="00EA4B80">
        <w:rPr>
          <w:rStyle w:val="FootnoteReference"/>
          <w:rFonts w:cs="Times New Roman"/>
        </w:rPr>
        <w:footnoteRef/>
      </w:r>
      <w:r w:rsidRPr="00EA4B80">
        <w:rPr>
          <w:rFonts w:cs="Times New Roman"/>
        </w:rPr>
        <w:t xml:space="preserve"> (1741) Atk. 254</w:t>
      </w:r>
      <w:r>
        <w:rPr>
          <w:rFonts w:cs="Times New Roman"/>
        </w:rPr>
        <w:t>.</w:t>
      </w:r>
    </w:p>
  </w:footnote>
  <w:footnote w:id="210">
    <w:p w:rsidR="00026F0C" w:rsidRPr="00EA4B80" w:rsidRDefault="00026F0C" w:rsidP="00CD6159">
      <w:pPr>
        <w:pStyle w:val="Footnote"/>
        <w:ind w:left="0" w:firstLine="0"/>
        <w:jc w:val="both"/>
        <w:rPr>
          <w:rFonts w:cs="Times New Roman"/>
        </w:rPr>
      </w:pPr>
      <w:r w:rsidRPr="00EA4B80">
        <w:rPr>
          <w:rStyle w:val="FootnoteReference"/>
          <w:rFonts w:cs="Times New Roman"/>
        </w:rPr>
        <w:footnoteRef/>
      </w:r>
      <w:r w:rsidRPr="00EA4B80">
        <w:rPr>
          <w:rFonts w:cs="Times New Roman"/>
          <w:i/>
          <w:iCs/>
        </w:rPr>
        <w:t xml:space="preserve"> </w:t>
      </w:r>
      <w:r>
        <w:rPr>
          <w:rFonts w:cs="Times New Roman"/>
          <w:iCs/>
        </w:rPr>
        <w:t xml:space="preserve">Ibid., </w:t>
      </w:r>
      <w:r w:rsidRPr="00EA4B80">
        <w:rPr>
          <w:rFonts w:cs="Times New Roman"/>
        </w:rPr>
        <w:t xml:space="preserve">at 257 </w:t>
      </w:r>
      <w:r w:rsidRPr="00EA4B80">
        <w:rPr>
          <w:rFonts w:cs="Times New Roman"/>
          <w:i/>
          <w:iCs/>
        </w:rPr>
        <w:t xml:space="preserve">per </w:t>
      </w:r>
      <w:r w:rsidRPr="00EA4B80">
        <w:rPr>
          <w:rFonts w:cs="Times New Roman"/>
        </w:rPr>
        <w:t>Lord Hardwicke</w:t>
      </w:r>
      <w:r>
        <w:rPr>
          <w:rFonts w:cs="Times New Roman"/>
        </w:rPr>
        <w:t>.</w:t>
      </w:r>
    </w:p>
  </w:footnote>
  <w:footnote w:id="211">
    <w:p w:rsidR="00026F0C" w:rsidRPr="00EA4B80" w:rsidRDefault="00026F0C" w:rsidP="00CD6159">
      <w:pPr>
        <w:pStyle w:val="Footnote"/>
        <w:ind w:left="0" w:firstLine="0"/>
        <w:jc w:val="both"/>
        <w:rPr>
          <w:rFonts w:cs="Times New Roman"/>
        </w:rPr>
      </w:pPr>
      <w:r w:rsidRPr="00EA4B80">
        <w:rPr>
          <w:rStyle w:val="FootnoteReference"/>
          <w:rFonts w:cs="Times New Roman"/>
        </w:rPr>
        <w:footnoteRef/>
      </w:r>
      <w:r w:rsidRPr="00EA4B80">
        <w:rPr>
          <w:rFonts w:cs="Times New Roman"/>
        </w:rPr>
        <w:t xml:space="preserve"> (1737) 1 Atk. 447</w:t>
      </w:r>
      <w:r>
        <w:rPr>
          <w:rFonts w:cs="Times New Roman"/>
        </w:rPr>
        <w:t>.</w:t>
      </w:r>
    </w:p>
  </w:footnote>
  <w:footnote w:id="212">
    <w:p w:rsidR="00026F0C" w:rsidRPr="00EA4B80" w:rsidRDefault="00026F0C" w:rsidP="00CD6159">
      <w:pPr>
        <w:pStyle w:val="Footnote"/>
        <w:ind w:left="0" w:firstLine="0"/>
        <w:jc w:val="both"/>
        <w:rPr>
          <w:rFonts w:cs="Times New Roman"/>
        </w:rPr>
      </w:pPr>
      <w:r w:rsidRPr="00EA4B80">
        <w:rPr>
          <w:rStyle w:val="FootnoteReference"/>
          <w:rFonts w:cs="Times New Roman"/>
        </w:rPr>
        <w:footnoteRef/>
      </w:r>
      <w:r w:rsidRPr="00EA4B80">
        <w:rPr>
          <w:rFonts w:cs="Times New Roman"/>
        </w:rPr>
        <w:t xml:space="preserve"> (1793) 4 Bro. CC. 472. See also </w:t>
      </w:r>
      <w:r w:rsidRPr="00EA4B80">
        <w:rPr>
          <w:rFonts w:cs="Times New Roman"/>
          <w:i/>
          <w:iCs/>
        </w:rPr>
        <w:t xml:space="preserve">Leman v Whitley </w:t>
      </w:r>
      <w:r w:rsidRPr="00EA4B80">
        <w:rPr>
          <w:rFonts w:cs="Times New Roman"/>
        </w:rPr>
        <w:t xml:space="preserve">(1828) 4 Russ. 423. This is a case where property was transferred from a son to his father for no consideration so that the father, whose financial position was more secure than that of the son, could raise money for the son by mortgaging the land. It was agreed that the father would eventually reconvey. The land was never actually mortgaged and, after the father's death, the son claimed the beneficial interest in the land. The court refused, on the ground, </w:t>
      </w:r>
      <w:r w:rsidRPr="00EA4B80">
        <w:rPr>
          <w:rFonts w:cs="Times New Roman"/>
          <w:i/>
          <w:iCs/>
        </w:rPr>
        <w:t>inter alia</w:t>
      </w:r>
      <w:r w:rsidRPr="00EA4B80">
        <w:rPr>
          <w:rFonts w:cs="Times New Roman"/>
        </w:rPr>
        <w:t xml:space="preserve">, that there was no fraud in the case and that therefore the Statute of Frauds applied. This case was not mentioned in </w:t>
      </w:r>
      <w:r w:rsidRPr="00EA4B80">
        <w:rPr>
          <w:rFonts w:cs="Times New Roman"/>
          <w:i/>
          <w:iCs/>
        </w:rPr>
        <w:t>Rochefocuauld</w:t>
      </w:r>
      <w:r w:rsidRPr="00EA4B80">
        <w:rPr>
          <w:rFonts w:cs="Times New Roman"/>
        </w:rPr>
        <w:t xml:space="preserve">. It was held in </w:t>
      </w:r>
      <w:r w:rsidRPr="00EA4B80">
        <w:rPr>
          <w:rFonts w:cs="Times New Roman"/>
          <w:i/>
          <w:iCs/>
        </w:rPr>
        <w:t xml:space="preserve">Marlborough </w:t>
      </w:r>
      <w:r w:rsidRPr="00EA4B80">
        <w:rPr>
          <w:rFonts w:cs="Times New Roman"/>
        </w:rPr>
        <w:t xml:space="preserve">to have been overruled by </w:t>
      </w:r>
      <w:r w:rsidRPr="00EA4B80">
        <w:rPr>
          <w:rFonts w:cs="Times New Roman"/>
          <w:i/>
          <w:iCs/>
        </w:rPr>
        <w:t xml:space="preserve">Haigh, </w:t>
      </w:r>
      <w:r w:rsidRPr="00EA4B80">
        <w:rPr>
          <w:rFonts w:cs="Times New Roman"/>
        </w:rPr>
        <w:t>so it cannot be considered to be of any real importance to the discussions here.</w:t>
      </w:r>
    </w:p>
  </w:footnote>
  <w:footnote w:id="213">
    <w:p w:rsidR="00026F0C" w:rsidRPr="00EA4B80" w:rsidRDefault="00026F0C" w:rsidP="00CD6159">
      <w:pPr>
        <w:pStyle w:val="Footnote"/>
        <w:ind w:left="0" w:firstLine="0"/>
        <w:jc w:val="both"/>
        <w:rPr>
          <w:rFonts w:cs="Times New Roman"/>
        </w:rPr>
      </w:pPr>
      <w:r w:rsidRPr="00EA4B80">
        <w:rPr>
          <w:rStyle w:val="FootnoteReference"/>
          <w:rFonts w:cs="Times New Roman"/>
        </w:rPr>
        <w:footnoteRef/>
      </w:r>
      <w:r w:rsidRPr="00EA4B80">
        <w:rPr>
          <w:rFonts w:cs="Times New Roman"/>
        </w:rPr>
        <w:t xml:space="preserve"> (1693) 2 Vern. 307</w:t>
      </w:r>
      <w:r>
        <w:rPr>
          <w:rFonts w:cs="Times New Roman"/>
        </w:rPr>
        <w:t>.</w:t>
      </w:r>
    </w:p>
  </w:footnote>
  <w:footnote w:id="214">
    <w:p w:rsidR="00026F0C" w:rsidRPr="00EA4B80" w:rsidRDefault="00026F0C" w:rsidP="00CD6159">
      <w:pPr>
        <w:pStyle w:val="Footnote"/>
        <w:ind w:left="0" w:firstLine="0"/>
        <w:jc w:val="both"/>
        <w:rPr>
          <w:rFonts w:cs="Times New Roman"/>
        </w:rPr>
      </w:pPr>
      <w:r w:rsidRPr="00EA4B80">
        <w:rPr>
          <w:rStyle w:val="FootnoteReference"/>
          <w:rFonts w:cs="Times New Roman"/>
        </w:rPr>
        <w:footnoteRef/>
      </w:r>
      <w:r w:rsidRPr="00EA4B80">
        <w:rPr>
          <w:rFonts w:cs="Times New Roman"/>
          <w:i/>
          <w:iCs/>
        </w:rPr>
        <w:t xml:space="preserve"> Wilkinson v Brayfield </w:t>
      </w:r>
      <w:r w:rsidRPr="00EA4B80">
        <w:rPr>
          <w:rFonts w:cs="Times New Roman"/>
        </w:rPr>
        <w:t>(1693) 2 Vern. 307 at n. 1</w:t>
      </w:r>
      <w:r>
        <w:rPr>
          <w:rFonts w:cs="Times New Roman"/>
        </w:rPr>
        <w:t>.</w:t>
      </w:r>
    </w:p>
  </w:footnote>
  <w:footnote w:id="21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The Times </w:t>
      </w:r>
      <w:r w:rsidRPr="00EA4B80">
        <w:rPr>
          <w:rFonts w:cs="Times New Roman"/>
        </w:rPr>
        <w:t>, 30 Dec. 1896, 10 col b.</w:t>
      </w:r>
    </w:p>
  </w:footnote>
  <w:footnote w:id="21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Thomas Lewin &amp; Cecil C M Dale, </w:t>
      </w:r>
      <w:r w:rsidRPr="00EA4B80">
        <w:rPr>
          <w:rFonts w:cs="Times New Roman"/>
          <w:i/>
        </w:rPr>
        <w:t>A Practical Treatise on the Law of Trusts</w:t>
      </w:r>
      <w:r w:rsidRPr="00EA4B80">
        <w:rPr>
          <w:rFonts w:cs="Times New Roman"/>
        </w:rPr>
        <w:t>, 10</w:t>
      </w:r>
      <w:r w:rsidRPr="00EA4B80">
        <w:rPr>
          <w:rFonts w:cs="Times New Roman"/>
          <w:vertAlign w:val="superscript"/>
        </w:rPr>
        <w:t>th</w:t>
      </w:r>
      <w:r w:rsidRPr="00EA4B80">
        <w:rPr>
          <w:rFonts w:cs="Times New Roman"/>
        </w:rPr>
        <w:t xml:space="preserve"> edn., London, 1898, 157, n. (d).</w:t>
      </w:r>
    </w:p>
  </w:footnote>
  <w:footnote w:id="21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A. Underhill, </w:t>
      </w:r>
      <w:r w:rsidRPr="00EA4B80">
        <w:rPr>
          <w:rFonts w:cs="Times New Roman"/>
          <w:i/>
        </w:rPr>
        <w:t xml:space="preserve">The Law Relating to Trusts and Trustees, </w:t>
      </w:r>
      <w:r w:rsidRPr="00EA4B80">
        <w:rPr>
          <w:rFonts w:cs="Times New Roman"/>
        </w:rPr>
        <w:t>7</w:t>
      </w:r>
      <w:r w:rsidRPr="00EA4B80">
        <w:rPr>
          <w:rFonts w:cs="Times New Roman"/>
          <w:vertAlign w:val="superscript"/>
        </w:rPr>
        <w:t>th</w:t>
      </w:r>
      <w:r w:rsidRPr="00EA4B80">
        <w:rPr>
          <w:rFonts w:cs="Times New Roman"/>
        </w:rPr>
        <w:t xml:space="preserve"> edn., London, 1912, 79, n.(u).</w:t>
      </w:r>
    </w:p>
  </w:footnote>
  <w:footnote w:id="21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Solicitors’ Journal and Reporter</w:t>
      </w:r>
      <w:r w:rsidRPr="00EA4B80">
        <w:rPr>
          <w:rFonts w:cs="Times New Roman"/>
        </w:rPr>
        <w:t>,  2 Jan. 1897, 150 (vol.41).</w:t>
      </w:r>
    </w:p>
  </w:footnote>
  <w:footnote w:id="219">
    <w:p w:rsidR="00026F0C" w:rsidRPr="00EA4B80" w:rsidRDefault="00026F0C" w:rsidP="00485FAA">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statutory limitation period which applied in respect of trusts was six years. The means by which this came about was rather complex. The original source of the six year period was the Limitation Act 1623, s3. Although this subsection did not expressly apply to actions in respect of trusts, the courts of equity, having reached the view that the general intention of Parliament was that stale claims were not to be permitted, </w:t>
      </w:r>
      <w:r>
        <w:rPr>
          <w:rFonts w:cs="Times New Roman"/>
        </w:rPr>
        <w:t xml:space="preserve">held that, by analogy with the Limitation Act, </w:t>
      </w:r>
      <w:r w:rsidRPr="00EA4B80">
        <w:rPr>
          <w:rFonts w:cs="Times New Roman"/>
        </w:rPr>
        <w:t xml:space="preserve">the limitation period of six years applied in respect of claims against trustees, although not express trustees. Eventually, the Trustee Act 1888, s8(1) provided statutory confirmation that the limitation period prescribed in the Limitation Act 1623 should apply to trustees. See </w:t>
      </w:r>
      <w:r w:rsidRPr="00EA4B80">
        <w:rPr>
          <w:rFonts w:cs="Times New Roman"/>
          <w:i/>
        </w:rPr>
        <w:t xml:space="preserve">Taylor v Davies </w:t>
      </w:r>
      <w:r w:rsidRPr="00EA4B80">
        <w:rPr>
          <w:rFonts w:cs="Times New Roman"/>
        </w:rPr>
        <w:t>[1920] A.C. 626 for a general explanation.</w:t>
      </w:r>
    </w:p>
  </w:footnote>
  <w:footnote w:id="220">
    <w:p w:rsidR="00026F0C" w:rsidRPr="00EA4B80" w:rsidRDefault="00026F0C" w:rsidP="00485FAA">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Trustee Act 1888, s8(1).</w:t>
      </w:r>
    </w:p>
  </w:footnote>
  <w:footnote w:id="221">
    <w:p w:rsidR="00026F0C" w:rsidRPr="00EA4B80" w:rsidRDefault="00026F0C" w:rsidP="00485FAA">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law of limitations as applied to trustees in t</w:t>
      </w:r>
      <w:r>
        <w:rPr>
          <w:rFonts w:cs="Times New Roman"/>
        </w:rPr>
        <w:t>he nineteenth century was</w:t>
      </w:r>
      <w:r w:rsidRPr="00EA4B80">
        <w:rPr>
          <w:rFonts w:cs="Times New Roman"/>
        </w:rPr>
        <w:t xml:space="preserve"> complex. It seems that s8 of the 1888 Act partially repealed s25(2) of the Judicature Act because the limitation period could, after the enactment of s8, clearly be relied upon by all trustees in respect of claims for breach of trust. As s8 did not apply to claims to recover ‘trust property, or proceeds thereof’ from the hands of trustees, it seems that, in respect of actions to recover trust property, s25(2) remained in force. This is the view taken in Arthur Reginald Rudall, and James William Greig, </w:t>
      </w:r>
      <w:r w:rsidRPr="00EA4B80">
        <w:rPr>
          <w:rFonts w:cs="Times New Roman"/>
          <w:i/>
        </w:rPr>
        <w:t xml:space="preserve">The Law of Trusts and Trustees under the Trustee Act 1888 The Trust Investment Act 1889 The Trustee Act 1893 Amendment Act 1894, and the Judicial Trustees Act 1896, </w:t>
      </w:r>
      <w:r w:rsidRPr="00EA4B80">
        <w:rPr>
          <w:rFonts w:cs="Times New Roman"/>
        </w:rPr>
        <w:t>2</w:t>
      </w:r>
      <w:r w:rsidRPr="00EA4B80">
        <w:rPr>
          <w:rFonts w:cs="Times New Roman"/>
          <w:vertAlign w:val="superscript"/>
        </w:rPr>
        <w:t>nd</w:t>
      </w:r>
      <w:r w:rsidRPr="00EA4B80">
        <w:rPr>
          <w:rFonts w:cs="Times New Roman"/>
        </w:rPr>
        <w:t xml:space="preserve"> ed.,</w:t>
      </w:r>
      <w:r>
        <w:rPr>
          <w:rFonts w:cs="Times New Roman"/>
        </w:rPr>
        <w:t xml:space="preserve"> </w:t>
      </w:r>
      <w:r w:rsidRPr="00EA4B80">
        <w:rPr>
          <w:rFonts w:cs="Times New Roman"/>
        </w:rPr>
        <w:t xml:space="preserve">London, 1898, 7. Section 25(2) appears to have been enacted as mere confirmation of a rule to the same effect, developed by the Court of Chancery (see Rudall and Greig, </w:t>
      </w:r>
      <w:r w:rsidRPr="00EA4B80">
        <w:rPr>
          <w:rFonts w:cs="Times New Roman"/>
          <w:i/>
        </w:rPr>
        <w:t>The Law of Trusts and Trustees,</w:t>
      </w:r>
      <w:r w:rsidRPr="00EA4B80">
        <w:rPr>
          <w:rFonts w:cs="Times New Roman"/>
        </w:rPr>
        <w:t xml:space="preserve"> 5 for further detail on this point), whereby time would run against constructive trustees but not express trustees. It seems that Lindley LJ applied the law in this manner. He stated (</w:t>
      </w:r>
      <w:r w:rsidRPr="00EA4B80">
        <w:rPr>
          <w:rFonts w:cs="Times New Roman"/>
          <w:i/>
        </w:rPr>
        <w:t xml:space="preserve">Rochefoucauld v Boustead </w:t>
      </w:r>
      <w:r w:rsidRPr="00EA4B80">
        <w:rPr>
          <w:rFonts w:cs="Times New Roman"/>
        </w:rPr>
        <w:t>[1897] 1 Ch. 196 at 208) that Boustead was ‘not able to claim the benefit of s.8 of the Trustee Act, 1888… and the statute which is applicable is the Judicature Act, 1873… s. 25, sub-s. 2’. The Trustee Act 1888 was certainly in force at the time of the judgment, for s8(3) of the same Act stipulated that the provisions were to ‘apply to actions or other proceedings commenced after the First day of Jan., One thousand eight hundred and ninety’. The Comtesse’s action was originally commenced in 1894.</w:t>
      </w:r>
    </w:p>
  </w:footnote>
  <w:footnote w:id="222">
    <w:p w:rsidR="00026F0C" w:rsidRPr="00EA4B80" w:rsidRDefault="00026F0C" w:rsidP="00CD6159">
      <w:pPr>
        <w:pStyle w:val="Footnote"/>
        <w:ind w:left="0" w:firstLine="0"/>
        <w:jc w:val="both"/>
        <w:rPr>
          <w:rFonts w:cs="Times New Roman"/>
        </w:rPr>
      </w:pPr>
      <w:r w:rsidRPr="00EA4B80">
        <w:rPr>
          <w:rStyle w:val="FootnoteReference"/>
          <w:rFonts w:cs="Times New Roman"/>
        </w:rPr>
        <w:footnoteRef/>
      </w:r>
      <w:r w:rsidRPr="00EA4B80">
        <w:rPr>
          <w:rFonts w:cs="Times New Roman"/>
          <w:i/>
          <w:iCs/>
        </w:rPr>
        <w:t xml:space="preserve"> Rochefoucauld v Boustead </w:t>
      </w:r>
      <w:r w:rsidRPr="00EA4B80">
        <w:rPr>
          <w:rFonts w:cs="Times New Roman"/>
        </w:rPr>
        <w:t xml:space="preserve">[1897] 1 Ch. 196 at 208 </w:t>
      </w:r>
      <w:r w:rsidRPr="00EA4B80">
        <w:rPr>
          <w:rFonts w:cs="Times New Roman"/>
          <w:i/>
          <w:iCs/>
        </w:rPr>
        <w:t xml:space="preserve">per </w:t>
      </w:r>
      <w:r w:rsidRPr="00EA4B80">
        <w:rPr>
          <w:rFonts w:cs="Times New Roman"/>
        </w:rPr>
        <w:t>Lindley LJ.</w:t>
      </w:r>
    </w:p>
  </w:footnote>
  <w:footnote w:id="223">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Underhill, </w:t>
      </w:r>
      <w:r w:rsidRPr="00EA4B80">
        <w:rPr>
          <w:rFonts w:cs="Times New Roman"/>
          <w:i/>
        </w:rPr>
        <w:t>A Practical and Concise Manua</w:t>
      </w:r>
      <w:r>
        <w:rPr>
          <w:rFonts w:cs="Times New Roman"/>
          <w:i/>
        </w:rPr>
        <w:t>l</w:t>
      </w:r>
      <w:r w:rsidRPr="00EA4B80">
        <w:rPr>
          <w:rFonts w:cs="Times New Roman"/>
        </w:rPr>
        <w:t>, 12</w:t>
      </w:r>
      <w:r>
        <w:rPr>
          <w:rFonts w:cs="Times New Roman"/>
        </w:rPr>
        <w:t>.</w:t>
      </w:r>
    </w:p>
  </w:footnote>
  <w:footnote w:id="224">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Smith, </w:t>
      </w:r>
      <w:r w:rsidRPr="00EA4B80">
        <w:rPr>
          <w:rFonts w:cs="Times New Roman"/>
          <w:i/>
        </w:rPr>
        <w:t>Equity Jurisprudence</w:t>
      </w:r>
      <w:r w:rsidRPr="00EA4B80">
        <w:rPr>
          <w:rFonts w:cs="Times New Roman"/>
        </w:rPr>
        <w:t>, 100.</w:t>
      </w:r>
    </w:p>
  </w:footnote>
  <w:footnote w:id="225">
    <w:p w:rsidR="00026F0C" w:rsidRPr="00EA4B80" w:rsidRDefault="00026F0C" w:rsidP="00CD6159">
      <w:pPr>
        <w:pStyle w:val="Footnote"/>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iCs/>
        </w:rPr>
        <w:t xml:space="preserve">Rochefoucauld v Boustead </w:t>
      </w:r>
      <w:r w:rsidRPr="00EA4B80">
        <w:rPr>
          <w:rFonts w:cs="Times New Roman"/>
        </w:rPr>
        <w:t xml:space="preserve">[1897] 1 Ch. 196 at 205 </w:t>
      </w:r>
      <w:r w:rsidRPr="00EA4B80">
        <w:rPr>
          <w:rFonts w:cs="Times New Roman"/>
          <w:i/>
          <w:iCs/>
        </w:rPr>
        <w:t xml:space="preserve">per </w:t>
      </w:r>
      <w:r w:rsidRPr="00EA4B80">
        <w:rPr>
          <w:rFonts w:cs="Times New Roman"/>
        </w:rPr>
        <w:t>Lindley LJ.</w:t>
      </w:r>
    </w:p>
  </w:footnote>
  <w:footnote w:id="226">
    <w:p w:rsidR="00026F0C" w:rsidRPr="00EA4B80" w:rsidRDefault="00026F0C" w:rsidP="00CD6159">
      <w:pPr>
        <w:pStyle w:val="Footnote"/>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rPr>
        <w:t xml:space="preserve">at 206 </w:t>
      </w:r>
      <w:r w:rsidRPr="00EA4B80">
        <w:rPr>
          <w:rFonts w:cs="Times New Roman"/>
          <w:i/>
          <w:iCs/>
        </w:rPr>
        <w:t xml:space="preserve">per </w:t>
      </w:r>
      <w:r w:rsidRPr="00EA4B80">
        <w:rPr>
          <w:rFonts w:cs="Times New Roman"/>
        </w:rPr>
        <w:t>Lindley LJ.</w:t>
      </w:r>
    </w:p>
  </w:footnote>
  <w:footnote w:id="22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This is made clear in </w:t>
      </w:r>
      <w:r w:rsidRPr="00EA4B80">
        <w:rPr>
          <w:rFonts w:cs="Times New Roman"/>
          <w:i/>
        </w:rPr>
        <w:t xml:space="preserve">Rochefoucauld v Boustead </w:t>
      </w:r>
      <w:r w:rsidRPr="00EA4B80">
        <w:rPr>
          <w:rFonts w:cs="Times New Roman"/>
        </w:rPr>
        <w:t>(1896)  66 L.J. Ch. 74 at 76. Note that one of Emily’s assertions was that the correspondence between Boustead and her after the conveyance provided sufficient written evidence to satisfy s7. Lindley LJ, whilst conceding that this could well have been the case, found it unnecessary to make any definitive ruling on this issue because of the fraud. The circumstances in which he took the conveyance meant that for him to take other than as a trustee would have been fraudulent. Section 7 could not have been used to facilitate such fraud; hence, Boustead’s defence that no trust had ever been evidenced in writing so as to satisfy s7 was not accepted.</w:t>
      </w:r>
    </w:p>
  </w:footnote>
  <w:footnote w:id="22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circumstances in which s7 could be satisfied are covered comprehensively in Lewin, </w:t>
      </w:r>
      <w:r w:rsidRPr="00EA4B80">
        <w:rPr>
          <w:rFonts w:cs="Times New Roman"/>
          <w:i/>
        </w:rPr>
        <w:t>A Practical Treatise</w:t>
      </w:r>
      <w:r w:rsidRPr="00EA4B80">
        <w:rPr>
          <w:rFonts w:cs="Times New Roman"/>
        </w:rPr>
        <w:t>, 56.</w:t>
      </w:r>
    </w:p>
  </w:footnote>
  <w:footnote w:id="229">
    <w:p w:rsidR="00026F0C" w:rsidRPr="00DC2A23"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Swadling, ‘</w:t>
      </w:r>
      <w:r>
        <w:rPr>
          <w:rFonts w:cs="Times New Roman"/>
          <w:i/>
        </w:rPr>
        <w:t>Rochefoucauld v Boustead</w:t>
      </w:r>
      <w:r>
        <w:rPr>
          <w:rFonts w:cs="Times New Roman"/>
        </w:rPr>
        <w:t>’.</w:t>
      </w:r>
    </w:p>
  </w:footnote>
  <w:footnote w:id="230">
    <w:p w:rsidR="00026F0C" w:rsidRDefault="00026F0C" w:rsidP="00CD6159">
      <w:pPr>
        <w:pStyle w:val="FootnoteText"/>
        <w:ind w:left="0" w:firstLine="0"/>
        <w:jc w:val="both"/>
      </w:pPr>
      <w:r>
        <w:rPr>
          <w:rStyle w:val="FootnoteReference"/>
        </w:rPr>
        <w:footnoteRef/>
      </w:r>
      <w:r>
        <w:t xml:space="preserve"> </w:t>
      </w:r>
      <w:r w:rsidRPr="00EA4B80">
        <w:rPr>
          <w:rFonts w:cs="Times New Roman"/>
          <w:i/>
        </w:rPr>
        <w:t xml:space="preserve">Rochefoucauld v Boustead </w:t>
      </w:r>
      <w:r>
        <w:rPr>
          <w:rFonts w:cs="Times New Roman"/>
        </w:rPr>
        <w:t>[</w:t>
      </w:r>
      <w:r w:rsidRPr="006121D8">
        <w:rPr>
          <w:rFonts w:cs="Times New Roman"/>
        </w:rPr>
        <w:t xml:space="preserve">1896] 1 Ch. 196 at 212. It might also be noted that Lindley LJ observed (at 196) that the instrument of fraud principle allowed ‘proof of a fraud,’ (described as proof of the trustee having knowingly taking subject to the trust and then denying it), as opposed to proof merely of the trust. This is not consistent with his having viewed the trust as a normal express trust. The instrument of fraud principle was explained in the same terms, as allowing proof of the fraud, by Turner LJ in </w:t>
      </w:r>
      <w:r w:rsidRPr="006121D8">
        <w:rPr>
          <w:rFonts w:cs="Times New Roman"/>
          <w:i/>
        </w:rPr>
        <w:t>Lincoln v Wright</w:t>
      </w:r>
      <w:r w:rsidRPr="006121D8">
        <w:rPr>
          <w:rFonts w:cs="Times New Roman"/>
        </w:rPr>
        <w:t xml:space="preserve">- see n. </w:t>
      </w:r>
      <w:r>
        <w:rPr>
          <w:rFonts w:cs="Times New Roman"/>
        </w:rPr>
        <w:t>206</w:t>
      </w:r>
      <w:r w:rsidRPr="00EF1227">
        <w:rPr>
          <w:rFonts w:cs="Times New Roman"/>
        </w:rPr>
        <w:t xml:space="preserve"> and accompanying text, </w:t>
      </w:r>
      <w:r w:rsidRPr="006121D8">
        <w:rPr>
          <w:rFonts w:cs="Times New Roman"/>
        </w:rPr>
        <w:t>above.</w:t>
      </w:r>
    </w:p>
  </w:footnote>
  <w:footnote w:id="231">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This is so even if the secret trust cases are included.</w:t>
      </w:r>
    </w:p>
  </w:footnote>
  <w:footnote w:id="232">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E.</w:t>
      </w:r>
      <w:r w:rsidRPr="00B17809">
        <w:rPr>
          <w:rFonts w:cs="Times New Roman"/>
        </w:rPr>
        <w:t xml:space="preserve">g. </w:t>
      </w:r>
      <w:r w:rsidRPr="00B17809">
        <w:rPr>
          <w:rFonts w:cs="Times New Roman"/>
          <w:i/>
          <w:iCs/>
        </w:rPr>
        <w:t>Re Duke of Marlborough</w:t>
      </w:r>
      <w:r w:rsidRPr="00B17809">
        <w:rPr>
          <w:rFonts w:cs="Times New Roman"/>
          <w:i/>
        </w:rPr>
        <w:t xml:space="preserve"> </w:t>
      </w:r>
      <w:r w:rsidRPr="00B17809">
        <w:rPr>
          <w:rFonts w:cs="Times New Roman"/>
        </w:rPr>
        <w:t>[1894] 2 Ch. 133.</w:t>
      </w:r>
    </w:p>
  </w:footnote>
  <w:footnote w:id="233">
    <w:p w:rsidR="00026F0C" w:rsidRPr="001B215A"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1B0D0B">
        <w:rPr>
          <w:rFonts w:cs="Times New Roman"/>
          <w:i/>
        </w:rPr>
        <w:t>Davies v Otty (No 2)</w:t>
      </w:r>
      <w:r w:rsidRPr="001B0D0B">
        <w:rPr>
          <w:rFonts w:cs="Times New Roman"/>
        </w:rPr>
        <w:t xml:space="preserve"> (1865) 35 Beav.</w:t>
      </w:r>
      <w:r>
        <w:rPr>
          <w:rFonts w:cs="Times New Roman"/>
        </w:rPr>
        <w:t xml:space="preserve"> 208 is an equivocal decision. The plaintiff had conveyed his land to the defendant because he thought (erroneously) that he faced conviction for bigamy, and he feared having to forfeit his land as a result of such a conviction. Romilly MR (at 213) enforced the trust on the ground that it ‘</w:t>
      </w:r>
      <w:r w:rsidRPr="00C570EA">
        <w:rPr>
          <w:rFonts w:cs="Times New Roman"/>
        </w:rPr>
        <w:t>came within the 8</w:t>
      </w:r>
      <w:r w:rsidRPr="00C570EA">
        <w:rPr>
          <w:rFonts w:cs="Times New Roman"/>
          <w:vertAlign w:val="superscript"/>
        </w:rPr>
        <w:t>th</w:t>
      </w:r>
      <w:r w:rsidRPr="00C570EA">
        <w:rPr>
          <w:rFonts w:cs="Times New Roman"/>
        </w:rPr>
        <w:t xml:space="preserve"> section of the Statute of Frauds</w:t>
      </w:r>
      <w:r>
        <w:rPr>
          <w:rFonts w:cs="Times New Roman"/>
        </w:rPr>
        <w:t xml:space="preserve">’ because no real consideration had been given. </w:t>
      </w:r>
      <w:r w:rsidRPr="00C570EA">
        <w:rPr>
          <w:rFonts w:cs="Times New Roman"/>
        </w:rPr>
        <w:t xml:space="preserve">Counsel for the plaintiff argued </w:t>
      </w:r>
      <w:r>
        <w:rPr>
          <w:rFonts w:cs="Times New Roman"/>
        </w:rPr>
        <w:t xml:space="preserve">(at 211) </w:t>
      </w:r>
      <w:r w:rsidRPr="00C570EA">
        <w:rPr>
          <w:rFonts w:cs="Times New Roman"/>
        </w:rPr>
        <w:t xml:space="preserve">that </w:t>
      </w:r>
      <w:r w:rsidRPr="00C570EA">
        <w:rPr>
          <w:rFonts w:cs="Times New Roman"/>
          <w:lang w:val="en-US" w:eastAsia="en-GB"/>
        </w:rPr>
        <w:t>‘that the 7</w:t>
      </w:r>
      <w:r w:rsidRPr="00C570EA">
        <w:rPr>
          <w:rFonts w:cs="Times New Roman"/>
          <w:vertAlign w:val="superscript"/>
          <w:lang w:val="en-US" w:eastAsia="en-GB"/>
        </w:rPr>
        <w:t>th</w:t>
      </w:r>
      <w:r w:rsidRPr="00C570EA">
        <w:rPr>
          <w:rFonts w:cs="Times New Roman"/>
          <w:lang w:val="en-US" w:eastAsia="en-GB"/>
        </w:rPr>
        <w:t xml:space="preserve"> section of the Statute of Frauds was inapplicable, there being a part performance and a fraud, and that these were sufficient grounds for taking the case out of the statute, for Courts of Equity never allow the Statute of Frauds to cover a fraud. But that if the case were within the statute, it came within the 8</w:t>
      </w:r>
      <w:r w:rsidRPr="00C570EA">
        <w:rPr>
          <w:rFonts w:cs="Times New Roman"/>
          <w:vertAlign w:val="superscript"/>
          <w:lang w:val="en-US" w:eastAsia="en-GB"/>
        </w:rPr>
        <w:t>th</w:t>
      </w:r>
      <w:r w:rsidRPr="00C570EA">
        <w:rPr>
          <w:rFonts w:cs="Times New Roman"/>
          <w:lang w:val="en-US" w:eastAsia="en-GB"/>
        </w:rPr>
        <w:t xml:space="preserve"> section, there being a constructive trust in favour of the plaintiff, who had never received the alleged purchase money’.</w:t>
      </w:r>
      <w:r>
        <w:rPr>
          <w:rFonts w:cs="Times New Roman"/>
          <w:lang w:val="en-US" w:eastAsia="en-GB"/>
        </w:rPr>
        <w:t xml:space="preserve"> Although Lindley LJ regarded </w:t>
      </w:r>
      <w:r>
        <w:rPr>
          <w:rFonts w:cs="Times New Roman"/>
          <w:i/>
          <w:lang w:val="en-US" w:eastAsia="en-GB"/>
        </w:rPr>
        <w:t xml:space="preserve">Davies </w:t>
      </w:r>
      <w:r>
        <w:rPr>
          <w:rFonts w:cs="Times New Roman"/>
          <w:lang w:val="en-US" w:eastAsia="en-GB"/>
        </w:rPr>
        <w:t>as an authority for the enforcement of a parol trust pursuant to the instrument of fraud principle, it seems that Romilly MR enforced what would today be regarded as a resulting trust due to the aforementioned lack of consideration. Counsel’s references to constructive trusts (also mentioned in the same context by counsel for the defendant at 212) seem to be references to what would today be regarded as resulting trusts. See nn. 271 and 272 and accompanying text, below, for examples of nineteenth century ambiguities and inconsistencies in nomenclature regarding resulting and constructive trusts.</w:t>
      </w:r>
    </w:p>
  </w:footnote>
  <w:footnote w:id="234">
    <w:p w:rsidR="00026F0C" w:rsidRPr="00AC2926"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This comes across very strongly </w:t>
      </w:r>
      <w:r>
        <w:rPr>
          <w:rFonts w:cs="Times New Roman"/>
        </w:rPr>
        <w:t xml:space="preserve">upon reading cases such as </w:t>
      </w:r>
      <w:r>
        <w:rPr>
          <w:rFonts w:cs="Times New Roman"/>
          <w:i/>
        </w:rPr>
        <w:t xml:space="preserve">Hutchins v Lee </w:t>
      </w:r>
      <w:r>
        <w:rPr>
          <w:rFonts w:cs="Times New Roman"/>
        </w:rPr>
        <w:t xml:space="preserve">(1737) 1 Atk. 447, </w:t>
      </w:r>
      <w:r>
        <w:rPr>
          <w:rFonts w:cs="Times New Roman"/>
          <w:i/>
        </w:rPr>
        <w:t xml:space="preserve">Booth v Turle </w:t>
      </w:r>
      <w:r w:rsidRPr="00EA4B80">
        <w:rPr>
          <w:rFonts w:cs="Times New Roman"/>
        </w:rPr>
        <w:t>(1873) L.R 16 Eq. 182</w:t>
      </w:r>
      <w:r>
        <w:rPr>
          <w:rFonts w:cs="Times New Roman"/>
          <w:i/>
        </w:rPr>
        <w:t xml:space="preserve">, Haigh v Kaye </w:t>
      </w:r>
      <w:r w:rsidRPr="00EA4B80">
        <w:rPr>
          <w:rFonts w:cs="Times New Roman"/>
        </w:rPr>
        <w:t>(1872) L. R. 7 Ch. 469</w:t>
      </w:r>
      <w:r>
        <w:rPr>
          <w:rFonts w:cs="Times New Roman"/>
        </w:rPr>
        <w:t xml:space="preserve"> and </w:t>
      </w:r>
      <w:r>
        <w:rPr>
          <w:rFonts w:cs="Times New Roman"/>
          <w:i/>
        </w:rPr>
        <w:t>Re Duke of Marlborough</w:t>
      </w:r>
      <w:r>
        <w:rPr>
          <w:rFonts w:cs="Times New Roman"/>
        </w:rPr>
        <w:t xml:space="preserve"> [1894] 2 Ch. 133, alongside the secret trusts cases referred to in </w:t>
      </w:r>
      <w:r w:rsidRPr="003342BB">
        <w:rPr>
          <w:rFonts w:cs="Times New Roman"/>
          <w:color w:val="000000" w:themeColor="text1"/>
        </w:rPr>
        <w:t>n. 19</w:t>
      </w:r>
      <w:r>
        <w:rPr>
          <w:rFonts w:cs="Times New Roman"/>
          <w:color w:val="000000" w:themeColor="text1"/>
        </w:rPr>
        <w:t>6</w:t>
      </w:r>
      <w:r w:rsidRPr="003342BB">
        <w:rPr>
          <w:rFonts w:cs="Times New Roman"/>
          <w:color w:val="000000" w:themeColor="text1"/>
        </w:rPr>
        <w:t>, above</w:t>
      </w:r>
      <w:r>
        <w:rPr>
          <w:rFonts w:cs="Times New Roman"/>
        </w:rPr>
        <w:t>.</w:t>
      </w:r>
    </w:p>
  </w:footnote>
  <w:footnote w:id="235">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(1741) 2 Atk. 254.</w:t>
      </w:r>
    </w:p>
  </w:footnote>
  <w:footnote w:id="236">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aim was to protect her interest in the event of the son-in-law’s bankruptcy.</w:t>
      </w:r>
    </w:p>
  </w:footnote>
  <w:footnote w:id="237">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The next-of-kin of the daughter, who was by this time deceased.</w:t>
      </w:r>
    </w:p>
  </w:footnote>
  <w:footnote w:id="238">
    <w:p w:rsidR="00026F0C" w:rsidRPr="00EA4B80" w:rsidRDefault="00026F0C" w:rsidP="00CD6159">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B93F2C">
        <w:rPr>
          <w:rFonts w:cs="Times New Roman"/>
        </w:rPr>
        <w:t>Ibid.</w:t>
      </w:r>
      <w:r>
        <w:rPr>
          <w:rFonts w:cs="Times New Roman"/>
        </w:rPr>
        <w:t>,</w:t>
      </w:r>
      <w:r w:rsidRPr="00EA4B80">
        <w:rPr>
          <w:rFonts w:cs="Times New Roman"/>
          <w:i/>
        </w:rPr>
        <w:t xml:space="preserve"> </w:t>
      </w:r>
      <w:r w:rsidRPr="00EA4B80">
        <w:rPr>
          <w:rFonts w:cs="Times New Roman"/>
        </w:rPr>
        <w:t xml:space="preserve">at 256. </w:t>
      </w:r>
    </w:p>
  </w:footnote>
  <w:footnote w:id="239">
    <w:p w:rsidR="00026F0C" w:rsidRPr="00EA4B80" w:rsidRDefault="00026F0C" w:rsidP="006321A3">
      <w:pPr>
        <w:pStyle w:val="FootnoteText"/>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 at 257.</w:t>
      </w:r>
    </w:p>
  </w:footnote>
  <w:footnote w:id="240">
    <w:p w:rsidR="00026F0C" w:rsidRPr="00EA4B80" w:rsidRDefault="00026F0C" w:rsidP="006321A3">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B93F2C">
        <w:rPr>
          <w:rFonts w:cs="Times New Roman"/>
        </w:rPr>
        <w:t>Ibid.,</w:t>
      </w:r>
      <w:r w:rsidRPr="00EA4B80">
        <w:rPr>
          <w:rFonts w:cs="Times New Roman"/>
          <w:i/>
        </w:rPr>
        <w:t xml:space="preserve"> per </w:t>
      </w:r>
      <w:r w:rsidRPr="00EA4B80">
        <w:rPr>
          <w:rFonts w:cs="Times New Roman"/>
        </w:rPr>
        <w:t>Lord Hardwicke LC.</w:t>
      </w:r>
    </w:p>
  </w:footnote>
  <w:footnote w:id="241">
    <w:p w:rsidR="00026F0C" w:rsidRPr="00EA4B80" w:rsidRDefault="00026F0C" w:rsidP="006321A3">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B93F2C">
        <w:rPr>
          <w:rFonts w:cs="Times New Roman"/>
        </w:rPr>
        <w:t>Ibid.,</w:t>
      </w:r>
      <w:r w:rsidRPr="00EA4B80">
        <w:rPr>
          <w:rFonts w:cs="Times New Roman"/>
          <w:i/>
        </w:rPr>
        <w:t xml:space="preserve"> </w:t>
      </w:r>
      <w:r w:rsidRPr="00EA4B80">
        <w:rPr>
          <w:rFonts w:cs="Times New Roman"/>
        </w:rPr>
        <w:t xml:space="preserve">at 257 </w:t>
      </w:r>
      <w:r w:rsidRPr="00EA4B80">
        <w:rPr>
          <w:rFonts w:cs="Times New Roman"/>
          <w:i/>
        </w:rPr>
        <w:t xml:space="preserve">per </w:t>
      </w:r>
      <w:r w:rsidRPr="00EA4B80">
        <w:rPr>
          <w:rFonts w:cs="Times New Roman"/>
        </w:rPr>
        <w:t>Lord Hardwicke LC.</w:t>
      </w:r>
    </w:p>
  </w:footnote>
  <w:footnote w:id="242">
    <w:p w:rsidR="00026F0C" w:rsidRPr="00EA4B80" w:rsidRDefault="00026F0C" w:rsidP="006321A3">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B93F2C">
        <w:rPr>
          <w:rFonts w:cs="Times New Roman"/>
        </w:rPr>
        <w:t>Ibid.,</w:t>
      </w:r>
      <w:r w:rsidRPr="00EA4B80">
        <w:rPr>
          <w:rFonts w:cs="Times New Roman"/>
          <w:i/>
        </w:rPr>
        <w:t xml:space="preserve"> </w:t>
      </w:r>
      <w:r w:rsidRPr="00EA4B80">
        <w:rPr>
          <w:rFonts w:cs="Times New Roman"/>
        </w:rPr>
        <w:t xml:space="preserve">at 258 </w:t>
      </w:r>
      <w:r w:rsidRPr="00EA4B80">
        <w:rPr>
          <w:rFonts w:cs="Times New Roman"/>
          <w:i/>
        </w:rPr>
        <w:t xml:space="preserve">per </w:t>
      </w:r>
      <w:r w:rsidRPr="00EA4B80">
        <w:rPr>
          <w:rFonts w:cs="Times New Roman"/>
        </w:rPr>
        <w:t>Lord Hardwicke LC.</w:t>
      </w:r>
    </w:p>
  </w:footnote>
  <w:footnote w:id="243">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It should be noted that the only ground upon which the Court of Chancery could order a party to conve</w:t>
      </w:r>
      <w:r>
        <w:rPr>
          <w:rFonts w:cs="Times New Roman"/>
        </w:rPr>
        <w:t xml:space="preserve">y land to another was that </w:t>
      </w:r>
      <w:r w:rsidRPr="00EA4B80">
        <w:rPr>
          <w:rFonts w:cs="Times New Roman"/>
        </w:rPr>
        <w:t xml:space="preserve">the former had been held to be a trustee. This was explained by Grant MR in </w:t>
      </w:r>
      <w:r w:rsidRPr="00EA4B80">
        <w:rPr>
          <w:rFonts w:cs="Times New Roman"/>
          <w:i/>
        </w:rPr>
        <w:t xml:space="preserve">Beckford v Wade </w:t>
      </w:r>
      <w:r w:rsidRPr="00EA4B80">
        <w:rPr>
          <w:rFonts w:cs="Times New Roman"/>
        </w:rPr>
        <w:t>(1805) 17 Ves. Jun. 87, at 96, when he rhetorically asked ‘[u]pon what grounds is a Court of Equity ever called upon to direct one man to convey a real estate to another, except upon the ground of a trust, either actual or constructive?’</w:t>
      </w:r>
    </w:p>
  </w:footnote>
  <w:footnote w:id="244">
    <w:p w:rsidR="00026F0C" w:rsidRPr="003B423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It is arguable that the draughtsmen of the Statute of Frauds intended s8 to cover all trusts which are not express, especially when it is born in mind that one of the subsection’s chief architects, Lord Nottingham, stated in </w:t>
      </w:r>
      <w:r>
        <w:rPr>
          <w:rFonts w:cs="Times New Roman"/>
          <w:i/>
        </w:rPr>
        <w:t xml:space="preserve">Cook v Fountain </w:t>
      </w:r>
      <w:r>
        <w:rPr>
          <w:rFonts w:cs="Times New Roman"/>
        </w:rPr>
        <w:t>(1676</w:t>
      </w:r>
      <w:r w:rsidRPr="00176B93">
        <w:rPr>
          <w:rFonts w:cs="Times New Roman"/>
        </w:rPr>
        <w:t xml:space="preserve">) 3 Swan. 585 at 591 that ‘all trusts are either, first, express trusts, which are raised and created by act of the parties, or implied trusts, which are raised or created by act or construction of law; again, express trusts are declared either by word or writing’. Lord Nottingham’s role as a draughtsman is explained in W.S. </w:t>
      </w:r>
      <w:r w:rsidRPr="00176B93">
        <w:rPr>
          <w:rFonts w:cs="Times New Roman"/>
          <w:lang w:val="en-US" w:eastAsia="en-GB"/>
        </w:rPr>
        <w:t xml:space="preserve">Holdsworth,  </w:t>
      </w:r>
      <w:r w:rsidRPr="00176B93">
        <w:rPr>
          <w:rFonts w:cs="Times New Roman"/>
          <w:i/>
          <w:lang w:val="en-US" w:eastAsia="en-GB"/>
        </w:rPr>
        <w:t>History of English Law</w:t>
      </w:r>
      <w:r w:rsidRPr="00176B93">
        <w:rPr>
          <w:rFonts w:cs="Times New Roman"/>
          <w:lang w:val="en-US" w:eastAsia="en-GB"/>
        </w:rPr>
        <w:t xml:space="preserve">, </w:t>
      </w:r>
      <w:r>
        <w:rPr>
          <w:rFonts w:cs="Times New Roman"/>
          <w:lang w:val="en-US" w:eastAsia="en-GB"/>
        </w:rPr>
        <w:t xml:space="preserve">17 </w:t>
      </w:r>
      <w:r w:rsidRPr="00176B93">
        <w:rPr>
          <w:rFonts w:cs="Times New Roman"/>
          <w:lang w:val="en-US" w:eastAsia="en-GB"/>
        </w:rPr>
        <w:t>vols., London, 1925, vol. 6, 384.</w:t>
      </w:r>
      <w:r w:rsidRPr="00176B93">
        <w:rPr>
          <w:rFonts w:cs="Times New Roman"/>
          <w:color w:val="FF0000"/>
        </w:rPr>
        <w:t xml:space="preserve"> </w:t>
      </w:r>
      <w:r w:rsidRPr="00176B93">
        <w:rPr>
          <w:rFonts w:cs="Times New Roman"/>
        </w:rPr>
        <w:t>In Paul Matthews ‘The Words Which Are Not There: A Partial History of the Constructive Trust’ Charles</w:t>
      </w:r>
      <w:r w:rsidRPr="00EA4B80">
        <w:rPr>
          <w:rFonts w:cs="Times New Roman"/>
        </w:rPr>
        <w:t xml:space="preserve"> Mitchell, ed., </w:t>
      </w:r>
      <w:r w:rsidRPr="00EA4B80">
        <w:rPr>
          <w:rFonts w:cs="Times New Roman"/>
          <w:i/>
        </w:rPr>
        <w:t>Constructive and Resulting Trusts</w:t>
      </w:r>
      <w:r w:rsidRPr="00EA4B80">
        <w:rPr>
          <w:rFonts w:cs="Times New Roman"/>
        </w:rPr>
        <w:t>, Oxford, 2009</w:t>
      </w:r>
      <w:r>
        <w:rPr>
          <w:rFonts w:cs="Times New Roman"/>
        </w:rPr>
        <w:t xml:space="preserve">, </w:t>
      </w:r>
      <w:r>
        <w:t xml:space="preserve">11-13, however, Matthews argues convincingly that, when Lord Nottingham’s comments in </w:t>
      </w:r>
      <w:r>
        <w:rPr>
          <w:i/>
        </w:rPr>
        <w:t xml:space="preserve">Cook </w:t>
      </w:r>
      <w:r>
        <w:t xml:space="preserve">are read within their historical context, it becomes clear that what are now regarded as resulting trusts were probably considered by Lord Nottingham to be a species of express trust, and that Lord Nottingham considered  ‘implied trusts’ to be amongst the types of trusts which would now be regarded as constructive trusts. Matthews further argues that, on this basis, s8 was only in fact intended to cover what are now regarded as constructive trusts. Matthews (at 13), however, explains, with specific reference to Lord Hardwicke’s comments in </w:t>
      </w:r>
      <w:r>
        <w:rPr>
          <w:i/>
        </w:rPr>
        <w:t xml:space="preserve">Lloyd v Spillit </w:t>
      </w:r>
      <w:r>
        <w:rPr>
          <w:rFonts w:cs="Times New Roman"/>
        </w:rPr>
        <w:t>(1740) Barn. Ch. 334 (</w:t>
      </w:r>
      <w:r w:rsidRPr="006E3415">
        <w:rPr>
          <w:rFonts w:cs="Times New Roman"/>
        </w:rPr>
        <w:t xml:space="preserve">see </w:t>
      </w:r>
      <w:r w:rsidRPr="00EF1227">
        <w:rPr>
          <w:rFonts w:cs="Times New Roman"/>
        </w:rPr>
        <w:t>n</w:t>
      </w:r>
      <w:r>
        <w:rPr>
          <w:rFonts w:cs="Times New Roman"/>
        </w:rPr>
        <w:t>n. 246-247</w:t>
      </w:r>
      <w:r w:rsidRPr="006E3415">
        <w:rPr>
          <w:rFonts w:cs="Times New Roman"/>
          <w:color w:val="FF0000"/>
        </w:rPr>
        <w:t xml:space="preserve"> </w:t>
      </w:r>
      <w:r>
        <w:rPr>
          <w:rFonts w:cs="Times New Roman"/>
        </w:rPr>
        <w:t>and accompanying text, below)</w:t>
      </w:r>
      <w:r>
        <w:t xml:space="preserve"> that Lord Nottingham’s construction ‘is not how judges and commentators saw the phrase’.</w:t>
      </w:r>
    </w:p>
  </w:footnote>
  <w:footnote w:id="245">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E.g. </w:t>
      </w:r>
      <w:r w:rsidRPr="00EA4B80">
        <w:rPr>
          <w:rFonts w:cs="Times New Roman"/>
          <w:i/>
        </w:rPr>
        <w:t xml:space="preserve">Kirk v Webb </w:t>
      </w:r>
      <w:r>
        <w:rPr>
          <w:rFonts w:cs="Times New Roman"/>
        </w:rPr>
        <w:t>(1698) Prec. Cha. 84</w:t>
      </w:r>
      <w:r w:rsidRPr="00EA4B80">
        <w:rPr>
          <w:rFonts w:cs="Times New Roman"/>
        </w:rPr>
        <w:t xml:space="preserve">; </w:t>
      </w:r>
      <w:r w:rsidRPr="00EA4B80">
        <w:rPr>
          <w:rFonts w:cs="Times New Roman"/>
          <w:i/>
          <w:iCs/>
        </w:rPr>
        <w:t>Bellasis v Compton</w:t>
      </w:r>
      <w:r w:rsidRPr="00EA4B80">
        <w:rPr>
          <w:rFonts w:cs="Times New Roman"/>
        </w:rPr>
        <w:t xml:space="preserve">  (1693) 2 Vern. 294.</w:t>
      </w:r>
    </w:p>
  </w:footnote>
  <w:footnote w:id="246">
    <w:p w:rsidR="00026F0C" w:rsidRPr="004B3908" w:rsidRDefault="00026F0C" w:rsidP="006321A3">
      <w:pPr>
        <w:pStyle w:val="Footnote"/>
        <w:ind w:left="0" w:firstLine="0"/>
        <w:jc w:val="both"/>
        <w:rPr>
          <w:rFonts w:cs="Times New Roman"/>
        </w:rPr>
      </w:pPr>
      <w:r w:rsidRPr="00EA4B80">
        <w:rPr>
          <w:rStyle w:val="FootnoteReference"/>
          <w:rFonts w:cs="Times New Roman"/>
        </w:rPr>
        <w:footnoteRef/>
      </w:r>
      <w:r w:rsidRPr="00EA4B80">
        <w:rPr>
          <w:rFonts w:cs="Times New Roman"/>
        </w:rPr>
        <w:t xml:space="preserve"> (1740) Barn. Ch. 334.</w:t>
      </w:r>
      <w:r>
        <w:rPr>
          <w:rFonts w:cs="Times New Roman"/>
        </w:rPr>
        <w:t xml:space="preserve"> Note that this case is also reported as </w:t>
      </w:r>
      <w:r>
        <w:rPr>
          <w:rFonts w:cs="Times New Roman"/>
          <w:i/>
        </w:rPr>
        <w:t xml:space="preserve">Lloyd v Spillet </w:t>
      </w:r>
      <w:r>
        <w:rPr>
          <w:rFonts w:cs="Times New Roman"/>
        </w:rPr>
        <w:t>(1740) 2 Atk. 148.</w:t>
      </w:r>
    </w:p>
  </w:footnote>
  <w:footnote w:id="247">
    <w:p w:rsidR="00026F0C" w:rsidRPr="00EA4B80" w:rsidRDefault="00026F0C" w:rsidP="006321A3">
      <w:pPr>
        <w:pStyle w:val="Footnote"/>
        <w:ind w:left="0" w:firstLine="0"/>
        <w:jc w:val="both"/>
        <w:rPr>
          <w:rFonts w:cs="Times New Roman"/>
        </w:rPr>
      </w:pPr>
      <w:r w:rsidRPr="00EA4B80">
        <w:rPr>
          <w:rStyle w:val="FootnoteReference"/>
          <w:rFonts w:cs="Times New Roman"/>
        </w:rPr>
        <w:footnoteRef/>
      </w:r>
      <w:r w:rsidRPr="00EA4B80">
        <w:rPr>
          <w:rFonts w:cs="Times New Roman"/>
          <w:i/>
          <w:iCs/>
        </w:rPr>
        <w:t xml:space="preserve"> Lloyd v Spillit </w:t>
      </w:r>
      <w:r w:rsidRPr="00EA4B80">
        <w:rPr>
          <w:rFonts w:cs="Times New Roman"/>
        </w:rPr>
        <w:t xml:space="preserve">(1740) Barn. Ch. 334 at 388 </w:t>
      </w:r>
      <w:r w:rsidRPr="00EA4B80">
        <w:rPr>
          <w:rFonts w:cs="Times New Roman"/>
          <w:i/>
        </w:rPr>
        <w:t xml:space="preserve">per </w:t>
      </w:r>
      <w:r w:rsidRPr="00EA4B80">
        <w:rPr>
          <w:rFonts w:cs="Times New Roman"/>
        </w:rPr>
        <w:t>Lord Hardwicke.</w:t>
      </w:r>
    </w:p>
  </w:footnote>
  <w:footnote w:id="248">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5B7CF7">
        <w:rPr>
          <w:rFonts w:cs="Times New Roman"/>
        </w:rPr>
        <w:t>Ibid.</w:t>
      </w:r>
      <w:r>
        <w:rPr>
          <w:rFonts w:cs="Times New Roman"/>
          <w:i/>
        </w:rPr>
        <w:t xml:space="preserve">, </w:t>
      </w:r>
      <w:r w:rsidRPr="00EA4B80">
        <w:rPr>
          <w:rFonts w:cs="Times New Roman"/>
        </w:rPr>
        <w:t xml:space="preserve">at 388 </w:t>
      </w:r>
      <w:r w:rsidRPr="00EA4B80">
        <w:rPr>
          <w:rFonts w:cs="Times New Roman"/>
          <w:i/>
        </w:rPr>
        <w:t xml:space="preserve">per </w:t>
      </w:r>
      <w:r w:rsidRPr="00EA4B80">
        <w:rPr>
          <w:rFonts w:cs="Times New Roman"/>
        </w:rPr>
        <w:t>Lord Hardwicke.</w:t>
      </w:r>
    </w:p>
  </w:footnote>
  <w:footnote w:id="249">
    <w:p w:rsidR="00026F0C" w:rsidRPr="00734942" w:rsidRDefault="00026F0C" w:rsidP="006321A3">
      <w:pPr>
        <w:pStyle w:val="FootnoteText"/>
        <w:ind w:left="0" w:firstLine="0"/>
        <w:jc w:val="both"/>
        <w:rPr>
          <w:rFonts w:cs="Times New Roman"/>
          <w:color w:val="FF0000"/>
        </w:rPr>
      </w:pPr>
      <w:r w:rsidRPr="00EA4B80">
        <w:rPr>
          <w:rStyle w:val="FootnoteReference"/>
          <w:rFonts w:cs="Times New Roman"/>
        </w:rPr>
        <w:footnoteRef/>
      </w:r>
      <w:r w:rsidRPr="00EA4B80">
        <w:rPr>
          <w:rFonts w:cs="Times New Roman"/>
        </w:rPr>
        <w:t xml:space="preserve"> The process whereby uses became legal estates is explained in Francis Williams Sanders, </w:t>
      </w:r>
      <w:r w:rsidRPr="00EA4B80">
        <w:rPr>
          <w:rFonts w:cs="Times New Roman"/>
          <w:i/>
        </w:rPr>
        <w:t xml:space="preserve">Essay on Uses and Trusts, and on the Nature and Operation of Conveyances at Common Law, and of Those Which Derive Their Effect from the Statute of Uses, </w:t>
      </w:r>
      <w:r w:rsidRPr="00EA4B80">
        <w:rPr>
          <w:rFonts w:cs="Times New Roman"/>
        </w:rPr>
        <w:t xml:space="preserve">First American from Fourth English Edition, Philadelphia, 1830, 86. See also </w:t>
      </w:r>
      <w:r w:rsidRPr="00A814B9">
        <w:rPr>
          <w:rFonts w:cs="Times New Roman"/>
          <w:color w:val="000000" w:themeColor="text1"/>
        </w:rPr>
        <w:t xml:space="preserve">William Roberts, </w:t>
      </w:r>
      <w:r w:rsidRPr="00A814B9">
        <w:rPr>
          <w:rFonts w:cs="Times New Roman"/>
          <w:i/>
          <w:color w:val="000000" w:themeColor="text1"/>
        </w:rPr>
        <w:t xml:space="preserve">A Treatise on the Statute of Frauds as it Regards Declarations in Trust, Conveyances and Contracts, The Execution of Surrenders, Proof of Wills and Codicils, </w:t>
      </w:r>
      <w:r w:rsidRPr="00A814B9">
        <w:rPr>
          <w:rFonts w:cs="Times New Roman"/>
          <w:color w:val="000000" w:themeColor="text1"/>
        </w:rPr>
        <w:t>New York, 1807, 91-96.</w:t>
      </w:r>
    </w:p>
  </w:footnote>
  <w:footnote w:id="250">
    <w:p w:rsidR="00026F0C" w:rsidRPr="00F27694" w:rsidRDefault="00026F0C" w:rsidP="006321A3">
      <w:pPr>
        <w:pStyle w:val="Standard"/>
        <w:jc w:val="both"/>
        <w:rPr>
          <w:rFonts w:cs="Times New Roman"/>
          <w:sz w:val="20"/>
          <w:szCs w:val="20"/>
        </w:rPr>
      </w:pPr>
      <w:r w:rsidRPr="00F27694">
        <w:rPr>
          <w:rStyle w:val="FootnoteReference"/>
          <w:rFonts w:cs="Times New Roman"/>
          <w:sz w:val="20"/>
          <w:szCs w:val="20"/>
        </w:rPr>
        <w:footnoteRef/>
      </w:r>
      <w:r w:rsidRPr="00F27694">
        <w:rPr>
          <w:rFonts w:cs="Times New Roman"/>
          <w:sz w:val="20"/>
          <w:szCs w:val="20"/>
        </w:rPr>
        <w:t xml:space="preserve"> George Spence, </w:t>
      </w:r>
      <w:r w:rsidRPr="00F27694">
        <w:rPr>
          <w:rFonts w:cs="Times New Roman"/>
          <w:i/>
          <w:sz w:val="20"/>
          <w:szCs w:val="20"/>
        </w:rPr>
        <w:t xml:space="preserve">The Equitable Jurisdiction of the Court of Chancery, </w:t>
      </w:r>
      <w:r w:rsidRPr="00F27694">
        <w:rPr>
          <w:rFonts w:cs="Times New Roman"/>
          <w:sz w:val="20"/>
          <w:szCs w:val="20"/>
        </w:rPr>
        <w:t xml:space="preserve">2 vols., Philadelphia, 1850, vol.1, 512. See also Story, </w:t>
      </w:r>
      <w:r w:rsidRPr="00F27694">
        <w:rPr>
          <w:rFonts w:cs="Times New Roman"/>
          <w:i/>
          <w:sz w:val="20"/>
          <w:szCs w:val="20"/>
        </w:rPr>
        <w:t>Equity Jurisprudence,</w:t>
      </w:r>
      <w:r w:rsidRPr="00F27694">
        <w:rPr>
          <w:rFonts w:cs="Times New Roman"/>
          <w:sz w:val="20"/>
          <w:szCs w:val="20"/>
        </w:rPr>
        <w:t xml:space="preserve"> vol.2, 531.</w:t>
      </w:r>
      <w:r>
        <w:rPr>
          <w:rFonts w:cs="Times New Roman"/>
          <w:sz w:val="20"/>
          <w:szCs w:val="20"/>
        </w:rPr>
        <w:t xml:space="preserve"> Note that this statement was originally made in </w:t>
      </w:r>
      <w:r>
        <w:rPr>
          <w:rFonts w:cs="Times New Roman"/>
          <w:i/>
          <w:sz w:val="20"/>
          <w:szCs w:val="20"/>
        </w:rPr>
        <w:t xml:space="preserve">Dyer v Dyer </w:t>
      </w:r>
      <w:r>
        <w:rPr>
          <w:rFonts w:cs="Times New Roman"/>
          <w:sz w:val="20"/>
          <w:szCs w:val="20"/>
        </w:rPr>
        <w:t xml:space="preserve">(1788) 2 Cox 92 at 93 </w:t>
      </w:r>
      <w:r>
        <w:rPr>
          <w:rFonts w:cs="Times New Roman"/>
          <w:i/>
          <w:sz w:val="20"/>
          <w:szCs w:val="20"/>
        </w:rPr>
        <w:t xml:space="preserve">per </w:t>
      </w:r>
      <w:r>
        <w:rPr>
          <w:rFonts w:cs="Times New Roman"/>
          <w:sz w:val="20"/>
          <w:szCs w:val="20"/>
        </w:rPr>
        <w:t>Eyre CB. The italics were added by Spence.</w:t>
      </w:r>
    </w:p>
  </w:footnote>
  <w:footnote w:id="251">
    <w:p w:rsidR="00026F0C" w:rsidRPr="00EA4B80" w:rsidRDefault="00026F0C" w:rsidP="006321A3">
      <w:pPr>
        <w:pStyle w:val="FootnoteText"/>
        <w:ind w:left="0" w:firstLine="0"/>
        <w:jc w:val="both"/>
        <w:rPr>
          <w:rFonts w:cs="Times New Roman"/>
        </w:rPr>
      </w:pPr>
      <w:r w:rsidRPr="00F27694">
        <w:rPr>
          <w:rStyle w:val="FootnoteReference"/>
          <w:rFonts w:cs="Times New Roman"/>
        </w:rPr>
        <w:footnoteRef/>
      </w:r>
      <w:r w:rsidRPr="00F27694">
        <w:rPr>
          <w:rFonts w:cs="Times New Roman"/>
        </w:rPr>
        <w:t xml:space="preserve"> I would</w:t>
      </w:r>
      <w:r>
        <w:rPr>
          <w:rFonts w:cs="Times New Roman"/>
        </w:rPr>
        <w:t xml:space="preserve"> like to express </w:t>
      </w:r>
      <w:r w:rsidRPr="00F27694">
        <w:rPr>
          <w:rFonts w:cs="Times New Roman"/>
        </w:rPr>
        <w:t xml:space="preserve">my gratitude to one of the anonymous reviewers of an earlier draft of this article for pointing out to me this </w:t>
      </w:r>
      <w:r>
        <w:rPr>
          <w:rFonts w:cs="Times New Roman"/>
        </w:rPr>
        <w:t>possible interpretation of Lord Hardwicke’s view of the meaning of ss7 and 8 of the Statute of Frauds.</w:t>
      </w:r>
    </w:p>
  </w:footnote>
  <w:footnote w:id="252">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John Fonblanque, </w:t>
      </w:r>
      <w:r w:rsidRPr="00EA4B80">
        <w:rPr>
          <w:rFonts w:cs="Times New Roman"/>
          <w:i/>
        </w:rPr>
        <w:t>A Treatise of Equity</w:t>
      </w:r>
      <w:r w:rsidRPr="00EA4B80">
        <w:rPr>
          <w:rFonts w:cs="Times New Roman"/>
        </w:rPr>
        <w:t xml:space="preserve"> </w:t>
      </w:r>
      <w:r w:rsidRPr="00EA4B80">
        <w:rPr>
          <w:rFonts w:cs="Times New Roman"/>
          <w:i/>
        </w:rPr>
        <w:t xml:space="preserve">with the Addition of Marginal References and Notes, </w:t>
      </w:r>
      <w:r w:rsidRPr="00EA4B80">
        <w:rPr>
          <w:rFonts w:cs="Times New Roman"/>
        </w:rPr>
        <w:t xml:space="preserve">2 vols., Dublin, 1793, vol.1, 121; Roberts, </w:t>
      </w:r>
      <w:r w:rsidRPr="00EA4B80">
        <w:rPr>
          <w:rFonts w:cs="Times New Roman"/>
          <w:i/>
        </w:rPr>
        <w:t xml:space="preserve">A Treatise on the Statute of Frauds. </w:t>
      </w:r>
      <w:r w:rsidRPr="00EA4B80">
        <w:rPr>
          <w:rFonts w:cs="Times New Roman"/>
        </w:rPr>
        <w:t xml:space="preserve">96; Thomas Lewin and Frederick Albert Lewin, </w:t>
      </w:r>
      <w:r w:rsidRPr="00EA4B80">
        <w:rPr>
          <w:rFonts w:cs="Times New Roman"/>
          <w:i/>
        </w:rPr>
        <w:t xml:space="preserve">A Practical Treatise on the Law of Trusts by (the Late) Thomas Lewin, Esq. From the Eighth English Edition, </w:t>
      </w:r>
      <w:r w:rsidRPr="00EA4B80">
        <w:rPr>
          <w:rFonts w:cs="Times New Roman"/>
        </w:rPr>
        <w:t>7</w:t>
      </w:r>
      <w:r w:rsidRPr="00EA4B80">
        <w:rPr>
          <w:rFonts w:cs="Times New Roman"/>
          <w:vertAlign w:val="superscript"/>
        </w:rPr>
        <w:t>th</w:t>
      </w:r>
      <w:r w:rsidRPr="00EA4B80">
        <w:rPr>
          <w:rFonts w:cs="Times New Roman"/>
        </w:rPr>
        <w:t xml:space="preserve"> edn., London, 1879, 176-179.</w:t>
      </w:r>
    </w:p>
  </w:footnote>
  <w:footnote w:id="253">
    <w:p w:rsidR="00026F0C" w:rsidRDefault="00026F0C" w:rsidP="006321A3">
      <w:pPr>
        <w:pStyle w:val="FootnoteText"/>
        <w:ind w:left="0" w:firstLine="0"/>
        <w:jc w:val="both"/>
      </w:pPr>
      <w:r>
        <w:rPr>
          <w:rStyle w:val="FootnoteReference"/>
        </w:rPr>
        <w:footnoteRef/>
      </w:r>
      <w:r>
        <w:t xml:space="preserve"> </w:t>
      </w:r>
      <w:r w:rsidRPr="00EA4B80">
        <w:rPr>
          <w:rFonts w:cs="Times New Roman"/>
        </w:rPr>
        <w:t>(1726) Sel. Cas. Ch. 61</w:t>
      </w:r>
      <w:r>
        <w:rPr>
          <w:rFonts w:cs="Times New Roman"/>
        </w:rPr>
        <w:t>.</w:t>
      </w:r>
    </w:p>
  </w:footnote>
  <w:footnote w:id="254">
    <w:p w:rsidR="00026F0C" w:rsidRPr="000B0999" w:rsidRDefault="00026F0C" w:rsidP="006321A3">
      <w:pPr>
        <w:pStyle w:val="FootnoteText"/>
        <w:ind w:left="0" w:firstLine="0"/>
        <w:jc w:val="both"/>
      </w:pPr>
      <w:r>
        <w:rPr>
          <w:rStyle w:val="FootnoteReference"/>
        </w:rPr>
        <w:footnoteRef/>
      </w:r>
      <w:r>
        <w:t xml:space="preserve"> </w:t>
      </w:r>
      <w:r w:rsidRPr="00EA4B80">
        <w:rPr>
          <w:rFonts w:cs="Times New Roman"/>
        </w:rPr>
        <w:t xml:space="preserve">Sanders, </w:t>
      </w:r>
      <w:r w:rsidRPr="00EA4B80">
        <w:rPr>
          <w:rFonts w:cs="Times New Roman"/>
          <w:i/>
        </w:rPr>
        <w:t>Essay on</w:t>
      </w:r>
      <w:r>
        <w:rPr>
          <w:rFonts w:cs="Times New Roman"/>
          <w:i/>
        </w:rPr>
        <w:t xml:space="preserve"> Uses</w:t>
      </w:r>
      <w:r>
        <w:rPr>
          <w:rFonts w:cs="Times New Roman"/>
        </w:rPr>
        <w:t>, 228, n.(c).</w:t>
      </w:r>
    </w:p>
  </w:footnote>
  <w:footnote w:id="255">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John Fonblanque, </w:t>
      </w:r>
      <w:r w:rsidRPr="00EA4B80">
        <w:rPr>
          <w:rFonts w:cs="Times New Roman"/>
          <w:i/>
        </w:rPr>
        <w:t>A Treatise of Equity</w:t>
      </w:r>
      <w:r w:rsidRPr="00EA4B80">
        <w:rPr>
          <w:rFonts w:cs="Times New Roman"/>
        </w:rPr>
        <w:t xml:space="preserve"> </w:t>
      </w:r>
      <w:r w:rsidRPr="00EA4B80">
        <w:rPr>
          <w:rFonts w:cs="Times New Roman"/>
          <w:i/>
        </w:rPr>
        <w:t xml:space="preserve">with the Addition of Marginal References and Notes, </w:t>
      </w:r>
      <w:r w:rsidRPr="00EA4B80">
        <w:rPr>
          <w:rFonts w:cs="Times New Roman"/>
        </w:rPr>
        <w:t xml:space="preserve">2 vols., Dublin, 1793, vol.1, 121. See also Roberts, </w:t>
      </w:r>
      <w:r w:rsidRPr="00EA4B80">
        <w:rPr>
          <w:rFonts w:cs="Times New Roman"/>
          <w:i/>
        </w:rPr>
        <w:t xml:space="preserve">A Treatise on the Statute of Frauds. </w:t>
      </w:r>
      <w:r w:rsidRPr="00EA4B80">
        <w:rPr>
          <w:rFonts w:cs="Times New Roman"/>
        </w:rPr>
        <w:t>96.</w:t>
      </w:r>
    </w:p>
  </w:footnote>
  <w:footnote w:id="256">
    <w:p w:rsidR="00026F0C" w:rsidRPr="003C3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Roberts, </w:t>
      </w:r>
      <w:r w:rsidRPr="00EA4B80">
        <w:rPr>
          <w:rFonts w:cs="Times New Roman"/>
          <w:i/>
        </w:rPr>
        <w:t xml:space="preserve">A Treatise on the Statute of Frauds, </w:t>
      </w:r>
      <w:r w:rsidRPr="00EA4B80">
        <w:rPr>
          <w:rFonts w:cs="Times New Roman"/>
        </w:rPr>
        <w:t>96.</w:t>
      </w:r>
      <w:r>
        <w:rPr>
          <w:rFonts w:cs="Times New Roman"/>
        </w:rPr>
        <w:t xml:space="preserve"> It should be noted at this point that in </w:t>
      </w:r>
      <w:r>
        <w:rPr>
          <w:rFonts w:cs="Times New Roman"/>
          <w:i/>
        </w:rPr>
        <w:t xml:space="preserve">Lloyd v Spillet </w:t>
      </w:r>
      <w:r>
        <w:rPr>
          <w:rFonts w:cs="Times New Roman"/>
        </w:rPr>
        <w:t xml:space="preserve">(1740) 2 Atk. 148 at 151, Lord Hardwicke’s words regarding the relevance of trusts arising for the prevention of fraud to the exception in s8 for trusts resulting by operation of law were reported slightly differently from those in Barnadiston’s report: ‘I do not know in any other instance besides these two where this court have declared resulting trusts by operation of law, unless in cases of fraud, and where transactions have been carried on </w:t>
      </w:r>
      <w:r>
        <w:rPr>
          <w:rFonts w:cs="Times New Roman"/>
          <w:i/>
        </w:rPr>
        <w:t>mala fide</w:t>
      </w:r>
      <w:r>
        <w:rPr>
          <w:rFonts w:cs="Times New Roman"/>
        </w:rPr>
        <w:t xml:space="preserve">’. It seems very unlikely that Fonblanque, Roberts and Lewin did not have access to this report, but they all seemingly preferred the report at </w:t>
      </w:r>
      <w:r w:rsidRPr="00EA4B80">
        <w:rPr>
          <w:rFonts w:cs="Times New Roman"/>
        </w:rPr>
        <w:t>Barn. Ch. 334</w:t>
      </w:r>
      <w:r>
        <w:rPr>
          <w:rFonts w:cs="Times New Roman"/>
        </w:rPr>
        <w:t xml:space="preserve">, for they all took the view that Lord Hardwicke only regarded trusts resulting by operation of law as falling within s8 (see n. 252, above). Roberts apparently did not consider the passage cited in this note to be relevant ‘other words’. This suggests, perhaps, that Atkyns’s report of </w:t>
      </w:r>
      <w:r>
        <w:rPr>
          <w:rFonts w:cs="Times New Roman"/>
          <w:i/>
        </w:rPr>
        <w:t xml:space="preserve">Lloyd </w:t>
      </w:r>
      <w:r>
        <w:rPr>
          <w:rFonts w:cs="Times New Roman"/>
        </w:rPr>
        <w:t xml:space="preserve">was not regarded as being as authoritative or accurate as was Barnadiston’s. Certainly, the view expressed in Atkyns’s report that Lord Hardwicke regarded trusts raised for the prevention of fraud as being trusts resulting by operation of law is incongruous with the views that his Lordship expressed in </w:t>
      </w:r>
      <w:r>
        <w:rPr>
          <w:rFonts w:cs="Times New Roman"/>
          <w:i/>
        </w:rPr>
        <w:t xml:space="preserve">Young v Peachy </w:t>
      </w:r>
      <w:r>
        <w:rPr>
          <w:rFonts w:cs="Times New Roman"/>
        </w:rPr>
        <w:t xml:space="preserve">(1741) 2 Atk. 254 and </w:t>
      </w:r>
      <w:r>
        <w:rPr>
          <w:rFonts w:cs="Times New Roman"/>
          <w:i/>
        </w:rPr>
        <w:t xml:space="preserve">Willis v Willis </w:t>
      </w:r>
      <w:r>
        <w:rPr>
          <w:rFonts w:cs="Times New Roman"/>
        </w:rPr>
        <w:t xml:space="preserve">(1740) 2 Atk. 71. On this basis, Barnadiston’s report has been followed for the purposes of this article. It is also perhaps relevant that, in </w:t>
      </w:r>
      <w:r>
        <w:rPr>
          <w:rFonts w:cs="Times New Roman"/>
          <w:i/>
        </w:rPr>
        <w:t xml:space="preserve">Muckleston v Brown </w:t>
      </w:r>
      <w:r>
        <w:rPr>
          <w:rFonts w:cs="Times New Roman"/>
        </w:rPr>
        <w:t xml:space="preserve">(1801) 6 Ves. Jun  52, doubt was cast by counsel for the plaintiffs, including ‘Mr Fonblanque’, at 61, and by Lord Eldon LC at 67-68 on the accuracy of Atkyns’s report of </w:t>
      </w:r>
      <w:r>
        <w:rPr>
          <w:rFonts w:cs="Times New Roman"/>
          <w:i/>
        </w:rPr>
        <w:t xml:space="preserve">Adlington v Cann </w:t>
      </w:r>
      <w:r>
        <w:rPr>
          <w:rFonts w:cs="Times New Roman"/>
        </w:rPr>
        <w:t xml:space="preserve">(1744) 3 Atk. 141. In light of this, it is may be unfortunate that both </w:t>
      </w:r>
      <w:r>
        <w:rPr>
          <w:rFonts w:cs="Times New Roman"/>
          <w:i/>
        </w:rPr>
        <w:t xml:space="preserve">Willis </w:t>
      </w:r>
      <w:r>
        <w:rPr>
          <w:rFonts w:cs="Times New Roman"/>
        </w:rPr>
        <w:t xml:space="preserve">and </w:t>
      </w:r>
      <w:r>
        <w:rPr>
          <w:rFonts w:cs="Times New Roman"/>
          <w:i/>
        </w:rPr>
        <w:t xml:space="preserve">Young </w:t>
      </w:r>
      <w:r>
        <w:rPr>
          <w:rFonts w:cs="Times New Roman"/>
        </w:rPr>
        <w:t xml:space="preserve">seem only to have been reported by Atkyns. For an account of the reputation of Atkyns’s reports, see J.G. Martin, </w:t>
      </w:r>
      <w:r>
        <w:rPr>
          <w:rFonts w:cs="Times New Roman"/>
          <w:i/>
        </w:rPr>
        <w:t xml:space="preserve">Legal Bibilography or a Thesaurus of American, English, Irish, and Scotch Law Books, </w:t>
      </w:r>
      <w:r>
        <w:rPr>
          <w:rFonts w:cs="Times New Roman"/>
        </w:rPr>
        <w:t>Philadelphia, 1847, 76.</w:t>
      </w:r>
    </w:p>
  </w:footnote>
  <w:footnote w:id="257">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See Lewin, </w:t>
      </w:r>
      <w:r w:rsidRPr="00EA4B80">
        <w:rPr>
          <w:rFonts w:cs="Times New Roman"/>
          <w:i/>
        </w:rPr>
        <w:t>Law of Trusts</w:t>
      </w:r>
      <w:r w:rsidRPr="00EA4B80">
        <w:rPr>
          <w:rFonts w:cs="Times New Roman"/>
        </w:rPr>
        <w:t>, 176-179.</w:t>
      </w:r>
    </w:p>
  </w:footnote>
  <w:footnote w:id="258">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rPr>
        <w:t>177-178.</w:t>
      </w:r>
    </w:p>
  </w:footnote>
  <w:footnote w:id="259">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Ibid.,</w:t>
      </w:r>
      <w:r w:rsidRPr="00EA4B80">
        <w:rPr>
          <w:rFonts w:cs="Times New Roman"/>
        </w:rPr>
        <w:t xml:space="preserve"> 178.</w:t>
      </w:r>
    </w:p>
  </w:footnote>
  <w:footnote w:id="260">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Young v Peachy </w:t>
      </w:r>
      <w:r w:rsidRPr="00EA4B80">
        <w:rPr>
          <w:rFonts w:cs="Times New Roman"/>
        </w:rPr>
        <w:t>(1741) 2 Atk. 254 at 256 per Lord Hardwicke LC.</w:t>
      </w:r>
    </w:p>
  </w:footnote>
  <w:footnote w:id="261">
    <w:p w:rsidR="00026F0C" w:rsidRPr="00EA4B80" w:rsidRDefault="00026F0C" w:rsidP="006321A3">
      <w:pPr>
        <w:pStyle w:val="Footnote"/>
        <w:ind w:left="0" w:firstLine="0"/>
        <w:jc w:val="both"/>
        <w:rPr>
          <w:rFonts w:cs="Times New Roman"/>
        </w:rPr>
      </w:pPr>
      <w:r w:rsidRPr="00EA4B80">
        <w:rPr>
          <w:rStyle w:val="FootnoteReference"/>
          <w:rFonts w:cs="Times New Roman"/>
        </w:rPr>
        <w:footnoteRef/>
      </w:r>
      <w:r w:rsidRPr="00EA4B80">
        <w:rPr>
          <w:rFonts w:cs="Times New Roman"/>
        </w:rPr>
        <w:t xml:space="preserve"> (1740) 2 Atk. 71.</w:t>
      </w:r>
    </w:p>
  </w:footnote>
  <w:footnote w:id="262">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 xml:space="preserve">Ibid., </w:t>
      </w:r>
      <w:r w:rsidRPr="00EA4B80">
        <w:rPr>
          <w:rFonts w:cs="Times New Roman"/>
        </w:rPr>
        <w:t>at 71 per Lord Hardwicke LC.</w:t>
      </w:r>
    </w:p>
  </w:footnote>
  <w:footnote w:id="263">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See, for example, </w:t>
      </w:r>
      <w:r w:rsidRPr="00EA4B80">
        <w:rPr>
          <w:rFonts w:cs="Times New Roman"/>
          <w:i/>
        </w:rPr>
        <w:t xml:space="preserve">Gascoigne v Thwing </w:t>
      </w:r>
      <w:r w:rsidRPr="00EA4B80">
        <w:rPr>
          <w:rFonts w:cs="Times New Roman"/>
        </w:rPr>
        <w:t xml:space="preserve">(1685) 1 Vern. 366; </w:t>
      </w:r>
      <w:r w:rsidRPr="00EA4B80">
        <w:rPr>
          <w:rFonts w:cs="Times New Roman"/>
          <w:i/>
        </w:rPr>
        <w:t xml:space="preserve">Kirk v Webb </w:t>
      </w:r>
      <w:r w:rsidRPr="00EA4B80">
        <w:rPr>
          <w:rFonts w:cs="Times New Roman"/>
        </w:rPr>
        <w:t xml:space="preserve">(1698) Prec. Ch. 84; </w:t>
      </w:r>
      <w:r w:rsidRPr="00EA4B80">
        <w:rPr>
          <w:rFonts w:cs="Times New Roman"/>
          <w:i/>
        </w:rPr>
        <w:t xml:space="preserve">Lloyd v Spillit </w:t>
      </w:r>
      <w:r w:rsidRPr="00EA4B80">
        <w:rPr>
          <w:rFonts w:cs="Times New Roman"/>
        </w:rPr>
        <w:t xml:space="preserve">(1740) Barn. 384; </w:t>
      </w:r>
      <w:r w:rsidRPr="00EA4B80">
        <w:rPr>
          <w:rFonts w:cs="Times New Roman"/>
          <w:i/>
        </w:rPr>
        <w:t xml:space="preserve">Ryall v Ryall </w:t>
      </w:r>
      <w:r w:rsidRPr="00EA4B80">
        <w:rPr>
          <w:rFonts w:cs="Times New Roman"/>
        </w:rPr>
        <w:t xml:space="preserve">(1739) 1 Atk. 59; </w:t>
      </w:r>
      <w:r w:rsidRPr="00EA4B80">
        <w:rPr>
          <w:rFonts w:cs="Times New Roman"/>
          <w:i/>
        </w:rPr>
        <w:t xml:space="preserve">Davies v Otty (No. 2) </w:t>
      </w:r>
      <w:r w:rsidRPr="00EA4B80">
        <w:rPr>
          <w:rFonts w:cs="Times New Roman"/>
        </w:rPr>
        <w:t>(1865) 35 Beav. 208.</w:t>
      </w:r>
    </w:p>
  </w:footnote>
  <w:footnote w:id="264">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See, for example, </w:t>
      </w:r>
      <w:r w:rsidRPr="00EA4B80">
        <w:rPr>
          <w:rFonts w:cs="Times New Roman"/>
          <w:i/>
        </w:rPr>
        <w:t xml:space="preserve">Pye v George </w:t>
      </w:r>
      <w:r w:rsidRPr="00EA4B80">
        <w:rPr>
          <w:rFonts w:cs="Times New Roman"/>
        </w:rPr>
        <w:t xml:space="preserve">(1710) 2 Salk. 680; </w:t>
      </w:r>
      <w:r w:rsidRPr="00EA4B80">
        <w:rPr>
          <w:rFonts w:cs="Times New Roman"/>
          <w:i/>
        </w:rPr>
        <w:t xml:space="preserve">Marlow v Smith </w:t>
      </w:r>
      <w:r w:rsidRPr="00EA4B80">
        <w:rPr>
          <w:rFonts w:cs="Times New Roman"/>
        </w:rPr>
        <w:t xml:space="preserve">(1723) 2 P.W. 198; </w:t>
      </w:r>
      <w:r w:rsidRPr="00EA4B80">
        <w:rPr>
          <w:rFonts w:cs="Times New Roman"/>
          <w:i/>
        </w:rPr>
        <w:t xml:space="preserve">Mackreth v Symmons </w:t>
      </w:r>
      <w:r w:rsidRPr="00EA4B80">
        <w:rPr>
          <w:rFonts w:cs="Times New Roman"/>
        </w:rPr>
        <w:t xml:space="preserve">(1808) 15 Ves. Jun. 239; and </w:t>
      </w:r>
      <w:r w:rsidRPr="00EA4B80">
        <w:rPr>
          <w:rFonts w:cs="Times New Roman"/>
          <w:i/>
        </w:rPr>
        <w:t xml:space="preserve">Saunders v Dehew </w:t>
      </w:r>
      <w:r w:rsidRPr="00EA4B80">
        <w:rPr>
          <w:rFonts w:cs="Times New Roman"/>
        </w:rPr>
        <w:t xml:space="preserve">(1892) 2 Vern. 271. These are cases concerning purchasers with notice. See also </w:t>
      </w:r>
      <w:r w:rsidRPr="00EA4B80">
        <w:rPr>
          <w:rFonts w:cs="Times New Roman"/>
          <w:i/>
        </w:rPr>
        <w:t xml:space="preserve">Keech v Sandford </w:t>
      </w:r>
      <w:r>
        <w:rPr>
          <w:rFonts w:cs="Times New Roman"/>
        </w:rPr>
        <w:t xml:space="preserve">(1726) Sel. Cas. Ch. 61 and </w:t>
      </w:r>
      <w:r w:rsidRPr="00EA4B80">
        <w:rPr>
          <w:rFonts w:cs="Times New Roman"/>
          <w:i/>
        </w:rPr>
        <w:t xml:space="preserve">Palmer v Young </w:t>
      </w:r>
      <w:r w:rsidRPr="00EA4B80">
        <w:rPr>
          <w:rFonts w:cs="Times New Roman"/>
        </w:rPr>
        <w:t>(1864) 1 Vern. 276 for examples of cases of fiduciaries renewing leases in their own name.</w:t>
      </w:r>
    </w:p>
  </w:footnote>
  <w:footnote w:id="265">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(1726) Sel. Cas. Ch. 61</w:t>
      </w:r>
    </w:p>
  </w:footnote>
  <w:footnote w:id="266">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Spence, </w:t>
      </w:r>
      <w:r w:rsidRPr="00EA4B80">
        <w:rPr>
          <w:rFonts w:cs="Times New Roman"/>
          <w:i/>
        </w:rPr>
        <w:t>Equitable Jurisdiction</w:t>
      </w:r>
      <w:r w:rsidRPr="00EA4B80">
        <w:rPr>
          <w:rFonts w:cs="Times New Roman"/>
        </w:rPr>
        <w:t>, vol.1, 510.</w:t>
      </w:r>
    </w:p>
  </w:footnote>
  <w:footnote w:id="267">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Story, </w:t>
      </w:r>
      <w:r w:rsidRPr="00EA4B80">
        <w:rPr>
          <w:rFonts w:cs="Times New Roman"/>
          <w:i/>
        </w:rPr>
        <w:t>Equity Jurisprudence,</w:t>
      </w:r>
      <w:r w:rsidRPr="00EA4B80">
        <w:rPr>
          <w:rFonts w:cs="Times New Roman"/>
        </w:rPr>
        <w:t xml:space="preserve"> vol.2, 604</w:t>
      </w:r>
    </w:p>
  </w:footnote>
  <w:footnote w:id="268">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Ibid.</w:t>
      </w:r>
    </w:p>
  </w:footnote>
  <w:footnote w:id="269">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See Lewin, </w:t>
      </w:r>
      <w:r w:rsidRPr="00EA4B80">
        <w:rPr>
          <w:rFonts w:cs="Times New Roman"/>
          <w:i/>
        </w:rPr>
        <w:t>Law of Trusts</w:t>
      </w:r>
      <w:r w:rsidRPr="00EA4B80">
        <w:rPr>
          <w:rFonts w:cs="Times New Roman"/>
        </w:rPr>
        <w:t>, 130 and 165.</w:t>
      </w:r>
    </w:p>
  </w:footnote>
  <w:footnote w:id="270">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James Hill, </w:t>
      </w:r>
      <w:r w:rsidRPr="00EA4B80">
        <w:rPr>
          <w:rFonts w:cs="Times New Roman"/>
          <w:i/>
        </w:rPr>
        <w:t>A Practical Treatise on the Law Relating to Trustees : Their Powers, Duties, Privileges, and Liabilities</w:t>
      </w:r>
      <w:r w:rsidRPr="00EA4B80">
        <w:rPr>
          <w:rFonts w:cs="Times New Roman"/>
        </w:rPr>
        <w:t>, 1</w:t>
      </w:r>
      <w:r w:rsidRPr="00EA4B80">
        <w:rPr>
          <w:rFonts w:cs="Times New Roman"/>
          <w:vertAlign w:val="superscript"/>
        </w:rPr>
        <w:t>st</w:t>
      </w:r>
      <w:r w:rsidRPr="00EA4B80">
        <w:rPr>
          <w:rFonts w:cs="Times New Roman"/>
        </w:rPr>
        <w:t xml:space="preserve"> edn., London, 1845, 122-123 and 141.</w:t>
      </w:r>
    </w:p>
  </w:footnote>
  <w:footnote w:id="271">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Underhill, </w:t>
      </w:r>
      <w:r w:rsidRPr="00EA4B80">
        <w:rPr>
          <w:rFonts w:cs="Times New Roman"/>
          <w:i/>
        </w:rPr>
        <w:t>A Practical and Concise Manual,</w:t>
      </w:r>
      <w:r w:rsidRPr="00EA4B80">
        <w:rPr>
          <w:rFonts w:cs="Times New Roman"/>
        </w:rPr>
        <w:t>13.</w:t>
      </w:r>
    </w:p>
  </w:footnote>
  <w:footnote w:id="272">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Arthur Underhill, </w:t>
      </w:r>
      <w:r w:rsidRPr="00EA4B80">
        <w:rPr>
          <w:rFonts w:cs="Times New Roman"/>
          <w:i/>
        </w:rPr>
        <w:t>The Law Relating to Trusts and Trustees</w:t>
      </w:r>
      <w:r w:rsidRPr="00EA4B80">
        <w:rPr>
          <w:rFonts w:cs="Times New Roman"/>
        </w:rPr>
        <w:t>, 7</w:t>
      </w:r>
      <w:r w:rsidRPr="00EA4B80">
        <w:rPr>
          <w:rFonts w:cs="Times New Roman"/>
          <w:vertAlign w:val="superscript"/>
        </w:rPr>
        <w:t>th</w:t>
      </w:r>
      <w:r w:rsidRPr="00EA4B80">
        <w:rPr>
          <w:rFonts w:cs="Times New Roman"/>
        </w:rPr>
        <w:t xml:space="preserve"> edn., London, 1912.</w:t>
      </w:r>
    </w:p>
  </w:footnote>
  <w:footnote w:id="273">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color w:val="000000" w:themeColor="text1"/>
          <w:lang w:val="en-US" w:eastAsia="en-GB"/>
        </w:rPr>
        <w:t xml:space="preserve">Gregory S. Alexander, ‘The Transformation of Trusts as a Legal Category, 1800-1914’, 5 </w:t>
      </w:r>
      <w:r w:rsidRPr="00EA4B80">
        <w:rPr>
          <w:rFonts w:cs="Times New Roman"/>
          <w:i/>
          <w:color w:val="000000" w:themeColor="text1"/>
          <w:lang w:val="en-US" w:eastAsia="en-GB"/>
        </w:rPr>
        <w:t>Law and History Review</w:t>
      </w:r>
      <w:r w:rsidRPr="00EA4B80">
        <w:rPr>
          <w:rFonts w:cs="Times New Roman"/>
          <w:color w:val="000000" w:themeColor="text1"/>
          <w:lang w:val="en-US" w:eastAsia="en-GB"/>
        </w:rPr>
        <w:t xml:space="preserve"> (1987), 303, 338. Alexander noted that, prior to 1875, ‘legal scholars paid virtually no attention to [the] topic [of classification].’</w:t>
      </w:r>
      <w:r>
        <w:rPr>
          <w:rFonts w:cs="Times New Roman"/>
          <w:color w:val="000000" w:themeColor="text1"/>
          <w:lang w:val="en-US" w:eastAsia="en-GB"/>
        </w:rPr>
        <w:t xml:space="preserve"> For further examples of the inconsistent labelling by nineteenth century commentators of the different categories of trusts other than express trusts, see Matthews, ‘The words’, 13-14.</w:t>
      </w:r>
    </w:p>
  </w:footnote>
  <w:footnote w:id="274">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As Alexander (</w:t>
      </w:r>
      <w:r w:rsidRPr="00226731">
        <w:rPr>
          <w:rFonts w:cs="Times New Roman"/>
        </w:rPr>
        <w:t>Ibid.,</w:t>
      </w:r>
      <w:r w:rsidRPr="00EA4B80">
        <w:rPr>
          <w:rFonts w:cs="Times New Roman"/>
        </w:rPr>
        <w:t xml:space="preserve"> 342-439) pointed out, the transformation culminated in Costigan’s classification of trusts, according to which trusts such as that in </w:t>
      </w:r>
      <w:r w:rsidRPr="00EA4B80">
        <w:rPr>
          <w:rFonts w:cs="Times New Roman"/>
          <w:i/>
        </w:rPr>
        <w:t xml:space="preserve">Rochefoucauld </w:t>
      </w:r>
      <w:r w:rsidRPr="00EA4B80">
        <w:rPr>
          <w:rFonts w:cs="Times New Roman"/>
        </w:rPr>
        <w:t>fell squarely within the category of constructive trusts. Alexander was referring</w:t>
      </w:r>
      <w:r>
        <w:rPr>
          <w:rFonts w:cs="Times New Roman"/>
        </w:rPr>
        <w:t xml:space="preserve"> to </w:t>
      </w:r>
      <w:r w:rsidRPr="00EA4B80">
        <w:rPr>
          <w:rFonts w:cs="Times New Roman"/>
        </w:rPr>
        <w:t>Cost</w:t>
      </w:r>
      <w:r>
        <w:rPr>
          <w:rFonts w:cs="Times New Roman"/>
        </w:rPr>
        <w:t>igan, ‘Classification of Trusts</w:t>
      </w:r>
      <w:r w:rsidRPr="00EA4B80">
        <w:rPr>
          <w:rFonts w:cs="Times New Roman"/>
        </w:rPr>
        <w:t xml:space="preserve">’, </w:t>
      </w:r>
      <w:r>
        <w:rPr>
          <w:rFonts w:cs="Times New Roman"/>
        </w:rPr>
        <w:t>461, n. 45.</w:t>
      </w:r>
    </w:p>
  </w:footnote>
  <w:footnote w:id="275">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Only Hill dissented on this point. </w:t>
      </w:r>
      <w:r>
        <w:rPr>
          <w:rFonts w:cs="Times New Roman"/>
          <w:color w:val="000000" w:themeColor="text1"/>
        </w:rPr>
        <w:t>See n. 270</w:t>
      </w:r>
      <w:r w:rsidRPr="003342BB">
        <w:rPr>
          <w:rFonts w:cs="Times New Roman"/>
          <w:color w:val="000000" w:themeColor="text1"/>
        </w:rPr>
        <w:t xml:space="preserve"> and </w:t>
      </w:r>
      <w:r>
        <w:rPr>
          <w:rFonts w:cs="Times New Roman"/>
        </w:rPr>
        <w:t>accompanying text, above.</w:t>
      </w:r>
    </w:p>
  </w:footnote>
  <w:footnote w:id="276">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Pr>
          <w:rFonts w:cs="Times New Roman"/>
        </w:rPr>
        <w:t xml:space="preserve"> Although not all </w:t>
      </w:r>
      <w:r w:rsidRPr="00EA4B80">
        <w:rPr>
          <w:rFonts w:cs="Times New Roman"/>
        </w:rPr>
        <w:t>that commentators necessarily s</w:t>
      </w:r>
      <w:r>
        <w:rPr>
          <w:rFonts w:cs="Times New Roman"/>
        </w:rPr>
        <w:t xml:space="preserve">aw it this way- see </w:t>
      </w:r>
      <w:r>
        <w:rPr>
          <w:rFonts w:cs="Times New Roman"/>
          <w:color w:val="000000" w:themeColor="text1"/>
        </w:rPr>
        <w:t>n. 244</w:t>
      </w:r>
      <w:r w:rsidRPr="003342BB">
        <w:rPr>
          <w:rFonts w:cs="Times New Roman"/>
          <w:color w:val="000000" w:themeColor="text1"/>
        </w:rPr>
        <w:t>, above.</w:t>
      </w:r>
    </w:p>
  </w:footnote>
  <w:footnote w:id="277">
    <w:p w:rsidR="00026F0C" w:rsidRPr="00EA4B80" w:rsidRDefault="00026F0C" w:rsidP="006321A3">
      <w:pPr>
        <w:pStyle w:val="Footnote"/>
        <w:ind w:left="0" w:firstLine="0"/>
        <w:jc w:val="both"/>
        <w:rPr>
          <w:rFonts w:cs="Times New Roman"/>
        </w:rPr>
      </w:pPr>
      <w:r w:rsidRPr="00EA4B80">
        <w:rPr>
          <w:rStyle w:val="FootnoteReference"/>
          <w:rFonts w:cs="Times New Roman"/>
        </w:rPr>
        <w:footnoteRef/>
      </w:r>
      <w:r w:rsidRPr="00EA4B80">
        <w:rPr>
          <w:rFonts w:cs="Times New Roman"/>
        </w:rPr>
        <w:t xml:space="preserve"> [1893] 2 Q.B. 390.</w:t>
      </w:r>
    </w:p>
  </w:footnote>
  <w:footnote w:id="278">
    <w:p w:rsidR="00026F0C" w:rsidRPr="00EA4B80" w:rsidRDefault="00026F0C" w:rsidP="006321A3">
      <w:pPr>
        <w:pStyle w:val="FootnoteText"/>
        <w:jc w:val="both"/>
        <w:rPr>
          <w:rFonts w:cs="Times New Roman"/>
        </w:rPr>
      </w:pPr>
      <w:r w:rsidRPr="00EA4B80">
        <w:rPr>
          <w:rStyle w:val="FootnoteReference"/>
          <w:rFonts w:cs="Times New Roman"/>
        </w:rPr>
        <w:footnoteRef/>
      </w:r>
      <w:r w:rsidRPr="00EA4B80">
        <w:rPr>
          <w:rFonts w:cs="Times New Roman"/>
        </w:rPr>
        <w:t xml:space="preserve"> It was held that the trustee </w:t>
      </w:r>
      <w:r w:rsidRPr="00EA4B80">
        <w:rPr>
          <w:rFonts w:cs="Times New Roman"/>
          <w:i/>
        </w:rPr>
        <w:t xml:space="preserve">de son tort </w:t>
      </w:r>
      <w:r w:rsidRPr="00EA4B80">
        <w:rPr>
          <w:rFonts w:cs="Times New Roman"/>
        </w:rPr>
        <w:t>was to be treated as an express trustee.</w:t>
      </w:r>
    </w:p>
  </w:footnote>
  <w:footnote w:id="279">
    <w:p w:rsidR="00026F0C" w:rsidRPr="00EA4B80" w:rsidRDefault="00026F0C" w:rsidP="006321A3">
      <w:pPr>
        <w:pStyle w:val="Footnote"/>
        <w:ind w:left="0" w:firstLine="0"/>
        <w:jc w:val="both"/>
        <w:rPr>
          <w:rFonts w:cs="Times New Roman"/>
        </w:rPr>
      </w:pPr>
      <w:r w:rsidRPr="00EA4B80">
        <w:rPr>
          <w:rStyle w:val="FootnoteReference"/>
          <w:rFonts w:cs="Times New Roman"/>
        </w:rPr>
        <w:footnoteRef/>
      </w:r>
      <w:r w:rsidRPr="00EA4B80">
        <w:rPr>
          <w:rFonts w:cs="Times New Roman"/>
          <w:i/>
          <w:iCs/>
        </w:rPr>
        <w:t xml:space="preserve"> Soar v Ashwell </w:t>
      </w:r>
      <w:r w:rsidRPr="00EA4B80">
        <w:rPr>
          <w:rFonts w:cs="Times New Roman"/>
        </w:rPr>
        <w:t xml:space="preserve">[1893] 2 Q.B. 390 at 396 </w:t>
      </w:r>
      <w:r w:rsidRPr="00EA4B80">
        <w:rPr>
          <w:rFonts w:cs="Times New Roman"/>
          <w:i/>
          <w:iCs/>
        </w:rPr>
        <w:t xml:space="preserve">per </w:t>
      </w:r>
      <w:r w:rsidRPr="00EA4B80">
        <w:rPr>
          <w:rFonts w:cs="Times New Roman"/>
        </w:rPr>
        <w:t>Bowen LJ.</w:t>
      </w:r>
    </w:p>
  </w:footnote>
  <w:footnote w:id="280">
    <w:p w:rsidR="00026F0C" w:rsidRPr="00EA4B80" w:rsidRDefault="00026F0C" w:rsidP="006321A3">
      <w:pPr>
        <w:pStyle w:val="FootnoteText"/>
        <w:jc w:val="both"/>
        <w:rPr>
          <w:rFonts w:cs="Times New Roman"/>
        </w:rPr>
      </w:pPr>
      <w:r w:rsidRPr="00EA4B80">
        <w:rPr>
          <w:rStyle w:val="FootnoteReference"/>
          <w:rFonts w:cs="Times New Roman"/>
        </w:rPr>
        <w:footnoteRef/>
      </w:r>
      <w:r w:rsidRPr="00EA4B80">
        <w:rPr>
          <w:rFonts w:cs="Times New Roman"/>
        </w:rPr>
        <w:t xml:space="preserve"> Ibid., at 393 </w:t>
      </w:r>
      <w:r w:rsidRPr="00EA4B80">
        <w:rPr>
          <w:rFonts w:cs="Times New Roman"/>
          <w:i/>
        </w:rPr>
        <w:t xml:space="preserve">per </w:t>
      </w:r>
      <w:r w:rsidRPr="00EA4B80">
        <w:rPr>
          <w:rFonts w:cs="Times New Roman"/>
        </w:rPr>
        <w:t>Lord Esher MR.</w:t>
      </w:r>
    </w:p>
  </w:footnote>
  <w:footnote w:id="281">
    <w:p w:rsidR="00026F0C" w:rsidRPr="00EA4B80" w:rsidRDefault="00026F0C" w:rsidP="006321A3">
      <w:pPr>
        <w:pStyle w:val="FootnoteText"/>
        <w:jc w:val="both"/>
        <w:rPr>
          <w:rFonts w:cs="Times New Roman"/>
        </w:rPr>
      </w:pPr>
      <w:r w:rsidRPr="00EA4B80">
        <w:rPr>
          <w:rStyle w:val="FootnoteReference"/>
          <w:rFonts w:cs="Times New Roman"/>
        </w:rPr>
        <w:footnoteRef/>
      </w:r>
      <w:r w:rsidRPr="00EA4B80">
        <w:rPr>
          <w:rFonts w:cs="Times New Roman"/>
        </w:rPr>
        <w:t xml:space="preserve"> Ibid., at 396 </w:t>
      </w:r>
      <w:r w:rsidRPr="00EA4B80">
        <w:rPr>
          <w:rFonts w:cs="Times New Roman"/>
          <w:i/>
        </w:rPr>
        <w:t xml:space="preserve">per </w:t>
      </w:r>
      <w:r w:rsidRPr="00EA4B80">
        <w:rPr>
          <w:rFonts w:cs="Times New Roman"/>
        </w:rPr>
        <w:t>Bowen LJ.</w:t>
      </w:r>
    </w:p>
  </w:footnote>
  <w:footnote w:id="282">
    <w:p w:rsidR="00026F0C" w:rsidRPr="00EA4B80" w:rsidRDefault="00026F0C" w:rsidP="006321A3">
      <w:pPr>
        <w:pStyle w:val="Footnote"/>
        <w:ind w:left="0" w:firstLine="0"/>
        <w:jc w:val="both"/>
        <w:rPr>
          <w:rFonts w:cs="Times New Roman"/>
        </w:rPr>
      </w:pPr>
      <w:r w:rsidRPr="00EA4B80">
        <w:rPr>
          <w:rStyle w:val="FootnoteReference"/>
          <w:rFonts w:cs="Times New Roman"/>
        </w:rPr>
        <w:footnoteRef/>
      </w:r>
      <w:r w:rsidRPr="00EA4B80">
        <w:rPr>
          <w:rFonts w:cs="Times New Roman"/>
          <w:iCs/>
        </w:rPr>
        <w:t xml:space="preserve"> Ibid., </w:t>
      </w:r>
      <w:r w:rsidRPr="00EA4B80">
        <w:rPr>
          <w:rFonts w:cs="Times New Roman"/>
        </w:rPr>
        <w:t xml:space="preserve">at 397 </w:t>
      </w:r>
      <w:r w:rsidRPr="00EA4B80">
        <w:rPr>
          <w:rFonts w:cs="Times New Roman"/>
          <w:i/>
          <w:iCs/>
        </w:rPr>
        <w:t xml:space="preserve">per </w:t>
      </w:r>
      <w:r w:rsidRPr="00EA4B80">
        <w:rPr>
          <w:rFonts w:cs="Times New Roman"/>
        </w:rPr>
        <w:t>Bowen LJ.</w:t>
      </w:r>
    </w:p>
  </w:footnote>
  <w:footnote w:id="283">
    <w:p w:rsidR="00026F0C" w:rsidRPr="00EA4B80" w:rsidRDefault="00026F0C" w:rsidP="006321A3">
      <w:pPr>
        <w:pStyle w:val="Footnote"/>
        <w:ind w:left="0" w:firstLine="0"/>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Cs/>
        </w:rPr>
        <w:t xml:space="preserve">Ibid., </w:t>
      </w:r>
      <w:r w:rsidRPr="00EA4B80">
        <w:rPr>
          <w:rFonts w:cs="Times New Roman"/>
        </w:rPr>
        <w:t xml:space="preserve">at 393-394, </w:t>
      </w:r>
      <w:r w:rsidRPr="00EA4B80">
        <w:rPr>
          <w:rFonts w:cs="Times New Roman"/>
          <w:i/>
          <w:iCs/>
        </w:rPr>
        <w:t xml:space="preserve">per </w:t>
      </w:r>
      <w:r w:rsidRPr="00EA4B80">
        <w:rPr>
          <w:rFonts w:cs="Times New Roman"/>
        </w:rPr>
        <w:t>Lord Esher MR.</w:t>
      </w:r>
    </w:p>
  </w:footnote>
  <w:footnote w:id="284">
    <w:p w:rsidR="00026F0C" w:rsidRPr="00EA4B80" w:rsidRDefault="00026F0C" w:rsidP="006321A3">
      <w:pPr>
        <w:pStyle w:val="Footnote"/>
        <w:ind w:left="0" w:firstLine="0"/>
        <w:jc w:val="both"/>
        <w:rPr>
          <w:rFonts w:cs="Times New Roman"/>
        </w:rPr>
      </w:pPr>
      <w:r w:rsidRPr="00EA4B80">
        <w:rPr>
          <w:rStyle w:val="FootnoteReference"/>
          <w:rFonts w:cs="Times New Roman"/>
        </w:rPr>
        <w:footnoteRef/>
      </w:r>
      <w:r w:rsidRPr="00EA4B80">
        <w:rPr>
          <w:rFonts w:cs="Times New Roman"/>
          <w:i/>
          <w:iCs/>
        </w:rPr>
        <w:t xml:space="preserve"> Rochefoucauld v Boustead </w:t>
      </w:r>
      <w:r w:rsidRPr="00EA4B80">
        <w:rPr>
          <w:rFonts w:cs="Times New Roman"/>
        </w:rPr>
        <w:t xml:space="preserve">[1897] 1 Ch. 196 at 208 </w:t>
      </w:r>
      <w:r w:rsidRPr="00EA4B80">
        <w:rPr>
          <w:rFonts w:cs="Times New Roman"/>
          <w:i/>
          <w:iCs/>
        </w:rPr>
        <w:t xml:space="preserve">per </w:t>
      </w:r>
      <w:r w:rsidRPr="00EA4B80">
        <w:rPr>
          <w:rFonts w:cs="Times New Roman"/>
        </w:rPr>
        <w:t>Lindley LJ.</w:t>
      </w:r>
    </w:p>
  </w:footnote>
  <w:footnote w:id="285">
    <w:p w:rsidR="00026F0C" w:rsidRPr="00EA4B80" w:rsidRDefault="00026F0C" w:rsidP="006321A3">
      <w:pPr>
        <w:pStyle w:val="FootnoteText"/>
        <w:jc w:val="both"/>
        <w:rPr>
          <w:rFonts w:cs="Times New Roman"/>
        </w:rPr>
      </w:pPr>
      <w:r w:rsidRPr="00EA4B80">
        <w:rPr>
          <w:rStyle w:val="FootnoteReference"/>
          <w:rFonts w:cs="Times New Roman"/>
        </w:rPr>
        <w:footnoteRef/>
      </w:r>
      <w:r w:rsidRPr="00EA4B80">
        <w:rPr>
          <w:rFonts w:cs="Times New Roman"/>
        </w:rPr>
        <w:t xml:space="preserve"> </w:t>
      </w:r>
      <w:r w:rsidRPr="00EA4B80">
        <w:rPr>
          <w:rFonts w:cs="Times New Roman"/>
          <w:i/>
        </w:rPr>
        <w:t xml:space="preserve">The Times </w:t>
      </w:r>
      <w:r w:rsidRPr="00EA4B80">
        <w:rPr>
          <w:rFonts w:cs="Times New Roman"/>
        </w:rPr>
        <w:t>, 30 Dec. 1896, 10 col b.</w:t>
      </w:r>
    </w:p>
  </w:footnote>
  <w:footnote w:id="286">
    <w:p w:rsidR="00026F0C" w:rsidRPr="00EA4B80" w:rsidRDefault="00026F0C" w:rsidP="006321A3">
      <w:pPr>
        <w:pStyle w:val="FootnoteText"/>
        <w:jc w:val="both"/>
        <w:rPr>
          <w:rFonts w:cs="Times New Roman"/>
        </w:rPr>
      </w:pPr>
      <w:r w:rsidRPr="00EA4B80">
        <w:rPr>
          <w:rStyle w:val="FootnoteReference"/>
          <w:rFonts w:cs="Times New Roman"/>
        </w:rPr>
        <w:footnoteRef/>
      </w:r>
      <w:r w:rsidRPr="00EA4B80">
        <w:rPr>
          <w:rFonts w:cs="Times New Roman"/>
        </w:rPr>
        <w:t xml:space="preserve"> 41 </w:t>
      </w:r>
      <w:r w:rsidRPr="00D71A35">
        <w:rPr>
          <w:rFonts w:cs="Times New Roman"/>
          <w:i/>
        </w:rPr>
        <w:t>Solic. J. &amp; Rep.</w:t>
      </w:r>
      <w:r w:rsidRPr="00EA4B80">
        <w:rPr>
          <w:rFonts w:cs="Times New Roman"/>
        </w:rPr>
        <w:t xml:space="preserve"> 149 (1896-1897), Jan. 2 1897, 150.</w:t>
      </w:r>
    </w:p>
  </w:footnote>
  <w:footnote w:id="287">
    <w:p w:rsidR="00026F0C" w:rsidRPr="00EA4B80" w:rsidRDefault="00026F0C" w:rsidP="006321A3">
      <w:pPr>
        <w:pStyle w:val="FootnoteText"/>
        <w:ind w:left="0" w:firstLine="0"/>
        <w:jc w:val="both"/>
        <w:rPr>
          <w:rFonts w:cs="Times New Roman"/>
          <w:i/>
        </w:rPr>
      </w:pPr>
      <w:r w:rsidRPr="00EA4B80">
        <w:rPr>
          <w:rStyle w:val="FootnoteReference"/>
          <w:rFonts w:cs="Times New Roman"/>
        </w:rPr>
        <w:footnoteRef/>
      </w:r>
      <w:r w:rsidRPr="00EA4B80">
        <w:rPr>
          <w:rFonts w:cs="Times New Roman"/>
        </w:rPr>
        <w:t xml:space="preserve"> </w:t>
      </w:r>
      <w:r w:rsidRPr="00EA4B80">
        <w:rPr>
          <w:rFonts w:cs="Times New Roman"/>
          <w:i/>
        </w:rPr>
        <w:t>De La Rochefoucauld v Boustead, The Times</w:t>
      </w:r>
      <w:r w:rsidRPr="00EA4B80">
        <w:rPr>
          <w:rFonts w:cs="Times New Roman"/>
        </w:rPr>
        <w:t xml:space="preserve"> , 24 June 1896, 17 col.b-c, at b.</w:t>
      </w:r>
    </w:p>
  </w:footnote>
  <w:footnote w:id="288">
    <w:p w:rsidR="00026F0C" w:rsidRPr="00EA4B80" w:rsidRDefault="00026F0C" w:rsidP="006321A3">
      <w:pPr>
        <w:pStyle w:val="FootnoteText"/>
        <w:ind w:left="0" w:firstLine="0"/>
        <w:jc w:val="both"/>
        <w:rPr>
          <w:rFonts w:cs="Times New Roman"/>
        </w:rPr>
      </w:pPr>
      <w:r w:rsidRPr="00EA4B80">
        <w:rPr>
          <w:rStyle w:val="FootnoteReference"/>
          <w:rFonts w:cs="Times New Roman"/>
        </w:rPr>
        <w:footnoteRef/>
      </w:r>
      <w:r w:rsidRPr="00EA4B80">
        <w:rPr>
          <w:rFonts w:cs="Times New Roman"/>
        </w:rPr>
        <w:t xml:space="preserve"> </w:t>
      </w:r>
      <w:r>
        <w:rPr>
          <w:rFonts w:cs="Times New Roman"/>
        </w:rPr>
        <w:t>It should be reiterated here how patriarchal English society was during the period concerned. See above, nn. 20, 45 and 49 and accompanying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0C" w:rsidRDefault="00026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0C" w:rsidRDefault="00026F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0C" w:rsidRDefault="00026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7DE"/>
    <w:multiLevelType w:val="hybridMultilevel"/>
    <w:tmpl w:val="05502B3E"/>
    <w:lvl w:ilvl="0" w:tplc="20EA39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52865"/>
    <w:multiLevelType w:val="hybridMultilevel"/>
    <w:tmpl w:val="6B309E7C"/>
    <w:lvl w:ilvl="0" w:tplc="508674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EC11A6"/>
    <w:multiLevelType w:val="hybridMultilevel"/>
    <w:tmpl w:val="D44270B8"/>
    <w:lvl w:ilvl="0" w:tplc="EABCC8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603B"/>
    <w:multiLevelType w:val="hybridMultilevel"/>
    <w:tmpl w:val="8EF60A10"/>
    <w:lvl w:ilvl="0" w:tplc="213EBF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9053F1"/>
    <w:multiLevelType w:val="hybridMultilevel"/>
    <w:tmpl w:val="212A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328F0"/>
    <w:multiLevelType w:val="hybridMultilevel"/>
    <w:tmpl w:val="8CA88E94"/>
    <w:lvl w:ilvl="0" w:tplc="6D9684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555B92"/>
    <w:multiLevelType w:val="hybridMultilevel"/>
    <w:tmpl w:val="42B23C94"/>
    <w:lvl w:ilvl="0" w:tplc="97DA16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AE6C3A"/>
    <w:multiLevelType w:val="hybridMultilevel"/>
    <w:tmpl w:val="021E7BF8"/>
    <w:lvl w:ilvl="0" w:tplc="A0D488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A354A4"/>
    <w:multiLevelType w:val="hybridMultilevel"/>
    <w:tmpl w:val="2CD8B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DB440B"/>
    <w:multiLevelType w:val="hybridMultilevel"/>
    <w:tmpl w:val="54582D00"/>
    <w:lvl w:ilvl="0" w:tplc="C6D213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1F20FE"/>
    <w:multiLevelType w:val="hybridMultilevel"/>
    <w:tmpl w:val="BC94EA94"/>
    <w:lvl w:ilvl="0" w:tplc="5A387B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F96BA9"/>
    <w:multiLevelType w:val="hybridMultilevel"/>
    <w:tmpl w:val="3E7EC14C"/>
    <w:lvl w:ilvl="0" w:tplc="2F9002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6"/>
  </w:num>
  <w:num w:numId="5">
    <w:abstractNumId w:val="3"/>
  </w:num>
  <w:num w:numId="6">
    <w:abstractNumId w:val="0"/>
  </w:num>
  <w:num w:numId="7">
    <w:abstractNumId w:val="1"/>
  </w:num>
  <w:num w:numId="8">
    <w:abstractNumId w:val="11"/>
  </w:num>
  <w:num w:numId="9">
    <w:abstractNumId w:val="9"/>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4F"/>
    <w:rsid w:val="00003EC5"/>
    <w:rsid w:val="000059D5"/>
    <w:rsid w:val="00013C67"/>
    <w:rsid w:val="00014C6E"/>
    <w:rsid w:val="00016DFB"/>
    <w:rsid w:val="00022284"/>
    <w:rsid w:val="000230BC"/>
    <w:rsid w:val="00026F0C"/>
    <w:rsid w:val="00033AE4"/>
    <w:rsid w:val="000348E7"/>
    <w:rsid w:val="000351DE"/>
    <w:rsid w:val="000411E5"/>
    <w:rsid w:val="00043054"/>
    <w:rsid w:val="00052250"/>
    <w:rsid w:val="000533C8"/>
    <w:rsid w:val="00064473"/>
    <w:rsid w:val="00066AD0"/>
    <w:rsid w:val="0007302B"/>
    <w:rsid w:val="00074099"/>
    <w:rsid w:val="00074A28"/>
    <w:rsid w:val="00077045"/>
    <w:rsid w:val="000867DB"/>
    <w:rsid w:val="00092872"/>
    <w:rsid w:val="00093B39"/>
    <w:rsid w:val="00093DF7"/>
    <w:rsid w:val="00095D8E"/>
    <w:rsid w:val="00096D77"/>
    <w:rsid w:val="00096E50"/>
    <w:rsid w:val="000A43C1"/>
    <w:rsid w:val="000A6EFA"/>
    <w:rsid w:val="000B0999"/>
    <w:rsid w:val="000B30ED"/>
    <w:rsid w:val="000B520B"/>
    <w:rsid w:val="000C3D83"/>
    <w:rsid w:val="000C47E4"/>
    <w:rsid w:val="000C5348"/>
    <w:rsid w:val="000C54CF"/>
    <w:rsid w:val="000C7708"/>
    <w:rsid w:val="000D6B96"/>
    <w:rsid w:val="000E2397"/>
    <w:rsid w:val="000E6639"/>
    <w:rsid w:val="000F385C"/>
    <w:rsid w:val="000F64DA"/>
    <w:rsid w:val="00100A9E"/>
    <w:rsid w:val="00100D4B"/>
    <w:rsid w:val="00105B7A"/>
    <w:rsid w:val="0010676B"/>
    <w:rsid w:val="00125245"/>
    <w:rsid w:val="00127F02"/>
    <w:rsid w:val="00140678"/>
    <w:rsid w:val="00156B83"/>
    <w:rsid w:val="00157179"/>
    <w:rsid w:val="00160C08"/>
    <w:rsid w:val="001645EF"/>
    <w:rsid w:val="00170BE7"/>
    <w:rsid w:val="00171D42"/>
    <w:rsid w:val="00173637"/>
    <w:rsid w:val="00176B93"/>
    <w:rsid w:val="00184CB7"/>
    <w:rsid w:val="00185DE5"/>
    <w:rsid w:val="00190752"/>
    <w:rsid w:val="00194532"/>
    <w:rsid w:val="001A4A24"/>
    <w:rsid w:val="001B0D0B"/>
    <w:rsid w:val="001B215A"/>
    <w:rsid w:val="001B4A8D"/>
    <w:rsid w:val="001C0322"/>
    <w:rsid w:val="001C0E05"/>
    <w:rsid w:val="001C30A5"/>
    <w:rsid w:val="001D16C3"/>
    <w:rsid w:val="001D49C3"/>
    <w:rsid w:val="001D4B38"/>
    <w:rsid w:val="001D5F3F"/>
    <w:rsid w:val="001D6F85"/>
    <w:rsid w:val="001D78C3"/>
    <w:rsid w:val="001E3285"/>
    <w:rsid w:val="001F37D1"/>
    <w:rsid w:val="001F5BCE"/>
    <w:rsid w:val="001F7EF6"/>
    <w:rsid w:val="00200C62"/>
    <w:rsid w:val="00204A23"/>
    <w:rsid w:val="0020593A"/>
    <w:rsid w:val="002074B1"/>
    <w:rsid w:val="002116FF"/>
    <w:rsid w:val="002123F7"/>
    <w:rsid w:val="00212AF6"/>
    <w:rsid w:val="002204D5"/>
    <w:rsid w:val="002244C8"/>
    <w:rsid w:val="0022604F"/>
    <w:rsid w:val="00226731"/>
    <w:rsid w:val="00231862"/>
    <w:rsid w:val="002344E6"/>
    <w:rsid w:val="00240015"/>
    <w:rsid w:val="0024110A"/>
    <w:rsid w:val="00241BF0"/>
    <w:rsid w:val="00244DE4"/>
    <w:rsid w:val="00245B5A"/>
    <w:rsid w:val="00251D6E"/>
    <w:rsid w:val="00252D36"/>
    <w:rsid w:val="00255524"/>
    <w:rsid w:val="00260639"/>
    <w:rsid w:val="00261396"/>
    <w:rsid w:val="00266EA3"/>
    <w:rsid w:val="002670A8"/>
    <w:rsid w:val="00270F94"/>
    <w:rsid w:val="002777AF"/>
    <w:rsid w:val="00282D17"/>
    <w:rsid w:val="002837EE"/>
    <w:rsid w:val="00284C3C"/>
    <w:rsid w:val="00291B87"/>
    <w:rsid w:val="002A7001"/>
    <w:rsid w:val="002A770A"/>
    <w:rsid w:val="002B4138"/>
    <w:rsid w:val="002B417F"/>
    <w:rsid w:val="002C30E3"/>
    <w:rsid w:val="002C3AC4"/>
    <w:rsid w:val="002C7D43"/>
    <w:rsid w:val="002D2836"/>
    <w:rsid w:val="002D568F"/>
    <w:rsid w:val="002D5984"/>
    <w:rsid w:val="002E2EC9"/>
    <w:rsid w:val="002F2BC1"/>
    <w:rsid w:val="002F2EDE"/>
    <w:rsid w:val="002F38EA"/>
    <w:rsid w:val="002F7024"/>
    <w:rsid w:val="00302F0F"/>
    <w:rsid w:val="003043AD"/>
    <w:rsid w:val="00305E52"/>
    <w:rsid w:val="00307FCA"/>
    <w:rsid w:val="00311926"/>
    <w:rsid w:val="0032086A"/>
    <w:rsid w:val="0032393E"/>
    <w:rsid w:val="0033021A"/>
    <w:rsid w:val="0033327F"/>
    <w:rsid w:val="003342BB"/>
    <w:rsid w:val="00337738"/>
    <w:rsid w:val="003423C9"/>
    <w:rsid w:val="0034433D"/>
    <w:rsid w:val="00351C10"/>
    <w:rsid w:val="003520CF"/>
    <w:rsid w:val="00354B27"/>
    <w:rsid w:val="00361684"/>
    <w:rsid w:val="00361A3A"/>
    <w:rsid w:val="003652B8"/>
    <w:rsid w:val="0036624F"/>
    <w:rsid w:val="00371388"/>
    <w:rsid w:val="00373E70"/>
    <w:rsid w:val="003760C1"/>
    <w:rsid w:val="003769A4"/>
    <w:rsid w:val="00377025"/>
    <w:rsid w:val="00380B41"/>
    <w:rsid w:val="00383DE7"/>
    <w:rsid w:val="00384291"/>
    <w:rsid w:val="0038554B"/>
    <w:rsid w:val="00387C98"/>
    <w:rsid w:val="00391A22"/>
    <w:rsid w:val="003920A1"/>
    <w:rsid w:val="00392FE9"/>
    <w:rsid w:val="003A1666"/>
    <w:rsid w:val="003A1D37"/>
    <w:rsid w:val="003A2C8F"/>
    <w:rsid w:val="003A2E83"/>
    <w:rsid w:val="003A6E90"/>
    <w:rsid w:val="003A7906"/>
    <w:rsid w:val="003B4230"/>
    <w:rsid w:val="003C116E"/>
    <w:rsid w:val="003C2D30"/>
    <w:rsid w:val="003C3B80"/>
    <w:rsid w:val="003C7872"/>
    <w:rsid w:val="003D7D5F"/>
    <w:rsid w:val="003E007F"/>
    <w:rsid w:val="003E2BC2"/>
    <w:rsid w:val="003E672F"/>
    <w:rsid w:val="003E7998"/>
    <w:rsid w:val="003F1DB7"/>
    <w:rsid w:val="003F1DC5"/>
    <w:rsid w:val="00411006"/>
    <w:rsid w:val="00416038"/>
    <w:rsid w:val="004234BA"/>
    <w:rsid w:val="00426CDF"/>
    <w:rsid w:val="00430435"/>
    <w:rsid w:val="0043393C"/>
    <w:rsid w:val="004368D5"/>
    <w:rsid w:val="00437C93"/>
    <w:rsid w:val="004517BC"/>
    <w:rsid w:val="00453642"/>
    <w:rsid w:val="00454BE2"/>
    <w:rsid w:val="00460195"/>
    <w:rsid w:val="00463051"/>
    <w:rsid w:val="0046348C"/>
    <w:rsid w:val="00466771"/>
    <w:rsid w:val="00466EEB"/>
    <w:rsid w:val="00473389"/>
    <w:rsid w:val="004766D2"/>
    <w:rsid w:val="00482D4A"/>
    <w:rsid w:val="00485FAA"/>
    <w:rsid w:val="0049148D"/>
    <w:rsid w:val="00493454"/>
    <w:rsid w:val="00496040"/>
    <w:rsid w:val="00497FAA"/>
    <w:rsid w:val="004A0876"/>
    <w:rsid w:val="004A0CFE"/>
    <w:rsid w:val="004A64EA"/>
    <w:rsid w:val="004B3908"/>
    <w:rsid w:val="004C5DDC"/>
    <w:rsid w:val="004D1CA8"/>
    <w:rsid w:val="004D4F8C"/>
    <w:rsid w:val="004E355F"/>
    <w:rsid w:val="004E4608"/>
    <w:rsid w:val="004E5066"/>
    <w:rsid w:val="004F0152"/>
    <w:rsid w:val="004F3683"/>
    <w:rsid w:val="004F446A"/>
    <w:rsid w:val="004F6899"/>
    <w:rsid w:val="005020DE"/>
    <w:rsid w:val="00504F3F"/>
    <w:rsid w:val="0050606C"/>
    <w:rsid w:val="00510825"/>
    <w:rsid w:val="00514249"/>
    <w:rsid w:val="00520A70"/>
    <w:rsid w:val="00523562"/>
    <w:rsid w:val="00525BC3"/>
    <w:rsid w:val="00532DF8"/>
    <w:rsid w:val="005400D6"/>
    <w:rsid w:val="00544AD8"/>
    <w:rsid w:val="00554121"/>
    <w:rsid w:val="00554670"/>
    <w:rsid w:val="00557F5E"/>
    <w:rsid w:val="00566E2F"/>
    <w:rsid w:val="00584219"/>
    <w:rsid w:val="00591208"/>
    <w:rsid w:val="005923F3"/>
    <w:rsid w:val="0059313D"/>
    <w:rsid w:val="00593B64"/>
    <w:rsid w:val="0059453D"/>
    <w:rsid w:val="00597090"/>
    <w:rsid w:val="005A02A2"/>
    <w:rsid w:val="005A0905"/>
    <w:rsid w:val="005A093A"/>
    <w:rsid w:val="005A30E5"/>
    <w:rsid w:val="005A54F7"/>
    <w:rsid w:val="005B6B8E"/>
    <w:rsid w:val="005B7B3C"/>
    <w:rsid w:val="005B7CF7"/>
    <w:rsid w:val="005C2340"/>
    <w:rsid w:val="005C5C49"/>
    <w:rsid w:val="005C7427"/>
    <w:rsid w:val="005D15C2"/>
    <w:rsid w:val="005D312F"/>
    <w:rsid w:val="005D3508"/>
    <w:rsid w:val="005D7D61"/>
    <w:rsid w:val="005D7F98"/>
    <w:rsid w:val="005E3070"/>
    <w:rsid w:val="005E41F6"/>
    <w:rsid w:val="005E55E4"/>
    <w:rsid w:val="005E7F68"/>
    <w:rsid w:val="005F41F3"/>
    <w:rsid w:val="005F48A7"/>
    <w:rsid w:val="005F5341"/>
    <w:rsid w:val="00604F18"/>
    <w:rsid w:val="00610809"/>
    <w:rsid w:val="006121D8"/>
    <w:rsid w:val="00617C0A"/>
    <w:rsid w:val="00617DDE"/>
    <w:rsid w:val="0062666E"/>
    <w:rsid w:val="006321A3"/>
    <w:rsid w:val="006401F7"/>
    <w:rsid w:val="00642887"/>
    <w:rsid w:val="006548D4"/>
    <w:rsid w:val="0065574F"/>
    <w:rsid w:val="00660C58"/>
    <w:rsid w:val="00661D21"/>
    <w:rsid w:val="00662194"/>
    <w:rsid w:val="006630B4"/>
    <w:rsid w:val="006646B8"/>
    <w:rsid w:val="00671C69"/>
    <w:rsid w:val="006735CE"/>
    <w:rsid w:val="006775CB"/>
    <w:rsid w:val="00684BAA"/>
    <w:rsid w:val="00685347"/>
    <w:rsid w:val="006874CF"/>
    <w:rsid w:val="006909F1"/>
    <w:rsid w:val="00693D79"/>
    <w:rsid w:val="006A0F10"/>
    <w:rsid w:val="006A1652"/>
    <w:rsid w:val="006A7A15"/>
    <w:rsid w:val="006B1BAD"/>
    <w:rsid w:val="006B4374"/>
    <w:rsid w:val="006B51EE"/>
    <w:rsid w:val="006B5925"/>
    <w:rsid w:val="006B5E0D"/>
    <w:rsid w:val="006B6FC4"/>
    <w:rsid w:val="006C2729"/>
    <w:rsid w:val="006C28F9"/>
    <w:rsid w:val="006C4C03"/>
    <w:rsid w:val="006C57ED"/>
    <w:rsid w:val="006C65B1"/>
    <w:rsid w:val="006D0033"/>
    <w:rsid w:val="006D0F48"/>
    <w:rsid w:val="006D1342"/>
    <w:rsid w:val="006E11FB"/>
    <w:rsid w:val="006E3415"/>
    <w:rsid w:val="006E5E20"/>
    <w:rsid w:val="006E776E"/>
    <w:rsid w:val="006F4B51"/>
    <w:rsid w:val="00701E8A"/>
    <w:rsid w:val="00703CE5"/>
    <w:rsid w:val="007056B2"/>
    <w:rsid w:val="007067B5"/>
    <w:rsid w:val="00706F18"/>
    <w:rsid w:val="00710107"/>
    <w:rsid w:val="00711F81"/>
    <w:rsid w:val="00712E83"/>
    <w:rsid w:val="00715212"/>
    <w:rsid w:val="00720BCB"/>
    <w:rsid w:val="00723467"/>
    <w:rsid w:val="007306BA"/>
    <w:rsid w:val="00733CD2"/>
    <w:rsid w:val="00734942"/>
    <w:rsid w:val="00735289"/>
    <w:rsid w:val="00737883"/>
    <w:rsid w:val="00746BFF"/>
    <w:rsid w:val="007472CD"/>
    <w:rsid w:val="00754B4E"/>
    <w:rsid w:val="00761D3D"/>
    <w:rsid w:val="0076342C"/>
    <w:rsid w:val="00770D2B"/>
    <w:rsid w:val="00776528"/>
    <w:rsid w:val="00782BFB"/>
    <w:rsid w:val="007837B2"/>
    <w:rsid w:val="00784C49"/>
    <w:rsid w:val="007879DA"/>
    <w:rsid w:val="00790146"/>
    <w:rsid w:val="0079180E"/>
    <w:rsid w:val="007927CB"/>
    <w:rsid w:val="00794013"/>
    <w:rsid w:val="00794759"/>
    <w:rsid w:val="0079530B"/>
    <w:rsid w:val="007A05AA"/>
    <w:rsid w:val="007A2657"/>
    <w:rsid w:val="007A36F3"/>
    <w:rsid w:val="007A75FD"/>
    <w:rsid w:val="007B3290"/>
    <w:rsid w:val="007B362D"/>
    <w:rsid w:val="007B4D13"/>
    <w:rsid w:val="007B5256"/>
    <w:rsid w:val="007B6373"/>
    <w:rsid w:val="007B6558"/>
    <w:rsid w:val="007C38BE"/>
    <w:rsid w:val="007C52FE"/>
    <w:rsid w:val="007C538C"/>
    <w:rsid w:val="007D0A77"/>
    <w:rsid w:val="007D1E38"/>
    <w:rsid w:val="007D1F8B"/>
    <w:rsid w:val="007D68CF"/>
    <w:rsid w:val="007E2D42"/>
    <w:rsid w:val="007E4A3D"/>
    <w:rsid w:val="007E6F3B"/>
    <w:rsid w:val="0080329B"/>
    <w:rsid w:val="008128A3"/>
    <w:rsid w:val="008128DD"/>
    <w:rsid w:val="00813CAF"/>
    <w:rsid w:val="00814AAD"/>
    <w:rsid w:val="00816A01"/>
    <w:rsid w:val="00817641"/>
    <w:rsid w:val="00820446"/>
    <w:rsid w:val="0082060F"/>
    <w:rsid w:val="0082486E"/>
    <w:rsid w:val="00833172"/>
    <w:rsid w:val="00835160"/>
    <w:rsid w:val="00844291"/>
    <w:rsid w:val="008464C8"/>
    <w:rsid w:val="00850F38"/>
    <w:rsid w:val="0085618C"/>
    <w:rsid w:val="00863692"/>
    <w:rsid w:val="00867A6F"/>
    <w:rsid w:val="0087130C"/>
    <w:rsid w:val="008713FE"/>
    <w:rsid w:val="008741DA"/>
    <w:rsid w:val="0087495D"/>
    <w:rsid w:val="008778A0"/>
    <w:rsid w:val="00877C1A"/>
    <w:rsid w:val="008938A8"/>
    <w:rsid w:val="008A1A4C"/>
    <w:rsid w:val="008A1AE5"/>
    <w:rsid w:val="008A7760"/>
    <w:rsid w:val="008B1360"/>
    <w:rsid w:val="008B374A"/>
    <w:rsid w:val="008B7EAA"/>
    <w:rsid w:val="008C1D4B"/>
    <w:rsid w:val="008C2ECF"/>
    <w:rsid w:val="008D1310"/>
    <w:rsid w:val="008D1560"/>
    <w:rsid w:val="008D58ED"/>
    <w:rsid w:val="008D759B"/>
    <w:rsid w:val="008E21B4"/>
    <w:rsid w:val="008E2A96"/>
    <w:rsid w:val="008E40B4"/>
    <w:rsid w:val="008E794A"/>
    <w:rsid w:val="008F3634"/>
    <w:rsid w:val="008F685A"/>
    <w:rsid w:val="008F7C64"/>
    <w:rsid w:val="00900432"/>
    <w:rsid w:val="00901BE1"/>
    <w:rsid w:val="009058CA"/>
    <w:rsid w:val="009062A1"/>
    <w:rsid w:val="0091128D"/>
    <w:rsid w:val="00911976"/>
    <w:rsid w:val="009128A5"/>
    <w:rsid w:val="00913BE6"/>
    <w:rsid w:val="00914368"/>
    <w:rsid w:val="00920C54"/>
    <w:rsid w:val="00921DBC"/>
    <w:rsid w:val="00922618"/>
    <w:rsid w:val="00942845"/>
    <w:rsid w:val="00943C90"/>
    <w:rsid w:val="0094550F"/>
    <w:rsid w:val="0094652F"/>
    <w:rsid w:val="009505C3"/>
    <w:rsid w:val="00952D55"/>
    <w:rsid w:val="00953349"/>
    <w:rsid w:val="00954866"/>
    <w:rsid w:val="00957D2C"/>
    <w:rsid w:val="009624FB"/>
    <w:rsid w:val="0097255B"/>
    <w:rsid w:val="00973F3C"/>
    <w:rsid w:val="009741E5"/>
    <w:rsid w:val="00976D1D"/>
    <w:rsid w:val="00980767"/>
    <w:rsid w:val="00983C5C"/>
    <w:rsid w:val="00985B92"/>
    <w:rsid w:val="0099795C"/>
    <w:rsid w:val="00997C41"/>
    <w:rsid w:val="009A6474"/>
    <w:rsid w:val="009A64F1"/>
    <w:rsid w:val="009B00D1"/>
    <w:rsid w:val="009B0225"/>
    <w:rsid w:val="009B3830"/>
    <w:rsid w:val="009B48D6"/>
    <w:rsid w:val="009B560D"/>
    <w:rsid w:val="009C1716"/>
    <w:rsid w:val="009C4C08"/>
    <w:rsid w:val="009D32F0"/>
    <w:rsid w:val="009D7EBF"/>
    <w:rsid w:val="009E2119"/>
    <w:rsid w:val="009E46E1"/>
    <w:rsid w:val="009E5DDB"/>
    <w:rsid w:val="009F2272"/>
    <w:rsid w:val="009F5D2E"/>
    <w:rsid w:val="00A0221A"/>
    <w:rsid w:val="00A064C7"/>
    <w:rsid w:val="00A100EC"/>
    <w:rsid w:val="00A12D32"/>
    <w:rsid w:val="00A254E4"/>
    <w:rsid w:val="00A30613"/>
    <w:rsid w:val="00A32688"/>
    <w:rsid w:val="00A32721"/>
    <w:rsid w:val="00A34597"/>
    <w:rsid w:val="00A37B71"/>
    <w:rsid w:val="00A4075F"/>
    <w:rsid w:val="00A43277"/>
    <w:rsid w:val="00A44B6E"/>
    <w:rsid w:val="00A45249"/>
    <w:rsid w:val="00A5041D"/>
    <w:rsid w:val="00A56B59"/>
    <w:rsid w:val="00A60221"/>
    <w:rsid w:val="00A62F49"/>
    <w:rsid w:val="00A71D39"/>
    <w:rsid w:val="00A725F8"/>
    <w:rsid w:val="00A8078E"/>
    <w:rsid w:val="00A814B9"/>
    <w:rsid w:val="00A81A79"/>
    <w:rsid w:val="00A83531"/>
    <w:rsid w:val="00A96031"/>
    <w:rsid w:val="00AA0E7C"/>
    <w:rsid w:val="00AA2F78"/>
    <w:rsid w:val="00AA5953"/>
    <w:rsid w:val="00AB1F30"/>
    <w:rsid w:val="00AB67EA"/>
    <w:rsid w:val="00AB7B7B"/>
    <w:rsid w:val="00AC080A"/>
    <w:rsid w:val="00AC2926"/>
    <w:rsid w:val="00AC52B1"/>
    <w:rsid w:val="00AC7DFC"/>
    <w:rsid w:val="00AD0D2D"/>
    <w:rsid w:val="00AD6B13"/>
    <w:rsid w:val="00AE1CC4"/>
    <w:rsid w:val="00AE6270"/>
    <w:rsid w:val="00AE643D"/>
    <w:rsid w:val="00B028A5"/>
    <w:rsid w:val="00B06133"/>
    <w:rsid w:val="00B17354"/>
    <w:rsid w:val="00B17607"/>
    <w:rsid w:val="00B17809"/>
    <w:rsid w:val="00B20F59"/>
    <w:rsid w:val="00B30220"/>
    <w:rsid w:val="00B308EA"/>
    <w:rsid w:val="00B32CEA"/>
    <w:rsid w:val="00B32D58"/>
    <w:rsid w:val="00B344AD"/>
    <w:rsid w:val="00B350F7"/>
    <w:rsid w:val="00B40C87"/>
    <w:rsid w:val="00B41862"/>
    <w:rsid w:val="00B50FDA"/>
    <w:rsid w:val="00B5257B"/>
    <w:rsid w:val="00B54575"/>
    <w:rsid w:val="00B55BD7"/>
    <w:rsid w:val="00B60BC9"/>
    <w:rsid w:val="00B60FFE"/>
    <w:rsid w:val="00B65A64"/>
    <w:rsid w:val="00B7187E"/>
    <w:rsid w:val="00B71C5F"/>
    <w:rsid w:val="00B7397B"/>
    <w:rsid w:val="00B73B69"/>
    <w:rsid w:val="00B77455"/>
    <w:rsid w:val="00B841CD"/>
    <w:rsid w:val="00B86B56"/>
    <w:rsid w:val="00B874AC"/>
    <w:rsid w:val="00B8798C"/>
    <w:rsid w:val="00B90B4D"/>
    <w:rsid w:val="00B93F2C"/>
    <w:rsid w:val="00B96E07"/>
    <w:rsid w:val="00BA23C6"/>
    <w:rsid w:val="00BA28A2"/>
    <w:rsid w:val="00BA593B"/>
    <w:rsid w:val="00BA5F88"/>
    <w:rsid w:val="00BA7FD5"/>
    <w:rsid w:val="00BB0E7E"/>
    <w:rsid w:val="00BB4516"/>
    <w:rsid w:val="00BB7BA0"/>
    <w:rsid w:val="00BC217E"/>
    <w:rsid w:val="00BC3605"/>
    <w:rsid w:val="00BD0479"/>
    <w:rsid w:val="00BD60DA"/>
    <w:rsid w:val="00BE0BDB"/>
    <w:rsid w:val="00BE1FCD"/>
    <w:rsid w:val="00BE3E78"/>
    <w:rsid w:val="00BE579E"/>
    <w:rsid w:val="00BE5B2F"/>
    <w:rsid w:val="00BE7E52"/>
    <w:rsid w:val="00BF0335"/>
    <w:rsid w:val="00BF2E4D"/>
    <w:rsid w:val="00C01203"/>
    <w:rsid w:val="00C0343A"/>
    <w:rsid w:val="00C0721E"/>
    <w:rsid w:val="00C22D52"/>
    <w:rsid w:val="00C27159"/>
    <w:rsid w:val="00C32A24"/>
    <w:rsid w:val="00C33099"/>
    <w:rsid w:val="00C361D5"/>
    <w:rsid w:val="00C37CDB"/>
    <w:rsid w:val="00C45D14"/>
    <w:rsid w:val="00C521F0"/>
    <w:rsid w:val="00C570EA"/>
    <w:rsid w:val="00C6347C"/>
    <w:rsid w:val="00C642C6"/>
    <w:rsid w:val="00C745E7"/>
    <w:rsid w:val="00C753CE"/>
    <w:rsid w:val="00C75D09"/>
    <w:rsid w:val="00C76BB7"/>
    <w:rsid w:val="00C80CE9"/>
    <w:rsid w:val="00C82B5B"/>
    <w:rsid w:val="00C83CF9"/>
    <w:rsid w:val="00C85A2D"/>
    <w:rsid w:val="00C933D7"/>
    <w:rsid w:val="00C96970"/>
    <w:rsid w:val="00CA5C5D"/>
    <w:rsid w:val="00CA624C"/>
    <w:rsid w:val="00CA6E42"/>
    <w:rsid w:val="00CA7142"/>
    <w:rsid w:val="00CB144A"/>
    <w:rsid w:val="00CB1DC3"/>
    <w:rsid w:val="00CB7960"/>
    <w:rsid w:val="00CD01BB"/>
    <w:rsid w:val="00CD0645"/>
    <w:rsid w:val="00CD58CE"/>
    <w:rsid w:val="00CD6159"/>
    <w:rsid w:val="00CE14CC"/>
    <w:rsid w:val="00CE7165"/>
    <w:rsid w:val="00CF2BCF"/>
    <w:rsid w:val="00CF73F7"/>
    <w:rsid w:val="00D00695"/>
    <w:rsid w:val="00D052E4"/>
    <w:rsid w:val="00D1188F"/>
    <w:rsid w:val="00D12C0F"/>
    <w:rsid w:val="00D2286D"/>
    <w:rsid w:val="00D22892"/>
    <w:rsid w:val="00D23688"/>
    <w:rsid w:val="00D24156"/>
    <w:rsid w:val="00D24846"/>
    <w:rsid w:val="00D25FEC"/>
    <w:rsid w:val="00D30089"/>
    <w:rsid w:val="00D30AB3"/>
    <w:rsid w:val="00D31659"/>
    <w:rsid w:val="00D44D57"/>
    <w:rsid w:val="00D4594C"/>
    <w:rsid w:val="00D5020F"/>
    <w:rsid w:val="00D536B4"/>
    <w:rsid w:val="00D57CEB"/>
    <w:rsid w:val="00D6021B"/>
    <w:rsid w:val="00D62F50"/>
    <w:rsid w:val="00D65723"/>
    <w:rsid w:val="00D65E2A"/>
    <w:rsid w:val="00D71A35"/>
    <w:rsid w:val="00D7227C"/>
    <w:rsid w:val="00D7231F"/>
    <w:rsid w:val="00D73C1C"/>
    <w:rsid w:val="00D87590"/>
    <w:rsid w:val="00D87968"/>
    <w:rsid w:val="00D96B67"/>
    <w:rsid w:val="00DA2A3A"/>
    <w:rsid w:val="00DA52C8"/>
    <w:rsid w:val="00DA7D40"/>
    <w:rsid w:val="00DB020F"/>
    <w:rsid w:val="00DC2A23"/>
    <w:rsid w:val="00DC3330"/>
    <w:rsid w:val="00DD6AE1"/>
    <w:rsid w:val="00DD7F87"/>
    <w:rsid w:val="00DE6519"/>
    <w:rsid w:val="00DF05CF"/>
    <w:rsid w:val="00DF1CC7"/>
    <w:rsid w:val="00E025CB"/>
    <w:rsid w:val="00E04D95"/>
    <w:rsid w:val="00E062B8"/>
    <w:rsid w:val="00E0711D"/>
    <w:rsid w:val="00E1069D"/>
    <w:rsid w:val="00E14AD3"/>
    <w:rsid w:val="00E15982"/>
    <w:rsid w:val="00E251D9"/>
    <w:rsid w:val="00E31B45"/>
    <w:rsid w:val="00E45A26"/>
    <w:rsid w:val="00E5773A"/>
    <w:rsid w:val="00E615AA"/>
    <w:rsid w:val="00E67CDC"/>
    <w:rsid w:val="00E84FD2"/>
    <w:rsid w:val="00E90599"/>
    <w:rsid w:val="00E91E80"/>
    <w:rsid w:val="00EA4711"/>
    <w:rsid w:val="00EA4B80"/>
    <w:rsid w:val="00EA6F14"/>
    <w:rsid w:val="00EB01C1"/>
    <w:rsid w:val="00EB26FA"/>
    <w:rsid w:val="00EB52E0"/>
    <w:rsid w:val="00EC1520"/>
    <w:rsid w:val="00EC2C02"/>
    <w:rsid w:val="00EC3C51"/>
    <w:rsid w:val="00ED5376"/>
    <w:rsid w:val="00EE13F7"/>
    <w:rsid w:val="00EE1D2B"/>
    <w:rsid w:val="00EE7C63"/>
    <w:rsid w:val="00EF1227"/>
    <w:rsid w:val="00EF3F1F"/>
    <w:rsid w:val="00EF6034"/>
    <w:rsid w:val="00EF75E6"/>
    <w:rsid w:val="00F008E1"/>
    <w:rsid w:val="00F0115F"/>
    <w:rsid w:val="00F016DB"/>
    <w:rsid w:val="00F02743"/>
    <w:rsid w:val="00F11F9D"/>
    <w:rsid w:val="00F11FB1"/>
    <w:rsid w:val="00F13B7A"/>
    <w:rsid w:val="00F14B08"/>
    <w:rsid w:val="00F14EB8"/>
    <w:rsid w:val="00F24921"/>
    <w:rsid w:val="00F273CA"/>
    <w:rsid w:val="00F27694"/>
    <w:rsid w:val="00F338A2"/>
    <w:rsid w:val="00F34E20"/>
    <w:rsid w:val="00F35E4E"/>
    <w:rsid w:val="00F36C71"/>
    <w:rsid w:val="00F4150D"/>
    <w:rsid w:val="00F50FC0"/>
    <w:rsid w:val="00F56280"/>
    <w:rsid w:val="00F643BF"/>
    <w:rsid w:val="00F70002"/>
    <w:rsid w:val="00F7285F"/>
    <w:rsid w:val="00F7478A"/>
    <w:rsid w:val="00F806D1"/>
    <w:rsid w:val="00F81A82"/>
    <w:rsid w:val="00F85F04"/>
    <w:rsid w:val="00F91D05"/>
    <w:rsid w:val="00F94313"/>
    <w:rsid w:val="00F950C7"/>
    <w:rsid w:val="00FA1C87"/>
    <w:rsid w:val="00FA6766"/>
    <w:rsid w:val="00FB1BE4"/>
    <w:rsid w:val="00FB5CB5"/>
    <w:rsid w:val="00FC488F"/>
    <w:rsid w:val="00FE3325"/>
    <w:rsid w:val="00FE42EB"/>
    <w:rsid w:val="00FE4FCC"/>
    <w:rsid w:val="00FE6888"/>
    <w:rsid w:val="00FE70C8"/>
    <w:rsid w:val="00FF2DE7"/>
    <w:rsid w:val="00FF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6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B83"/>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rsid w:val="00156B83"/>
    <w:pPr>
      <w:suppressLineNumbers/>
      <w:suppressAutoHyphens/>
      <w:autoSpaceDN w:val="0"/>
      <w:spacing w:after="0" w:line="100" w:lineRule="atLeast"/>
      <w:ind w:left="283" w:hanging="283"/>
      <w:textAlignment w:val="baseline"/>
    </w:pPr>
    <w:rPr>
      <w:rFonts w:ascii="Times New Roman" w:eastAsia="SimSun" w:hAnsi="Times New Roman" w:cs="Mangal"/>
      <w:kern w:val="3"/>
      <w:sz w:val="20"/>
      <w:szCs w:val="20"/>
      <w:lang w:eastAsia="hi-IN" w:bidi="hi-IN"/>
    </w:rPr>
  </w:style>
  <w:style w:type="character" w:customStyle="1" w:styleId="FootnoteTextChar">
    <w:name w:val="Footnote Text Char"/>
    <w:basedOn w:val="DefaultParagraphFont"/>
    <w:link w:val="FootnoteText"/>
    <w:rsid w:val="00156B83"/>
    <w:rPr>
      <w:rFonts w:ascii="Times New Roman" w:eastAsia="SimSun" w:hAnsi="Times New Roman" w:cs="Mangal"/>
      <w:kern w:val="3"/>
      <w:sz w:val="20"/>
      <w:szCs w:val="20"/>
      <w:lang w:eastAsia="hi-IN" w:bidi="hi-IN"/>
    </w:rPr>
  </w:style>
  <w:style w:type="character" w:styleId="FootnoteReference">
    <w:name w:val="footnote reference"/>
    <w:basedOn w:val="DefaultParagraphFont"/>
    <w:rsid w:val="00156B83"/>
    <w:rPr>
      <w:position w:val="0"/>
      <w:vertAlign w:val="superscript"/>
    </w:rPr>
  </w:style>
  <w:style w:type="character" w:styleId="Hyperlink">
    <w:name w:val="Hyperlink"/>
    <w:basedOn w:val="DefaultParagraphFont"/>
    <w:uiPriority w:val="99"/>
    <w:unhideWhenUsed/>
    <w:rsid w:val="00156B83"/>
    <w:rPr>
      <w:color w:val="0000FF" w:themeColor="hyperlink"/>
      <w:u w:val="single"/>
    </w:rPr>
  </w:style>
  <w:style w:type="character" w:customStyle="1" w:styleId="mini">
    <w:name w:val="mini"/>
    <w:basedOn w:val="DefaultParagraphFont"/>
    <w:rsid w:val="00156B83"/>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156B83"/>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FootnoteText1">
    <w:name w:val="Footnote Text1"/>
    <w:basedOn w:val="Normal"/>
    <w:rsid w:val="00156B83"/>
    <w:pPr>
      <w:suppressAutoHyphens/>
      <w:spacing w:after="0" w:line="100" w:lineRule="atLeast"/>
    </w:pPr>
    <w:rPr>
      <w:rFonts w:ascii="Times New Roman" w:eastAsia="SimSun" w:hAnsi="Times New Roman" w:cs="Mangal"/>
      <w:kern w:val="1"/>
      <w:sz w:val="20"/>
      <w:szCs w:val="20"/>
      <w:lang w:eastAsia="hi-IN" w:bidi="hi-IN"/>
    </w:rPr>
  </w:style>
  <w:style w:type="character" w:styleId="Emphasis">
    <w:name w:val="Emphasis"/>
    <w:basedOn w:val="DefaultParagraphFont"/>
    <w:uiPriority w:val="20"/>
    <w:qFormat/>
    <w:rsid w:val="00156B83"/>
    <w:rPr>
      <w:i/>
      <w:iCs/>
    </w:rPr>
  </w:style>
  <w:style w:type="paragraph" w:customStyle="1" w:styleId="Standard">
    <w:name w:val="Standard"/>
    <w:rsid w:val="00156B83"/>
    <w:pPr>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Footnote">
    <w:name w:val="Footnote"/>
    <w:basedOn w:val="Standard"/>
    <w:rsid w:val="00156B83"/>
    <w:pPr>
      <w:suppressLineNumbers/>
      <w:ind w:left="283" w:hanging="283"/>
    </w:pPr>
    <w:rPr>
      <w:sz w:val="20"/>
      <w:szCs w:val="20"/>
    </w:rPr>
  </w:style>
  <w:style w:type="character" w:customStyle="1" w:styleId="verdana">
    <w:name w:val="verdana"/>
    <w:basedOn w:val="DefaultParagraphFont"/>
    <w:rsid w:val="00156B83"/>
  </w:style>
  <w:style w:type="paragraph" w:styleId="ListParagraph">
    <w:name w:val="List Paragraph"/>
    <w:basedOn w:val="Normal"/>
    <w:uiPriority w:val="34"/>
    <w:qFormat/>
    <w:rsid w:val="00156B83"/>
    <w:pPr>
      <w:widowControl w:val="0"/>
      <w:suppressAutoHyphens/>
      <w:spacing w:after="0" w:line="240" w:lineRule="auto"/>
      <w:ind w:left="720"/>
      <w:contextualSpacing/>
      <w:textAlignment w:val="baseline"/>
    </w:pPr>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79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59"/>
    <w:rPr>
      <w:rFonts w:ascii="Tahoma" w:hAnsi="Tahoma" w:cs="Tahoma"/>
      <w:sz w:val="16"/>
      <w:szCs w:val="16"/>
    </w:rPr>
  </w:style>
  <w:style w:type="character" w:styleId="FollowedHyperlink">
    <w:name w:val="FollowedHyperlink"/>
    <w:basedOn w:val="DefaultParagraphFont"/>
    <w:uiPriority w:val="99"/>
    <w:semiHidden/>
    <w:unhideWhenUsed/>
    <w:rsid w:val="002670A8"/>
    <w:rPr>
      <w:color w:val="800080" w:themeColor="followedHyperlink"/>
      <w:u w:val="single"/>
    </w:rPr>
  </w:style>
  <w:style w:type="paragraph" w:styleId="Title">
    <w:name w:val="Title"/>
    <w:basedOn w:val="Normal"/>
    <w:next w:val="Normal"/>
    <w:link w:val="TitleChar"/>
    <w:uiPriority w:val="10"/>
    <w:qFormat/>
    <w:rsid w:val="00FE4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FC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B7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BA0"/>
  </w:style>
  <w:style w:type="paragraph" w:styleId="Footer">
    <w:name w:val="footer"/>
    <w:basedOn w:val="Normal"/>
    <w:link w:val="FooterChar"/>
    <w:uiPriority w:val="99"/>
    <w:unhideWhenUsed/>
    <w:rsid w:val="00BB7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BA0"/>
  </w:style>
  <w:style w:type="character" w:styleId="CommentReference">
    <w:name w:val="annotation reference"/>
    <w:basedOn w:val="DefaultParagraphFont"/>
    <w:uiPriority w:val="99"/>
    <w:semiHidden/>
    <w:unhideWhenUsed/>
    <w:rsid w:val="00BE7E52"/>
    <w:rPr>
      <w:sz w:val="16"/>
      <w:szCs w:val="16"/>
    </w:rPr>
  </w:style>
  <w:style w:type="paragraph" w:styleId="CommentText">
    <w:name w:val="annotation text"/>
    <w:basedOn w:val="Normal"/>
    <w:link w:val="CommentTextChar"/>
    <w:uiPriority w:val="99"/>
    <w:semiHidden/>
    <w:unhideWhenUsed/>
    <w:rsid w:val="00BE7E52"/>
    <w:pPr>
      <w:spacing w:line="240" w:lineRule="auto"/>
    </w:pPr>
    <w:rPr>
      <w:sz w:val="20"/>
      <w:szCs w:val="20"/>
    </w:rPr>
  </w:style>
  <w:style w:type="character" w:customStyle="1" w:styleId="CommentTextChar">
    <w:name w:val="Comment Text Char"/>
    <w:basedOn w:val="DefaultParagraphFont"/>
    <w:link w:val="CommentText"/>
    <w:uiPriority w:val="99"/>
    <w:semiHidden/>
    <w:rsid w:val="00BE7E52"/>
    <w:rPr>
      <w:sz w:val="20"/>
      <w:szCs w:val="20"/>
    </w:rPr>
  </w:style>
  <w:style w:type="paragraph" w:styleId="CommentSubject">
    <w:name w:val="annotation subject"/>
    <w:basedOn w:val="CommentText"/>
    <w:next w:val="CommentText"/>
    <w:link w:val="CommentSubjectChar"/>
    <w:uiPriority w:val="99"/>
    <w:semiHidden/>
    <w:unhideWhenUsed/>
    <w:rsid w:val="00BE7E52"/>
    <w:rPr>
      <w:b/>
      <w:bCs/>
    </w:rPr>
  </w:style>
  <w:style w:type="character" w:customStyle="1" w:styleId="CommentSubjectChar">
    <w:name w:val="Comment Subject Char"/>
    <w:basedOn w:val="CommentTextChar"/>
    <w:link w:val="CommentSubject"/>
    <w:uiPriority w:val="99"/>
    <w:semiHidden/>
    <w:rsid w:val="00BE7E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6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B83"/>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rsid w:val="00156B83"/>
    <w:pPr>
      <w:suppressLineNumbers/>
      <w:suppressAutoHyphens/>
      <w:autoSpaceDN w:val="0"/>
      <w:spacing w:after="0" w:line="100" w:lineRule="atLeast"/>
      <w:ind w:left="283" w:hanging="283"/>
      <w:textAlignment w:val="baseline"/>
    </w:pPr>
    <w:rPr>
      <w:rFonts w:ascii="Times New Roman" w:eastAsia="SimSun" w:hAnsi="Times New Roman" w:cs="Mangal"/>
      <w:kern w:val="3"/>
      <w:sz w:val="20"/>
      <w:szCs w:val="20"/>
      <w:lang w:eastAsia="hi-IN" w:bidi="hi-IN"/>
    </w:rPr>
  </w:style>
  <w:style w:type="character" w:customStyle="1" w:styleId="FootnoteTextChar">
    <w:name w:val="Footnote Text Char"/>
    <w:basedOn w:val="DefaultParagraphFont"/>
    <w:link w:val="FootnoteText"/>
    <w:rsid w:val="00156B83"/>
    <w:rPr>
      <w:rFonts w:ascii="Times New Roman" w:eastAsia="SimSun" w:hAnsi="Times New Roman" w:cs="Mangal"/>
      <w:kern w:val="3"/>
      <w:sz w:val="20"/>
      <w:szCs w:val="20"/>
      <w:lang w:eastAsia="hi-IN" w:bidi="hi-IN"/>
    </w:rPr>
  </w:style>
  <w:style w:type="character" w:styleId="FootnoteReference">
    <w:name w:val="footnote reference"/>
    <w:basedOn w:val="DefaultParagraphFont"/>
    <w:rsid w:val="00156B83"/>
    <w:rPr>
      <w:position w:val="0"/>
      <w:vertAlign w:val="superscript"/>
    </w:rPr>
  </w:style>
  <w:style w:type="character" w:styleId="Hyperlink">
    <w:name w:val="Hyperlink"/>
    <w:basedOn w:val="DefaultParagraphFont"/>
    <w:uiPriority w:val="99"/>
    <w:unhideWhenUsed/>
    <w:rsid w:val="00156B83"/>
    <w:rPr>
      <w:color w:val="0000FF" w:themeColor="hyperlink"/>
      <w:u w:val="single"/>
    </w:rPr>
  </w:style>
  <w:style w:type="character" w:customStyle="1" w:styleId="mini">
    <w:name w:val="mini"/>
    <w:basedOn w:val="DefaultParagraphFont"/>
    <w:rsid w:val="00156B83"/>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156B83"/>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FootnoteText1">
    <w:name w:val="Footnote Text1"/>
    <w:basedOn w:val="Normal"/>
    <w:rsid w:val="00156B83"/>
    <w:pPr>
      <w:suppressAutoHyphens/>
      <w:spacing w:after="0" w:line="100" w:lineRule="atLeast"/>
    </w:pPr>
    <w:rPr>
      <w:rFonts w:ascii="Times New Roman" w:eastAsia="SimSun" w:hAnsi="Times New Roman" w:cs="Mangal"/>
      <w:kern w:val="1"/>
      <w:sz w:val="20"/>
      <w:szCs w:val="20"/>
      <w:lang w:eastAsia="hi-IN" w:bidi="hi-IN"/>
    </w:rPr>
  </w:style>
  <w:style w:type="character" w:styleId="Emphasis">
    <w:name w:val="Emphasis"/>
    <w:basedOn w:val="DefaultParagraphFont"/>
    <w:uiPriority w:val="20"/>
    <w:qFormat/>
    <w:rsid w:val="00156B83"/>
    <w:rPr>
      <w:i/>
      <w:iCs/>
    </w:rPr>
  </w:style>
  <w:style w:type="paragraph" w:customStyle="1" w:styleId="Standard">
    <w:name w:val="Standard"/>
    <w:rsid w:val="00156B83"/>
    <w:pPr>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Footnote">
    <w:name w:val="Footnote"/>
    <w:basedOn w:val="Standard"/>
    <w:rsid w:val="00156B83"/>
    <w:pPr>
      <w:suppressLineNumbers/>
      <w:ind w:left="283" w:hanging="283"/>
    </w:pPr>
    <w:rPr>
      <w:sz w:val="20"/>
      <w:szCs w:val="20"/>
    </w:rPr>
  </w:style>
  <w:style w:type="character" w:customStyle="1" w:styleId="verdana">
    <w:name w:val="verdana"/>
    <w:basedOn w:val="DefaultParagraphFont"/>
    <w:rsid w:val="00156B83"/>
  </w:style>
  <w:style w:type="paragraph" w:styleId="ListParagraph">
    <w:name w:val="List Paragraph"/>
    <w:basedOn w:val="Normal"/>
    <w:uiPriority w:val="34"/>
    <w:qFormat/>
    <w:rsid w:val="00156B83"/>
    <w:pPr>
      <w:widowControl w:val="0"/>
      <w:suppressAutoHyphens/>
      <w:spacing w:after="0" w:line="240" w:lineRule="auto"/>
      <w:ind w:left="720"/>
      <w:contextualSpacing/>
      <w:textAlignment w:val="baseline"/>
    </w:pPr>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79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59"/>
    <w:rPr>
      <w:rFonts w:ascii="Tahoma" w:hAnsi="Tahoma" w:cs="Tahoma"/>
      <w:sz w:val="16"/>
      <w:szCs w:val="16"/>
    </w:rPr>
  </w:style>
  <w:style w:type="character" w:styleId="FollowedHyperlink">
    <w:name w:val="FollowedHyperlink"/>
    <w:basedOn w:val="DefaultParagraphFont"/>
    <w:uiPriority w:val="99"/>
    <w:semiHidden/>
    <w:unhideWhenUsed/>
    <w:rsid w:val="002670A8"/>
    <w:rPr>
      <w:color w:val="800080" w:themeColor="followedHyperlink"/>
      <w:u w:val="single"/>
    </w:rPr>
  </w:style>
  <w:style w:type="paragraph" w:styleId="Title">
    <w:name w:val="Title"/>
    <w:basedOn w:val="Normal"/>
    <w:next w:val="Normal"/>
    <w:link w:val="TitleChar"/>
    <w:uiPriority w:val="10"/>
    <w:qFormat/>
    <w:rsid w:val="00FE4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FC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B7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BA0"/>
  </w:style>
  <w:style w:type="paragraph" w:styleId="Footer">
    <w:name w:val="footer"/>
    <w:basedOn w:val="Normal"/>
    <w:link w:val="FooterChar"/>
    <w:uiPriority w:val="99"/>
    <w:unhideWhenUsed/>
    <w:rsid w:val="00BB7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BA0"/>
  </w:style>
  <w:style w:type="character" w:styleId="CommentReference">
    <w:name w:val="annotation reference"/>
    <w:basedOn w:val="DefaultParagraphFont"/>
    <w:uiPriority w:val="99"/>
    <w:semiHidden/>
    <w:unhideWhenUsed/>
    <w:rsid w:val="00BE7E52"/>
    <w:rPr>
      <w:sz w:val="16"/>
      <w:szCs w:val="16"/>
    </w:rPr>
  </w:style>
  <w:style w:type="paragraph" w:styleId="CommentText">
    <w:name w:val="annotation text"/>
    <w:basedOn w:val="Normal"/>
    <w:link w:val="CommentTextChar"/>
    <w:uiPriority w:val="99"/>
    <w:semiHidden/>
    <w:unhideWhenUsed/>
    <w:rsid w:val="00BE7E52"/>
    <w:pPr>
      <w:spacing w:line="240" w:lineRule="auto"/>
    </w:pPr>
    <w:rPr>
      <w:sz w:val="20"/>
      <w:szCs w:val="20"/>
    </w:rPr>
  </w:style>
  <w:style w:type="character" w:customStyle="1" w:styleId="CommentTextChar">
    <w:name w:val="Comment Text Char"/>
    <w:basedOn w:val="DefaultParagraphFont"/>
    <w:link w:val="CommentText"/>
    <w:uiPriority w:val="99"/>
    <w:semiHidden/>
    <w:rsid w:val="00BE7E52"/>
    <w:rPr>
      <w:sz w:val="20"/>
      <w:szCs w:val="20"/>
    </w:rPr>
  </w:style>
  <w:style w:type="paragraph" w:styleId="CommentSubject">
    <w:name w:val="annotation subject"/>
    <w:basedOn w:val="CommentText"/>
    <w:next w:val="CommentText"/>
    <w:link w:val="CommentSubjectChar"/>
    <w:uiPriority w:val="99"/>
    <w:semiHidden/>
    <w:unhideWhenUsed/>
    <w:rsid w:val="00BE7E52"/>
    <w:rPr>
      <w:b/>
      <w:bCs/>
    </w:rPr>
  </w:style>
  <w:style w:type="character" w:customStyle="1" w:styleId="CommentSubjectChar">
    <w:name w:val="Comment Subject Char"/>
    <w:basedOn w:val="CommentTextChar"/>
    <w:link w:val="CommentSubject"/>
    <w:uiPriority w:val="99"/>
    <w:semiHidden/>
    <w:rsid w:val="00BE7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6E65-0BCC-4423-B070-28F5DF5B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14212</Words>
  <Characters>71534</Characters>
  <Application>Microsoft Office Word</Application>
  <DocSecurity>0</DocSecurity>
  <Lines>1153</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2015-01-08T16:06:00Z</dcterms:created>
  <dcterms:modified xsi:type="dcterms:W3CDTF">2015-01-08T17:35:00Z</dcterms:modified>
</cp:coreProperties>
</file>