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9D6D" w14:textId="77777777" w:rsidR="00323DC7" w:rsidRPr="007A3C99" w:rsidRDefault="00323DC7" w:rsidP="00323DC7">
      <w:pPr>
        <w:widowControl w:val="0"/>
        <w:autoSpaceDE w:val="0"/>
        <w:autoSpaceDN w:val="0"/>
        <w:adjustRightInd w:val="0"/>
        <w:spacing w:line="480" w:lineRule="auto"/>
        <w:jc w:val="both"/>
        <w:rPr>
          <w:rFonts w:ascii="Times New Roman" w:hAnsi="Times New Roman" w:cs="Times New Roman"/>
          <w:bCs/>
          <w:lang w:eastAsia="en-GB"/>
        </w:rPr>
      </w:pPr>
    </w:p>
    <w:p w14:paraId="548B39DC" w14:textId="60F366BA" w:rsidR="00323DC7" w:rsidRPr="00E317BB" w:rsidRDefault="00323DC7" w:rsidP="00323DC7">
      <w:pPr>
        <w:widowControl w:val="0"/>
        <w:autoSpaceDE w:val="0"/>
        <w:autoSpaceDN w:val="0"/>
        <w:adjustRightInd w:val="0"/>
        <w:spacing w:line="480" w:lineRule="auto"/>
        <w:jc w:val="both"/>
        <w:rPr>
          <w:rFonts w:ascii="Times New Roman" w:hAnsi="Times New Roman" w:cs="Times New Roman"/>
          <w:b/>
          <w:bCs/>
          <w:lang w:eastAsia="en-GB"/>
        </w:rPr>
      </w:pPr>
      <w:r w:rsidRPr="00E317BB">
        <w:rPr>
          <w:rFonts w:ascii="Times New Roman" w:hAnsi="Times New Roman" w:cs="Times New Roman"/>
          <w:b/>
          <w:bCs/>
          <w:lang w:eastAsia="en-GB"/>
        </w:rPr>
        <w:t>Museums, health and wellbeing research:  co-developing a new observational metho</w:t>
      </w:r>
      <w:r w:rsidR="006464AA" w:rsidRPr="00E317BB">
        <w:rPr>
          <w:rFonts w:ascii="Times New Roman" w:hAnsi="Times New Roman" w:cs="Times New Roman"/>
          <w:b/>
          <w:bCs/>
          <w:lang w:eastAsia="en-GB"/>
        </w:rPr>
        <w:t xml:space="preserve">d for people with dementia in </w:t>
      </w:r>
      <w:r w:rsidRPr="00E317BB">
        <w:rPr>
          <w:rFonts w:ascii="Times New Roman" w:hAnsi="Times New Roman" w:cs="Times New Roman"/>
          <w:b/>
          <w:bCs/>
          <w:lang w:eastAsia="en-GB"/>
        </w:rPr>
        <w:t>hospital context</w:t>
      </w:r>
      <w:r w:rsidR="006464AA" w:rsidRPr="00E317BB">
        <w:rPr>
          <w:rFonts w:ascii="Times New Roman" w:hAnsi="Times New Roman" w:cs="Times New Roman"/>
          <w:b/>
          <w:bCs/>
          <w:lang w:eastAsia="en-GB"/>
        </w:rPr>
        <w:t>s</w:t>
      </w:r>
      <w:r w:rsidRPr="00E317BB">
        <w:rPr>
          <w:rFonts w:ascii="Times New Roman" w:hAnsi="Times New Roman" w:cs="Times New Roman"/>
          <w:b/>
          <w:bCs/>
          <w:lang w:eastAsia="en-GB"/>
        </w:rPr>
        <w:t xml:space="preserve">. </w:t>
      </w:r>
    </w:p>
    <w:p w14:paraId="1B3CF675" w14:textId="77777777" w:rsidR="00E317BB" w:rsidRDefault="00E317BB" w:rsidP="00C0761F">
      <w:pPr>
        <w:widowControl w:val="0"/>
        <w:autoSpaceDE w:val="0"/>
        <w:autoSpaceDN w:val="0"/>
        <w:adjustRightInd w:val="0"/>
        <w:spacing w:line="480" w:lineRule="auto"/>
        <w:jc w:val="both"/>
        <w:rPr>
          <w:rFonts w:ascii="Times New Roman" w:hAnsi="Times New Roman" w:cs="Times New Roman"/>
          <w:b/>
          <w:bCs/>
          <w:lang w:eastAsia="en-GB"/>
        </w:rPr>
      </w:pPr>
    </w:p>
    <w:p w14:paraId="0CC7AD64"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Cs/>
          <w:lang w:eastAsia="en-GB"/>
        </w:rPr>
      </w:pPr>
      <w:r w:rsidRPr="007A3C99">
        <w:rPr>
          <w:rFonts w:ascii="Times New Roman" w:hAnsi="Times New Roman" w:cs="Times New Roman"/>
          <w:b/>
          <w:bCs/>
          <w:lang w:eastAsia="en-GB"/>
        </w:rPr>
        <w:t xml:space="preserve">Abstract: </w:t>
      </w:r>
    </w:p>
    <w:p w14:paraId="6353825C"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Cs/>
          <w:lang w:eastAsia="en-GB"/>
        </w:rPr>
      </w:pPr>
      <w:r w:rsidRPr="007A3C99">
        <w:rPr>
          <w:rFonts w:ascii="Times New Roman" w:hAnsi="Times New Roman" w:cs="Times New Roman"/>
          <w:b/>
          <w:bCs/>
          <w:lang w:eastAsia="en-GB"/>
        </w:rPr>
        <w:t>Aims:</w:t>
      </w:r>
      <w:r w:rsidRPr="007A3C99">
        <w:rPr>
          <w:rFonts w:ascii="Times New Roman" w:hAnsi="Times New Roman" w:cs="Times New Roman"/>
          <w:bCs/>
          <w:lang w:eastAsia="en-GB"/>
        </w:rPr>
        <w:t xml:space="preserve"> The aim of this paper is to present a new observation</w:t>
      </w:r>
      <w:r>
        <w:rPr>
          <w:rFonts w:ascii="Times New Roman" w:hAnsi="Times New Roman" w:cs="Times New Roman"/>
          <w:bCs/>
          <w:lang w:eastAsia="en-GB"/>
        </w:rPr>
        <w:t>al</w:t>
      </w:r>
      <w:r w:rsidRPr="007A3C99">
        <w:rPr>
          <w:rFonts w:ascii="Times New Roman" w:hAnsi="Times New Roman" w:cs="Times New Roman"/>
          <w:bCs/>
          <w:lang w:eastAsia="en-GB"/>
        </w:rPr>
        <w:t xml:space="preserve"> tool for assessing the impacts of </w:t>
      </w:r>
      <w:r>
        <w:rPr>
          <w:rFonts w:ascii="Times New Roman" w:hAnsi="Times New Roman" w:cs="Times New Roman"/>
          <w:bCs/>
          <w:lang w:eastAsia="en-GB"/>
        </w:rPr>
        <w:t>museum object handling</w:t>
      </w:r>
      <w:r w:rsidRPr="007A3C99">
        <w:rPr>
          <w:rFonts w:ascii="Times New Roman" w:hAnsi="Times New Roman" w:cs="Times New Roman"/>
          <w:bCs/>
          <w:lang w:eastAsia="en-GB"/>
        </w:rPr>
        <w:t xml:space="preserve"> for people with </w:t>
      </w:r>
      <w:r>
        <w:rPr>
          <w:rFonts w:ascii="Times New Roman" w:hAnsi="Times New Roman" w:cs="Times New Roman"/>
          <w:bCs/>
          <w:lang w:eastAsia="en-GB"/>
        </w:rPr>
        <w:t>moderate-to-</w:t>
      </w:r>
      <w:r w:rsidRPr="007A3C99">
        <w:rPr>
          <w:rFonts w:ascii="Times New Roman" w:hAnsi="Times New Roman" w:cs="Times New Roman"/>
          <w:bCs/>
          <w:lang w:eastAsia="en-GB"/>
        </w:rPr>
        <w:t xml:space="preserve">severe dementia in hospital settings, focusing on wellbeing, social interaction, level of engagement and agitation. The paper presents </w:t>
      </w:r>
      <w:r>
        <w:rPr>
          <w:rFonts w:ascii="Times New Roman" w:hAnsi="Times New Roman" w:cs="Times New Roman"/>
          <w:bCs/>
          <w:lang w:eastAsia="en-GB"/>
        </w:rPr>
        <w:t>a four-step approach to collaboration towards co-d</w:t>
      </w:r>
      <w:r w:rsidRPr="007A3C99">
        <w:rPr>
          <w:rFonts w:ascii="Times New Roman" w:hAnsi="Times New Roman" w:cs="Times New Roman"/>
          <w:bCs/>
          <w:lang w:eastAsia="en-GB"/>
        </w:rPr>
        <w:t>eveloping the tool, which involved a range of academics, museums professionals, and health and social care partners, and describes the process of integrating multiple perspectives towards common research methodologies.</w:t>
      </w:r>
    </w:p>
    <w:p w14:paraId="15BCE3A2"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Cs/>
          <w:lang w:eastAsia="en-GB"/>
        </w:rPr>
      </w:pPr>
      <w:r w:rsidRPr="007A3C99">
        <w:rPr>
          <w:rFonts w:ascii="Times New Roman" w:hAnsi="Times New Roman" w:cs="Times New Roman"/>
          <w:b/>
          <w:bCs/>
          <w:lang w:eastAsia="en-GB"/>
        </w:rPr>
        <w:t>Methods</w:t>
      </w:r>
      <w:r w:rsidRPr="007A3C99">
        <w:rPr>
          <w:rFonts w:ascii="Times New Roman" w:hAnsi="Times New Roman" w:cs="Times New Roman"/>
          <w:bCs/>
          <w:lang w:eastAsia="en-GB"/>
        </w:rPr>
        <w:t>: The research team organised a series of meetings and workshops with museum and with healthcare partners to identify commonly used assessments and their perspectives on the objectives and possible outcomes of museum</w:t>
      </w:r>
      <w:r>
        <w:rPr>
          <w:rFonts w:ascii="Times New Roman" w:hAnsi="Times New Roman" w:cs="Times New Roman"/>
          <w:bCs/>
          <w:lang w:eastAsia="en-GB"/>
        </w:rPr>
        <w:t xml:space="preserve"> object handling</w:t>
      </w:r>
      <w:r w:rsidRPr="007A3C99">
        <w:rPr>
          <w:rFonts w:ascii="Times New Roman" w:hAnsi="Times New Roman" w:cs="Times New Roman"/>
          <w:bCs/>
          <w:lang w:eastAsia="en-GB"/>
        </w:rPr>
        <w:t xml:space="preserve"> activities. These were integrated with findings from</w:t>
      </w:r>
      <w:r>
        <w:rPr>
          <w:rFonts w:ascii="Times New Roman" w:hAnsi="Times New Roman" w:cs="Times New Roman"/>
          <w:bCs/>
          <w:lang w:eastAsia="en-GB"/>
        </w:rPr>
        <w:t xml:space="preserve"> a</w:t>
      </w:r>
      <w:r w:rsidRPr="007A3C99">
        <w:rPr>
          <w:rFonts w:ascii="Times New Roman" w:hAnsi="Times New Roman" w:cs="Times New Roman"/>
          <w:bCs/>
          <w:lang w:eastAsia="en-GB"/>
        </w:rPr>
        <w:t xml:space="preserve"> review of current conceptualisation</w:t>
      </w:r>
      <w:r>
        <w:rPr>
          <w:rFonts w:ascii="Times New Roman" w:hAnsi="Times New Roman" w:cs="Times New Roman"/>
          <w:bCs/>
          <w:lang w:eastAsia="en-GB"/>
        </w:rPr>
        <w:t>s</w:t>
      </w:r>
      <w:r w:rsidRPr="007A3C99">
        <w:rPr>
          <w:rFonts w:ascii="Times New Roman" w:hAnsi="Times New Roman" w:cs="Times New Roman"/>
          <w:bCs/>
          <w:lang w:eastAsia="en-GB"/>
        </w:rPr>
        <w:t xml:space="preserve"> of engagement in people with dementia to produce a fit-for-purpose video evaluation method of the health and wellbeing impacts of the museum object handling programmes. </w:t>
      </w:r>
    </w:p>
    <w:p w14:paraId="0A757A06" w14:textId="77777777" w:rsidR="00E317BB" w:rsidRPr="007A3C99" w:rsidRDefault="00E317BB" w:rsidP="00E317BB">
      <w:pPr>
        <w:spacing w:line="480" w:lineRule="auto"/>
        <w:jc w:val="both"/>
        <w:rPr>
          <w:rFonts w:ascii="Times New Roman" w:hAnsi="Times New Roman" w:cs="Times New Roman"/>
        </w:rPr>
      </w:pPr>
      <w:r w:rsidRPr="007A3C99">
        <w:rPr>
          <w:rFonts w:ascii="Times New Roman" w:hAnsi="Times New Roman" w:cs="Times New Roman"/>
          <w:b/>
        </w:rPr>
        <w:t>Results</w:t>
      </w:r>
      <w:r w:rsidRPr="007A3C99">
        <w:rPr>
          <w:rFonts w:ascii="Times New Roman" w:hAnsi="Times New Roman" w:cs="Times New Roman"/>
        </w:rPr>
        <w:t xml:space="preserve">: The paper </w:t>
      </w:r>
      <w:r>
        <w:rPr>
          <w:rFonts w:ascii="Times New Roman" w:hAnsi="Times New Roman" w:cs="Times New Roman"/>
        </w:rPr>
        <w:t>presents</w:t>
      </w:r>
      <w:r w:rsidRPr="007A3C99">
        <w:rPr>
          <w:rFonts w:ascii="Times New Roman" w:hAnsi="Times New Roman" w:cs="Times New Roman"/>
        </w:rPr>
        <w:t xml:space="preserve"> </w:t>
      </w:r>
      <w:r>
        <w:rPr>
          <w:rFonts w:ascii="Times New Roman" w:hAnsi="Times New Roman" w:cs="Times New Roman"/>
        </w:rPr>
        <w:t xml:space="preserve">the Museum Engagement Observation Tool for use in hospital settings for people with moderate-to-severe dementia. </w:t>
      </w:r>
    </w:p>
    <w:p w14:paraId="57D6E62F"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Cs/>
          <w:lang w:eastAsia="en-GB"/>
        </w:rPr>
      </w:pPr>
      <w:r w:rsidRPr="007A3C99">
        <w:rPr>
          <w:rFonts w:ascii="Times New Roman" w:hAnsi="Times New Roman" w:cs="Times New Roman"/>
          <w:b/>
          <w:bCs/>
          <w:lang w:eastAsia="en-GB"/>
        </w:rPr>
        <w:t>Conclusion:</w:t>
      </w:r>
      <w:r w:rsidRPr="007A3C99">
        <w:rPr>
          <w:rFonts w:ascii="Times New Roman" w:hAnsi="Times New Roman" w:cs="Times New Roman"/>
          <w:bCs/>
          <w:lang w:eastAsia="en-GB"/>
        </w:rPr>
        <w:t xml:space="preserve"> The paper suggests that collaborative approaches can inform the development of future methods for creative health research and evaluation initiatives and to support this, it outlines the process of development of a new observation</w:t>
      </w:r>
      <w:r>
        <w:rPr>
          <w:rFonts w:ascii="Times New Roman" w:hAnsi="Times New Roman" w:cs="Times New Roman"/>
          <w:bCs/>
          <w:lang w:eastAsia="en-GB"/>
        </w:rPr>
        <w:t>al</w:t>
      </w:r>
      <w:r w:rsidRPr="007A3C99">
        <w:rPr>
          <w:rFonts w:ascii="Times New Roman" w:hAnsi="Times New Roman" w:cs="Times New Roman"/>
          <w:bCs/>
          <w:lang w:eastAsia="en-GB"/>
        </w:rPr>
        <w:t xml:space="preserve"> tool for people with dementia. </w:t>
      </w:r>
    </w:p>
    <w:p w14:paraId="6A498724"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
          <w:bCs/>
          <w:lang w:eastAsia="en-GB"/>
        </w:rPr>
      </w:pPr>
      <w:r w:rsidRPr="007A3C99">
        <w:rPr>
          <w:rFonts w:ascii="Times New Roman" w:hAnsi="Times New Roman" w:cs="Times New Roman"/>
          <w:b/>
          <w:bCs/>
          <w:lang w:eastAsia="en-GB"/>
        </w:rPr>
        <w:t xml:space="preserve">  </w:t>
      </w:r>
    </w:p>
    <w:p w14:paraId="21D269C4" w14:textId="77777777" w:rsidR="00E317BB" w:rsidRPr="007A3C99" w:rsidRDefault="00E317BB" w:rsidP="00E317BB">
      <w:pPr>
        <w:widowControl w:val="0"/>
        <w:autoSpaceDE w:val="0"/>
        <w:autoSpaceDN w:val="0"/>
        <w:adjustRightInd w:val="0"/>
        <w:spacing w:line="480" w:lineRule="auto"/>
        <w:jc w:val="both"/>
        <w:rPr>
          <w:rFonts w:ascii="Times New Roman" w:hAnsi="Times New Roman" w:cs="Times New Roman"/>
          <w:bCs/>
          <w:lang w:eastAsia="en-GB"/>
        </w:rPr>
      </w:pPr>
      <w:r w:rsidRPr="007A3C99">
        <w:rPr>
          <w:rFonts w:ascii="Times New Roman" w:hAnsi="Times New Roman" w:cs="Times New Roman"/>
          <w:b/>
          <w:bCs/>
          <w:lang w:eastAsia="en-GB"/>
        </w:rPr>
        <w:t xml:space="preserve">Key words: </w:t>
      </w:r>
      <w:r w:rsidRPr="007A3C99">
        <w:rPr>
          <w:rFonts w:ascii="Times New Roman" w:hAnsi="Times New Roman" w:cs="Times New Roman"/>
          <w:bCs/>
          <w:lang w:eastAsia="en-GB"/>
        </w:rPr>
        <w:t xml:space="preserve">wellbeing, dementia, museums and arts for health, collaboration, mixed-methods. </w:t>
      </w:r>
    </w:p>
    <w:p w14:paraId="20303715" w14:textId="77777777" w:rsidR="00E317BB" w:rsidRDefault="00E317BB" w:rsidP="00E317BB"/>
    <w:p w14:paraId="6D0CF501" w14:textId="7D397FA0" w:rsidR="00323DC7" w:rsidRPr="00E317BB" w:rsidRDefault="00323DC7" w:rsidP="00C0761F">
      <w:pPr>
        <w:widowControl w:val="0"/>
        <w:autoSpaceDE w:val="0"/>
        <w:autoSpaceDN w:val="0"/>
        <w:adjustRightInd w:val="0"/>
        <w:spacing w:line="480" w:lineRule="auto"/>
        <w:jc w:val="both"/>
        <w:rPr>
          <w:rFonts w:ascii="Times New Roman" w:hAnsi="Times New Roman" w:cs="Times New Roman"/>
          <w:bCs/>
          <w:lang w:eastAsia="en-GB"/>
        </w:rPr>
      </w:pPr>
      <w:r w:rsidRPr="00E317BB">
        <w:rPr>
          <w:rFonts w:ascii="Times New Roman" w:hAnsi="Times New Roman" w:cs="Times New Roman"/>
          <w:b/>
          <w:bCs/>
          <w:lang w:eastAsia="en-GB"/>
        </w:rPr>
        <w:t xml:space="preserve"> </w:t>
      </w:r>
    </w:p>
    <w:p w14:paraId="2520240C" w14:textId="77777777" w:rsidR="00323DC7" w:rsidRPr="00E317BB" w:rsidRDefault="00323DC7" w:rsidP="00C0761F">
      <w:pPr>
        <w:widowControl w:val="0"/>
        <w:autoSpaceDE w:val="0"/>
        <w:autoSpaceDN w:val="0"/>
        <w:adjustRightInd w:val="0"/>
        <w:spacing w:line="480" w:lineRule="auto"/>
        <w:jc w:val="both"/>
        <w:rPr>
          <w:rFonts w:ascii="Times New Roman" w:hAnsi="Times New Roman" w:cs="Times New Roman"/>
          <w:bCs/>
          <w:lang w:eastAsia="en-GB"/>
        </w:rPr>
      </w:pPr>
    </w:p>
    <w:p w14:paraId="2B1D6C7B" w14:textId="77777777" w:rsidR="00C32B83" w:rsidRPr="00E317BB" w:rsidRDefault="006B0A91" w:rsidP="007A3C99">
      <w:pPr>
        <w:spacing w:line="480" w:lineRule="auto"/>
        <w:jc w:val="both"/>
        <w:rPr>
          <w:rFonts w:ascii="Times New Roman" w:hAnsi="Times New Roman" w:cs="Times New Roman"/>
          <w:b/>
        </w:rPr>
      </w:pPr>
      <w:r w:rsidRPr="00E317BB">
        <w:rPr>
          <w:rFonts w:ascii="Times New Roman" w:hAnsi="Times New Roman" w:cs="Times New Roman"/>
          <w:b/>
        </w:rPr>
        <w:t xml:space="preserve">Introduction </w:t>
      </w:r>
    </w:p>
    <w:p w14:paraId="3703B14F" w14:textId="4C9320F7" w:rsidR="009570E8" w:rsidRPr="00E317BB" w:rsidRDefault="009570E8" w:rsidP="007A3C99">
      <w:pPr>
        <w:spacing w:line="480" w:lineRule="auto"/>
        <w:jc w:val="both"/>
        <w:rPr>
          <w:rFonts w:ascii="Times New Roman" w:hAnsi="Times New Roman" w:cs="Times New Roman"/>
          <w:b/>
        </w:rPr>
      </w:pPr>
    </w:p>
    <w:p w14:paraId="22BA1DF1" w14:textId="59D804E7" w:rsidR="005115A4" w:rsidRPr="00E317BB" w:rsidRDefault="00E70239" w:rsidP="007A3C99">
      <w:pPr>
        <w:spacing w:line="480" w:lineRule="auto"/>
        <w:jc w:val="both"/>
        <w:rPr>
          <w:rFonts w:ascii="Times New Roman" w:hAnsi="Times New Roman" w:cs="Times New Roman"/>
        </w:rPr>
      </w:pPr>
      <w:r w:rsidRPr="00E317BB">
        <w:rPr>
          <w:rFonts w:ascii="Times New Roman" w:hAnsi="Times New Roman" w:cs="Times New Roman"/>
        </w:rPr>
        <w:t xml:space="preserve">The </w:t>
      </w:r>
      <w:r w:rsidR="00DF1BBA" w:rsidRPr="00E317BB">
        <w:rPr>
          <w:rFonts w:ascii="Times New Roman" w:hAnsi="Times New Roman" w:cs="Times New Roman"/>
        </w:rPr>
        <w:t>area</w:t>
      </w:r>
      <w:r w:rsidR="00C24630" w:rsidRPr="00E317BB">
        <w:rPr>
          <w:rFonts w:ascii="Times New Roman" w:hAnsi="Times New Roman" w:cs="Times New Roman"/>
        </w:rPr>
        <w:t xml:space="preserve"> of arts in health is currently </w:t>
      </w:r>
      <w:r w:rsidRPr="00E317BB">
        <w:rPr>
          <w:rFonts w:ascii="Times New Roman" w:hAnsi="Times New Roman" w:cs="Times New Roman"/>
        </w:rPr>
        <w:t xml:space="preserve">underdoing </w:t>
      </w:r>
      <w:r w:rsidR="00C24630" w:rsidRPr="00E317BB">
        <w:rPr>
          <w:rFonts w:ascii="Times New Roman" w:hAnsi="Times New Roman" w:cs="Times New Roman"/>
        </w:rPr>
        <w:t>growing</w:t>
      </w:r>
      <w:r w:rsidR="00DF1BBA" w:rsidRPr="00E317BB">
        <w:rPr>
          <w:rFonts w:ascii="Times New Roman" w:hAnsi="Times New Roman" w:cs="Times New Roman"/>
        </w:rPr>
        <w:t xml:space="preserve"> activity</w:t>
      </w:r>
      <w:r w:rsidR="001E28DA" w:rsidRPr="00E317BB">
        <w:rPr>
          <w:rFonts w:ascii="Times New Roman" w:hAnsi="Times New Roman" w:cs="Times New Roman"/>
          <w:vertAlign w:val="superscript"/>
          <w:lang w:val="en-US"/>
        </w:rPr>
        <w:t>1</w:t>
      </w:r>
      <w:r w:rsidRPr="00E317BB">
        <w:rPr>
          <w:rFonts w:ascii="Times New Roman" w:hAnsi="Times New Roman" w:cs="Times New Roman"/>
        </w:rPr>
        <w:t xml:space="preserve"> </w:t>
      </w:r>
      <w:r w:rsidR="00DF1BBA" w:rsidRPr="00E317BB">
        <w:rPr>
          <w:rFonts w:ascii="Times New Roman" w:hAnsi="Times New Roman" w:cs="Times New Roman"/>
        </w:rPr>
        <w:t>and has expanded into a range of cultural spaces, most notably, the muse</w:t>
      </w:r>
      <w:r w:rsidR="00B729EF" w:rsidRPr="00E317BB">
        <w:rPr>
          <w:rFonts w:ascii="Times New Roman" w:hAnsi="Times New Roman" w:cs="Times New Roman"/>
        </w:rPr>
        <w:t>um and art gallery sector</w:t>
      </w:r>
      <w:r w:rsidR="001E28DA" w:rsidRPr="00E317BB">
        <w:rPr>
          <w:rFonts w:ascii="Times New Roman" w:hAnsi="Times New Roman" w:cs="Times New Roman"/>
          <w:vertAlign w:val="superscript"/>
          <w:lang w:val="en-US"/>
        </w:rPr>
        <w:t>2</w:t>
      </w:r>
      <w:r w:rsidR="0011477C" w:rsidRPr="00E317BB">
        <w:rPr>
          <w:rFonts w:ascii="Times New Roman" w:hAnsi="Times New Roman" w:cs="Times New Roman"/>
          <w:lang w:val="en-US"/>
        </w:rPr>
        <w:t xml:space="preserve">. </w:t>
      </w:r>
      <w:r w:rsidR="00563885" w:rsidRPr="00E317BB">
        <w:rPr>
          <w:rFonts w:ascii="Times New Roman" w:hAnsi="Times New Roman" w:cs="Times New Roman"/>
        </w:rPr>
        <w:t xml:space="preserve">Museum-based activities for wellbeing broadly include supported museum visiting, object handling, volunteering, and a range of creative activities inspired from the </w:t>
      </w:r>
      <w:r w:rsidR="000F43A6" w:rsidRPr="00E317BB">
        <w:rPr>
          <w:rFonts w:ascii="Times New Roman" w:hAnsi="Times New Roman" w:cs="Times New Roman"/>
        </w:rPr>
        <w:t xml:space="preserve">sector’s </w:t>
      </w:r>
      <w:r w:rsidR="00563885" w:rsidRPr="00E317BB">
        <w:rPr>
          <w:rFonts w:ascii="Times New Roman" w:hAnsi="Times New Roman" w:cs="Times New Roman"/>
        </w:rPr>
        <w:t>wide-ranging museum collection</w:t>
      </w:r>
      <w:r w:rsidR="000F43A6" w:rsidRPr="00E317BB">
        <w:rPr>
          <w:rFonts w:ascii="Times New Roman" w:hAnsi="Times New Roman" w:cs="Times New Roman"/>
        </w:rPr>
        <w:t>s</w:t>
      </w:r>
      <w:r w:rsidR="00563885" w:rsidRPr="00E317BB">
        <w:rPr>
          <w:rFonts w:ascii="Times New Roman" w:hAnsi="Times New Roman" w:cs="Times New Roman"/>
        </w:rPr>
        <w:t xml:space="preserve">, from art making to performing arts and music. In a recent </w:t>
      </w:r>
      <w:r w:rsidR="00563885" w:rsidRPr="00E317BB">
        <w:rPr>
          <w:rFonts w:ascii="Times New Roman" w:hAnsi="Times New Roman" w:cs="Times New Roman"/>
          <w:i/>
        </w:rPr>
        <w:t xml:space="preserve">Perspectives </w:t>
      </w:r>
      <w:r w:rsidR="00563885" w:rsidRPr="00E317BB">
        <w:rPr>
          <w:rFonts w:ascii="Times New Roman" w:hAnsi="Times New Roman" w:cs="Times New Roman"/>
        </w:rPr>
        <w:t>paper, Camic and Chatterjee</w:t>
      </w:r>
      <w:r w:rsidR="00563885" w:rsidRPr="00E317BB">
        <w:rPr>
          <w:rFonts w:ascii="Times New Roman" w:hAnsi="Times New Roman" w:cs="Times New Roman"/>
          <w:vertAlign w:val="superscript"/>
          <w:lang w:val="en-US"/>
        </w:rPr>
        <w:t>2</w:t>
      </w:r>
      <w:r w:rsidR="00563885" w:rsidRPr="00E317BB">
        <w:rPr>
          <w:rFonts w:ascii="Times New Roman" w:hAnsi="Times New Roman" w:cs="Times New Roman"/>
        </w:rPr>
        <w:t xml:space="preserve"> outline a rationale for the involvement of museums and art galleries as partners in the deliver</w:t>
      </w:r>
      <w:r w:rsidR="005B7F0F" w:rsidRPr="00E317BB">
        <w:rPr>
          <w:rFonts w:ascii="Times New Roman" w:hAnsi="Times New Roman" w:cs="Times New Roman"/>
        </w:rPr>
        <w:t>y of health-care interventions</w:t>
      </w:r>
      <w:r w:rsidR="00AC7A2C" w:rsidRPr="00E317BB">
        <w:rPr>
          <w:rFonts w:ascii="Times New Roman" w:hAnsi="Times New Roman" w:cs="Times New Roman"/>
        </w:rPr>
        <w:t xml:space="preserve"> and identify</w:t>
      </w:r>
      <w:r w:rsidR="00563885" w:rsidRPr="00E317BB">
        <w:rPr>
          <w:rFonts w:ascii="Times New Roman" w:hAnsi="Times New Roman" w:cs="Times New Roman"/>
        </w:rPr>
        <w:t xml:space="preserve"> practice examples of programmes addressing issues such as </w:t>
      </w:r>
      <w:r w:rsidR="007C0CBB" w:rsidRPr="00E317BB">
        <w:rPr>
          <w:rFonts w:ascii="Times New Roman" w:hAnsi="Times New Roman" w:cs="Times New Roman"/>
        </w:rPr>
        <w:t>dementia</w:t>
      </w:r>
      <w:r w:rsidR="005B7F0F" w:rsidRPr="00E317BB">
        <w:rPr>
          <w:rFonts w:ascii="Times New Roman" w:hAnsi="Times New Roman"/>
          <w:vertAlign w:val="superscript"/>
          <w:lang w:val="en-US"/>
        </w:rPr>
        <w:t>3–8</w:t>
      </w:r>
      <w:r w:rsidR="007C0CBB" w:rsidRPr="00E317BB">
        <w:rPr>
          <w:rFonts w:ascii="Times New Roman" w:hAnsi="Times New Roman" w:cs="Times New Roman"/>
        </w:rPr>
        <w:t xml:space="preserve">, </w:t>
      </w:r>
      <w:r w:rsidR="00563885" w:rsidRPr="00E317BB">
        <w:rPr>
          <w:rFonts w:ascii="Times New Roman" w:hAnsi="Times New Roman" w:cs="Times New Roman"/>
        </w:rPr>
        <w:t xml:space="preserve">mental health </w:t>
      </w:r>
      <w:r w:rsidR="00BC32A9" w:rsidRPr="00E317BB">
        <w:rPr>
          <w:rFonts w:ascii="Times New Roman" w:hAnsi="Times New Roman" w:cs="Times New Roman"/>
          <w:vertAlign w:val="superscript"/>
          <w:lang w:val="en-US"/>
        </w:rPr>
        <w:t>9–11</w:t>
      </w:r>
      <w:r w:rsidR="00563885" w:rsidRPr="00E317BB">
        <w:rPr>
          <w:rFonts w:ascii="Times New Roman" w:hAnsi="Times New Roman" w:cs="Times New Roman"/>
        </w:rPr>
        <w:t>, cancer</w:t>
      </w:r>
      <w:r w:rsidR="0032096B" w:rsidRPr="00E317BB">
        <w:rPr>
          <w:rFonts w:ascii="Times New Roman" w:hAnsi="Times New Roman" w:cs="Times New Roman"/>
          <w:vertAlign w:val="superscript"/>
          <w:lang w:val="en-US"/>
        </w:rPr>
        <w:t>12,13</w:t>
      </w:r>
      <w:r w:rsidR="00563885" w:rsidRPr="00E317BB">
        <w:rPr>
          <w:rFonts w:ascii="Times New Roman" w:hAnsi="Times New Roman" w:cs="Times New Roman"/>
        </w:rPr>
        <w:t xml:space="preserve"> and health education</w:t>
      </w:r>
      <w:r w:rsidR="0032096B" w:rsidRPr="00E317BB">
        <w:rPr>
          <w:rFonts w:ascii="Times New Roman" w:hAnsi="Times New Roman" w:cs="Times New Roman"/>
          <w:vertAlign w:val="superscript"/>
          <w:lang w:val="en-US"/>
        </w:rPr>
        <w:t>14,15</w:t>
      </w:r>
      <w:r w:rsidR="00AC7A2C" w:rsidRPr="00E317BB">
        <w:rPr>
          <w:rFonts w:ascii="Times New Roman" w:hAnsi="Times New Roman" w:cs="Times New Roman"/>
        </w:rPr>
        <w:t>. R</w:t>
      </w:r>
      <w:r w:rsidR="00563885" w:rsidRPr="00E317BB">
        <w:rPr>
          <w:rFonts w:ascii="Times New Roman" w:hAnsi="Times New Roman" w:cs="Times New Roman"/>
        </w:rPr>
        <w:t>ecent studies have also looked at addiction recovery</w:t>
      </w:r>
      <w:r w:rsidR="0032096B" w:rsidRPr="00E317BB">
        <w:rPr>
          <w:rFonts w:ascii="Times New Roman" w:hAnsi="Times New Roman" w:cs="Times New Roman"/>
          <w:vertAlign w:val="superscript"/>
          <w:lang w:val="en-US"/>
        </w:rPr>
        <w:t>16</w:t>
      </w:r>
      <w:r w:rsidR="00563885" w:rsidRPr="00E317BB">
        <w:rPr>
          <w:rFonts w:ascii="Times New Roman" w:hAnsi="Times New Roman" w:cs="Times New Roman"/>
        </w:rPr>
        <w:t xml:space="preserve"> and older adults at risk of social isolation</w:t>
      </w:r>
      <w:r w:rsidR="0032096B" w:rsidRPr="00E317BB">
        <w:rPr>
          <w:rFonts w:ascii="Times New Roman" w:hAnsi="Times New Roman" w:cs="Times New Roman"/>
          <w:vertAlign w:val="superscript"/>
          <w:lang w:val="en-US"/>
        </w:rPr>
        <w:t>17,18</w:t>
      </w:r>
      <w:r w:rsidR="00563885" w:rsidRPr="00E317BB">
        <w:rPr>
          <w:rFonts w:ascii="Times New Roman" w:hAnsi="Times New Roman" w:cs="Times New Roman"/>
        </w:rPr>
        <w:t xml:space="preserve">. </w:t>
      </w:r>
      <w:r w:rsidR="00B2524C" w:rsidRPr="00E317BB">
        <w:rPr>
          <w:rFonts w:ascii="Times New Roman" w:hAnsi="Times New Roman" w:cs="Times New Roman"/>
        </w:rPr>
        <w:t xml:space="preserve">Museums are increasingly developing services for people with dementia and their caregivers; a recent survey identified that </w:t>
      </w:r>
      <w:r w:rsidR="00D53D3A" w:rsidRPr="00E317BB">
        <w:rPr>
          <w:rFonts w:ascii="Times New Roman" w:hAnsi="Times New Roman" w:cs="Times New Roman"/>
        </w:rPr>
        <w:t>out of over</w:t>
      </w:r>
      <w:r w:rsidR="00B2524C" w:rsidRPr="00E317BB">
        <w:rPr>
          <w:rFonts w:ascii="Times New Roman" w:hAnsi="Times New Roman" w:cs="Times New Roman"/>
        </w:rPr>
        <w:t xml:space="preserve"> half UK museums offering wellbeing programmes</w:t>
      </w:r>
      <w:r w:rsidR="00D53D3A" w:rsidRPr="00E317BB">
        <w:rPr>
          <w:rFonts w:ascii="Times New Roman" w:hAnsi="Times New Roman" w:cs="Times New Roman"/>
        </w:rPr>
        <w:t>,</w:t>
      </w:r>
      <w:r w:rsidR="00B2524C" w:rsidRPr="00E317BB">
        <w:rPr>
          <w:rFonts w:ascii="Times New Roman" w:hAnsi="Times New Roman" w:cs="Times New Roman"/>
        </w:rPr>
        <w:t xml:space="preserve"> people with dementia </w:t>
      </w:r>
      <w:r w:rsidR="00D53D3A" w:rsidRPr="00E317BB">
        <w:rPr>
          <w:rFonts w:ascii="Times New Roman" w:hAnsi="Times New Roman" w:cs="Times New Roman"/>
        </w:rPr>
        <w:t>are the second largest target audience (older adults came out top)</w:t>
      </w:r>
      <w:r w:rsidR="006F369D" w:rsidRPr="00E317BB">
        <w:rPr>
          <w:rFonts w:ascii="Times New Roman" w:hAnsi="Times New Roman" w:cs="Times New Roman"/>
          <w:vertAlign w:val="superscript"/>
          <w:lang w:val="en-US"/>
        </w:rPr>
        <w:t>19</w:t>
      </w:r>
      <w:r w:rsidR="00D53D3A" w:rsidRPr="00E317BB">
        <w:rPr>
          <w:rFonts w:ascii="Times New Roman" w:hAnsi="Times New Roman" w:cs="Times New Roman"/>
        </w:rPr>
        <w:t xml:space="preserve">. Despite this growth in practice there has been limited research to assess the efficacy of museum-led interventions. </w:t>
      </w:r>
      <w:r w:rsidR="00DB467F" w:rsidRPr="00E317BB">
        <w:rPr>
          <w:rFonts w:ascii="Times New Roman" w:hAnsi="Times New Roman" w:cs="Times New Roman"/>
        </w:rPr>
        <w:t>The</w:t>
      </w:r>
      <w:r w:rsidR="00F86D1C" w:rsidRPr="00E317BB">
        <w:rPr>
          <w:rFonts w:ascii="Times New Roman" w:hAnsi="Times New Roman" w:cs="Times New Roman"/>
        </w:rPr>
        <w:t xml:space="preserve"> paper is based on a research</w:t>
      </w:r>
      <w:r w:rsidR="005A0010" w:rsidRPr="00E317BB">
        <w:rPr>
          <w:rFonts w:ascii="Times New Roman" w:hAnsi="Times New Roman" w:cs="Times New Roman"/>
        </w:rPr>
        <w:t xml:space="preserve"> project called ‘</w:t>
      </w:r>
      <w:r w:rsidR="00AC7A2C" w:rsidRPr="00E317BB">
        <w:rPr>
          <w:rFonts w:ascii="Times New Roman" w:hAnsi="Times New Roman" w:cs="Times New Roman"/>
        </w:rPr>
        <w:t>Not So Grim Up North’ (2015-2018</w:t>
      </w:r>
      <w:r w:rsidR="005A0010" w:rsidRPr="00E317BB">
        <w:rPr>
          <w:rFonts w:ascii="Times New Roman" w:hAnsi="Times New Roman" w:cs="Times New Roman"/>
        </w:rPr>
        <w:t>), led by U</w:t>
      </w:r>
      <w:r w:rsidR="001109D2" w:rsidRPr="00E317BB">
        <w:rPr>
          <w:rFonts w:ascii="Times New Roman" w:hAnsi="Times New Roman" w:cs="Times New Roman"/>
        </w:rPr>
        <w:t xml:space="preserve">niversity </w:t>
      </w:r>
      <w:r w:rsidR="005A0010" w:rsidRPr="00E317BB">
        <w:rPr>
          <w:rFonts w:ascii="Times New Roman" w:hAnsi="Times New Roman" w:cs="Times New Roman"/>
        </w:rPr>
        <w:t>C</w:t>
      </w:r>
      <w:r w:rsidR="001109D2" w:rsidRPr="00E317BB">
        <w:rPr>
          <w:rFonts w:ascii="Times New Roman" w:hAnsi="Times New Roman" w:cs="Times New Roman"/>
        </w:rPr>
        <w:t xml:space="preserve">ollege </w:t>
      </w:r>
      <w:r w:rsidR="005A0010" w:rsidRPr="00E317BB">
        <w:rPr>
          <w:rFonts w:ascii="Times New Roman" w:hAnsi="Times New Roman" w:cs="Times New Roman"/>
        </w:rPr>
        <w:t>L</w:t>
      </w:r>
      <w:r w:rsidR="001109D2" w:rsidRPr="00E317BB">
        <w:rPr>
          <w:rFonts w:ascii="Times New Roman" w:hAnsi="Times New Roman" w:cs="Times New Roman"/>
        </w:rPr>
        <w:t>ondon</w:t>
      </w:r>
      <w:r w:rsidR="005A0010" w:rsidRPr="00E317BB">
        <w:rPr>
          <w:rFonts w:ascii="Times New Roman" w:hAnsi="Times New Roman" w:cs="Times New Roman"/>
        </w:rPr>
        <w:t xml:space="preserve"> researcher</w:t>
      </w:r>
      <w:r w:rsidR="001109D2" w:rsidRPr="00E317BB">
        <w:rPr>
          <w:rFonts w:ascii="Times New Roman" w:hAnsi="Times New Roman" w:cs="Times New Roman"/>
        </w:rPr>
        <w:t>s</w:t>
      </w:r>
      <w:r w:rsidR="005A0010" w:rsidRPr="00E317BB">
        <w:rPr>
          <w:rFonts w:ascii="Times New Roman" w:hAnsi="Times New Roman" w:cs="Times New Roman"/>
        </w:rPr>
        <w:t xml:space="preserve"> in partnership with</w:t>
      </w:r>
      <w:r w:rsidR="00F86D1C" w:rsidRPr="00E317BB">
        <w:rPr>
          <w:rFonts w:ascii="Times New Roman" w:hAnsi="Times New Roman" w:cs="Times New Roman"/>
        </w:rPr>
        <w:t xml:space="preserve"> two northern museum services, </w:t>
      </w:r>
      <w:r w:rsidR="005A0010" w:rsidRPr="00E317BB">
        <w:rPr>
          <w:rFonts w:ascii="Times New Roman" w:hAnsi="Times New Roman" w:cs="Times New Roman"/>
        </w:rPr>
        <w:t xml:space="preserve">the Whitworth Art Gallery and Manchester Museum, The University of Manchester, and Tyne &amp; Wear Archives &amp; Museums. </w:t>
      </w:r>
      <w:r w:rsidR="00F86D1C" w:rsidRPr="00E317BB">
        <w:rPr>
          <w:rFonts w:ascii="Times New Roman" w:hAnsi="Times New Roman" w:cs="Times New Roman"/>
        </w:rPr>
        <w:t xml:space="preserve">This was a multi-sited project with multiple health and social care partners, </w:t>
      </w:r>
      <w:r w:rsidR="00F86D1C" w:rsidRPr="00E317BB">
        <w:rPr>
          <w:rFonts w:ascii="Times New Roman" w:hAnsi="Times New Roman" w:cs="Times New Roman"/>
          <w:lang w:val="en-US"/>
        </w:rPr>
        <w:t>exploring the health and wellbeing impact of taking part in cultural activities, focused on three audience groups: mental health service-users</w:t>
      </w:r>
      <w:r w:rsidR="005A35CB" w:rsidRPr="00E317BB">
        <w:rPr>
          <w:rFonts w:ascii="Times New Roman" w:hAnsi="Times New Roman" w:cs="Times New Roman"/>
          <w:lang w:val="en-US"/>
        </w:rPr>
        <w:t>,</w:t>
      </w:r>
      <w:r w:rsidR="00F86D1C" w:rsidRPr="00E317BB">
        <w:rPr>
          <w:rFonts w:ascii="Times New Roman" w:hAnsi="Times New Roman" w:cs="Times New Roman"/>
          <w:lang w:val="en-US"/>
        </w:rPr>
        <w:t xml:space="preserve"> stroke survivors </w:t>
      </w:r>
      <w:r w:rsidR="00B255E0" w:rsidRPr="00E317BB">
        <w:rPr>
          <w:rFonts w:ascii="Times New Roman" w:hAnsi="Times New Roman" w:cs="Times New Roman"/>
          <w:lang w:val="en-US"/>
        </w:rPr>
        <w:t xml:space="preserve">and </w:t>
      </w:r>
      <w:r w:rsidR="00F86D1C" w:rsidRPr="00E317BB">
        <w:rPr>
          <w:rFonts w:ascii="Times New Roman" w:hAnsi="Times New Roman" w:cs="Times New Roman"/>
          <w:lang w:val="en-US"/>
        </w:rPr>
        <w:t xml:space="preserve">people </w:t>
      </w:r>
      <w:r w:rsidR="005A35CB" w:rsidRPr="00E317BB">
        <w:rPr>
          <w:rFonts w:ascii="Times New Roman" w:hAnsi="Times New Roman" w:cs="Times New Roman"/>
          <w:lang w:val="en-US"/>
        </w:rPr>
        <w:t>with</w:t>
      </w:r>
      <w:r w:rsidR="00F86D1C" w:rsidRPr="00E317BB">
        <w:rPr>
          <w:rFonts w:ascii="Times New Roman" w:hAnsi="Times New Roman" w:cs="Times New Roman"/>
          <w:lang w:val="en-US"/>
        </w:rPr>
        <w:t xml:space="preserve"> dementia. </w:t>
      </w:r>
      <w:r w:rsidR="00AC7A2C" w:rsidRPr="00E317BB">
        <w:rPr>
          <w:rFonts w:ascii="Times New Roman" w:hAnsi="Times New Roman" w:cs="Times New Roman"/>
        </w:rPr>
        <w:t>The research was</w:t>
      </w:r>
      <w:r w:rsidR="005115A4" w:rsidRPr="00E317BB">
        <w:rPr>
          <w:rFonts w:ascii="Times New Roman" w:hAnsi="Times New Roman" w:cs="Times New Roman"/>
        </w:rPr>
        <w:t xml:space="preserve"> designed as a quasi-experimental study using mixed-methods to address multiple perspectives and multi-level approaches to the question of impact</w:t>
      </w:r>
      <w:r w:rsidR="00A00BF5" w:rsidRPr="00E317BB">
        <w:rPr>
          <w:rFonts w:ascii="Times New Roman" w:hAnsi="Times New Roman" w:cs="Times New Roman"/>
        </w:rPr>
        <w:t xml:space="preserve"> (</w:t>
      </w:r>
      <w:r w:rsidR="007C0CBB" w:rsidRPr="00E317BB">
        <w:rPr>
          <w:rFonts w:ascii="Times New Roman" w:hAnsi="Times New Roman" w:cs="Times New Roman"/>
        </w:rPr>
        <w:t>Health Research Authority Ethics ID 199643)</w:t>
      </w:r>
      <w:r w:rsidR="005115A4" w:rsidRPr="00E317BB">
        <w:rPr>
          <w:rFonts w:ascii="Times New Roman" w:hAnsi="Times New Roman" w:cs="Times New Roman"/>
        </w:rPr>
        <w:t>. One strand of the research foc</w:t>
      </w:r>
      <w:r w:rsidR="00984103" w:rsidRPr="00E317BB">
        <w:rPr>
          <w:rFonts w:ascii="Times New Roman" w:hAnsi="Times New Roman" w:cs="Times New Roman"/>
        </w:rPr>
        <w:t>used</w:t>
      </w:r>
      <w:r w:rsidR="005115A4" w:rsidRPr="00E317BB">
        <w:rPr>
          <w:rFonts w:ascii="Times New Roman" w:hAnsi="Times New Roman" w:cs="Times New Roman"/>
        </w:rPr>
        <w:t xml:space="preserve"> on object handling sessions for people with </w:t>
      </w:r>
      <w:r w:rsidR="007C0CBB" w:rsidRPr="00E317BB">
        <w:rPr>
          <w:rFonts w:ascii="Times New Roman" w:hAnsi="Times New Roman" w:cs="Times New Roman"/>
        </w:rPr>
        <w:t xml:space="preserve">moderate-to-severe </w:t>
      </w:r>
      <w:r w:rsidR="005115A4" w:rsidRPr="00E317BB">
        <w:rPr>
          <w:rFonts w:ascii="Times New Roman" w:hAnsi="Times New Roman" w:cs="Times New Roman"/>
        </w:rPr>
        <w:t>dementia usi</w:t>
      </w:r>
      <w:r w:rsidR="007C0CBB" w:rsidRPr="00E317BB">
        <w:rPr>
          <w:rFonts w:ascii="Times New Roman" w:hAnsi="Times New Roman" w:cs="Times New Roman"/>
        </w:rPr>
        <w:t>ng the museum</w:t>
      </w:r>
      <w:r w:rsidR="005115A4" w:rsidRPr="00E317BB">
        <w:rPr>
          <w:rFonts w:ascii="Times New Roman" w:hAnsi="Times New Roman" w:cs="Times New Roman"/>
        </w:rPr>
        <w:t>s</w:t>
      </w:r>
      <w:r w:rsidR="007C0CBB" w:rsidRPr="00E317BB">
        <w:rPr>
          <w:rFonts w:ascii="Times New Roman" w:hAnsi="Times New Roman" w:cs="Times New Roman"/>
        </w:rPr>
        <w:t xml:space="preserve">’ handling collection, </w:t>
      </w:r>
      <w:r w:rsidR="005115A4" w:rsidRPr="00E317BB">
        <w:rPr>
          <w:rFonts w:ascii="Times New Roman" w:hAnsi="Times New Roman" w:cs="Times New Roman"/>
        </w:rPr>
        <w:t>predominantly everyday social history objects</w:t>
      </w:r>
      <w:r w:rsidR="00CC146B" w:rsidRPr="00E317BB">
        <w:rPr>
          <w:rFonts w:ascii="Times New Roman" w:hAnsi="Times New Roman" w:cs="Times New Roman"/>
        </w:rPr>
        <w:t xml:space="preserve"> from the 1950-1970s</w:t>
      </w:r>
      <w:r w:rsidR="005115A4" w:rsidRPr="00E317BB">
        <w:rPr>
          <w:rFonts w:ascii="Times New Roman" w:hAnsi="Times New Roman" w:cs="Times New Roman"/>
        </w:rPr>
        <w:t xml:space="preserve">. </w:t>
      </w:r>
      <w:r w:rsidR="00CC146B" w:rsidRPr="00E317BB">
        <w:rPr>
          <w:rFonts w:ascii="Times New Roman" w:hAnsi="Times New Roman" w:cs="Times New Roman"/>
        </w:rPr>
        <w:t>The object handling focused o</w:t>
      </w:r>
      <w:r w:rsidR="007A3C99" w:rsidRPr="00E317BB">
        <w:rPr>
          <w:rFonts w:ascii="Times New Roman" w:hAnsi="Times New Roman" w:cs="Times New Roman"/>
        </w:rPr>
        <w:t>n a non goal-oriented activity as opposed to reminiscence,</w:t>
      </w:r>
      <w:r w:rsidR="00CC146B" w:rsidRPr="00E317BB">
        <w:rPr>
          <w:rFonts w:ascii="Times New Roman" w:hAnsi="Times New Roman" w:cs="Times New Roman"/>
        </w:rPr>
        <w:t xml:space="preserve"> promoting sensory engagement and conversation at a level appropriate for people with moderate-to-severe dementia</w:t>
      </w:r>
      <w:r w:rsidR="000F43A6" w:rsidRPr="00E317BB">
        <w:rPr>
          <w:rFonts w:ascii="Times New Roman" w:hAnsi="Times New Roman" w:cs="Times New Roman"/>
        </w:rPr>
        <w:t>, in line with recommendations from other non-reminiscence interventions focused on the benefits of cognitive stimulation for dementia</w:t>
      </w:r>
      <w:r w:rsidR="006F369D" w:rsidRPr="00E317BB">
        <w:rPr>
          <w:rFonts w:ascii="Times New Roman" w:hAnsi="Times New Roman" w:cs="Times New Roman"/>
          <w:vertAlign w:val="superscript"/>
          <w:lang w:val="en-US"/>
        </w:rPr>
        <w:t>20</w:t>
      </w:r>
      <w:r w:rsidR="00CC146B" w:rsidRPr="00E317BB">
        <w:rPr>
          <w:rFonts w:ascii="Times New Roman" w:hAnsi="Times New Roman" w:cs="Times New Roman"/>
        </w:rPr>
        <w:t xml:space="preserve">. </w:t>
      </w:r>
      <w:r w:rsidR="005115A4" w:rsidRPr="00E317BB">
        <w:rPr>
          <w:rFonts w:ascii="Times New Roman" w:hAnsi="Times New Roman" w:cs="Times New Roman"/>
        </w:rPr>
        <w:t xml:space="preserve">This paper focuses on the </w:t>
      </w:r>
      <w:r w:rsidR="007A3C99" w:rsidRPr="00E317BB">
        <w:rPr>
          <w:rFonts w:ascii="Times New Roman" w:hAnsi="Times New Roman" w:cs="Times New Roman"/>
        </w:rPr>
        <w:t>co-</w:t>
      </w:r>
      <w:r w:rsidR="005115A4" w:rsidRPr="00E317BB">
        <w:rPr>
          <w:rFonts w:ascii="Times New Roman" w:hAnsi="Times New Roman" w:cs="Times New Roman"/>
        </w:rPr>
        <w:t>development of the methodol</w:t>
      </w:r>
      <w:r w:rsidR="00984103" w:rsidRPr="00E317BB">
        <w:rPr>
          <w:rFonts w:ascii="Times New Roman" w:hAnsi="Times New Roman" w:cs="Times New Roman"/>
        </w:rPr>
        <w:t>ogical approach to assessing</w:t>
      </w:r>
      <w:r w:rsidR="005115A4" w:rsidRPr="00E317BB">
        <w:rPr>
          <w:rFonts w:ascii="Times New Roman" w:hAnsi="Times New Roman" w:cs="Times New Roman"/>
        </w:rPr>
        <w:t xml:space="preserve"> </w:t>
      </w:r>
      <w:r w:rsidR="00A00BF5" w:rsidRPr="00E317BB">
        <w:rPr>
          <w:rFonts w:ascii="Times New Roman" w:hAnsi="Times New Roman" w:cs="Times New Roman"/>
        </w:rPr>
        <w:t>engagement in these sessions</w:t>
      </w:r>
      <w:r w:rsidR="00984103" w:rsidRPr="00E317BB">
        <w:rPr>
          <w:rFonts w:ascii="Times New Roman" w:hAnsi="Times New Roman" w:cs="Times New Roman"/>
        </w:rPr>
        <w:t xml:space="preserve"> and its impact</w:t>
      </w:r>
      <w:r w:rsidR="00A00BF5" w:rsidRPr="00E317BB">
        <w:rPr>
          <w:rFonts w:ascii="Times New Roman" w:hAnsi="Times New Roman" w:cs="Times New Roman"/>
        </w:rPr>
        <w:t xml:space="preserve">. </w:t>
      </w:r>
    </w:p>
    <w:p w14:paraId="3732CC73" w14:textId="77FF9312" w:rsidR="00B255E0" w:rsidRPr="00E317BB" w:rsidRDefault="00B255E0" w:rsidP="00020F44">
      <w:pPr>
        <w:spacing w:line="480" w:lineRule="auto"/>
        <w:jc w:val="both"/>
        <w:rPr>
          <w:rFonts w:ascii="Times New Roman" w:hAnsi="Times New Roman" w:cs="Times New Roman"/>
          <w:lang w:val="en-US"/>
        </w:rPr>
      </w:pPr>
    </w:p>
    <w:p w14:paraId="2377F7EF" w14:textId="6C8368E6" w:rsidR="001109D2" w:rsidRPr="00E317BB" w:rsidRDefault="00F86D1C" w:rsidP="00020F44">
      <w:pPr>
        <w:spacing w:line="480" w:lineRule="auto"/>
        <w:jc w:val="both"/>
        <w:rPr>
          <w:rFonts w:ascii="Times New Roman" w:hAnsi="Times New Roman" w:cs="Times New Roman"/>
        </w:rPr>
      </w:pPr>
      <w:r w:rsidRPr="00E317BB">
        <w:rPr>
          <w:rFonts w:ascii="Times New Roman" w:hAnsi="Times New Roman" w:cs="Times New Roman"/>
        </w:rPr>
        <w:t xml:space="preserve">The paper will first </w:t>
      </w:r>
      <w:r w:rsidR="00A00BF5" w:rsidRPr="00E317BB">
        <w:rPr>
          <w:rFonts w:ascii="Times New Roman" w:hAnsi="Times New Roman" w:cs="Times New Roman"/>
        </w:rPr>
        <w:t xml:space="preserve">briefly discuss the concept of engagement in </w:t>
      </w:r>
      <w:r w:rsidR="00F017F9" w:rsidRPr="00E317BB">
        <w:rPr>
          <w:rFonts w:ascii="Times New Roman" w:hAnsi="Times New Roman" w:cs="Times New Roman"/>
        </w:rPr>
        <w:t>people</w:t>
      </w:r>
      <w:r w:rsidR="00A00BF5" w:rsidRPr="00E317BB">
        <w:rPr>
          <w:rFonts w:ascii="Times New Roman" w:hAnsi="Times New Roman" w:cs="Times New Roman"/>
        </w:rPr>
        <w:t xml:space="preserve"> with dementia and its application in our study. Next</w:t>
      </w:r>
      <w:r w:rsidR="0051402C" w:rsidRPr="00E317BB">
        <w:rPr>
          <w:rFonts w:ascii="Times New Roman" w:hAnsi="Times New Roman" w:cs="Times New Roman"/>
          <w:bCs/>
          <w:lang w:eastAsia="en-GB"/>
        </w:rPr>
        <w:t>, the paper will</w:t>
      </w:r>
      <w:r w:rsidR="00A61E56" w:rsidRPr="00E317BB">
        <w:rPr>
          <w:rFonts w:ascii="Times New Roman" w:hAnsi="Times New Roman" w:cs="Times New Roman"/>
          <w:bCs/>
          <w:lang w:eastAsia="en-GB"/>
        </w:rPr>
        <w:t xml:space="preserve"> </w:t>
      </w:r>
      <w:r w:rsidR="007C0CBB" w:rsidRPr="00E317BB">
        <w:rPr>
          <w:rFonts w:ascii="Times New Roman" w:hAnsi="Times New Roman" w:cs="Times New Roman"/>
          <w:bCs/>
          <w:lang w:eastAsia="en-GB"/>
        </w:rPr>
        <w:t xml:space="preserve">outline a </w:t>
      </w:r>
      <w:r w:rsidR="005A35CB" w:rsidRPr="00E317BB">
        <w:rPr>
          <w:rFonts w:ascii="Times New Roman" w:hAnsi="Times New Roman" w:cs="Times New Roman"/>
          <w:bCs/>
          <w:lang w:eastAsia="en-GB"/>
        </w:rPr>
        <w:t>four</w:t>
      </w:r>
      <w:r w:rsidR="006464AA" w:rsidRPr="00E317BB">
        <w:rPr>
          <w:rFonts w:ascii="Times New Roman" w:hAnsi="Times New Roman" w:cs="Times New Roman"/>
          <w:bCs/>
          <w:lang w:eastAsia="en-GB"/>
        </w:rPr>
        <w:t>-</w:t>
      </w:r>
      <w:r w:rsidR="007C0CBB" w:rsidRPr="00E317BB">
        <w:rPr>
          <w:rFonts w:ascii="Times New Roman" w:hAnsi="Times New Roman" w:cs="Times New Roman"/>
          <w:bCs/>
          <w:lang w:eastAsia="en-GB"/>
        </w:rPr>
        <w:t xml:space="preserve">step approach to collaboration conducted in this study. It will then describe </w:t>
      </w:r>
      <w:r w:rsidR="00A61E56" w:rsidRPr="00E317BB">
        <w:rPr>
          <w:rFonts w:ascii="Times New Roman" w:hAnsi="Times New Roman" w:cs="Times New Roman"/>
          <w:bCs/>
          <w:lang w:eastAsia="en-GB"/>
        </w:rPr>
        <w:t xml:space="preserve">how multiple </w:t>
      </w:r>
      <w:r w:rsidR="00A00BF5" w:rsidRPr="00E317BB">
        <w:rPr>
          <w:rFonts w:ascii="Times New Roman" w:hAnsi="Times New Roman" w:cs="Times New Roman"/>
          <w:bCs/>
          <w:lang w:eastAsia="en-GB"/>
        </w:rPr>
        <w:t xml:space="preserve">stakeholder </w:t>
      </w:r>
      <w:r w:rsidR="00A61E56" w:rsidRPr="00E317BB">
        <w:rPr>
          <w:rFonts w:ascii="Times New Roman" w:hAnsi="Times New Roman" w:cs="Times New Roman"/>
          <w:bCs/>
          <w:lang w:eastAsia="en-GB"/>
        </w:rPr>
        <w:t>perspectives</w:t>
      </w:r>
      <w:r w:rsidR="005A35CB" w:rsidRPr="00E317BB">
        <w:rPr>
          <w:rFonts w:ascii="Times New Roman" w:hAnsi="Times New Roman" w:cs="Times New Roman"/>
          <w:bCs/>
          <w:lang w:eastAsia="en-GB"/>
        </w:rPr>
        <w:t xml:space="preserve">, </w:t>
      </w:r>
      <w:r w:rsidR="005A35CB" w:rsidRPr="00E317BB">
        <w:rPr>
          <w:rFonts w:ascii="Times New Roman" w:hAnsi="Times New Roman" w:cs="Times New Roman"/>
        </w:rPr>
        <w:t>including museum</w:t>
      </w:r>
      <w:r w:rsidR="007A3C99" w:rsidRPr="00E317BB">
        <w:rPr>
          <w:rFonts w:ascii="Times New Roman" w:hAnsi="Times New Roman" w:cs="Times New Roman"/>
        </w:rPr>
        <w:t xml:space="preserve"> and healthcare professionals</w:t>
      </w:r>
      <w:r w:rsidR="005A35CB" w:rsidRPr="00E317BB">
        <w:rPr>
          <w:rFonts w:ascii="Times New Roman" w:hAnsi="Times New Roman" w:cs="Times New Roman"/>
        </w:rPr>
        <w:t xml:space="preserve">, </w:t>
      </w:r>
      <w:r w:rsidR="00A61E56" w:rsidRPr="00E317BB">
        <w:rPr>
          <w:rFonts w:ascii="Times New Roman" w:hAnsi="Times New Roman" w:cs="Times New Roman"/>
          <w:bCs/>
          <w:lang w:eastAsia="en-GB"/>
        </w:rPr>
        <w:t xml:space="preserve">were </w:t>
      </w:r>
      <w:r w:rsidR="0051402C" w:rsidRPr="00E317BB">
        <w:rPr>
          <w:rFonts w:ascii="Times New Roman" w:hAnsi="Times New Roman" w:cs="Times New Roman"/>
          <w:bCs/>
          <w:lang w:eastAsia="en-GB"/>
        </w:rPr>
        <w:t>integrated</w:t>
      </w:r>
      <w:r w:rsidR="00A61E56" w:rsidRPr="00E317BB">
        <w:rPr>
          <w:rFonts w:ascii="Times New Roman" w:hAnsi="Times New Roman" w:cs="Times New Roman"/>
          <w:bCs/>
          <w:lang w:eastAsia="en-GB"/>
        </w:rPr>
        <w:t xml:space="preserve"> towards developing a common impact-focused methodology. </w:t>
      </w:r>
      <w:r w:rsidR="005A35CB" w:rsidRPr="00E317BB">
        <w:rPr>
          <w:rFonts w:ascii="Times New Roman" w:hAnsi="Times New Roman" w:cs="Times New Roman"/>
          <w:bCs/>
          <w:lang w:eastAsia="en-GB"/>
        </w:rPr>
        <w:t>T</w:t>
      </w:r>
      <w:r w:rsidR="00A61E56" w:rsidRPr="00E317BB">
        <w:rPr>
          <w:rFonts w:ascii="Times New Roman" w:hAnsi="Times New Roman" w:cs="Times New Roman"/>
          <w:bCs/>
          <w:lang w:eastAsia="en-GB"/>
        </w:rPr>
        <w:t xml:space="preserve">he </w:t>
      </w:r>
      <w:r w:rsidR="007C0CBB" w:rsidRPr="00E317BB">
        <w:rPr>
          <w:rFonts w:ascii="Times New Roman" w:hAnsi="Times New Roman" w:cs="Times New Roman"/>
          <w:bCs/>
          <w:lang w:eastAsia="en-GB"/>
        </w:rPr>
        <w:t>final</w:t>
      </w:r>
      <w:r w:rsidR="00A61E56" w:rsidRPr="00E317BB">
        <w:rPr>
          <w:rFonts w:ascii="Times New Roman" w:hAnsi="Times New Roman" w:cs="Times New Roman"/>
          <w:bCs/>
          <w:lang w:eastAsia="en-GB"/>
        </w:rPr>
        <w:t xml:space="preserve"> </w:t>
      </w:r>
      <w:r w:rsidR="000474E9" w:rsidRPr="00E317BB">
        <w:rPr>
          <w:rFonts w:ascii="Times New Roman" w:hAnsi="Times New Roman" w:cs="Times New Roman"/>
          <w:bCs/>
          <w:lang w:eastAsia="en-GB"/>
        </w:rPr>
        <w:t>section</w:t>
      </w:r>
      <w:r w:rsidR="005A35CB" w:rsidRPr="00E317BB">
        <w:rPr>
          <w:rFonts w:ascii="Times New Roman" w:hAnsi="Times New Roman" w:cs="Times New Roman"/>
          <w:bCs/>
          <w:lang w:eastAsia="en-GB"/>
        </w:rPr>
        <w:t xml:space="preserve"> </w:t>
      </w:r>
      <w:r w:rsidR="00A61E56" w:rsidRPr="00E317BB">
        <w:rPr>
          <w:rFonts w:ascii="Times New Roman" w:hAnsi="Times New Roman" w:cs="Times New Roman"/>
          <w:bCs/>
          <w:lang w:eastAsia="en-GB"/>
        </w:rPr>
        <w:t>will</w:t>
      </w:r>
      <w:r w:rsidR="001109D2" w:rsidRPr="00E317BB">
        <w:rPr>
          <w:rFonts w:ascii="Times New Roman" w:hAnsi="Times New Roman" w:cs="Times New Roman"/>
          <w:bCs/>
          <w:lang w:eastAsia="en-GB"/>
        </w:rPr>
        <w:t xml:space="preserve"> present </w:t>
      </w:r>
      <w:r w:rsidR="0032096B" w:rsidRPr="00E317BB">
        <w:rPr>
          <w:rFonts w:ascii="Times New Roman" w:hAnsi="Times New Roman" w:cs="Times New Roman"/>
        </w:rPr>
        <w:t>a new observational</w:t>
      </w:r>
      <w:r w:rsidR="00A00BF5" w:rsidRPr="00E317BB">
        <w:rPr>
          <w:rFonts w:ascii="Times New Roman" w:hAnsi="Times New Roman" w:cs="Times New Roman"/>
        </w:rPr>
        <w:t xml:space="preserve"> </w:t>
      </w:r>
      <w:r w:rsidR="001109D2" w:rsidRPr="00E317BB">
        <w:rPr>
          <w:rFonts w:ascii="Times New Roman" w:hAnsi="Times New Roman" w:cs="Times New Roman"/>
        </w:rPr>
        <w:t>method for</w:t>
      </w:r>
      <w:r w:rsidR="005115A4" w:rsidRPr="00E317BB">
        <w:rPr>
          <w:rFonts w:ascii="Times New Roman" w:hAnsi="Times New Roman" w:cs="Times New Roman"/>
        </w:rPr>
        <w:t xml:space="preserve"> people with</w:t>
      </w:r>
      <w:r w:rsidR="007C0CBB" w:rsidRPr="00E317BB">
        <w:rPr>
          <w:rFonts w:ascii="Times New Roman" w:hAnsi="Times New Roman" w:cs="Times New Roman"/>
        </w:rPr>
        <w:t xml:space="preserve"> </w:t>
      </w:r>
      <w:r w:rsidR="005115A4" w:rsidRPr="00E317BB">
        <w:rPr>
          <w:rFonts w:ascii="Times New Roman" w:hAnsi="Times New Roman" w:cs="Times New Roman"/>
        </w:rPr>
        <w:t xml:space="preserve">dementia in </w:t>
      </w:r>
      <w:r w:rsidR="001109D2" w:rsidRPr="00E317BB">
        <w:rPr>
          <w:rFonts w:ascii="Times New Roman" w:hAnsi="Times New Roman" w:cs="Times New Roman"/>
        </w:rPr>
        <w:t>hospital setting</w:t>
      </w:r>
      <w:r w:rsidR="005115A4" w:rsidRPr="00E317BB">
        <w:rPr>
          <w:rFonts w:ascii="Times New Roman" w:hAnsi="Times New Roman" w:cs="Times New Roman"/>
        </w:rPr>
        <w:t>s</w:t>
      </w:r>
      <w:r w:rsidR="001109D2" w:rsidRPr="00E317BB">
        <w:rPr>
          <w:rFonts w:ascii="Times New Roman" w:hAnsi="Times New Roman" w:cs="Times New Roman"/>
        </w:rPr>
        <w:t xml:space="preserve"> developed in the course of the study</w:t>
      </w:r>
      <w:r w:rsidR="00A00BF5" w:rsidRPr="00E317BB">
        <w:rPr>
          <w:rFonts w:ascii="Times New Roman" w:hAnsi="Times New Roman" w:cs="Times New Roman"/>
        </w:rPr>
        <w:t xml:space="preserve">. </w:t>
      </w:r>
      <w:r w:rsidR="007C0CBB" w:rsidRPr="00E317BB">
        <w:rPr>
          <w:rFonts w:ascii="Times New Roman" w:hAnsi="Times New Roman" w:cs="Times New Roman"/>
        </w:rPr>
        <w:t>The paper will conclude with a consideration of the</w:t>
      </w:r>
      <w:r w:rsidRPr="00E317BB">
        <w:rPr>
          <w:rFonts w:ascii="Times New Roman" w:hAnsi="Times New Roman" w:cs="Times New Roman"/>
        </w:rPr>
        <w:t xml:space="preserve"> wider application</w:t>
      </w:r>
      <w:r w:rsidR="007C0CBB" w:rsidRPr="00E317BB">
        <w:rPr>
          <w:rFonts w:ascii="Times New Roman" w:hAnsi="Times New Roman" w:cs="Times New Roman"/>
        </w:rPr>
        <w:t xml:space="preserve"> of a collaborative approach</w:t>
      </w:r>
      <w:r w:rsidRPr="00E317BB">
        <w:rPr>
          <w:rFonts w:ascii="Times New Roman" w:hAnsi="Times New Roman" w:cs="Times New Roman"/>
        </w:rPr>
        <w:t xml:space="preserve"> </w:t>
      </w:r>
      <w:r w:rsidR="001109D2" w:rsidRPr="00E317BB">
        <w:rPr>
          <w:rFonts w:ascii="Times New Roman" w:hAnsi="Times New Roman" w:cs="Times New Roman"/>
        </w:rPr>
        <w:t>for projects researching creative and cultural interventions for health</w:t>
      </w:r>
      <w:r w:rsidRPr="00E317BB">
        <w:rPr>
          <w:rFonts w:ascii="Times New Roman" w:hAnsi="Times New Roman" w:cs="Times New Roman"/>
        </w:rPr>
        <w:t xml:space="preserve">. </w:t>
      </w:r>
    </w:p>
    <w:p w14:paraId="23E8647F" w14:textId="68C6E08A" w:rsidR="00B255E0" w:rsidRPr="00E317BB" w:rsidRDefault="00B255E0" w:rsidP="00020F44">
      <w:pPr>
        <w:spacing w:line="480" w:lineRule="auto"/>
        <w:jc w:val="both"/>
        <w:rPr>
          <w:rFonts w:ascii="Times New Roman" w:hAnsi="Times New Roman" w:cs="Times New Roman"/>
        </w:rPr>
      </w:pPr>
    </w:p>
    <w:p w14:paraId="580779BC" w14:textId="15089673" w:rsidR="00436D97" w:rsidRPr="00E317BB" w:rsidRDefault="00984103" w:rsidP="008B1499">
      <w:pPr>
        <w:spacing w:line="480" w:lineRule="auto"/>
        <w:jc w:val="both"/>
        <w:rPr>
          <w:rFonts w:ascii="Times New Roman" w:hAnsi="Times New Roman" w:cs="Times New Roman"/>
          <w:color w:val="C0504D" w:themeColor="accent2"/>
        </w:rPr>
      </w:pPr>
      <w:r w:rsidRPr="00E317BB">
        <w:rPr>
          <w:rFonts w:ascii="Times New Roman" w:hAnsi="Times New Roman" w:cs="Times New Roman"/>
          <w:b/>
        </w:rPr>
        <w:t>Engagement</w:t>
      </w:r>
      <w:r w:rsidR="005A35CB" w:rsidRPr="00E317BB">
        <w:rPr>
          <w:rFonts w:ascii="Times New Roman" w:hAnsi="Times New Roman" w:cs="Times New Roman"/>
          <w:b/>
        </w:rPr>
        <w:t xml:space="preserve"> in people with dementia</w:t>
      </w:r>
      <w:r w:rsidR="00A00BF5" w:rsidRPr="00E317BB">
        <w:rPr>
          <w:rFonts w:ascii="Times New Roman" w:hAnsi="Times New Roman" w:cs="Times New Roman"/>
          <w:b/>
        </w:rPr>
        <w:t xml:space="preserve"> </w:t>
      </w:r>
    </w:p>
    <w:p w14:paraId="2D5029A6" w14:textId="384FBD06" w:rsidR="008B1499" w:rsidRPr="00E317BB" w:rsidRDefault="000A5AC6" w:rsidP="00AC7A2C">
      <w:pPr>
        <w:pStyle w:val="ListParagraph"/>
        <w:spacing w:line="480" w:lineRule="auto"/>
        <w:ind w:left="0"/>
        <w:jc w:val="both"/>
        <w:rPr>
          <w:rFonts w:ascii="Times New Roman" w:hAnsi="Times New Roman" w:cs="Times New Roman"/>
          <w:i/>
        </w:rPr>
      </w:pPr>
      <w:r w:rsidRPr="00E317BB">
        <w:rPr>
          <w:rFonts w:ascii="Times New Roman" w:hAnsi="Times New Roman" w:cs="Times New Roman"/>
        </w:rPr>
        <w:t xml:space="preserve">Engaging a person with dementia in meaningful activity is seen as a priority in care provision to promote wellbeing </w:t>
      </w:r>
      <w:r w:rsidR="00984103" w:rsidRPr="00E317BB">
        <w:rPr>
          <w:rFonts w:ascii="Times New Roman" w:hAnsi="Times New Roman" w:cs="Times New Roman"/>
        </w:rPr>
        <w:t>and quality of life</w:t>
      </w:r>
      <w:r w:rsidR="006F369D" w:rsidRPr="00E317BB">
        <w:rPr>
          <w:rFonts w:ascii="Times New Roman" w:hAnsi="Times New Roman" w:cs="Times New Roman"/>
          <w:vertAlign w:val="superscript"/>
          <w:lang w:val="en-US"/>
        </w:rPr>
        <w:t>21–23</w:t>
      </w:r>
      <w:r w:rsidRPr="00E317BB">
        <w:rPr>
          <w:rFonts w:ascii="Times New Roman" w:hAnsi="Times New Roman" w:cs="Times New Roman"/>
        </w:rPr>
        <w:t xml:space="preserve">. Studies </w:t>
      </w:r>
      <w:r w:rsidR="00AB448B" w:rsidRPr="00E317BB">
        <w:rPr>
          <w:rFonts w:ascii="Times New Roman" w:hAnsi="Times New Roman" w:cs="Times New Roman"/>
        </w:rPr>
        <w:t>in care homes</w:t>
      </w:r>
      <w:r w:rsidR="008B1499" w:rsidRPr="00E317BB">
        <w:rPr>
          <w:rFonts w:ascii="Times New Roman" w:hAnsi="Times New Roman" w:cs="Times New Roman"/>
        </w:rPr>
        <w:t xml:space="preserve"> </w:t>
      </w:r>
      <w:r w:rsidRPr="00E317BB">
        <w:rPr>
          <w:rFonts w:ascii="Times New Roman" w:hAnsi="Times New Roman" w:cs="Times New Roman"/>
        </w:rPr>
        <w:t>have shown the adverse effect of prolonged lack of stimulation and inactivity</w:t>
      </w:r>
      <w:r w:rsidR="008B1499" w:rsidRPr="00E317BB">
        <w:rPr>
          <w:rFonts w:ascii="Times New Roman" w:hAnsi="Times New Roman" w:cs="Times New Roman"/>
        </w:rPr>
        <w:t>, such as increased risk of cognitive decline, apathy, depression and agitation</w:t>
      </w:r>
      <w:r w:rsidR="006F369D" w:rsidRPr="00E317BB">
        <w:rPr>
          <w:rFonts w:ascii="Times New Roman" w:hAnsi="Times New Roman" w:cs="Times New Roman"/>
          <w:vertAlign w:val="superscript"/>
          <w:lang w:val="en-US"/>
        </w:rPr>
        <w:t>24,25</w:t>
      </w:r>
      <w:r w:rsidRPr="00E317BB">
        <w:rPr>
          <w:rFonts w:ascii="Times New Roman" w:hAnsi="Times New Roman" w:cs="Times New Roman"/>
        </w:rPr>
        <w:t>, and the positive impact of participatio</w:t>
      </w:r>
      <w:r w:rsidR="005A35CB" w:rsidRPr="00E317BB">
        <w:rPr>
          <w:rFonts w:ascii="Times New Roman" w:hAnsi="Times New Roman" w:cs="Times New Roman"/>
        </w:rPr>
        <w:t>n in activities, which can lead</w:t>
      </w:r>
      <w:r w:rsidRPr="00E317BB">
        <w:rPr>
          <w:rFonts w:ascii="Times New Roman" w:hAnsi="Times New Roman" w:cs="Times New Roman"/>
        </w:rPr>
        <w:t xml:space="preserve"> to a reduction in challenging behaviour</w:t>
      </w:r>
      <w:r w:rsidR="005A35CB" w:rsidRPr="00E317BB">
        <w:rPr>
          <w:rFonts w:ascii="Times New Roman" w:hAnsi="Times New Roman" w:cs="Times New Roman"/>
        </w:rPr>
        <w:t>s</w:t>
      </w:r>
      <w:r w:rsidRPr="00E317BB">
        <w:rPr>
          <w:rFonts w:ascii="Times New Roman" w:hAnsi="Times New Roman" w:cs="Times New Roman"/>
        </w:rPr>
        <w:t xml:space="preserve"> and depres</w:t>
      </w:r>
      <w:r w:rsidR="00350A27" w:rsidRPr="00E317BB">
        <w:rPr>
          <w:rFonts w:ascii="Times New Roman" w:hAnsi="Times New Roman" w:cs="Times New Roman"/>
        </w:rPr>
        <w:t>sio</w:t>
      </w:r>
      <w:r w:rsidR="00CC146B" w:rsidRPr="00E317BB">
        <w:rPr>
          <w:rFonts w:ascii="Times New Roman" w:hAnsi="Times New Roman" w:cs="Times New Roman"/>
        </w:rPr>
        <w:t xml:space="preserve">n, and </w:t>
      </w:r>
      <w:r w:rsidRPr="00E317BB">
        <w:rPr>
          <w:rFonts w:ascii="Times New Roman" w:hAnsi="Times New Roman" w:cs="Times New Roman"/>
        </w:rPr>
        <w:t>improvements in mood</w:t>
      </w:r>
      <w:r w:rsidR="006F369D" w:rsidRPr="00E317BB">
        <w:rPr>
          <w:rFonts w:ascii="Times New Roman" w:hAnsi="Times New Roman" w:cs="Times New Roman"/>
          <w:vertAlign w:val="superscript"/>
          <w:lang w:val="en-US"/>
        </w:rPr>
        <w:t>21,22,26,27</w:t>
      </w:r>
      <w:r w:rsidR="007A3C99" w:rsidRPr="00E317BB">
        <w:rPr>
          <w:rFonts w:ascii="Times New Roman" w:hAnsi="Times New Roman" w:cs="Times New Roman"/>
        </w:rPr>
        <w:t>. The</w:t>
      </w:r>
      <w:r w:rsidR="00984103" w:rsidRPr="00E317BB">
        <w:rPr>
          <w:rFonts w:ascii="Times New Roman" w:hAnsi="Times New Roman" w:cs="Times New Roman"/>
        </w:rPr>
        <w:t xml:space="preserve"> study of engagement is </w:t>
      </w:r>
      <w:r w:rsidR="008B1499" w:rsidRPr="00E317BB">
        <w:rPr>
          <w:rFonts w:ascii="Times New Roman" w:hAnsi="Times New Roman" w:cs="Times New Roman"/>
        </w:rPr>
        <w:t xml:space="preserve">therefore </w:t>
      </w:r>
      <w:r w:rsidR="00984103" w:rsidRPr="00E317BB">
        <w:rPr>
          <w:rFonts w:ascii="Times New Roman" w:hAnsi="Times New Roman" w:cs="Times New Roman"/>
        </w:rPr>
        <w:t>fundamental to the development of no</w:t>
      </w:r>
      <w:r w:rsidR="007A3C99" w:rsidRPr="00E317BB">
        <w:rPr>
          <w:rFonts w:ascii="Times New Roman" w:hAnsi="Times New Roman" w:cs="Times New Roman"/>
        </w:rPr>
        <w:t>n</w:t>
      </w:r>
      <w:r w:rsidR="00AC7A2C" w:rsidRPr="00E317BB">
        <w:rPr>
          <w:rFonts w:ascii="Times New Roman" w:hAnsi="Times New Roman" w:cs="Times New Roman"/>
        </w:rPr>
        <w:t>-</w:t>
      </w:r>
      <w:r w:rsidR="00984103" w:rsidRPr="00E317BB">
        <w:rPr>
          <w:rFonts w:ascii="Times New Roman" w:hAnsi="Times New Roman" w:cs="Times New Roman"/>
        </w:rPr>
        <w:t>pharmacological interventions for people with dementia</w:t>
      </w:r>
      <w:r w:rsidR="006F369D" w:rsidRPr="00E317BB">
        <w:rPr>
          <w:rFonts w:ascii="Times New Roman" w:hAnsi="Times New Roman" w:cs="Times New Roman"/>
          <w:vertAlign w:val="superscript"/>
          <w:lang w:val="en-US"/>
        </w:rPr>
        <w:t>28</w:t>
      </w:r>
      <w:r w:rsidR="00984103" w:rsidRPr="00E317BB">
        <w:rPr>
          <w:rFonts w:ascii="Times New Roman" w:hAnsi="Times New Roman" w:cs="Times New Roman"/>
        </w:rPr>
        <w:t xml:space="preserve"> and to determine the </w:t>
      </w:r>
      <w:r w:rsidR="000474E9" w:rsidRPr="00E317BB">
        <w:rPr>
          <w:rFonts w:ascii="Times New Roman" w:hAnsi="Times New Roman" w:cs="Times New Roman"/>
        </w:rPr>
        <w:t>efficacy</w:t>
      </w:r>
      <w:r w:rsidR="00984103" w:rsidRPr="00E317BB">
        <w:rPr>
          <w:rFonts w:ascii="Times New Roman" w:hAnsi="Times New Roman" w:cs="Times New Roman"/>
        </w:rPr>
        <w:t xml:space="preserve"> of interventions that promote meaningful activity</w:t>
      </w:r>
      <w:r w:rsidR="006F369D" w:rsidRPr="00E317BB">
        <w:rPr>
          <w:rFonts w:ascii="Times New Roman" w:hAnsi="Times New Roman" w:cs="Times New Roman"/>
          <w:vertAlign w:val="superscript"/>
          <w:lang w:val="en-US"/>
        </w:rPr>
        <w:t>29</w:t>
      </w:r>
      <w:r w:rsidR="00984103" w:rsidRPr="00E317BB">
        <w:rPr>
          <w:rFonts w:ascii="Times New Roman" w:hAnsi="Times New Roman" w:cs="Times New Roman"/>
        </w:rPr>
        <w:t>.</w:t>
      </w:r>
      <w:r w:rsidR="008B1499" w:rsidRPr="00E317BB">
        <w:rPr>
          <w:rFonts w:ascii="Times New Roman" w:hAnsi="Times New Roman" w:cs="Times New Roman"/>
        </w:rPr>
        <w:t xml:space="preserve"> Examples of meaningful activity include</w:t>
      </w:r>
      <w:r w:rsidR="006F369D" w:rsidRPr="00E317BB">
        <w:rPr>
          <w:rFonts w:ascii="Times New Roman" w:hAnsi="Times New Roman" w:cs="Times New Roman"/>
          <w:vertAlign w:val="superscript"/>
          <w:lang w:val="en-US"/>
        </w:rPr>
        <w:t>21</w:t>
      </w:r>
      <w:r w:rsidR="008B1499" w:rsidRPr="00E317BB">
        <w:rPr>
          <w:rFonts w:ascii="Times New Roman" w:hAnsi="Times New Roman" w:cs="Times New Roman"/>
        </w:rPr>
        <w:t>: groups organised for</w:t>
      </w:r>
      <w:r w:rsidR="00AC7A2C" w:rsidRPr="00E317BB">
        <w:rPr>
          <w:rFonts w:ascii="Times New Roman" w:hAnsi="Times New Roman" w:cs="Times New Roman"/>
        </w:rPr>
        <w:t xml:space="preserve"> peer support, life story work</w:t>
      </w:r>
      <w:r w:rsidR="008B1499" w:rsidRPr="00E317BB">
        <w:rPr>
          <w:rFonts w:ascii="Times New Roman" w:hAnsi="Times New Roman" w:cs="Times New Roman"/>
        </w:rPr>
        <w:t>, intergenerational activities, Montessori-based activities, new creative activities (such as music, dance and arts activities)</w:t>
      </w:r>
      <w:r w:rsidR="000474E9" w:rsidRPr="00E317BB">
        <w:rPr>
          <w:rFonts w:ascii="Times New Roman" w:hAnsi="Times New Roman" w:cs="Times New Roman"/>
        </w:rPr>
        <w:t>, reminiscence and memory-recall activities, Cognitive Stimulation Therapy</w:t>
      </w:r>
      <w:r w:rsidR="006F369D" w:rsidRPr="00E317BB">
        <w:rPr>
          <w:rFonts w:ascii="Times New Roman" w:hAnsi="Times New Roman" w:cs="Times New Roman"/>
          <w:vertAlign w:val="superscript"/>
          <w:lang w:val="en-US"/>
        </w:rPr>
        <w:t>30–32</w:t>
      </w:r>
      <w:r w:rsidR="000474E9" w:rsidRPr="00E317BB">
        <w:rPr>
          <w:rFonts w:ascii="Times New Roman" w:hAnsi="Times New Roman" w:cs="Times New Roman"/>
        </w:rPr>
        <w:t xml:space="preserve"> (CST)</w:t>
      </w:r>
      <w:r w:rsidR="005200A3" w:rsidRPr="00E317BB">
        <w:rPr>
          <w:rFonts w:ascii="Times New Roman" w:hAnsi="Times New Roman" w:cs="Times New Roman"/>
        </w:rPr>
        <w:t>,</w:t>
      </w:r>
      <w:r w:rsidR="008B1499" w:rsidRPr="00E317BB">
        <w:rPr>
          <w:rFonts w:ascii="Times New Roman" w:hAnsi="Times New Roman" w:cs="Times New Roman"/>
        </w:rPr>
        <w:t xml:space="preserve"> as well as re-acquaintance with previously conducted activities. It </w:t>
      </w:r>
      <w:r w:rsidR="00AC18D3" w:rsidRPr="00E317BB">
        <w:rPr>
          <w:rFonts w:ascii="Times New Roman" w:hAnsi="Times New Roman" w:cs="Times New Roman"/>
        </w:rPr>
        <w:t>has been</w:t>
      </w:r>
      <w:r w:rsidR="008B1499" w:rsidRPr="00E317BB">
        <w:rPr>
          <w:rFonts w:ascii="Times New Roman" w:hAnsi="Times New Roman" w:cs="Times New Roman"/>
        </w:rPr>
        <w:t xml:space="preserve"> proposed that m</w:t>
      </w:r>
      <w:r w:rsidR="00CC146B" w:rsidRPr="00E317BB">
        <w:rPr>
          <w:rFonts w:ascii="Times New Roman" w:hAnsi="Times New Roman" w:cs="Times New Roman"/>
        </w:rPr>
        <w:t xml:space="preserve">useum </w:t>
      </w:r>
      <w:r w:rsidR="00984103" w:rsidRPr="00E317BB">
        <w:rPr>
          <w:rFonts w:ascii="Times New Roman" w:hAnsi="Times New Roman" w:cs="Times New Roman"/>
        </w:rPr>
        <w:t>activities,</w:t>
      </w:r>
      <w:r w:rsidR="00CC146B" w:rsidRPr="00E317BB">
        <w:rPr>
          <w:rFonts w:ascii="Times New Roman" w:hAnsi="Times New Roman" w:cs="Times New Roman"/>
        </w:rPr>
        <w:t xml:space="preserve"> including museum visits and object handling sessions, are </w:t>
      </w:r>
      <w:r w:rsidR="008B1499" w:rsidRPr="00E317BB">
        <w:rPr>
          <w:rFonts w:ascii="Times New Roman" w:hAnsi="Times New Roman" w:cs="Times New Roman"/>
        </w:rPr>
        <w:t xml:space="preserve">another </w:t>
      </w:r>
      <w:r w:rsidR="00CC146B" w:rsidRPr="00E317BB">
        <w:rPr>
          <w:rFonts w:ascii="Times New Roman" w:hAnsi="Times New Roman" w:cs="Times New Roman"/>
        </w:rPr>
        <w:t xml:space="preserve">example of a </w:t>
      </w:r>
      <w:r w:rsidR="007A3C99" w:rsidRPr="00E317BB">
        <w:rPr>
          <w:rFonts w:ascii="Times New Roman" w:hAnsi="Times New Roman" w:cs="Times New Roman"/>
        </w:rPr>
        <w:t xml:space="preserve">potential </w:t>
      </w:r>
      <w:r w:rsidR="00CC146B" w:rsidRPr="00E317BB">
        <w:rPr>
          <w:rFonts w:ascii="Times New Roman" w:hAnsi="Times New Roman" w:cs="Times New Roman"/>
        </w:rPr>
        <w:t>meaningful activity for people with dementia and their carers</w:t>
      </w:r>
      <w:r w:rsidR="008B1499" w:rsidRPr="00E317BB">
        <w:rPr>
          <w:rFonts w:ascii="Times New Roman" w:hAnsi="Times New Roman" w:cs="Times New Roman"/>
        </w:rPr>
        <w:t xml:space="preserve">. </w:t>
      </w:r>
      <w:r w:rsidR="00647957" w:rsidRPr="00E317BB">
        <w:rPr>
          <w:rFonts w:ascii="Times New Roman" w:hAnsi="Times New Roman" w:cs="Times New Roman"/>
        </w:rPr>
        <w:t>Recent studies</w:t>
      </w:r>
      <w:r w:rsidR="008B1499" w:rsidRPr="00E317BB">
        <w:rPr>
          <w:rFonts w:ascii="Times New Roman" w:hAnsi="Times New Roman" w:cs="Times New Roman"/>
        </w:rPr>
        <w:t xml:space="preserve"> reported positive wellbeing impact for people with mild-to-moderate dementia taking part in creative museum activities with their carers, including museum object handling and art viewing in a gallery</w:t>
      </w:r>
      <w:r w:rsidR="00647957" w:rsidRPr="00E317BB">
        <w:rPr>
          <w:rFonts w:ascii="Times New Roman" w:hAnsi="Times New Roman" w:cs="Times New Roman"/>
          <w:vertAlign w:val="superscript"/>
          <w:lang w:val="en-US"/>
        </w:rPr>
        <w:t>7,8</w:t>
      </w:r>
      <w:r w:rsidR="008B1499" w:rsidRPr="00E317BB">
        <w:rPr>
          <w:rFonts w:ascii="Times New Roman" w:hAnsi="Times New Roman" w:cs="Times New Roman"/>
        </w:rPr>
        <w:t xml:space="preserve">. </w:t>
      </w:r>
      <w:r w:rsidR="00647957" w:rsidRPr="00E317BB">
        <w:rPr>
          <w:rFonts w:ascii="Times New Roman" w:hAnsi="Times New Roman" w:cs="Times New Roman"/>
        </w:rPr>
        <w:t>A further study define</w:t>
      </w:r>
      <w:r w:rsidR="005B7F0F" w:rsidRPr="00E317BB">
        <w:rPr>
          <w:rFonts w:ascii="Times New Roman" w:hAnsi="Times New Roman" w:cs="Times New Roman"/>
        </w:rPr>
        <w:t>d</w:t>
      </w:r>
      <w:r w:rsidR="00647957" w:rsidRPr="00E317BB">
        <w:rPr>
          <w:rFonts w:ascii="Times New Roman" w:hAnsi="Times New Roman" w:cs="Times New Roman"/>
        </w:rPr>
        <w:t xml:space="preserve"> the environmental attributes of the art gallery and their positive emotional and relational effects for people with dementia and their carers</w:t>
      </w:r>
      <w:r w:rsidR="00647957" w:rsidRPr="00E317BB">
        <w:rPr>
          <w:rFonts w:ascii="Times New Roman" w:hAnsi="Times New Roman" w:cs="Times New Roman"/>
          <w:vertAlign w:val="superscript"/>
          <w:lang w:val="en-US"/>
        </w:rPr>
        <w:t>6</w:t>
      </w:r>
      <w:r w:rsidR="00647957" w:rsidRPr="00E317BB">
        <w:rPr>
          <w:rFonts w:ascii="Times New Roman" w:hAnsi="Times New Roman" w:cs="Times New Roman"/>
        </w:rPr>
        <w:t xml:space="preserve">. </w:t>
      </w:r>
    </w:p>
    <w:p w14:paraId="159AA0EB" w14:textId="7DDE9B5E" w:rsidR="00647957" w:rsidRPr="00E317BB" w:rsidRDefault="00647957" w:rsidP="00647957">
      <w:pPr>
        <w:spacing w:line="480" w:lineRule="auto"/>
        <w:jc w:val="both"/>
        <w:rPr>
          <w:rFonts w:ascii="Times New Roman" w:hAnsi="Times New Roman" w:cs="Times New Roman"/>
          <w:b/>
        </w:rPr>
      </w:pPr>
      <w:r w:rsidRPr="00E317BB">
        <w:rPr>
          <w:rFonts w:ascii="Times New Roman" w:hAnsi="Times New Roman" w:cs="Times New Roman"/>
        </w:rPr>
        <w:t>The needs and abilities of people change with the various stages of dementia and therefore activities should be adapted across the dementia trajectory. A recent study examine</w:t>
      </w:r>
      <w:r w:rsidR="00AC7A2C" w:rsidRPr="00E317BB">
        <w:rPr>
          <w:rFonts w:ascii="Times New Roman" w:hAnsi="Times New Roman" w:cs="Times New Roman"/>
        </w:rPr>
        <w:t>d</w:t>
      </w:r>
      <w:r w:rsidRPr="00E317BB">
        <w:rPr>
          <w:rFonts w:ascii="Times New Roman" w:hAnsi="Times New Roman" w:cs="Times New Roman"/>
        </w:rPr>
        <w:t xml:space="preserve"> the characteristics of activities in relation to </w:t>
      </w:r>
      <w:r w:rsidR="005B7F0F" w:rsidRPr="00E317BB">
        <w:rPr>
          <w:rFonts w:ascii="Times New Roman" w:hAnsi="Times New Roman" w:cs="Times New Roman"/>
        </w:rPr>
        <w:t xml:space="preserve">the </w:t>
      </w:r>
      <w:r w:rsidRPr="00E317BB">
        <w:rPr>
          <w:rFonts w:ascii="Times New Roman" w:hAnsi="Times New Roman" w:cs="Times New Roman"/>
        </w:rPr>
        <w:t>stages of dementia</w:t>
      </w:r>
      <w:r w:rsidR="006F369D" w:rsidRPr="00E317BB">
        <w:rPr>
          <w:rFonts w:ascii="Times New Roman" w:hAnsi="Times New Roman" w:cs="Times New Roman"/>
          <w:vertAlign w:val="superscript"/>
          <w:lang w:val="en-US"/>
        </w:rPr>
        <w:t>33</w:t>
      </w:r>
      <w:r w:rsidRPr="00E317BB">
        <w:rPr>
          <w:rFonts w:ascii="Times New Roman" w:hAnsi="Times New Roman" w:cs="Times New Roman"/>
        </w:rPr>
        <w:t xml:space="preserve">. The authors found </w:t>
      </w:r>
      <w:r w:rsidR="00AC7A2C" w:rsidRPr="00E317BB">
        <w:rPr>
          <w:rFonts w:ascii="Times New Roman" w:hAnsi="Times New Roman" w:cs="Times New Roman"/>
        </w:rPr>
        <w:t>that pe</w:t>
      </w:r>
      <w:r w:rsidRPr="00E317BB">
        <w:rPr>
          <w:rFonts w:ascii="Times New Roman" w:hAnsi="Times New Roman" w:cs="Times New Roman"/>
        </w:rPr>
        <w:t>ople with mild dementia could readily engage with complex arts and crafts activities and cognitive activities requiring multi</w:t>
      </w:r>
      <w:r w:rsidR="00AC7A2C" w:rsidRPr="00E317BB">
        <w:rPr>
          <w:rFonts w:ascii="Times New Roman" w:hAnsi="Times New Roman" w:cs="Times New Roman"/>
        </w:rPr>
        <w:t>-steps</w:t>
      </w:r>
      <w:r w:rsidRPr="00E317BB">
        <w:rPr>
          <w:rFonts w:ascii="Times New Roman" w:hAnsi="Times New Roman" w:cs="Times New Roman"/>
        </w:rPr>
        <w:t xml:space="preserve">. People with moderate dementia engaged with activities that were not necessarily goal-orientated, requiring repetitive tasks, with one or two-steps directions, and people with severe dementia engaged with simple non goal-oriented activities such as simple movement tasks and/or manipulation/sensory/sorting activities. Museum object handling can therefore be adapted across the dementia trajectory, from being part of complex creative activities to more simple tactile engagement. Our study aims to examine the experience of engagement with museum objects in the context of a handling session delivered in a hospital ward for people with moderate-to-severe dementia. </w:t>
      </w:r>
      <w:r w:rsidR="005A35CB" w:rsidRPr="00E317BB">
        <w:rPr>
          <w:rFonts w:ascii="Times New Roman" w:hAnsi="Times New Roman" w:cs="Times New Roman"/>
        </w:rPr>
        <w:t xml:space="preserve">The sessions are framed as a meaningful activity adapted to the level of dementia, and as a potential adjunct to approaches such as CST. </w:t>
      </w:r>
    </w:p>
    <w:p w14:paraId="775A9BEB" w14:textId="5F817BE1" w:rsidR="008B1499" w:rsidRPr="00E317BB" w:rsidRDefault="008B1499" w:rsidP="00AC7A2C">
      <w:pPr>
        <w:pStyle w:val="ListParagraph"/>
        <w:spacing w:line="480" w:lineRule="auto"/>
        <w:ind w:left="0"/>
        <w:jc w:val="both"/>
        <w:rPr>
          <w:rFonts w:ascii="Times New Roman" w:hAnsi="Times New Roman" w:cs="Times New Roman"/>
          <w:sz w:val="22"/>
          <w:szCs w:val="22"/>
        </w:rPr>
      </w:pPr>
    </w:p>
    <w:p w14:paraId="38610B96" w14:textId="77777777" w:rsidR="00096A42" w:rsidRPr="00E317BB" w:rsidRDefault="00096A42" w:rsidP="007A3C99">
      <w:pPr>
        <w:spacing w:line="480" w:lineRule="auto"/>
        <w:jc w:val="both"/>
        <w:rPr>
          <w:rFonts w:ascii="Times New Roman" w:hAnsi="Times New Roman" w:cs="Times New Roman"/>
          <w:b/>
        </w:rPr>
      </w:pPr>
    </w:p>
    <w:p w14:paraId="69633713" w14:textId="58E7434F" w:rsidR="00DF5328" w:rsidRPr="00E317BB" w:rsidRDefault="00DF5328" w:rsidP="00DF5328">
      <w:pPr>
        <w:spacing w:line="480" w:lineRule="auto"/>
        <w:jc w:val="both"/>
        <w:rPr>
          <w:rFonts w:ascii="Times New Roman" w:hAnsi="Times New Roman" w:cs="Times New Roman"/>
        </w:rPr>
      </w:pPr>
      <w:r w:rsidRPr="00E317BB">
        <w:rPr>
          <w:rFonts w:ascii="Times New Roman" w:hAnsi="Times New Roman" w:cs="Times New Roman"/>
          <w:b/>
        </w:rPr>
        <w:t xml:space="preserve">Collaborative research for co-developing methodologies </w:t>
      </w:r>
    </w:p>
    <w:p w14:paraId="4EE93FBE" w14:textId="6327212E" w:rsidR="00DF5328" w:rsidRPr="00E317BB" w:rsidRDefault="00AC18D3" w:rsidP="00DF5328">
      <w:pPr>
        <w:spacing w:line="480" w:lineRule="auto"/>
        <w:jc w:val="both"/>
        <w:rPr>
          <w:rFonts w:ascii="Times New Roman" w:hAnsi="Times New Roman" w:cs="Times New Roman"/>
        </w:rPr>
      </w:pPr>
      <w:r w:rsidRPr="00E317BB">
        <w:rPr>
          <w:rFonts w:ascii="Times New Roman" w:hAnsi="Times New Roman" w:cs="Times New Roman"/>
        </w:rPr>
        <w:t>Previous research has highlighted the importance of conducting collaborative research into the efficacy of engagement activities for people with dementia and their carers. The REMCARE study undertook a Randomised Controlled Trial (RCT) to assess the effectiveness and cost-effectiveness of group reminiscence for people with dementia and caregivers (n=350)</w:t>
      </w:r>
      <w:r w:rsidR="006F369D" w:rsidRPr="00E317BB">
        <w:rPr>
          <w:rFonts w:ascii="Times New Roman" w:hAnsi="Times New Roman" w:cs="Times New Roman"/>
          <w:vertAlign w:val="superscript"/>
          <w:lang w:val="en-US"/>
        </w:rPr>
        <w:t>34</w:t>
      </w:r>
      <w:r w:rsidRPr="00E317BB">
        <w:rPr>
          <w:rFonts w:ascii="Times New Roman" w:hAnsi="Times New Roman" w:cs="Times New Roman"/>
        </w:rPr>
        <w:t xml:space="preserve">. Reminiscence is one of the most widely deployed engagement activities for people with dementia, but research regarding the efficacy of reminiscence and other memory recall activities has </w:t>
      </w:r>
      <w:r w:rsidR="005200A3" w:rsidRPr="00E317BB">
        <w:rPr>
          <w:rFonts w:ascii="Times New Roman" w:hAnsi="Times New Roman" w:cs="Times New Roman"/>
        </w:rPr>
        <w:t>revealed</w:t>
      </w:r>
      <w:r w:rsidRPr="00E317BB">
        <w:rPr>
          <w:rFonts w:ascii="Times New Roman" w:hAnsi="Times New Roman" w:cs="Times New Roman"/>
        </w:rPr>
        <w:t xml:space="preserve"> mixed</w:t>
      </w:r>
      <w:r w:rsidR="005200A3" w:rsidRPr="00E317BB">
        <w:rPr>
          <w:rFonts w:ascii="Times New Roman" w:hAnsi="Times New Roman" w:cs="Times New Roman"/>
        </w:rPr>
        <w:t xml:space="preserve"> findings</w:t>
      </w:r>
      <w:r w:rsidRPr="00E317BB">
        <w:rPr>
          <w:rFonts w:ascii="Times New Roman" w:hAnsi="Times New Roman" w:cs="Times New Roman"/>
        </w:rPr>
        <w:t xml:space="preserve">. The REMCARE study found no significant differences in outcomes (including Quality of Life and GHQ-28) between the intervention and control conditions and a significant increase in carer burden, anxiety and stress. </w:t>
      </w:r>
      <w:r w:rsidR="005200A3" w:rsidRPr="00E317BB">
        <w:rPr>
          <w:rFonts w:ascii="Times New Roman" w:hAnsi="Times New Roman" w:cs="Times New Roman"/>
        </w:rPr>
        <w:t>Notwithstanding these findings,</w:t>
      </w:r>
      <w:r w:rsidRPr="00E317BB">
        <w:rPr>
          <w:rFonts w:ascii="Times New Roman" w:hAnsi="Times New Roman" w:cs="Times New Roman"/>
        </w:rPr>
        <w:t xml:space="preserve"> RCTs are expensive and may not capture the nuanced, more qualitatively-derived advantages of cultural engagement activities designed for people with dementia. </w:t>
      </w:r>
      <w:r w:rsidR="00DF5328" w:rsidRPr="00E317BB">
        <w:rPr>
          <w:rFonts w:ascii="Times New Roman" w:hAnsi="Times New Roman" w:cs="Times New Roman"/>
        </w:rPr>
        <w:t xml:space="preserve">Our argument in this paper is that all research projects should begin with consultation of key groups </w:t>
      </w:r>
      <w:r w:rsidR="00DF5328" w:rsidRPr="00E317BB">
        <w:rPr>
          <w:rFonts w:ascii="Times New Roman" w:hAnsi="Times New Roman" w:cs="Times New Roman"/>
          <w:i/>
        </w:rPr>
        <w:t>and</w:t>
      </w:r>
      <w:r w:rsidR="00DF5328" w:rsidRPr="00E317BB">
        <w:rPr>
          <w:rFonts w:ascii="Times New Roman" w:hAnsi="Times New Roman" w:cs="Times New Roman"/>
        </w:rPr>
        <w:t xml:space="preserve"> that there are particular advantages to co-developing methods to investigate the effects and impact of a </w:t>
      </w:r>
      <w:r w:rsidR="00572EE4" w:rsidRPr="00E317BB">
        <w:rPr>
          <w:rFonts w:ascii="Times New Roman" w:hAnsi="Times New Roman" w:cs="Times New Roman"/>
        </w:rPr>
        <w:t xml:space="preserve">cultural </w:t>
      </w:r>
      <w:r w:rsidR="00DF5328" w:rsidRPr="00E317BB">
        <w:rPr>
          <w:rFonts w:ascii="Times New Roman" w:hAnsi="Times New Roman" w:cs="Times New Roman"/>
        </w:rPr>
        <w:t>intervention. In t</w:t>
      </w:r>
      <w:r w:rsidRPr="00E317BB">
        <w:rPr>
          <w:rFonts w:ascii="Times New Roman" w:hAnsi="Times New Roman" w:cs="Times New Roman"/>
        </w:rPr>
        <w:t>he following section</w:t>
      </w:r>
      <w:r w:rsidR="00DF5328" w:rsidRPr="00E317BB">
        <w:rPr>
          <w:rFonts w:ascii="Times New Roman" w:hAnsi="Times New Roman" w:cs="Times New Roman"/>
        </w:rPr>
        <w:t xml:space="preserve">, we briefly summarise our approach to co-developing methodologies as a 4 step-approach that can be applied to other arts in health and museums in health programmes (see figure 1). </w:t>
      </w:r>
    </w:p>
    <w:p w14:paraId="58372BB0" w14:textId="77777777" w:rsidR="00C26ABF" w:rsidRPr="00E317BB" w:rsidRDefault="00C26ABF" w:rsidP="00DF5328">
      <w:pPr>
        <w:spacing w:line="480" w:lineRule="auto"/>
        <w:jc w:val="both"/>
        <w:rPr>
          <w:rFonts w:ascii="Times New Roman" w:hAnsi="Times New Roman" w:cs="Times New Roman"/>
          <w:b/>
        </w:rPr>
      </w:pPr>
    </w:p>
    <w:p w14:paraId="46B8FDE5" w14:textId="59DA9BCB" w:rsidR="00DF5328" w:rsidRPr="00E317BB" w:rsidRDefault="00DF5328" w:rsidP="00DF5328">
      <w:pPr>
        <w:spacing w:line="480" w:lineRule="auto"/>
        <w:jc w:val="both"/>
        <w:rPr>
          <w:rFonts w:ascii="Times New Roman" w:hAnsi="Times New Roman" w:cs="Times New Roman"/>
        </w:rPr>
      </w:pPr>
      <w:r w:rsidRPr="00E317BB">
        <w:rPr>
          <w:rFonts w:ascii="Times New Roman" w:hAnsi="Times New Roman" w:cs="Times New Roman"/>
          <w:b/>
          <w:i/>
        </w:rPr>
        <w:t>Step 1: Identifying benefits from multiple perspectives</w:t>
      </w:r>
      <w:r w:rsidR="00C26ABF" w:rsidRPr="00E317BB">
        <w:rPr>
          <w:rFonts w:ascii="Times New Roman" w:hAnsi="Times New Roman" w:cs="Times New Roman"/>
        </w:rPr>
        <w:t xml:space="preserve">. </w:t>
      </w:r>
      <w:r w:rsidRPr="00E317BB">
        <w:rPr>
          <w:rFonts w:ascii="Times New Roman" w:hAnsi="Times New Roman" w:cs="Times New Roman"/>
        </w:rPr>
        <w:t>In order to understand the benefits of cultural programming for health, it is crucial to understand the situated contexts of each project partner and participant. This ensures that research is grounded in the experiences of those people who are at the centre of the study. Research that builds on experience is especially important when the objective is to evaluate impac</w:t>
      </w:r>
      <w:r w:rsidR="00AC7A2C" w:rsidRPr="00E317BB">
        <w:rPr>
          <w:rFonts w:ascii="Times New Roman" w:hAnsi="Times New Roman" w:cs="Times New Roman"/>
        </w:rPr>
        <w:t>t.</w:t>
      </w:r>
      <w:r w:rsidRPr="00E317BB">
        <w:rPr>
          <w:rFonts w:ascii="Times New Roman" w:hAnsi="Times New Roman" w:cs="Times New Roman"/>
        </w:rPr>
        <w:t xml:space="preserve"> We suggest it is also useful to understand commonly used forms of assessment in healthcare settings to further elucidate how impact is framed and measured in terms of health and wellbeing outcomes and from the perspectives of healthcare staff. Interviews (formal and informal) and focus group discussions can be used to identify areas of benefits.</w:t>
      </w:r>
      <w:r w:rsidRPr="00E317BB">
        <w:rPr>
          <w:rFonts w:ascii="Times New Roman" w:hAnsi="Times New Roman" w:cs="Times New Roman"/>
          <w:i/>
        </w:rPr>
        <w:t xml:space="preserve"> </w:t>
      </w:r>
      <w:r w:rsidRPr="00E317BB">
        <w:rPr>
          <w:rFonts w:ascii="Times New Roman" w:hAnsi="Times New Roman" w:cs="Times New Roman"/>
        </w:rPr>
        <w:t>Questions should be directed to uncover</w:t>
      </w:r>
      <w:r w:rsidRPr="00E317BB">
        <w:rPr>
          <w:rFonts w:ascii="Times New Roman" w:hAnsi="Times New Roman" w:cs="Times New Roman"/>
          <w:bCs/>
          <w:lang w:eastAsia="en-GB"/>
        </w:rPr>
        <w:t xml:space="preserve"> stakeholders’ perspectives on the objectives and possible outcomes of creative activities</w:t>
      </w:r>
      <w:r w:rsidRPr="00E317BB">
        <w:rPr>
          <w:rFonts w:ascii="Times New Roman" w:hAnsi="Times New Roman" w:cs="Times New Roman"/>
        </w:rPr>
        <w:t>. Additionally, informal feedback can be used with clients and patients during the pilot sessions to capture a sense of their experience and their own understandings of what supports their health and wellbeing.</w:t>
      </w:r>
    </w:p>
    <w:p w14:paraId="47C3E4B6" w14:textId="4B072B5A" w:rsidR="00DF5328" w:rsidRPr="00E317BB" w:rsidRDefault="00DF5328" w:rsidP="00DF5328">
      <w:pPr>
        <w:spacing w:line="480" w:lineRule="auto"/>
        <w:jc w:val="both"/>
        <w:rPr>
          <w:rFonts w:ascii="Times New Roman" w:hAnsi="Times New Roman" w:cs="Times New Roman"/>
        </w:rPr>
      </w:pPr>
      <w:r w:rsidRPr="00E317BB">
        <w:rPr>
          <w:rFonts w:ascii="Times New Roman" w:hAnsi="Times New Roman" w:cs="Times New Roman"/>
          <w:b/>
          <w:i/>
        </w:rPr>
        <w:t>Step 2: Integrating multiple perspectives and co-developing methodologies</w:t>
      </w:r>
      <w:r w:rsidR="00C26ABF" w:rsidRPr="00E317BB">
        <w:rPr>
          <w:rFonts w:ascii="Times New Roman" w:hAnsi="Times New Roman" w:cs="Times New Roman"/>
        </w:rPr>
        <w:t xml:space="preserve">. </w:t>
      </w:r>
      <w:r w:rsidRPr="00E317BB">
        <w:rPr>
          <w:rFonts w:ascii="Times New Roman" w:hAnsi="Times New Roman" w:cs="Times New Roman"/>
        </w:rPr>
        <w:t xml:space="preserve">The </w:t>
      </w:r>
      <w:r w:rsidR="00C26ABF" w:rsidRPr="00E317BB">
        <w:rPr>
          <w:rFonts w:ascii="Times New Roman" w:hAnsi="Times New Roman" w:cs="Times New Roman"/>
        </w:rPr>
        <w:t>aim</w:t>
      </w:r>
      <w:r w:rsidRPr="00E317BB">
        <w:rPr>
          <w:rFonts w:ascii="Times New Roman" w:hAnsi="Times New Roman" w:cs="Times New Roman"/>
        </w:rPr>
        <w:t xml:space="preserve"> is to integrate diverse ways of knowing the impact of </w:t>
      </w:r>
      <w:r w:rsidR="008B1FF8" w:rsidRPr="00E317BB">
        <w:rPr>
          <w:rFonts w:ascii="Times New Roman" w:hAnsi="Times New Roman" w:cs="Times New Roman"/>
        </w:rPr>
        <w:t xml:space="preserve">cultural </w:t>
      </w:r>
      <w:r w:rsidRPr="00E317BB">
        <w:rPr>
          <w:rFonts w:ascii="Times New Roman" w:hAnsi="Times New Roman" w:cs="Times New Roman"/>
        </w:rPr>
        <w:t xml:space="preserve">programmes, bringing together experiential knowledge, patient values, professional judgements and outcomes-based assessments, in order to co-develop a methodology to capture this evidence. It should be noted that the development of new methods is an iterative and collaborative process, and therefore requires multiple research meetings to refine and agree the final methodology. </w:t>
      </w:r>
    </w:p>
    <w:p w14:paraId="26BF69E0" w14:textId="6D16ED11" w:rsidR="00DF5328" w:rsidRPr="00E317BB" w:rsidRDefault="00DF5328" w:rsidP="00DF08FE">
      <w:pPr>
        <w:spacing w:line="480" w:lineRule="auto"/>
        <w:jc w:val="both"/>
        <w:rPr>
          <w:rFonts w:ascii="Times New Roman" w:hAnsi="Times New Roman" w:cs="Times New Roman"/>
          <w:b/>
        </w:rPr>
      </w:pPr>
      <w:r w:rsidRPr="00E317BB">
        <w:rPr>
          <w:rFonts w:ascii="Times New Roman" w:hAnsi="Times New Roman" w:cs="Times New Roman"/>
          <w:b/>
          <w:i/>
        </w:rPr>
        <w:t>Step 3: Implementation</w:t>
      </w:r>
      <w:r w:rsidR="00C26ABF" w:rsidRPr="00E317BB">
        <w:rPr>
          <w:rFonts w:ascii="Times New Roman" w:hAnsi="Times New Roman" w:cs="Times New Roman"/>
        </w:rPr>
        <w:t xml:space="preserve">, </w:t>
      </w:r>
      <w:r w:rsidRPr="00E317BB">
        <w:rPr>
          <w:rFonts w:ascii="Times New Roman" w:hAnsi="Times New Roman" w:cs="Times New Roman"/>
        </w:rPr>
        <w:t xml:space="preserve">refers to the study set up, recruitment and data collection. </w:t>
      </w:r>
      <w:r w:rsidR="00AC7A2C" w:rsidRPr="00E317BB">
        <w:rPr>
          <w:rFonts w:ascii="Times New Roman" w:hAnsi="Times New Roman" w:cs="Times New Roman"/>
        </w:rPr>
        <w:t>This</w:t>
      </w:r>
      <w:r w:rsidRPr="00E317BB">
        <w:rPr>
          <w:rFonts w:ascii="Times New Roman" w:hAnsi="Times New Roman" w:cs="Times New Roman"/>
        </w:rPr>
        <w:t xml:space="preserve"> step should also include pilot sessions, allowing for methods to be tested and further refined. In many cases the academic research team will conduct the data collection, but this step might also include research partners to collect other information, whether clinical, observational or reflective. </w:t>
      </w:r>
    </w:p>
    <w:p w14:paraId="4049F03F" w14:textId="049E6A26" w:rsidR="00924EB8" w:rsidRPr="00E317BB" w:rsidRDefault="00DF5328" w:rsidP="00DF08FE">
      <w:pPr>
        <w:spacing w:line="480" w:lineRule="auto"/>
        <w:jc w:val="both"/>
        <w:rPr>
          <w:rFonts w:ascii="Times New Roman" w:hAnsi="Times New Roman" w:cs="Times New Roman"/>
          <w:b/>
        </w:rPr>
      </w:pPr>
      <w:r w:rsidRPr="00E317BB">
        <w:rPr>
          <w:rFonts w:ascii="Times New Roman" w:hAnsi="Times New Roman" w:cs="Times New Roman"/>
          <w:b/>
          <w:i/>
        </w:rPr>
        <w:t>Step 4: Interpretation</w:t>
      </w:r>
      <w:r w:rsidR="00C26ABF" w:rsidRPr="00E317BB">
        <w:rPr>
          <w:rFonts w:ascii="Times New Roman" w:hAnsi="Times New Roman" w:cs="Times New Roman"/>
        </w:rPr>
        <w:t xml:space="preserve">, </w:t>
      </w:r>
      <w:r w:rsidRPr="00E317BB">
        <w:rPr>
          <w:rFonts w:ascii="Times New Roman" w:hAnsi="Times New Roman" w:cs="Times New Roman"/>
        </w:rPr>
        <w:t xml:space="preserve">is the data analysis and interpretation of findings. </w:t>
      </w:r>
      <w:r w:rsidR="00C26ABF" w:rsidRPr="00E317BB">
        <w:rPr>
          <w:rFonts w:ascii="Times New Roman" w:hAnsi="Times New Roman" w:cs="Times New Roman"/>
        </w:rPr>
        <w:t xml:space="preserve">Often </w:t>
      </w:r>
      <w:r w:rsidRPr="00E317BB">
        <w:rPr>
          <w:rFonts w:ascii="Times New Roman" w:hAnsi="Times New Roman" w:cs="Times New Roman"/>
        </w:rPr>
        <w:t xml:space="preserve">this phase </w:t>
      </w:r>
      <w:r w:rsidR="00C26ABF" w:rsidRPr="00E317BB">
        <w:rPr>
          <w:rFonts w:ascii="Times New Roman" w:hAnsi="Times New Roman" w:cs="Times New Roman"/>
        </w:rPr>
        <w:t xml:space="preserve">is </w:t>
      </w:r>
      <w:r w:rsidRPr="00E317BB">
        <w:rPr>
          <w:rFonts w:ascii="Times New Roman" w:hAnsi="Times New Roman" w:cs="Times New Roman"/>
        </w:rPr>
        <w:t>undertaken by the academic research team.</w:t>
      </w:r>
      <w:r w:rsidR="00F711F4" w:rsidRPr="00E317BB">
        <w:rPr>
          <w:rFonts w:ascii="Times New Roman" w:hAnsi="Times New Roman" w:cs="Times New Roman"/>
        </w:rPr>
        <w:t xml:space="preserve"> W</w:t>
      </w:r>
      <w:r w:rsidRPr="00E317BB">
        <w:rPr>
          <w:rFonts w:ascii="Times New Roman" w:hAnsi="Times New Roman" w:cs="Times New Roman"/>
        </w:rPr>
        <w:t>ithin the principles of collaborative research, it is</w:t>
      </w:r>
      <w:r w:rsidR="00F711F4" w:rsidRPr="00E317BB">
        <w:rPr>
          <w:rFonts w:ascii="Times New Roman" w:hAnsi="Times New Roman" w:cs="Times New Roman"/>
        </w:rPr>
        <w:t xml:space="preserve"> also</w:t>
      </w:r>
      <w:r w:rsidRPr="00E317BB">
        <w:rPr>
          <w:rFonts w:ascii="Times New Roman" w:hAnsi="Times New Roman" w:cs="Times New Roman"/>
        </w:rPr>
        <w:t xml:space="preserve"> important to factor in time to share with partners both the findings in a digestible form as evidence of the impact of the project, as well as the learning applicable to project delivery. This can ensure that learning is incorporated into future programme design and delivery</w:t>
      </w:r>
      <w:r w:rsidR="00C26ABF" w:rsidRPr="00E317BB">
        <w:rPr>
          <w:rFonts w:ascii="Times New Roman" w:hAnsi="Times New Roman" w:cs="Times New Roman"/>
        </w:rPr>
        <w:t xml:space="preserve"> </w:t>
      </w:r>
      <w:r w:rsidR="000D142B" w:rsidRPr="00E317BB">
        <w:rPr>
          <w:rFonts w:ascii="Times New Roman" w:hAnsi="Times New Roman" w:cs="Times New Roman"/>
        </w:rPr>
        <w:t xml:space="preserve">. </w:t>
      </w:r>
    </w:p>
    <w:p w14:paraId="6F927B06" w14:textId="77777777" w:rsidR="00924EB8" w:rsidRPr="00E317BB" w:rsidRDefault="00924EB8" w:rsidP="007A3C99">
      <w:pPr>
        <w:spacing w:line="480" w:lineRule="auto"/>
        <w:jc w:val="both"/>
        <w:rPr>
          <w:rFonts w:ascii="Times New Roman" w:hAnsi="Times New Roman" w:cs="Times New Roman"/>
          <w:b/>
        </w:rPr>
      </w:pPr>
    </w:p>
    <w:p w14:paraId="36B29E66" w14:textId="22B38ACF" w:rsidR="00C0761F" w:rsidRPr="00E317BB" w:rsidRDefault="00C0761F" w:rsidP="00C0761F">
      <w:pPr>
        <w:spacing w:line="480" w:lineRule="auto"/>
        <w:jc w:val="both"/>
        <w:rPr>
          <w:rFonts w:ascii="Times New Roman" w:hAnsi="Times New Roman" w:cs="Times New Roman"/>
        </w:rPr>
      </w:pPr>
      <w:r w:rsidRPr="00E317BB">
        <w:rPr>
          <w:rFonts w:ascii="Times New Roman" w:hAnsi="Times New Roman" w:cs="Times New Roman"/>
          <w:noProof/>
          <w:lang w:eastAsia="en-GB"/>
        </w:rPr>
        <w:drawing>
          <wp:inline distT="0" distB="0" distL="0" distR="0" wp14:anchorId="7D737F60" wp14:editId="52EA7B49">
            <wp:extent cx="5269973" cy="2804845"/>
            <wp:effectExtent l="25400" t="25400" r="13335" b="146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152"/>
                    <a:stretch/>
                  </pic:blipFill>
                  <pic:spPr bwMode="auto">
                    <a:xfrm>
                      <a:off x="0" y="0"/>
                      <a:ext cx="5270500" cy="2805126"/>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E317BB">
        <w:rPr>
          <w:rFonts w:ascii="Times New Roman" w:hAnsi="Times New Roman" w:cs="Times New Roman"/>
        </w:rPr>
        <w:t>Figure 1:  Co-developing methodologies for culture in health project</w:t>
      </w:r>
      <w:r w:rsidR="005200A3" w:rsidRPr="00E317BB">
        <w:rPr>
          <w:rFonts w:ascii="Times New Roman" w:hAnsi="Times New Roman" w:cs="Times New Roman"/>
        </w:rPr>
        <w:t>s</w:t>
      </w:r>
      <w:r w:rsidRPr="00E317BB">
        <w:rPr>
          <w:rFonts w:ascii="Times New Roman" w:hAnsi="Times New Roman" w:cs="Times New Roman"/>
        </w:rPr>
        <w:t>: a 4-step approach</w:t>
      </w:r>
    </w:p>
    <w:p w14:paraId="7B30C416" w14:textId="77777777" w:rsidR="00924EB8" w:rsidRPr="00E317BB" w:rsidRDefault="00924EB8" w:rsidP="007A3C99">
      <w:pPr>
        <w:spacing w:line="480" w:lineRule="auto"/>
        <w:jc w:val="both"/>
        <w:rPr>
          <w:rFonts w:ascii="Times New Roman" w:hAnsi="Times New Roman" w:cs="Times New Roman"/>
        </w:rPr>
      </w:pPr>
    </w:p>
    <w:p w14:paraId="74654609" w14:textId="77777777" w:rsidR="0008626E" w:rsidRPr="00E317BB" w:rsidRDefault="0008626E" w:rsidP="007A3C99">
      <w:pPr>
        <w:spacing w:line="480" w:lineRule="auto"/>
        <w:jc w:val="both"/>
        <w:rPr>
          <w:rFonts w:ascii="Times New Roman" w:hAnsi="Times New Roman" w:cs="Times New Roman"/>
        </w:rPr>
      </w:pPr>
    </w:p>
    <w:p w14:paraId="7EE9706E" w14:textId="5C8B1D40" w:rsidR="00F711F4" w:rsidRPr="00E317BB" w:rsidRDefault="00A757B2" w:rsidP="007A3C99">
      <w:pPr>
        <w:spacing w:line="480" w:lineRule="auto"/>
        <w:jc w:val="both"/>
        <w:rPr>
          <w:rFonts w:ascii="Times New Roman" w:hAnsi="Times New Roman" w:cs="Times New Roman"/>
          <w:b/>
        </w:rPr>
      </w:pPr>
      <w:r w:rsidRPr="00E317BB">
        <w:rPr>
          <w:rFonts w:ascii="Times New Roman" w:hAnsi="Times New Roman" w:cs="Times New Roman"/>
          <w:b/>
        </w:rPr>
        <w:t xml:space="preserve">Understanding </w:t>
      </w:r>
      <w:r w:rsidR="001E4CD9" w:rsidRPr="00E317BB">
        <w:rPr>
          <w:rFonts w:ascii="Times New Roman" w:hAnsi="Times New Roman" w:cs="Times New Roman"/>
          <w:b/>
        </w:rPr>
        <w:t xml:space="preserve">multiple </w:t>
      </w:r>
      <w:r w:rsidRPr="00E317BB">
        <w:rPr>
          <w:rFonts w:ascii="Times New Roman" w:hAnsi="Times New Roman" w:cs="Times New Roman"/>
          <w:b/>
        </w:rPr>
        <w:t>perspectives and commonly used assessments in a dementia care hospital unit</w:t>
      </w:r>
    </w:p>
    <w:p w14:paraId="4A7DB6C3" w14:textId="77777777" w:rsidR="00192B3B" w:rsidRPr="00E317BB" w:rsidRDefault="00192B3B" w:rsidP="007A3C99">
      <w:pPr>
        <w:spacing w:line="480" w:lineRule="auto"/>
        <w:jc w:val="both"/>
        <w:rPr>
          <w:rFonts w:ascii="Times New Roman" w:hAnsi="Times New Roman" w:cs="Times New Roman"/>
          <w:b/>
        </w:rPr>
      </w:pPr>
    </w:p>
    <w:p w14:paraId="4E569D11" w14:textId="6D2BE51B" w:rsidR="00AC41F8" w:rsidRPr="00E317BB" w:rsidRDefault="00CA5CF4" w:rsidP="007A3C99">
      <w:pPr>
        <w:spacing w:line="480" w:lineRule="auto"/>
        <w:jc w:val="both"/>
        <w:rPr>
          <w:rFonts w:ascii="Times New Roman" w:hAnsi="Times New Roman" w:cs="Times New Roman"/>
        </w:rPr>
      </w:pPr>
      <w:r w:rsidRPr="00E317BB">
        <w:rPr>
          <w:rFonts w:ascii="Times New Roman" w:hAnsi="Times New Roman" w:cs="Times New Roman"/>
        </w:rPr>
        <w:t xml:space="preserve">The context for the research strand on dementia was a museum project </w:t>
      </w:r>
      <w:r w:rsidR="00405DCA" w:rsidRPr="00E317BB">
        <w:rPr>
          <w:rFonts w:ascii="Times New Roman" w:hAnsi="Times New Roman" w:cs="Times New Roman"/>
        </w:rPr>
        <w:t>developed</w:t>
      </w:r>
      <w:r w:rsidRPr="00E317BB">
        <w:rPr>
          <w:rFonts w:ascii="Times New Roman" w:hAnsi="Times New Roman" w:cs="Times New Roman"/>
        </w:rPr>
        <w:t xml:space="preserve"> for people </w:t>
      </w:r>
      <w:r w:rsidR="00AC41F8" w:rsidRPr="00E317BB">
        <w:rPr>
          <w:rFonts w:ascii="Times New Roman" w:hAnsi="Times New Roman" w:cs="Times New Roman"/>
        </w:rPr>
        <w:t>with moderate</w:t>
      </w:r>
      <w:r w:rsidR="00F711F4" w:rsidRPr="00E317BB">
        <w:rPr>
          <w:rFonts w:ascii="Times New Roman" w:hAnsi="Times New Roman" w:cs="Times New Roman"/>
        </w:rPr>
        <w:t>-</w:t>
      </w:r>
      <w:r w:rsidR="00AC41F8" w:rsidRPr="00E317BB">
        <w:rPr>
          <w:rFonts w:ascii="Times New Roman" w:hAnsi="Times New Roman" w:cs="Times New Roman"/>
        </w:rPr>
        <w:t>to</w:t>
      </w:r>
      <w:r w:rsidR="00F711F4" w:rsidRPr="00E317BB">
        <w:rPr>
          <w:rFonts w:ascii="Times New Roman" w:hAnsi="Times New Roman" w:cs="Times New Roman"/>
        </w:rPr>
        <w:t>-</w:t>
      </w:r>
      <w:r w:rsidR="00AC41F8" w:rsidRPr="00E317BB">
        <w:rPr>
          <w:rFonts w:ascii="Times New Roman" w:hAnsi="Times New Roman" w:cs="Times New Roman"/>
        </w:rPr>
        <w:t xml:space="preserve">severe dementia in </w:t>
      </w:r>
      <w:r w:rsidR="00405DCA" w:rsidRPr="00E317BB">
        <w:rPr>
          <w:rFonts w:ascii="Times New Roman" w:hAnsi="Times New Roman" w:cs="Times New Roman"/>
        </w:rPr>
        <w:t xml:space="preserve">a </w:t>
      </w:r>
      <w:r w:rsidR="006A0310" w:rsidRPr="00E317BB">
        <w:rPr>
          <w:rFonts w:ascii="Times New Roman" w:hAnsi="Times New Roman" w:cs="Times New Roman"/>
        </w:rPr>
        <w:t xml:space="preserve">specialised </w:t>
      </w:r>
      <w:r w:rsidR="00405DCA" w:rsidRPr="00E317BB">
        <w:rPr>
          <w:rFonts w:ascii="Times New Roman" w:hAnsi="Times New Roman" w:cs="Times New Roman"/>
        </w:rPr>
        <w:t xml:space="preserve">inpatient </w:t>
      </w:r>
      <w:r w:rsidR="006A0310" w:rsidRPr="00E317BB">
        <w:rPr>
          <w:rFonts w:ascii="Times New Roman" w:hAnsi="Times New Roman" w:cs="Times New Roman"/>
        </w:rPr>
        <w:t>dementia unit</w:t>
      </w:r>
      <w:r w:rsidR="00AC41F8" w:rsidRPr="00E317BB">
        <w:rPr>
          <w:rFonts w:ascii="Times New Roman" w:hAnsi="Times New Roman" w:cs="Times New Roman"/>
        </w:rPr>
        <w:t xml:space="preserve">. </w:t>
      </w:r>
      <w:r w:rsidR="00045714" w:rsidRPr="00E317BB">
        <w:rPr>
          <w:rFonts w:ascii="Times New Roman" w:hAnsi="Times New Roman" w:cs="Times New Roman"/>
        </w:rPr>
        <w:t>The service</w:t>
      </w:r>
      <w:r w:rsidR="005E359D" w:rsidRPr="00E317BB">
        <w:rPr>
          <w:rFonts w:ascii="Times New Roman" w:hAnsi="Times New Roman" w:cs="Times New Roman"/>
        </w:rPr>
        <w:t xml:space="preserve"> work</w:t>
      </w:r>
      <w:r w:rsidR="00F711F4" w:rsidRPr="00E317BB">
        <w:rPr>
          <w:rFonts w:ascii="Times New Roman" w:hAnsi="Times New Roman" w:cs="Times New Roman"/>
        </w:rPr>
        <w:t>s</w:t>
      </w:r>
      <w:r w:rsidR="005E359D" w:rsidRPr="00E317BB">
        <w:rPr>
          <w:rFonts w:ascii="Times New Roman" w:hAnsi="Times New Roman" w:cs="Times New Roman"/>
        </w:rPr>
        <w:t xml:space="preserve"> as a 24-hour setting</w:t>
      </w:r>
      <w:r w:rsidR="00045714" w:rsidRPr="00E317BB">
        <w:rPr>
          <w:rFonts w:ascii="Times New Roman" w:hAnsi="Times New Roman" w:cs="Times New Roman"/>
        </w:rPr>
        <w:t xml:space="preserve"> with </w:t>
      </w:r>
      <w:r w:rsidR="005E359D" w:rsidRPr="00E317BB">
        <w:rPr>
          <w:rFonts w:ascii="Times New Roman" w:hAnsi="Times New Roman" w:cs="Times New Roman"/>
        </w:rPr>
        <w:t>a focus on psychosocial approaches to assess and manage behaviour</w:t>
      </w:r>
      <w:r w:rsidR="00BC32A9" w:rsidRPr="00E317BB">
        <w:rPr>
          <w:rFonts w:ascii="Times New Roman" w:hAnsi="Times New Roman" w:cs="Times New Roman"/>
        </w:rPr>
        <w:t>s</w:t>
      </w:r>
      <w:r w:rsidR="005E359D" w:rsidRPr="00E317BB">
        <w:rPr>
          <w:rFonts w:ascii="Times New Roman" w:hAnsi="Times New Roman" w:cs="Times New Roman"/>
        </w:rPr>
        <w:t xml:space="preserve"> that challenges in people with dementia</w:t>
      </w:r>
      <w:r w:rsidR="006F369D" w:rsidRPr="00E317BB">
        <w:rPr>
          <w:rFonts w:ascii="Times New Roman" w:hAnsi="Times New Roman" w:cs="Times New Roman"/>
          <w:vertAlign w:val="superscript"/>
          <w:lang w:val="en-US"/>
        </w:rPr>
        <w:t>35</w:t>
      </w:r>
      <w:r w:rsidR="005E359D" w:rsidRPr="00E317BB">
        <w:rPr>
          <w:rFonts w:ascii="Times New Roman" w:hAnsi="Times New Roman" w:cs="Times New Roman"/>
        </w:rPr>
        <w:t xml:space="preserve">. </w:t>
      </w:r>
      <w:r w:rsidR="00AC41F8" w:rsidRPr="00E317BB">
        <w:rPr>
          <w:rFonts w:ascii="Times New Roman" w:hAnsi="Times New Roman" w:cs="Times New Roman"/>
        </w:rPr>
        <w:t>Typically,</w:t>
      </w:r>
      <w:r w:rsidRPr="00E317BB">
        <w:rPr>
          <w:rFonts w:ascii="Times New Roman" w:hAnsi="Times New Roman" w:cs="Times New Roman"/>
        </w:rPr>
        <w:t xml:space="preserve"> patients are assessed over a six-</w:t>
      </w:r>
      <w:r w:rsidR="00AC41F8" w:rsidRPr="00E317BB">
        <w:rPr>
          <w:rFonts w:ascii="Times New Roman" w:hAnsi="Times New Roman" w:cs="Times New Roman"/>
        </w:rPr>
        <w:t xml:space="preserve">week period during which a care plan is developed. </w:t>
      </w:r>
      <w:r w:rsidR="00BC32A9" w:rsidRPr="00E317BB">
        <w:rPr>
          <w:rFonts w:ascii="Times New Roman" w:hAnsi="Times New Roman" w:cs="Times New Roman"/>
        </w:rPr>
        <w:t>The</w:t>
      </w:r>
      <w:r w:rsidR="00AC41F8" w:rsidRPr="00E317BB">
        <w:rPr>
          <w:rFonts w:ascii="Times New Roman" w:hAnsi="Times New Roman" w:cs="Times New Roman"/>
        </w:rPr>
        <w:t xml:space="preserve"> museum programme was </w:t>
      </w:r>
      <w:r w:rsidRPr="00E317BB">
        <w:rPr>
          <w:rFonts w:ascii="Times New Roman" w:hAnsi="Times New Roman" w:cs="Times New Roman"/>
        </w:rPr>
        <w:t xml:space="preserve">developed as a </w:t>
      </w:r>
      <w:r w:rsidR="005200A3" w:rsidRPr="00E317BB">
        <w:rPr>
          <w:rFonts w:ascii="Times New Roman" w:hAnsi="Times New Roman" w:cs="Times New Roman"/>
        </w:rPr>
        <w:t xml:space="preserve">weekly </w:t>
      </w:r>
      <w:r w:rsidRPr="00E317BB">
        <w:rPr>
          <w:rFonts w:ascii="Times New Roman" w:hAnsi="Times New Roman" w:cs="Times New Roman"/>
        </w:rPr>
        <w:t>1-hour session, over a six-week period</w:t>
      </w:r>
      <w:r w:rsidR="007A3C99" w:rsidRPr="00E317BB">
        <w:rPr>
          <w:rFonts w:ascii="Times New Roman" w:hAnsi="Times New Roman" w:cs="Times New Roman"/>
        </w:rPr>
        <w:t xml:space="preserve">. </w:t>
      </w:r>
      <w:r w:rsidR="0008626E" w:rsidRPr="00E317BB">
        <w:rPr>
          <w:rFonts w:ascii="Times New Roman" w:hAnsi="Times New Roman" w:cs="Times New Roman"/>
        </w:rPr>
        <w:t>The first phase of the study was to understand the perspectives of different individuals involved in the delivery and support of museum project and those directly engaged in the activities.</w:t>
      </w:r>
    </w:p>
    <w:p w14:paraId="446FAC78" w14:textId="77777777" w:rsidR="00AC41F8" w:rsidRPr="00E317BB" w:rsidRDefault="00AC41F8" w:rsidP="007A3C99">
      <w:pPr>
        <w:spacing w:line="480" w:lineRule="auto"/>
        <w:jc w:val="both"/>
        <w:rPr>
          <w:rFonts w:ascii="Times New Roman" w:hAnsi="Times New Roman" w:cs="Times New Roman"/>
        </w:rPr>
      </w:pPr>
    </w:p>
    <w:p w14:paraId="74D34B98" w14:textId="0903F332" w:rsidR="00AC41F8" w:rsidRPr="00E317BB" w:rsidRDefault="00405DCA" w:rsidP="007A3C99">
      <w:pPr>
        <w:spacing w:line="480" w:lineRule="auto"/>
        <w:jc w:val="both"/>
        <w:rPr>
          <w:rFonts w:ascii="Times New Roman" w:hAnsi="Times New Roman" w:cs="Times New Roman"/>
        </w:rPr>
      </w:pPr>
      <w:r w:rsidRPr="00E317BB">
        <w:rPr>
          <w:rFonts w:ascii="Times New Roman" w:hAnsi="Times New Roman" w:cs="Times New Roman"/>
        </w:rPr>
        <w:t>The</w:t>
      </w:r>
      <w:r w:rsidR="001E4CD9" w:rsidRPr="00E317BB">
        <w:rPr>
          <w:rFonts w:ascii="Times New Roman" w:hAnsi="Times New Roman" w:cs="Times New Roman"/>
        </w:rPr>
        <w:t xml:space="preserve"> academic team first organised a number of research meetings with museum partners to discuss their programme aims and explore </w:t>
      </w:r>
      <w:r w:rsidR="00192B3B" w:rsidRPr="00E317BB">
        <w:rPr>
          <w:rFonts w:ascii="Times New Roman" w:hAnsi="Times New Roman" w:cs="Times New Roman"/>
        </w:rPr>
        <w:t xml:space="preserve">how they framed the </w:t>
      </w:r>
      <w:r w:rsidR="001E4CD9" w:rsidRPr="00E317BB">
        <w:rPr>
          <w:rFonts w:ascii="Times New Roman" w:hAnsi="Times New Roman" w:cs="Times New Roman"/>
        </w:rPr>
        <w:t>anticipated outcomes for participants.</w:t>
      </w:r>
      <w:r w:rsidR="00A16F93" w:rsidRPr="00E317BB">
        <w:rPr>
          <w:rFonts w:ascii="Times New Roman" w:hAnsi="Times New Roman" w:cs="Times New Roman"/>
        </w:rPr>
        <w:t xml:space="preserve"> </w:t>
      </w:r>
      <w:r w:rsidRPr="00E317BB">
        <w:rPr>
          <w:rFonts w:ascii="Times New Roman" w:hAnsi="Times New Roman" w:cs="Times New Roman"/>
        </w:rPr>
        <w:t xml:space="preserve">The </w:t>
      </w:r>
      <w:r w:rsidR="00A16F93" w:rsidRPr="00E317BB">
        <w:rPr>
          <w:rFonts w:ascii="Times New Roman" w:hAnsi="Times New Roman" w:cs="Times New Roman"/>
        </w:rPr>
        <w:t xml:space="preserve">museum professionals wanted </w:t>
      </w:r>
      <w:r w:rsidR="00192B3B" w:rsidRPr="00E317BB">
        <w:rPr>
          <w:rFonts w:ascii="Times New Roman" w:hAnsi="Times New Roman" w:cs="Times New Roman"/>
        </w:rPr>
        <w:t>t</w:t>
      </w:r>
      <w:r w:rsidR="00A16F93" w:rsidRPr="00E317BB">
        <w:rPr>
          <w:rFonts w:ascii="Times New Roman" w:hAnsi="Times New Roman" w:cs="Times New Roman"/>
        </w:rPr>
        <w:t>he</w:t>
      </w:r>
      <w:r w:rsidR="00192B3B" w:rsidRPr="00E317BB">
        <w:rPr>
          <w:rFonts w:ascii="Times New Roman" w:hAnsi="Times New Roman" w:cs="Times New Roman"/>
        </w:rPr>
        <w:t xml:space="preserve"> </w:t>
      </w:r>
      <w:r w:rsidR="00A16F93" w:rsidRPr="00E317BB">
        <w:rPr>
          <w:rFonts w:ascii="Times New Roman" w:hAnsi="Times New Roman" w:cs="Times New Roman"/>
        </w:rPr>
        <w:t>programme to support participant</w:t>
      </w:r>
      <w:r w:rsidR="00192B3B" w:rsidRPr="00E317BB">
        <w:rPr>
          <w:rFonts w:ascii="Times New Roman" w:hAnsi="Times New Roman" w:cs="Times New Roman"/>
        </w:rPr>
        <w:t xml:space="preserve"> wellbeing by providing</w:t>
      </w:r>
      <w:r w:rsidR="00A16F93" w:rsidRPr="00E317BB">
        <w:rPr>
          <w:rFonts w:ascii="Times New Roman" w:hAnsi="Times New Roman" w:cs="Times New Roman"/>
        </w:rPr>
        <w:t xml:space="preserve"> an enjoyable time and an opportunity to connect emotionally with museum objects they might remembe</w:t>
      </w:r>
      <w:r w:rsidR="00192B3B" w:rsidRPr="00E317BB">
        <w:rPr>
          <w:rFonts w:ascii="Times New Roman" w:hAnsi="Times New Roman" w:cs="Times New Roman"/>
        </w:rPr>
        <w:t>r</w:t>
      </w:r>
      <w:r w:rsidR="007A3C99" w:rsidRPr="00E317BB">
        <w:rPr>
          <w:rFonts w:ascii="Times New Roman" w:hAnsi="Times New Roman" w:cs="Times New Roman"/>
        </w:rPr>
        <w:t xml:space="preserve"> from their childhood</w:t>
      </w:r>
      <w:r w:rsidR="00192B3B" w:rsidRPr="00E317BB">
        <w:rPr>
          <w:rFonts w:ascii="Times New Roman" w:hAnsi="Times New Roman" w:cs="Times New Roman"/>
        </w:rPr>
        <w:t>. The aim here was not framed as reminiscence but rather as a meaningful activity for pleasure</w:t>
      </w:r>
      <w:r w:rsidR="0008626E" w:rsidRPr="00E317BB">
        <w:rPr>
          <w:rFonts w:ascii="Times New Roman" w:hAnsi="Times New Roman" w:cs="Times New Roman"/>
        </w:rPr>
        <w:t>, cognitive stimulation</w:t>
      </w:r>
      <w:r w:rsidR="006A0310" w:rsidRPr="00E317BB">
        <w:rPr>
          <w:rFonts w:ascii="Times New Roman" w:hAnsi="Times New Roman" w:cs="Times New Roman"/>
        </w:rPr>
        <w:t xml:space="preserve"> and to spark conversation with others</w:t>
      </w:r>
      <w:r w:rsidR="00192B3B" w:rsidRPr="00E317BB">
        <w:rPr>
          <w:rFonts w:ascii="Times New Roman" w:hAnsi="Times New Roman" w:cs="Times New Roman"/>
        </w:rPr>
        <w:t>.</w:t>
      </w:r>
      <w:r w:rsidR="006A0310" w:rsidRPr="00E317BB">
        <w:rPr>
          <w:rFonts w:ascii="Times New Roman" w:hAnsi="Times New Roman" w:cs="Times New Roman"/>
        </w:rPr>
        <w:t xml:space="preserve"> </w:t>
      </w:r>
      <w:r w:rsidR="0008626E" w:rsidRPr="00E317BB">
        <w:rPr>
          <w:rFonts w:ascii="Times New Roman" w:hAnsi="Times New Roman" w:cs="Times New Roman"/>
        </w:rPr>
        <w:t>A</w:t>
      </w:r>
      <w:r w:rsidR="006A0310" w:rsidRPr="00E317BB">
        <w:rPr>
          <w:rFonts w:ascii="Times New Roman" w:hAnsi="Times New Roman" w:cs="Times New Roman"/>
        </w:rPr>
        <w:t xml:space="preserve"> related second aim of the project </w:t>
      </w:r>
      <w:r w:rsidR="0008626E" w:rsidRPr="00E317BB">
        <w:rPr>
          <w:rFonts w:ascii="Times New Roman" w:hAnsi="Times New Roman" w:cs="Times New Roman"/>
        </w:rPr>
        <w:t xml:space="preserve">was </w:t>
      </w:r>
      <w:r w:rsidR="006A0310" w:rsidRPr="00E317BB">
        <w:rPr>
          <w:rFonts w:ascii="Times New Roman" w:hAnsi="Times New Roman" w:cs="Times New Roman"/>
        </w:rPr>
        <w:t>to encourage social interaction</w:t>
      </w:r>
      <w:r w:rsidR="00BC32A9" w:rsidRPr="00E317BB">
        <w:rPr>
          <w:rFonts w:ascii="Times New Roman" w:hAnsi="Times New Roman" w:cs="Times New Roman"/>
        </w:rPr>
        <w:t xml:space="preserve"> between patients, and between patients and care staff</w:t>
      </w:r>
      <w:r w:rsidR="006A0310" w:rsidRPr="00E317BB">
        <w:rPr>
          <w:rFonts w:ascii="Times New Roman" w:hAnsi="Times New Roman" w:cs="Times New Roman"/>
        </w:rPr>
        <w:t xml:space="preserve">. </w:t>
      </w:r>
      <w:r w:rsidR="00192B3B" w:rsidRPr="00E317BB">
        <w:rPr>
          <w:rFonts w:ascii="Times New Roman" w:hAnsi="Times New Roman" w:cs="Times New Roman"/>
        </w:rPr>
        <w:t xml:space="preserve">  </w:t>
      </w:r>
    </w:p>
    <w:p w14:paraId="668B1790" w14:textId="77777777" w:rsidR="0008626E" w:rsidRPr="00E317BB" w:rsidRDefault="0008626E" w:rsidP="007A3C99">
      <w:pPr>
        <w:spacing w:line="480" w:lineRule="auto"/>
        <w:jc w:val="both"/>
        <w:rPr>
          <w:rFonts w:ascii="Times New Roman" w:hAnsi="Times New Roman" w:cs="Times New Roman"/>
        </w:rPr>
      </w:pPr>
    </w:p>
    <w:p w14:paraId="7A628F87" w14:textId="3EBA60CC" w:rsidR="00AC41F8" w:rsidRPr="00E317BB" w:rsidRDefault="001E4CD9" w:rsidP="007A3C99">
      <w:pPr>
        <w:spacing w:line="480" w:lineRule="auto"/>
        <w:jc w:val="both"/>
        <w:rPr>
          <w:rFonts w:ascii="Times New Roman" w:hAnsi="Times New Roman" w:cs="Times New Roman"/>
        </w:rPr>
      </w:pPr>
      <w:r w:rsidRPr="00E317BB">
        <w:rPr>
          <w:rFonts w:ascii="Times New Roman" w:hAnsi="Times New Roman" w:cs="Times New Roman"/>
        </w:rPr>
        <w:t xml:space="preserve">Next, several research meetings were </w:t>
      </w:r>
      <w:r w:rsidR="00405DCA" w:rsidRPr="00E317BB">
        <w:rPr>
          <w:rFonts w:ascii="Times New Roman" w:hAnsi="Times New Roman" w:cs="Times New Roman"/>
        </w:rPr>
        <w:t>facilitated by the research team with</w:t>
      </w:r>
      <w:r w:rsidR="0006504B" w:rsidRPr="00E317BB">
        <w:rPr>
          <w:rFonts w:ascii="Times New Roman" w:hAnsi="Times New Roman" w:cs="Times New Roman"/>
        </w:rPr>
        <w:t xml:space="preserve"> care staff at the hospital to further develop th</w:t>
      </w:r>
      <w:r w:rsidR="00BC32A9" w:rsidRPr="00E317BB">
        <w:rPr>
          <w:rFonts w:ascii="Times New Roman" w:hAnsi="Times New Roman" w:cs="Times New Roman"/>
        </w:rPr>
        <w:t>e project</w:t>
      </w:r>
      <w:r w:rsidR="0006504B" w:rsidRPr="00E317BB">
        <w:rPr>
          <w:rFonts w:ascii="Times New Roman" w:hAnsi="Times New Roman" w:cs="Times New Roman"/>
        </w:rPr>
        <w:t xml:space="preserve"> and to identify how patients might benefit from engaging in the sessions, thinking about the hospital </w:t>
      </w:r>
      <w:r w:rsidR="00AC41F8" w:rsidRPr="00E317BB">
        <w:rPr>
          <w:rFonts w:ascii="Times New Roman" w:hAnsi="Times New Roman" w:cs="Times New Roman"/>
        </w:rPr>
        <w:t>teams’</w:t>
      </w:r>
      <w:r w:rsidR="0006504B" w:rsidRPr="00E317BB">
        <w:rPr>
          <w:rFonts w:ascii="Times New Roman" w:hAnsi="Times New Roman" w:cs="Times New Roman"/>
        </w:rPr>
        <w:t xml:space="preserve"> specific care priorities</w:t>
      </w:r>
      <w:r w:rsidR="00AC41F8" w:rsidRPr="00E317BB">
        <w:rPr>
          <w:rFonts w:ascii="Times New Roman" w:hAnsi="Times New Roman" w:cs="Times New Roman"/>
        </w:rPr>
        <w:t xml:space="preserve"> for this patient group. </w:t>
      </w:r>
      <w:r w:rsidR="00405DCA" w:rsidRPr="00E317BB">
        <w:rPr>
          <w:rFonts w:ascii="Times New Roman" w:hAnsi="Times New Roman" w:cs="Times New Roman"/>
        </w:rPr>
        <w:t xml:space="preserve">The meetings included ward staff, an activity coordinator and an occupational therapist. </w:t>
      </w:r>
      <w:r w:rsidR="005E359D" w:rsidRPr="00E317BB">
        <w:rPr>
          <w:rFonts w:ascii="Times New Roman" w:hAnsi="Times New Roman" w:cs="Times New Roman"/>
        </w:rPr>
        <w:t xml:space="preserve">For these staff, the approach to care is person-focused, a key aspect of which is </w:t>
      </w:r>
      <w:r w:rsidR="00045714" w:rsidRPr="00E317BB">
        <w:rPr>
          <w:rFonts w:ascii="Times New Roman" w:hAnsi="Times New Roman" w:cs="Times New Roman"/>
        </w:rPr>
        <w:t xml:space="preserve">to formulate activities that </w:t>
      </w:r>
      <w:r w:rsidR="00BC32A9" w:rsidRPr="00E317BB">
        <w:rPr>
          <w:rFonts w:ascii="Times New Roman" w:hAnsi="Times New Roman" w:cs="Times New Roman"/>
        </w:rPr>
        <w:t>are 1</w:t>
      </w:r>
      <w:r w:rsidR="00045714" w:rsidRPr="00E317BB">
        <w:rPr>
          <w:rFonts w:ascii="Times New Roman" w:hAnsi="Times New Roman" w:cs="Times New Roman"/>
        </w:rPr>
        <w:t>) personally meaningful to the individual (i.e. linking to a personal interest or aspe</w:t>
      </w:r>
      <w:r w:rsidR="00BC32A9" w:rsidRPr="00E317BB">
        <w:rPr>
          <w:rFonts w:ascii="Times New Roman" w:hAnsi="Times New Roman" w:cs="Times New Roman"/>
        </w:rPr>
        <w:t>cts of their personality) and 2</w:t>
      </w:r>
      <w:r w:rsidR="00045714" w:rsidRPr="00E317BB">
        <w:rPr>
          <w:rFonts w:ascii="Times New Roman" w:hAnsi="Times New Roman" w:cs="Times New Roman"/>
        </w:rPr>
        <w:t>) effective in terms of the individual’s level of ability to engage in the activity.</w:t>
      </w:r>
      <w:r w:rsidR="005E359D" w:rsidRPr="00E317BB">
        <w:rPr>
          <w:rFonts w:ascii="Times New Roman" w:hAnsi="Times New Roman" w:cs="Times New Roman"/>
        </w:rPr>
        <w:t xml:space="preserve"> </w:t>
      </w:r>
      <w:r w:rsidR="00AC7A2C" w:rsidRPr="00E317BB">
        <w:rPr>
          <w:rFonts w:ascii="Times New Roman" w:hAnsi="Times New Roman" w:cs="Times New Roman"/>
        </w:rPr>
        <w:t>Such activities were aimed at creating</w:t>
      </w:r>
      <w:r w:rsidR="0019324D" w:rsidRPr="00E317BB">
        <w:rPr>
          <w:rFonts w:ascii="Times New Roman" w:hAnsi="Times New Roman" w:cs="Times New Roman"/>
        </w:rPr>
        <w:t xml:space="preserve"> enabling environments for individuals and </w:t>
      </w:r>
      <w:r w:rsidR="0008626E" w:rsidRPr="00E317BB">
        <w:rPr>
          <w:rFonts w:ascii="Times New Roman" w:hAnsi="Times New Roman" w:cs="Times New Roman"/>
        </w:rPr>
        <w:t xml:space="preserve">to </w:t>
      </w:r>
      <w:r w:rsidR="0019324D" w:rsidRPr="00E317BB">
        <w:rPr>
          <w:rFonts w:ascii="Times New Roman" w:hAnsi="Times New Roman" w:cs="Times New Roman"/>
        </w:rPr>
        <w:t xml:space="preserve">manage behaviours that challenge. </w:t>
      </w:r>
      <w:r w:rsidR="00806DD5" w:rsidRPr="00E317BB">
        <w:rPr>
          <w:rFonts w:ascii="Times New Roman" w:hAnsi="Times New Roman" w:cs="Times New Roman"/>
        </w:rPr>
        <w:t xml:space="preserve">The museum activities were framed to fit within this model </w:t>
      </w:r>
      <w:r w:rsidR="00C61B2B" w:rsidRPr="00E317BB">
        <w:rPr>
          <w:rFonts w:ascii="Times New Roman" w:hAnsi="Times New Roman" w:cs="Times New Roman"/>
        </w:rPr>
        <w:t xml:space="preserve">to </w:t>
      </w:r>
      <w:r w:rsidR="00B530CF" w:rsidRPr="00E317BB">
        <w:rPr>
          <w:rFonts w:ascii="Times New Roman" w:hAnsi="Times New Roman" w:cs="Times New Roman"/>
        </w:rPr>
        <w:t>address patient mood and agitation (if present)</w:t>
      </w:r>
      <w:r w:rsidR="00C61B2B" w:rsidRPr="00E317BB">
        <w:rPr>
          <w:rFonts w:ascii="Times New Roman" w:hAnsi="Times New Roman" w:cs="Times New Roman"/>
        </w:rPr>
        <w:t>, provide positive</w:t>
      </w:r>
      <w:r w:rsidR="0008626E" w:rsidRPr="00E317BB">
        <w:rPr>
          <w:rFonts w:ascii="Times New Roman" w:hAnsi="Times New Roman" w:cs="Times New Roman"/>
        </w:rPr>
        <w:t xml:space="preserve"> cultural </w:t>
      </w:r>
      <w:r w:rsidR="00C61B2B" w:rsidRPr="00E317BB">
        <w:rPr>
          <w:rFonts w:ascii="Times New Roman" w:hAnsi="Times New Roman" w:cs="Times New Roman"/>
        </w:rPr>
        <w:t>engagemen</w:t>
      </w:r>
      <w:r w:rsidR="00B530CF" w:rsidRPr="00E317BB">
        <w:rPr>
          <w:rFonts w:ascii="Times New Roman" w:hAnsi="Times New Roman" w:cs="Times New Roman"/>
        </w:rPr>
        <w:t>t</w:t>
      </w:r>
      <w:r w:rsidR="0036230F" w:rsidRPr="00E317BB">
        <w:rPr>
          <w:rFonts w:ascii="Times New Roman" w:hAnsi="Times New Roman" w:cs="Times New Roman"/>
        </w:rPr>
        <w:t xml:space="preserve"> that would capture patient</w:t>
      </w:r>
      <w:r w:rsidR="005B7F0F" w:rsidRPr="00E317BB">
        <w:rPr>
          <w:rFonts w:ascii="Times New Roman" w:hAnsi="Times New Roman" w:cs="Times New Roman"/>
        </w:rPr>
        <w:t>s’</w:t>
      </w:r>
      <w:r w:rsidR="0036230F" w:rsidRPr="00E317BB">
        <w:rPr>
          <w:rFonts w:ascii="Times New Roman" w:hAnsi="Times New Roman" w:cs="Times New Roman"/>
        </w:rPr>
        <w:t xml:space="preserve"> attention</w:t>
      </w:r>
      <w:r w:rsidR="00C61B2B" w:rsidRPr="00E317BB">
        <w:rPr>
          <w:rFonts w:ascii="Times New Roman" w:hAnsi="Times New Roman" w:cs="Times New Roman"/>
        </w:rPr>
        <w:t>,</w:t>
      </w:r>
      <w:r w:rsidR="00B530CF" w:rsidRPr="00E317BB">
        <w:rPr>
          <w:rFonts w:ascii="Times New Roman" w:hAnsi="Times New Roman" w:cs="Times New Roman"/>
        </w:rPr>
        <w:t xml:space="preserve"> and support positive social interaction with other patients on the ward.</w:t>
      </w:r>
      <w:r w:rsidR="0036230F" w:rsidRPr="00E317BB">
        <w:rPr>
          <w:rFonts w:ascii="Times New Roman" w:hAnsi="Times New Roman" w:cs="Times New Roman"/>
        </w:rPr>
        <w:t xml:space="preserve"> Staff further reiterated the need for a non-obstructive method of data collection as interviews and questionnaires would not be appropriate for patients who are more seriously ill or cognitively impaired.</w:t>
      </w:r>
      <w:r w:rsidR="00B530CF" w:rsidRPr="00E317BB">
        <w:rPr>
          <w:rFonts w:ascii="Times New Roman" w:hAnsi="Times New Roman" w:cs="Times New Roman"/>
        </w:rPr>
        <w:t xml:space="preserve"> </w:t>
      </w:r>
      <w:r w:rsidR="005B3D12" w:rsidRPr="00E317BB">
        <w:rPr>
          <w:rFonts w:ascii="Times New Roman" w:hAnsi="Times New Roman" w:cs="Times New Roman"/>
        </w:rPr>
        <w:t xml:space="preserve">Due to the particular nature of the ward, it was not possible to include the perspectives of carers and family members. </w:t>
      </w:r>
    </w:p>
    <w:p w14:paraId="48D61BFE" w14:textId="77777777" w:rsidR="00672BC2" w:rsidRPr="00E317BB" w:rsidRDefault="00672BC2" w:rsidP="007A3C99">
      <w:pPr>
        <w:spacing w:line="480" w:lineRule="auto"/>
        <w:jc w:val="both"/>
        <w:rPr>
          <w:rFonts w:ascii="Times New Roman" w:hAnsi="Times New Roman" w:cs="Times New Roman"/>
        </w:rPr>
      </w:pPr>
    </w:p>
    <w:p w14:paraId="3C4D0720" w14:textId="4D8993F8" w:rsidR="00B36B72" w:rsidRPr="00E317BB" w:rsidRDefault="0008626E" w:rsidP="007A3C99">
      <w:pPr>
        <w:spacing w:line="480" w:lineRule="auto"/>
        <w:jc w:val="both"/>
        <w:rPr>
          <w:rFonts w:ascii="Times New Roman" w:hAnsi="Times New Roman" w:cs="Times New Roman"/>
        </w:rPr>
      </w:pPr>
      <w:r w:rsidRPr="00E317BB">
        <w:rPr>
          <w:rFonts w:ascii="Times New Roman" w:hAnsi="Times New Roman" w:cs="Times New Roman"/>
        </w:rPr>
        <w:t>The</w:t>
      </w:r>
      <w:r w:rsidR="005A0DD3" w:rsidRPr="00E317BB">
        <w:rPr>
          <w:rFonts w:ascii="Times New Roman" w:hAnsi="Times New Roman" w:cs="Times New Roman"/>
        </w:rPr>
        <w:t xml:space="preserve"> research team </w:t>
      </w:r>
      <w:r w:rsidRPr="00E317BB">
        <w:rPr>
          <w:rFonts w:ascii="Times New Roman" w:hAnsi="Times New Roman" w:cs="Times New Roman"/>
        </w:rPr>
        <w:t>also worked with</w:t>
      </w:r>
      <w:r w:rsidR="005A0DD3" w:rsidRPr="00E317BB">
        <w:rPr>
          <w:rFonts w:ascii="Times New Roman" w:hAnsi="Times New Roman" w:cs="Times New Roman"/>
        </w:rPr>
        <w:t xml:space="preserve"> healthcare staff to</w:t>
      </w:r>
      <w:r w:rsidR="0036230F" w:rsidRPr="00E317BB">
        <w:rPr>
          <w:rFonts w:ascii="Times New Roman" w:hAnsi="Times New Roman" w:cs="Times New Roman"/>
        </w:rPr>
        <w:t xml:space="preserve"> identify currently used assessment to measure these aspects of care, with the aim of investigating the benefits of the museum sessions in the terms of care staff’s working practices, knowledge and perspectives, and considering the suitability and relevance of routinely used measures for application to the museum activities. </w:t>
      </w:r>
      <w:r w:rsidR="00672BC2" w:rsidRPr="00E317BB">
        <w:rPr>
          <w:rFonts w:ascii="Times New Roman" w:hAnsi="Times New Roman" w:cs="Times New Roman"/>
        </w:rPr>
        <w:t xml:space="preserve">The conversations with healthcare staff indicated that no tools were consistently used to assess the impact of ward-based non-clinical activities. Instead, bespoke assessment tools were used or tools were adapted for record keeping, such as the Pool Activity Level </w:t>
      </w:r>
      <w:r w:rsidR="005200A3" w:rsidRPr="00E317BB">
        <w:rPr>
          <w:rFonts w:ascii="Times New Roman" w:hAnsi="Times New Roman" w:cs="Times New Roman"/>
        </w:rPr>
        <w:t xml:space="preserve">(PAL) </w:t>
      </w:r>
      <w:r w:rsidR="00672BC2" w:rsidRPr="00E317BB">
        <w:rPr>
          <w:rFonts w:ascii="Times New Roman" w:hAnsi="Times New Roman" w:cs="Times New Roman"/>
        </w:rPr>
        <w:t>Instrument for Occupational Profiling</w:t>
      </w:r>
      <w:r w:rsidR="006F369D" w:rsidRPr="00E317BB">
        <w:rPr>
          <w:rFonts w:ascii="Times New Roman" w:hAnsi="Times New Roman" w:cs="Times New Roman"/>
          <w:vertAlign w:val="superscript"/>
          <w:lang w:val="en-US"/>
        </w:rPr>
        <w:t>36</w:t>
      </w:r>
      <w:r w:rsidR="00672BC2" w:rsidRPr="00E317BB">
        <w:rPr>
          <w:rFonts w:ascii="Times New Roman" w:hAnsi="Times New Roman" w:cs="Times New Roman"/>
        </w:rPr>
        <w:t xml:space="preserve">. </w:t>
      </w:r>
      <w:r w:rsidR="005072FD" w:rsidRPr="00E317BB">
        <w:rPr>
          <w:rFonts w:ascii="Times New Roman" w:hAnsi="Times New Roman" w:cs="Times New Roman"/>
        </w:rPr>
        <w:t>While the adapted PAL tool wa</w:t>
      </w:r>
      <w:r w:rsidRPr="00E317BB">
        <w:rPr>
          <w:rFonts w:ascii="Times New Roman" w:hAnsi="Times New Roman" w:cs="Times New Roman"/>
        </w:rPr>
        <w:t xml:space="preserve">s not appropriate for the study as it focuses </w:t>
      </w:r>
      <w:r w:rsidR="005072FD" w:rsidRPr="00E317BB">
        <w:rPr>
          <w:rFonts w:ascii="Times New Roman" w:hAnsi="Times New Roman" w:cs="Times New Roman"/>
        </w:rPr>
        <w:t xml:space="preserve">on assessing a patients’ level of ability, </w:t>
      </w:r>
      <w:r w:rsidR="00B50447" w:rsidRPr="00E317BB">
        <w:rPr>
          <w:rFonts w:ascii="Times New Roman" w:hAnsi="Times New Roman" w:cs="Times New Roman"/>
        </w:rPr>
        <w:t>the 10-item wellbeing element was identified by staff as being more useful and detailed for describing patient</w:t>
      </w:r>
      <w:r w:rsidR="0011183F" w:rsidRPr="00E317BB">
        <w:rPr>
          <w:rFonts w:ascii="Times New Roman" w:hAnsi="Times New Roman" w:cs="Times New Roman"/>
        </w:rPr>
        <w:t>’s mood</w:t>
      </w:r>
      <w:r w:rsidR="00B50447" w:rsidRPr="00E317BB">
        <w:rPr>
          <w:rFonts w:ascii="Times New Roman" w:hAnsi="Times New Roman" w:cs="Times New Roman"/>
        </w:rPr>
        <w:t xml:space="preserve"> than shorter scales. </w:t>
      </w:r>
      <w:r w:rsidR="005B7F0F" w:rsidRPr="00E317BB">
        <w:rPr>
          <w:rFonts w:ascii="Times New Roman" w:hAnsi="Times New Roman" w:cs="Times New Roman"/>
        </w:rPr>
        <w:t>A series of pilot sessions were also conducted at the hospital between July-August 2016 and were observed by a researcher.</w:t>
      </w:r>
    </w:p>
    <w:p w14:paraId="20912E74" w14:textId="77777777" w:rsidR="00B36B72" w:rsidRPr="00E317BB" w:rsidRDefault="00B36B72" w:rsidP="00BC32A9">
      <w:pPr>
        <w:spacing w:line="480" w:lineRule="auto"/>
        <w:jc w:val="both"/>
        <w:rPr>
          <w:rFonts w:ascii="Times New Roman" w:hAnsi="Times New Roman" w:cs="Times New Roman"/>
        </w:rPr>
      </w:pPr>
    </w:p>
    <w:p w14:paraId="2C52A469" w14:textId="16B1AF1B" w:rsidR="00B50447" w:rsidRPr="00E317BB" w:rsidRDefault="00B50447" w:rsidP="00BC32A9">
      <w:pPr>
        <w:spacing w:line="480" w:lineRule="auto"/>
        <w:jc w:val="both"/>
        <w:rPr>
          <w:rFonts w:ascii="Times New Roman" w:hAnsi="Times New Roman" w:cs="Times New Roman"/>
          <w:b/>
        </w:rPr>
      </w:pPr>
      <w:r w:rsidRPr="00E317BB">
        <w:rPr>
          <w:rFonts w:ascii="Times New Roman" w:hAnsi="Times New Roman" w:cs="Times New Roman"/>
          <w:b/>
        </w:rPr>
        <w:t>Results: The Museum Engagement Observation Tool for PWD</w:t>
      </w:r>
    </w:p>
    <w:p w14:paraId="721F5C79" w14:textId="77777777" w:rsidR="00672BC2" w:rsidRPr="00E317BB" w:rsidRDefault="00672BC2" w:rsidP="00BC32A9">
      <w:pPr>
        <w:spacing w:line="480" w:lineRule="auto"/>
        <w:jc w:val="both"/>
        <w:rPr>
          <w:rFonts w:ascii="Times New Roman" w:hAnsi="Times New Roman" w:cs="Times New Roman"/>
        </w:rPr>
      </w:pPr>
    </w:p>
    <w:p w14:paraId="1BE55062" w14:textId="47B32D99" w:rsidR="005072FD" w:rsidRPr="00E317BB" w:rsidRDefault="00672BC2" w:rsidP="00BC32A9">
      <w:pPr>
        <w:spacing w:line="480" w:lineRule="auto"/>
        <w:jc w:val="both"/>
        <w:rPr>
          <w:rFonts w:ascii="Times New Roman" w:hAnsi="Times New Roman" w:cs="Times New Roman"/>
        </w:rPr>
      </w:pPr>
      <w:r w:rsidRPr="00E317BB">
        <w:rPr>
          <w:rFonts w:ascii="Times New Roman" w:hAnsi="Times New Roman" w:cs="Times New Roman"/>
        </w:rPr>
        <w:t>The observations of the pilot sessions</w:t>
      </w:r>
      <w:r w:rsidR="00BC32A9" w:rsidRPr="00E317BB">
        <w:rPr>
          <w:rFonts w:ascii="Times New Roman" w:hAnsi="Times New Roman" w:cs="Times New Roman"/>
        </w:rPr>
        <w:t xml:space="preserve"> and</w:t>
      </w:r>
      <w:r w:rsidRPr="00E317BB">
        <w:rPr>
          <w:rFonts w:ascii="Times New Roman" w:hAnsi="Times New Roman" w:cs="Times New Roman"/>
        </w:rPr>
        <w:t xml:space="preserve"> research conservations with staff and </w:t>
      </w:r>
      <w:r w:rsidR="00930E9B" w:rsidRPr="00E317BB">
        <w:rPr>
          <w:rFonts w:ascii="Times New Roman" w:hAnsi="Times New Roman" w:cs="Times New Roman"/>
        </w:rPr>
        <w:t>museum</w:t>
      </w:r>
      <w:r w:rsidRPr="00E317BB">
        <w:rPr>
          <w:rFonts w:ascii="Times New Roman" w:hAnsi="Times New Roman" w:cs="Times New Roman"/>
        </w:rPr>
        <w:t xml:space="preserve"> facilitators</w:t>
      </w:r>
      <w:r w:rsidR="00BC32A9" w:rsidRPr="00E317BB">
        <w:rPr>
          <w:rFonts w:ascii="Times New Roman" w:hAnsi="Times New Roman" w:cs="Times New Roman"/>
        </w:rPr>
        <w:t xml:space="preserve"> </w:t>
      </w:r>
      <w:r w:rsidRPr="00E317BB">
        <w:rPr>
          <w:rFonts w:ascii="Times New Roman" w:hAnsi="Times New Roman" w:cs="Times New Roman"/>
        </w:rPr>
        <w:t>were integrated to identify the key areas of direct benefit of participant</w:t>
      </w:r>
      <w:r w:rsidR="007A3C99" w:rsidRPr="00E317BB">
        <w:rPr>
          <w:rFonts w:ascii="Times New Roman" w:hAnsi="Times New Roman" w:cs="Times New Roman"/>
        </w:rPr>
        <w:t>s with moderate-to-</w:t>
      </w:r>
      <w:r w:rsidR="0036230F" w:rsidRPr="00E317BB">
        <w:rPr>
          <w:rFonts w:ascii="Times New Roman" w:hAnsi="Times New Roman" w:cs="Times New Roman"/>
        </w:rPr>
        <w:t>severe dementia</w:t>
      </w:r>
      <w:r w:rsidRPr="00E317BB">
        <w:rPr>
          <w:rFonts w:ascii="Times New Roman" w:hAnsi="Times New Roman" w:cs="Times New Roman"/>
        </w:rPr>
        <w:t xml:space="preserve"> in </w:t>
      </w:r>
      <w:r w:rsidR="0008626E" w:rsidRPr="00E317BB">
        <w:rPr>
          <w:rFonts w:ascii="Times New Roman" w:hAnsi="Times New Roman" w:cs="Times New Roman"/>
        </w:rPr>
        <w:t>museum object handling</w:t>
      </w:r>
      <w:r w:rsidRPr="00E317BB">
        <w:rPr>
          <w:rFonts w:ascii="Times New Roman" w:hAnsi="Times New Roman" w:cs="Times New Roman"/>
        </w:rPr>
        <w:t xml:space="preserve"> activities,</w:t>
      </w:r>
      <w:r w:rsidR="005B7F0F" w:rsidRPr="00E317BB">
        <w:rPr>
          <w:rFonts w:ascii="Times New Roman" w:hAnsi="Times New Roman" w:cs="Times New Roman"/>
        </w:rPr>
        <w:t>.</w:t>
      </w:r>
      <w:r w:rsidRPr="00E317BB">
        <w:rPr>
          <w:rFonts w:ascii="Times New Roman" w:hAnsi="Times New Roman" w:cs="Times New Roman"/>
        </w:rPr>
        <w:t xml:space="preserve"> These were</w:t>
      </w:r>
      <w:r w:rsidR="00930E9B" w:rsidRPr="00E317BB">
        <w:rPr>
          <w:rFonts w:ascii="Times New Roman" w:hAnsi="Times New Roman" w:cs="Times New Roman"/>
        </w:rPr>
        <w:t xml:space="preserve"> collaboratively agreed as</w:t>
      </w:r>
      <w:r w:rsidRPr="00E317BB">
        <w:rPr>
          <w:rFonts w:ascii="Times New Roman" w:hAnsi="Times New Roman" w:cs="Times New Roman"/>
        </w:rPr>
        <w:t>: attention</w:t>
      </w:r>
      <w:r w:rsidR="0036230F" w:rsidRPr="00E317BB">
        <w:rPr>
          <w:rFonts w:ascii="Times New Roman" w:hAnsi="Times New Roman" w:cs="Times New Roman"/>
        </w:rPr>
        <w:t xml:space="preserve"> (attitude towards the session)</w:t>
      </w:r>
      <w:r w:rsidRPr="00E317BB">
        <w:rPr>
          <w:rFonts w:ascii="Times New Roman" w:hAnsi="Times New Roman" w:cs="Times New Roman"/>
        </w:rPr>
        <w:t xml:space="preserve">, engagement (attitude towards the </w:t>
      </w:r>
      <w:r w:rsidR="00BC32A9" w:rsidRPr="00E317BB">
        <w:rPr>
          <w:rFonts w:ascii="Times New Roman" w:hAnsi="Times New Roman" w:cs="Times New Roman"/>
        </w:rPr>
        <w:t xml:space="preserve">museum </w:t>
      </w:r>
      <w:r w:rsidRPr="00E317BB">
        <w:rPr>
          <w:rFonts w:ascii="Times New Roman" w:hAnsi="Times New Roman" w:cs="Times New Roman"/>
        </w:rPr>
        <w:t>object), social interaction, wellbeing and agitation</w:t>
      </w:r>
      <w:r w:rsidR="00930E9B" w:rsidRPr="00E317BB">
        <w:rPr>
          <w:rFonts w:ascii="Times New Roman" w:hAnsi="Times New Roman" w:cs="Times New Roman"/>
        </w:rPr>
        <w:t xml:space="preserve"> (presence or absence)</w:t>
      </w:r>
      <w:r w:rsidRPr="00E317BB">
        <w:rPr>
          <w:rFonts w:ascii="Times New Roman" w:hAnsi="Times New Roman" w:cs="Times New Roman"/>
        </w:rPr>
        <w:t>.</w:t>
      </w:r>
      <w:r w:rsidR="00687D6E" w:rsidRPr="00E317BB">
        <w:rPr>
          <w:rFonts w:ascii="Times New Roman" w:hAnsi="Times New Roman" w:cs="Times New Roman"/>
          <w:b/>
        </w:rPr>
        <w:t xml:space="preserve"> </w:t>
      </w:r>
      <w:r w:rsidR="00B2524C" w:rsidRPr="00E317BB">
        <w:rPr>
          <w:rFonts w:ascii="Times New Roman" w:hAnsi="Times New Roman" w:cs="Times New Roman"/>
        </w:rPr>
        <w:t>This research</w:t>
      </w:r>
      <w:r w:rsidR="00B2524C" w:rsidRPr="00E317BB">
        <w:rPr>
          <w:rFonts w:ascii="Times New Roman" w:hAnsi="Times New Roman" w:cs="Times New Roman"/>
          <w:b/>
        </w:rPr>
        <w:t xml:space="preserve"> </w:t>
      </w:r>
      <w:r w:rsidR="00B2524C" w:rsidRPr="00E317BB">
        <w:rPr>
          <w:rFonts w:ascii="Times New Roman" w:hAnsi="Times New Roman" w:cs="Times New Roman"/>
        </w:rPr>
        <w:t>led to the</w:t>
      </w:r>
      <w:r w:rsidR="00B50447" w:rsidRPr="00E317BB">
        <w:rPr>
          <w:rFonts w:ascii="Times New Roman" w:hAnsi="Times New Roman" w:cs="Times New Roman"/>
        </w:rPr>
        <w:t xml:space="preserve"> develop</w:t>
      </w:r>
      <w:r w:rsidR="00B2524C" w:rsidRPr="00E317BB">
        <w:rPr>
          <w:rFonts w:ascii="Times New Roman" w:hAnsi="Times New Roman" w:cs="Times New Roman"/>
        </w:rPr>
        <w:t>ment of</w:t>
      </w:r>
      <w:r w:rsidR="00B50447" w:rsidRPr="00E317BB">
        <w:rPr>
          <w:rFonts w:ascii="Times New Roman" w:hAnsi="Times New Roman" w:cs="Times New Roman"/>
        </w:rPr>
        <w:t xml:space="preserve"> an experimental scale</w:t>
      </w:r>
      <w:r w:rsidR="0008626E" w:rsidRPr="00E317BB">
        <w:rPr>
          <w:rFonts w:ascii="Times New Roman" w:hAnsi="Times New Roman" w:cs="Times New Roman"/>
        </w:rPr>
        <w:t xml:space="preserve">. </w:t>
      </w:r>
      <w:r w:rsidR="00332730" w:rsidRPr="00E317BB">
        <w:rPr>
          <w:rFonts w:ascii="Times New Roman" w:hAnsi="Times New Roman" w:cs="Times New Roman"/>
        </w:rPr>
        <w:t xml:space="preserve">An observational approach was chosen for this study as it can be used regardless of the level of cognitive impairment of participants observed. </w:t>
      </w:r>
      <w:r w:rsidR="000D4F49" w:rsidRPr="00E317BB">
        <w:rPr>
          <w:rFonts w:ascii="Times New Roman" w:hAnsi="Times New Roman" w:cs="Times New Roman"/>
        </w:rPr>
        <w:t>Video analysis was chosen as way to enable continuous observation</w:t>
      </w:r>
      <w:r w:rsidR="00A0424A" w:rsidRPr="00E317BB">
        <w:rPr>
          <w:rFonts w:ascii="Times New Roman" w:hAnsi="Times New Roman" w:cs="Times New Roman"/>
        </w:rPr>
        <w:t>.</w:t>
      </w:r>
    </w:p>
    <w:p w14:paraId="649EC5BC" w14:textId="51BBA248" w:rsidR="00E61FF3" w:rsidRPr="00E317BB" w:rsidRDefault="00E61FF3" w:rsidP="007A3C99">
      <w:pPr>
        <w:spacing w:line="480" w:lineRule="auto"/>
        <w:jc w:val="both"/>
        <w:rPr>
          <w:rFonts w:ascii="Times New Roman" w:hAnsi="Times New Roman" w:cs="Times New Roman"/>
        </w:rPr>
      </w:pPr>
    </w:p>
    <w:p w14:paraId="3A149BDB" w14:textId="7443747E" w:rsidR="00E61FF3" w:rsidRPr="00E317BB" w:rsidRDefault="00BC32A9" w:rsidP="007A3C99">
      <w:pPr>
        <w:spacing w:line="480" w:lineRule="auto"/>
        <w:jc w:val="both"/>
        <w:rPr>
          <w:rFonts w:ascii="Times New Roman" w:hAnsi="Times New Roman" w:cs="Times New Roman"/>
        </w:rPr>
      </w:pPr>
      <w:r w:rsidRPr="00E317BB">
        <w:rPr>
          <w:rFonts w:ascii="Times New Roman" w:hAnsi="Times New Roman" w:cs="Times New Roman"/>
        </w:rPr>
        <w:t>F</w:t>
      </w:r>
      <w:r w:rsidR="004A644C" w:rsidRPr="00E317BB">
        <w:rPr>
          <w:rFonts w:ascii="Times New Roman" w:hAnsi="Times New Roman" w:cs="Times New Roman"/>
        </w:rPr>
        <w:t>r</w:t>
      </w:r>
      <w:r w:rsidRPr="00E317BB">
        <w:rPr>
          <w:rFonts w:ascii="Times New Roman" w:hAnsi="Times New Roman" w:cs="Times New Roman"/>
        </w:rPr>
        <w:t>om a review of published literature, t</w:t>
      </w:r>
      <w:r w:rsidR="00E61FF3" w:rsidRPr="00E317BB">
        <w:rPr>
          <w:rFonts w:ascii="Times New Roman" w:hAnsi="Times New Roman" w:cs="Times New Roman"/>
        </w:rPr>
        <w:t>wo studies were identified as useful frameworks for conceptualising the different dimensions of engagement with museum objects: the Observation Method of Engagement</w:t>
      </w:r>
      <w:r w:rsidR="006F369D" w:rsidRPr="00E317BB">
        <w:rPr>
          <w:rFonts w:ascii="Times New Roman" w:hAnsi="Times New Roman" w:cs="Times New Roman"/>
          <w:vertAlign w:val="superscript"/>
          <w:lang w:val="en-US"/>
        </w:rPr>
        <w:t>28</w:t>
      </w:r>
      <w:r w:rsidR="00E61FF3" w:rsidRPr="00E317BB">
        <w:rPr>
          <w:rFonts w:ascii="Times New Roman" w:hAnsi="Times New Roman" w:cs="Times New Roman"/>
        </w:rPr>
        <w:t xml:space="preserve"> (OME) and the Video Coding- Incorporating Observed Emotion</w:t>
      </w:r>
      <w:r w:rsidR="006F369D" w:rsidRPr="00E317BB">
        <w:rPr>
          <w:rFonts w:ascii="Times New Roman" w:hAnsi="Times New Roman" w:cs="Times New Roman"/>
          <w:vertAlign w:val="superscript"/>
          <w:lang w:val="en-US"/>
        </w:rPr>
        <w:t>29</w:t>
      </w:r>
      <w:r w:rsidR="00E61FF3" w:rsidRPr="00E317BB">
        <w:rPr>
          <w:rFonts w:ascii="Times New Roman" w:hAnsi="Times New Roman" w:cs="Times New Roman"/>
        </w:rPr>
        <w:t xml:space="preserve"> (VC-IOE). Both are based on the conceptual framework for engagement developed by Cohen-Mansfield et al</w:t>
      </w:r>
      <w:r w:rsidR="00E61FF3" w:rsidRPr="00E317BB">
        <w:rPr>
          <w:rFonts w:ascii="Times New Roman" w:hAnsi="Times New Roman" w:cs="Times New Roman"/>
          <w:i/>
        </w:rPr>
        <w:t>.</w:t>
      </w:r>
      <w:r w:rsidR="006F369D" w:rsidRPr="00E317BB">
        <w:rPr>
          <w:rFonts w:ascii="Times New Roman" w:hAnsi="Times New Roman" w:cs="Times New Roman"/>
          <w:vertAlign w:val="superscript"/>
          <w:lang w:val="en-US"/>
        </w:rPr>
        <w:t>28</w:t>
      </w:r>
      <w:r w:rsidRPr="00E317BB">
        <w:rPr>
          <w:rFonts w:ascii="Times New Roman" w:hAnsi="Times New Roman" w:cs="Times New Roman"/>
        </w:rPr>
        <w:t xml:space="preserve"> </w:t>
      </w:r>
      <w:r w:rsidR="00E61FF3" w:rsidRPr="00E317BB">
        <w:rPr>
          <w:rFonts w:ascii="Times New Roman" w:hAnsi="Times New Roman" w:cs="Times New Roman"/>
        </w:rPr>
        <w:t>The OME was developed specifically to examine engagement for people wi</w:t>
      </w:r>
      <w:r w:rsidRPr="00E317BB">
        <w:rPr>
          <w:rFonts w:ascii="Times New Roman" w:hAnsi="Times New Roman" w:cs="Times New Roman"/>
        </w:rPr>
        <w:t>th dementia in residential care</w:t>
      </w:r>
      <w:r w:rsidR="00E61FF3" w:rsidRPr="00E317BB">
        <w:rPr>
          <w:rFonts w:ascii="Times New Roman" w:hAnsi="Times New Roman" w:cs="Times New Roman"/>
        </w:rPr>
        <w:t xml:space="preserve"> and measures five dimensions of engagement: 1) </w:t>
      </w:r>
      <w:r w:rsidRPr="00E317BB">
        <w:rPr>
          <w:rFonts w:ascii="Times New Roman" w:hAnsi="Times New Roman" w:cs="Times New Roman"/>
        </w:rPr>
        <w:t>Rate of refusal of the stimulus;</w:t>
      </w:r>
      <w:r w:rsidR="00E61FF3" w:rsidRPr="00E317BB">
        <w:rPr>
          <w:rFonts w:ascii="Times New Roman" w:hAnsi="Times New Roman" w:cs="Times New Roman"/>
        </w:rPr>
        <w:t xml:space="preserve"> 2) Duration of time that the resident</w:t>
      </w:r>
      <w:r w:rsidRPr="00E317BB">
        <w:rPr>
          <w:rFonts w:ascii="Times New Roman" w:hAnsi="Times New Roman" w:cs="Times New Roman"/>
        </w:rPr>
        <w:t xml:space="preserve"> is occupied with the stimulus; </w:t>
      </w:r>
      <w:r w:rsidR="00E61FF3" w:rsidRPr="00E317BB">
        <w:rPr>
          <w:rFonts w:ascii="Times New Roman" w:hAnsi="Times New Roman" w:cs="Times New Roman"/>
        </w:rPr>
        <w:t xml:space="preserve">3) Level of attention to the stimulus (4-point scale from ‘not </w:t>
      </w:r>
      <w:r w:rsidRPr="00E317BB">
        <w:rPr>
          <w:rFonts w:ascii="Times New Roman" w:hAnsi="Times New Roman" w:cs="Times New Roman"/>
        </w:rPr>
        <w:t xml:space="preserve">attentive’ to </w:t>
      </w:r>
      <w:r w:rsidR="00A0424A" w:rsidRPr="00E317BB">
        <w:rPr>
          <w:rFonts w:ascii="Times New Roman" w:hAnsi="Times New Roman" w:cs="Times New Roman"/>
        </w:rPr>
        <w:t>‘</w:t>
      </w:r>
      <w:r w:rsidRPr="00E317BB">
        <w:rPr>
          <w:rFonts w:ascii="Times New Roman" w:hAnsi="Times New Roman" w:cs="Times New Roman"/>
        </w:rPr>
        <w:t xml:space="preserve">very attentive’); </w:t>
      </w:r>
      <w:r w:rsidR="00E61FF3" w:rsidRPr="00E317BB">
        <w:rPr>
          <w:rFonts w:ascii="Times New Roman" w:hAnsi="Times New Roman" w:cs="Times New Roman"/>
        </w:rPr>
        <w:t>4) Attitude to the stimulus (7-point scale from ‘v</w:t>
      </w:r>
      <w:r w:rsidRPr="00E317BB">
        <w:rPr>
          <w:rFonts w:ascii="Times New Roman" w:hAnsi="Times New Roman" w:cs="Times New Roman"/>
        </w:rPr>
        <w:t>ery negative</w:t>
      </w:r>
      <w:r w:rsidR="00A0424A" w:rsidRPr="00E317BB">
        <w:rPr>
          <w:rFonts w:ascii="Times New Roman" w:hAnsi="Times New Roman" w:cs="Times New Roman"/>
        </w:rPr>
        <w:t>’</w:t>
      </w:r>
      <w:r w:rsidRPr="00E317BB">
        <w:rPr>
          <w:rFonts w:ascii="Times New Roman" w:hAnsi="Times New Roman" w:cs="Times New Roman"/>
        </w:rPr>
        <w:t xml:space="preserve"> to </w:t>
      </w:r>
      <w:r w:rsidR="00A0424A" w:rsidRPr="00E317BB">
        <w:rPr>
          <w:rFonts w:ascii="Times New Roman" w:hAnsi="Times New Roman" w:cs="Times New Roman"/>
        </w:rPr>
        <w:t>‘</w:t>
      </w:r>
      <w:r w:rsidRPr="00E317BB">
        <w:rPr>
          <w:rFonts w:ascii="Times New Roman" w:hAnsi="Times New Roman" w:cs="Times New Roman"/>
        </w:rPr>
        <w:t>very positive’);</w:t>
      </w:r>
      <w:r w:rsidR="00E61FF3" w:rsidRPr="00E317BB">
        <w:rPr>
          <w:rFonts w:ascii="Times New Roman" w:hAnsi="Times New Roman" w:cs="Times New Roman"/>
        </w:rPr>
        <w:t xml:space="preserve"> 5) Action towards the stimulus, such as holding it or talking to it (4-point scales ranging from ‘none of the time’ to ‘most of the time’). The VC-IOE developed from this work as a tool for video coding in the context of engagement with social robots in long-term residential care homes. It focuses on</w:t>
      </w:r>
      <w:r w:rsidR="0019283A" w:rsidRPr="00E317BB">
        <w:rPr>
          <w:rFonts w:ascii="Times New Roman" w:hAnsi="Times New Roman" w:cs="Times New Roman"/>
        </w:rPr>
        <w:t xml:space="preserve"> the duration of</w:t>
      </w:r>
      <w:r w:rsidR="00E61FF3" w:rsidRPr="00E317BB">
        <w:rPr>
          <w:rFonts w:ascii="Times New Roman" w:hAnsi="Times New Roman" w:cs="Times New Roman"/>
        </w:rPr>
        <w:t xml:space="preserve"> six dimensions of engagement: emotional (based on a modified version of the Observed Emotion Rating Scale</w:t>
      </w:r>
      <w:r w:rsidR="006F369D" w:rsidRPr="00E317BB">
        <w:rPr>
          <w:rFonts w:ascii="Times New Roman" w:hAnsi="Times New Roman" w:cs="Times New Roman"/>
          <w:vertAlign w:val="superscript"/>
          <w:lang w:val="en-US"/>
        </w:rPr>
        <w:t>37</w:t>
      </w:r>
      <w:r w:rsidR="00E61FF3" w:rsidRPr="00E317BB">
        <w:rPr>
          <w:rFonts w:ascii="Times New Roman" w:hAnsi="Times New Roman" w:cs="Times New Roman"/>
        </w:rPr>
        <w:t>), verbal, visual, behavioural, collective engagement, which are assessed</w:t>
      </w:r>
      <w:r w:rsidRPr="00E317BB">
        <w:rPr>
          <w:rFonts w:ascii="Times New Roman" w:hAnsi="Times New Roman" w:cs="Times New Roman"/>
        </w:rPr>
        <w:t xml:space="preserve"> as either positive, negative or</w:t>
      </w:r>
      <w:r w:rsidR="00E61FF3" w:rsidRPr="00E317BB">
        <w:rPr>
          <w:rFonts w:ascii="Times New Roman" w:hAnsi="Times New Roman" w:cs="Times New Roman"/>
        </w:rPr>
        <w:t xml:space="preserve"> absent; and signs of agitation (evident or not evident)</w:t>
      </w:r>
      <w:r w:rsidR="00332730" w:rsidRPr="00E317BB">
        <w:rPr>
          <w:rFonts w:ascii="Times New Roman" w:hAnsi="Times New Roman" w:cs="Times New Roman"/>
        </w:rPr>
        <w:t xml:space="preserve">. </w:t>
      </w:r>
    </w:p>
    <w:p w14:paraId="6AD82B31" w14:textId="77777777" w:rsidR="00332730" w:rsidRPr="00E317BB" w:rsidRDefault="00332730" w:rsidP="007A3C99">
      <w:pPr>
        <w:spacing w:line="480" w:lineRule="auto"/>
        <w:jc w:val="both"/>
        <w:rPr>
          <w:rFonts w:ascii="Times New Roman" w:hAnsi="Times New Roman" w:cs="Times New Roman"/>
        </w:rPr>
      </w:pPr>
    </w:p>
    <w:p w14:paraId="1BAA2EF5" w14:textId="1E3BBB46" w:rsidR="00332730" w:rsidRPr="00E317BB" w:rsidRDefault="00332730" w:rsidP="007A3C99">
      <w:pPr>
        <w:spacing w:line="480" w:lineRule="auto"/>
        <w:jc w:val="both"/>
        <w:rPr>
          <w:rFonts w:ascii="Times New Roman" w:hAnsi="Times New Roman" w:cs="Times New Roman"/>
        </w:rPr>
      </w:pPr>
      <w:r w:rsidRPr="00E317BB">
        <w:rPr>
          <w:rFonts w:ascii="Times New Roman" w:hAnsi="Times New Roman" w:cs="Times New Roman"/>
        </w:rPr>
        <w:t>The Museum Engagement Observation Tool was created to meet the needs identified by the</w:t>
      </w:r>
      <w:r w:rsidR="00823D6F" w:rsidRPr="00E317BB">
        <w:rPr>
          <w:rFonts w:ascii="Times New Roman" w:hAnsi="Times New Roman" w:cs="Times New Roman"/>
        </w:rPr>
        <w:t xml:space="preserve"> research</w:t>
      </w:r>
      <w:r w:rsidRPr="00E317BB">
        <w:rPr>
          <w:rFonts w:ascii="Times New Roman" w:hAnsi="Times New Roman" w:cs="Times New Roman"/>
        </w:rPr>
        <w:t xml:space="preserve"> partners</w:t>
      </w:r>
      <w:r w:rsidR="00557184" w:rsidRPr="00E317BB">
        <w:rPr>
          <w:rFonts w:ascii="Times New Roman" w:hAnsi="Times New Roman" w:cs="Times New Roman"/>
        </w:rPr>
        <w:t xml:space="preserve"> and </w:t>
      </w:r>
      <w:r w:rsidR="004A644C" w:rsidRPr="00E317BB">
        <w:rPr>
          <w:rFonts w:ascii="Times New Roman" w:hAnsi="Times New Roman" w:cs="Times New Roman"/>
        </w:rPr>
        <w:t xml:space="preserve">is based on the concepts underpinning these two observation methods. It was developed </w:t>
      </w:r>
      <w:r w:rsidR="00557184" w:rsidRPr="00E317BB">
        <w:rPr>
          <w:rFonts w:ascii="Times New Roman" w:hAnsi="Times New Roman" w:cs="Times New Roman"/>
        </w:rPr>
        <w:t>to capture the distinctive nature of engagement with museum objects</w:t>
      </w:r>
      <w:r w:rsidRPr="00E317BB">
        <w:rPr>
          <w:rFonts w:ascii="Times New Roman" w:hAnsi="Times New Roman" w:cs="Times New Roman"/>
        </w:rPr>
        <w:t xml:space="preserve">, and was revised and refined over six months in collaboration with healthcare staff, in particular the operational definitions and rating scales (Figures 2 &amp; 3). </w:t>
      </w:r>
    </w:p>
    <w:p w14:paraId="3BD2A900" w14:textId="77777777" w:rsidR="00332730" w:rsidRPr="00E317BB" w:rsidRDefault="00332730" w:rsidP="007A3C99">
      <w:pPr>
        <w:spacing w:line="480" w:lineRule="auto"/>
        <w:jc w:val="both"/>
        <w:rPr>
          <w:rFonts w:ascii="Times New Roman" w:hAnsi="Times New Roman" w:cs="Times New Roman"/>
        </w:rPr>
      </w:pPr>
    </w:p>
    <w:p w14:paraId="43D844EB" w14:textId="07969DEA" w:rsidR="00687D6E" w:rsidRPr="00E317BB" w:rsidRDefault="004A644C" w:rsidP="007A3C99">
      <w:pPr>
        <w:spacing w:line="480" w:lineRule="auto"/>
        <w:jc w:val="both"/>
        <w:rPr>
          <w:rFonts w:ascii="Times New Roman" w:hAnsi="Times New Roman" w:cs="Times New Roman"/>
        </w:rPr>
      </w:pPr>
      <w:r w:rsidRPr="00E317BB">
        <w:rPr>
          <w:rFonts w:ascii="Times New Roman" w:hAnsi="Times New Roman" w:cs="Times New Roman"/>
        </w:rPr>
        <w:t xml:space="preserve">The Museum Engagement Observation Tool </w:t>
      </w:r>
      <w:r w:rsidR="00687D6E" w:rsidRPr="00E317BB">
        <w:rPr>
          <w:rFonts w:ascii="Times New Roman" w:hAnsi="Times New Roman" w:cs="Times New Roman"/>
        </w:rPr>
        <w:t xml:space="preserve">measures </w:t>
      </w:r>
      <w:r w:rsidR="00823D6F" w:rsidRPr="00E317BB">
        <w:rPr>
          <w:rFonts w:ascii="Times New Roman" w:hAnsi="Times New Roman" w:cs="Times New Roman"/>
        </w:rPr>
        <w:t>five</w:t>
      </w:r>
      <w:r w:rsidRPr="00E317BB">
        <w:rPr>
          <w:rFonts w:ascii="Times New Roman" w:hAnsi="Times New Roman" w:cs="Times New Roman"/>
        </w:rPr>
        <w:t xml:space="preserve"> </w:t>
      </w:r>
      <w:r w:rsidR="00687D6E" w:rsidRPr="00E317BB">
        <w:rPr>
          <w:rFonts w:ascii="Times New Roman" w:hAnsi="Times New Roman" w:cs="Times New Roman"/>
        </w:rPr>
        <w:t>dimensions of engagement within a</w:t>
      </w:r>
      <w:r w:rsidR="00B2524C" w:rsidRPr="00E317BB">
        <w:rPr>
          <w:rFonts w:ascii="Times New Roman" w:hAnsi="Times New Roman" w:cs="Times New Roman"/>
        </w:rPr>
        <w:t xml:space="preserve"> museum</w:t>
      </w:r>
      <w:r w:rsidR="00687D6E" w:rsidRPr="00E317BB">
        <w:rPr>
          <w:rFonts w:ascii="Times New Roman" w:hAnsi="Times New Roman" w:cs="Times New Roman"/>
        </w:rPr>
        <w:t xml:space="preserve"> object handling session:</w:t>
      </w:r>
    </w:p>
    <w:p w14:paraId="5ED1DFC2" w14:textId="5C03E7FF" w:rsidR="00C30C6A" w:rsidRPr="00E317BB" w:rsidRDefault="00687D6E" w:rsidP="007A3C99">
      <w:pPr>
        <w:spacing w:line="480" w:lineRule="auto"/>
        <w:ind w:left="720"/>
        <w:jc w:val="both"/>
        <w:rPr>
          <w:rFonts w:ascii="Times New Roman" w:hAnsi="Times New Roman" w:cs="Times New Roman"/>
        </w:rPr>
      </w:pPr>
      <w:r w:rsidRPr="00E317BB">
        <w:rPr>
          <w:rFonts w:ascii="Times New Roman" w:hAnsi="Times New Roman" w:cs="Times New Roman"/>
        </w:rPr>
        <w:t xml:space="preserve">- </w:t>
      </w:r>
      <w:r w:rsidRPr="00E317BB">
        <w:rPr>
          <w:rFonts w:ascii="Times New Roman" w:hAnsi="Times New Roman" w:cs="Times New Roman"/>
          <w:i/>
        </w:rPr>
        <w:t xml:space="preserve">Attention </w:t>
      </w:r>
      <w:r w:rsidRPr="00E317BB">
        <w:rPr>
          <w:rFonts w:ascii="Times New Roman" w:hAnsi="Times New Roman" w:cs="Times New Roman"/>
        </w:rPr>
        <w:t xml:space="preserve">refers to </w:t>
      </w:r>
      <w:r w:rsidR="00D90BFB" w:rsidRPr="00E317BB">
        <w:rPr>
          <w:rFonts w:ascii="Times New Roman" w:hAnsi="Times New Roman" w:cs="Times New Roman"/>
        </w:rPr>
        <w:t xml:space="preserve">the level of concentration of </w:t>
      </w:r>
      <w:r w:rsidRPr="00E317BB">
        <w:rPr>
          <w:rFonts w:ascii="Times New Roman" w:hAnsi="Times New Roman" w:cs="Times New Roman"/>
        </w:rPr>
        <w:t>participant</w:t>
      </w:r>
      <w:r w:rsidR="00D90BFB" w:rsidRPr="00E317BB">
        <w:rPr>
          <w:rFonts w:ascii="Times New Roman" w:hAnsi="Times New Roman" w:cs="Times New Roman"/>
        </w:rPr>
        <w:t>s</w:t>
      </w:r>
      <w:r w:rsidRPr="00E317BB">
        <w:rPr>
          <w:rFonts w:ascii="Times New Roman" w:hAnsi="Times New Roman" w:cs="Times New Roman"/>
        </w:rPr>
        <w:t xml:space="preserve"> </w:t>
      </w:r>
      <w:r w:rsidR="007E3763" w:rsidRPr="00E317BB">
        <w:rPr>
          <w:rFonts w:ascii="Times New Roman" w:hAnsi="Times New Roman" w:cs="Times New Roman"/>
        </w:rPr>
        <w:t>towards the</w:t>
      </w:r>
      <w:r w:rsidR="00D90BFB" w:rsidRPr="00E317BB">
        <w:rPr>
          <w:rFonts w:ascii="Times New Roman" w:hAnsi="Times New Roman" w:cs="Times New Roman"/>
        </w:rPr>
        <w:t xml:space="preserve"> museum activity</w:t>
      </w:r>
      <w:r w:rsidR="00C30C6A" w:rsidRPr="00E317BB">
        <w:rPr>
          <w:rFonts w:ascii="Times New Roman" w:hAnsi="Times New Roman" w:cs="Times New Roman"/>
        </w:rPr>
        <w:t>, from ‘unable to concentrate’ to ‘concentrates for full periods’</w:t>
      </w:r>
      <w:r w:rsidR="00D90BFB" w:rsidRPr="00E317BB">
        <w:rPr>
          <w:rFonts w:ascii="Times New Roman" w:hAnsi="Times New Roman" w:cs="Times New Roman"/>
        </w:rPr>
        <w:t xml:space="preserve">. </w:t>
      </w:r>
    </w:p>
    <w:p w14:paraId="4B62B6A7" w14:textId="09DE120C" w:rsidR="00687D6E" w:rsidRPr="00E317BB" w:rsidRDefault="00687D6E" w:rsidP="004A644C">
      <w:pPr>
        <w:spacing w:line="480" w:lineRule="auto"/>
        <w:ind w:left="720"/>
        <w:jc w:val="both"/>
        <w:rPr>
          <w:rFonts w:ascii="Times New Roman" w:hAnsi="Times New Roman" w:cs="Times New Roman"/>
        </w:rPr>
      </w:pPr>
      <w:r w:rsidRPr="00E317BB">
        <w:rPr>
          <w:rFonts w:ascii="Times New Roman" w:hAnsi="Times New Roman" w:cs="Times New Roman"/>
          <w:i/>
        </w:rPr>
        <w:t>- Engagement</w:t>
      </w:r>
      <w:r w:rsidRPr="00E317BB">
        <w:rPr>
          <w:rFonts w:ascii="Times New Roman" w:hAnsi="Times New Roman" w:cs="Times New Roman"/>
        </w:rPr>
        <w:t xml:space="preserve"> refers to the attitude towards the object, based on a re</w:t>
      </w:r>
      <w:r w:rsidR="007E3763" w:rsidRPr="00E317BB">
        <w:rPr>
          <w:rFonts w:ascii="Times New Roman" w:hAnsi="Times New Roman" w:cs="Times New Roman"/>
        </w:rPr>
        <w:t>-</w:t>
      </w:r>
      <w:r w:rsidRPr="00E317BB">
        <w:rPr>
          <w:rFonts w:ascii="Times New Roman" w:hAnsi="Times New Roman" w:cs="Times New Roman"/>
        </w:rPr>
        <w:t xml:space="preserve">worked version of the OME and VC-IOE. </w:t>
      </w:r>
      <w:r w:rsidR="00C30C6A" w:rsidRPr="00E317BB">
        <w:rPr>
          <w:rFonts w:ascii="Times New Roman" w:hAnsi="Times New Roman" w:cs="Times New Roman"/>
        </w:rPr>
        <w:t>Engagement is understood as ‘the act of being occupied or involved with an external stimulus’ following the definition by Cohen-Mansfield et al</w:t>
      </w:r>
      <w:r w:rsidR="00C30C6A" w:rsidRPr="00E317BB">
        <w:rPr>
          <w:rFonts w:ascii="Times New Roman" w:hAnsi="Times New Roman" w:cs="Times New Roman"/>
          <w:i/>
        </w:rPr>
        <w:t>.</w:t>
      </w:r>
      <w:r w:rsidR="006F369D" w:rsidRPr="00E317BB">
        <w:rPr>
          <w:rFonts w:ascii="Times New Roman" w:hAnsi="Times New Roman" w:cs="Times New Roman"/>
          <w:vertAlign w:val="superscript"/>
          <w:lang w:val="en-US"/>
        </w:rPr>
        <w:t>28</w:t>
      </w:r>
      <w:r w:rsidR="00C30C6A" w:rsidRPr="00E317BB">
        <w:rPr>
          <w:rFonts w:ascii="Times New Roman" w:hAnsi="Times New Roman" w:cs="Times New Roman"/>
        </w:rPr>
        <w:t>.  Whereas the VC-IOE separates visual, verbal and behavioural engagement into three distinct categories, in the Museum Engagement Observation To</w:t>
      </w:r>
      <w:r w:rsidR="00A00BF5" w:rsidRPr="00E317BB">
        <w:rPr>
          <w:rFonts w:ascii="Times New Roman" w:hAnsi="Times New Roman" w:cs="Times New Roman"/>
        </w:rPr>
        <w:t>ol they are combined to produce</w:t>
      </w:r>
      <w:r w:rsidR="00C30C6A" w:rsidRPr="00E317BB">
        <w:rPr>
          <w:rFonts w:ascii="Times New Roman" w:hAnsi="Times New Roman" w:cs="Times New Roman"/>
        </w:rPr>
        <w:t xml:space="preserve"> a shorter scale.</w:t>
      </w:r>
      <w:r w:rsidR="004A644C" w:rsidRPr="00E317BB">
        <w:rPr>
          <w:rFonts w:ascii="Times New Roman" w:hAnsi="Times New Roman" w:cs="Times New Roman"/>
        </w:rPr>
        <w:t xml:space="preserve"> </w:t>
      </w:r>
      <w:r w:rsidRPr="00E317BB">
        <w:rPr>
          <w:rFonts w:ascii="Times New Roman" w:hAnsi="Times New Roman" w:cs="Times New Roman"/>
        </w:rPr>
        <w:t xml:space="preserve">It contain </w:t>
      </w:r>
      <w:r w:rsidR="004A644C" w:rsidRPr="00E317BB">
        <w:rPr>
          <w:rFonts w:ascii="Times New Roman" w:hAnsi="Times New Roman" w:cs="Times New Roman"/>
        </w:rPr>
        <w:t xml:space="preserve">five </w:t>
      </w:r>
      <w:r w:rsidRPr="00E317BB">
        <w:rPr>
          <w:rFonts w:ascii="Times New Roman" w:hAnsi="Times New Roman" w:cs="Times New Roman"/>
        </w:rPr>
        <w:t>items that describe the level of engagement with the object, from more passive visual engagement</w:t>
      </w:r>
      <w:r w:rsidR="00C30C6A" w:rsidRPr="00E317BB">
        <w:rPr>
          <w:rFonts w:ascii="Times New Roman" w:hAnsi="Times New Roman" w:cs="Times New Roman"/>
        </w:rPr>
        <w:t xml:space="preserve"> or passive handling responding to prompts</w:t>
      </w:r>
      <w:r w:rsidRPr="00E317BB">
        <w:rPr>
          <w:rFonts w:ascii="Times New Roman" w:hAnsi="Times New Roman" w:cs="Times New Roman"/>
        </w:rPr>
        <w:t xml:space="preserve"> to higher levels of engagement where the participants explore museum objects in a self-directed manner and where the object sparks discussion. </w:t>
      </w:r>
      <w:r w:rsidR="00C30C6A" w:rsidRPr="00E317BB">
        <w:rPr>
          <w:rFonts w:ascii="Times New Roman" w:hAnsi="Times New Roman" w:cs="Times New Roman"/>
        </w:rPr>
        <w:t xml:space="preserve">The items were developed to consider the specific value of a museum object handling session, but </w:t>
      </w:r>
      <w:r w:rsidRPr="00E317BB">
        <w:rPr>
          <w:rFonts w:ascii="Times New Roman" w:hAnsi="Times New Roman" w:cs="Times New Roman"/>
        </w:rPr>
        <w:t>could be revised for other arts in health projects</w:t>
      </w:r>
      <w:r w:rsidR="00C30C6A" w:rsidRPr="00E317BB">
        <w:rPr>
          <w:rFonts w:ascii="Times New Roman" w:hAnsi="Times New Roman" w:cs="Times New Roman"/>
        </w:rPr>
        <w:t xml:space="preserve"> thinking about the specific properties of the </w:t>
      </w:r>
      <w:r w:rsidR="004A644C" w:rsidRPr="00E317BB">
        <w:rPr>
          <w:rFonts w:ascii="Times New Roman" w:hAnsi="Times New Roman" w:cs="Times New Roman"/>
        </w:rPr>
        <w:t xml:space="preserve">arts </w:t>
      </w:r>
      <w:r w:rsidR="00C30C6A" w:rsidRPr="00E317BB">
        <w:rPr>
          <w:rFonts w:ascii="Times New Roman" w:hAnsi="Times New Roman" w:cs="Times New Roman"/>
        </w:rPr>
        <w:t>activity</w:t>
      </w:r>
      <w:r w:rsidRPr="00E317BB">
        <w:rPr>
          <w:rFonts w:ascii="Times New Roman" w:hAnsi="Times New Roman" w:cs="Times New Roman"/>
        </w:rPr>
        <w:t>.</w:t>
      </w:r>
    </w:p>
    <w:p w14:paraId="2505F00C" w14:textId="04C9C12F" w:rsidR="00687D6E" w:rsidRPr="00E317BB" w:rsidRDefault="00687D6E" w:rsidP="007A3C99">
      <w:pPr>
        <w:spacing w:line="480" w:lineRule="auto"/>
        <w:ind w:left="720"/>
        <w:jc w:val="both"/>
        <w:rPr>
          <w:rFonts w:ascii="Times New Roman" w:hAnsi="Times New Roman" w:cs="Times New Roman"/>
        </w:rPr>
      </w:pPr>
      <w:r w:rsidRPr="00E317BB">
        <w:rPr>
          <w:rFonts w:ascii="Times New Roman" w:hAnsi="Times New Roman" w:cs="Times New Roman"/>
        </w:rPr>
        <w:t xml:space="preserve">- </w:t>
      </w:r>
      <w:r w:rsidRPr="00E317BB">
        <w:rPr>
          <w:rFonts w:ascii="Times New Roman" w:hAnsi="Times New Roman" w:cs="Times New Roman"/>
          <w:i/>
        </w:rPr>
        <w:t xml:space="preserve">Social Interaction </w:t>
      </w:r>
      <w:r w:rsidRPr="00E317BB">
        <w:rPr>
          <w:rFonts w:ascii="Times New Roman" w:hAnsi="Times New Roman" w:cs="Times New Roman"/>
        </w:rPr>
        <w:t>between participants and the facilitator, and with other participants</w:t>
      </w:r>
      <w:r w:rsidR="004A644C" w:rsidRPr="00E317BB">
        <w:rPr>
          <w:rFonts w:ascii="Times New Roman" w:hAnsi="Times New Roman" w:cs="Times New Roman"/>
        </w:rPr>
        <w:t>.</w:t>
      </w:r>
      <w:r w:rsidR="00C30C6A" w:rsidRPr="00E317BB">
        <w:rPr>
          <w:rFonts w:ascii="Times New Roman" w:hAnsi="Times New Roman" w:cs="Times New Roman"/>
        </w:rPr>
        <w:t xml:space="preserve"> It includes 4 items describing different levels of interaction and towards whom the interaction is directed. </w:t>
      </w:r>
    </w:p>
    <w:p w14:paraId="6FD6CBDB" w14:textId="7C5187F6" w:rsidR="00687D6E" w:rsidRPr="00E317BB" w:rsidRDefault="00687D6E" w:rsidP="007A3C99">
      <w:pPr>
        <w:spacing w:line="480" w:lineRule="auto"/>
        <w:ind w:left="720"/>
        <w:jc w:val="both"/>
        <w:rPr>
          <w:rFonts w:ascii="Times New Roman" w:hAnsi="Times New Roman" w:cs="Times New Roman"/>
        </w:rPr>
      </w:pPr>
      <w:r w:rsidRPr="00E317BB">
        <w:rPr>
          <w:rFonts w:ascii="Times New Roman" w:hAnsi="Times New Roman" w:cs="Times New Roman"/>
        </w:rPr>
        <w:t xml:space="preserve">- </w:t>
      </w:r>
      <w:r w:rsidRPr="00E317BB">
        <w:rPr>
          <w:rFonts w:ascii="Times New Roman" w:hAnsi="Times New Roman" w:cs="Times New Roman"/>
          <w:i/>
        </w:rPr>
        <w:t>Wellbeing</w:t>
      </w:r>
      <w:r w:rsidRPr="00E317BB">
        <w:rPr>
          <w:rFonts w:ascii="Times New Roman" w:hAnsi="Times New Roman" w:cs="Times New Roman"/>
        </w:rPr>
        <w:t xml:space="preserve"> is based on the</w:t>
      </w:r>
      <w:r w:rsidRPr="00E317BB">
        <w:rPr>
          <w:rFonts w:ascii="Times New Roman" w:hAnsi="Times New Roman" w:cs="Times New Roman"/>
          <w:i/>
        </w:rPr>
        <w:t xml:space="preserve"> </w:t>
      </w:r>
      <w:r w:rsidRPr="00E317BB">
        <w:rPr>
          <w:rFonts w:ascii="Times New Roman" w:hAnsi="Times New Roman" w:cs="Times New Roman"/>
        </w:rPr>
        <w:t>five different dimensions of affect from</w:t>
      </w:r>
      <w:r w:rsidR="004A644C" w:rsidRPr="00E317BB">
        <w:rPr>
          <w:rFonts w:ascii="Times New Roman" w:hAnsi="Times New Roman" w:cs="Times New Roman"/>
        </w:rPr>
        <w:t xml:space="preserve"> the</w:t>
      </w:r>
      <w:r w:rsidRPr="00E317BB">
        <w:rPr>
          <w:rFonts w:ascii="Times New Roman" w:hAnsi="Times New Roman" w:cs="Times New Roman"/>
        </w:rPr>
        <w:t xml:space="preserve"> Observed Emotion Rating Scale</w:t>
      </w:r>
      <w:r w:rsidR="006F369D" w:rsidRPr="00E317BB">
        <w:rPr>
          <w:rFonts w:ascii="Times New Roman" w:hAnsi="Times New Roman" w:cs="Times New Roman"/>
          <w:vertAlign w:val="superscript"/>
          <w:lang w:val="en-US"/>
        </w:rPr>
        <w:t>37</w:t>
      </w:r>
      <w:r w:rsidRPr="00E317BB">
        <w:rPr>
          <w:rFonts w:ascii="Times New Roman" w:hAnsi="Times New Roman" w:cs="Times New Roman"/>
        </w:rPr>
        <w:t xml:space="preserve"> (OERS)</w:t>
      </w:r>
      <w:r w:rsidR="00096A42" w:rsidRPr="00E317BB">
        <w:rPr>
          <w:rFonts w:ascii="Times New Roman" w:hAnsi="Times New Roman" w:cs="Times New Roman"/>
        </w:rPr>
        <w:t xml:space="preserve"> </w:t>
      </w:r>
      <w:r w:rsidR="00C30C6A" w:rsidRPr="00E317BB">
        <w:rPr>
          <w:rFonts w:ascii="Times New Roman" w:hAnsi="Times New Roman" w:cs="Times New Roman"/>
        </w:rPr>
        <w:t>which is integrated in the VC-IO</w:t>
      </w:r>
      <w:r w:rsidR="00096A42" w:rsidRPr="00E317BB">
        <w:rPr>
          <w:rFonts w:ascii="Times New Roman" w:hAnsi="Times New Roman" w:cs="Times New Roman"/>
        </w:rPr>
        <w:t xml:space="preserve">E. However, </w:t>
      </w:r>
      <w:r w:rsidRPr="00E317BB">
        <w:rPr>
          <w:rFonts w:ascii="Times New Roman" w:hAnsi="Times New Roman" w:cs="Times New Roman"/>
        </w:rPr>
        <w:t xml:space="preserve">some of the wording was changed on the advice of healthcare staff </w:t>
      </w:r>
      <w:r w:rsidR="005072FD" w:rsidRPr="00E317BB">
        <w:rPr>
          <w:rFonts w:ascii="Times New Roman" w:hAnsi="Times New Roman" w:cs="Times New Roman"/>
        </w:rPr>
        <w:t>(see discussion above)</w:t>
      </w:r>
      <w:r w:rsidR="00C30C6A" w:rsidRPr="00E317BB">
        <w:rPr>
          <w:rFonts w:ascii="Times New Roman" w:hAnsi="Times New Roman" w:cs="Times New Roman"/>
        </w:rPr>
        <w:t>: pleasure is described as ‘shows enjoyment’ and general alertness is described as ‘bright, reactive’; other word</w:t>
      </w:r>
      <w:r w:rsidR="004A644C" w:rsidRPr="00E317BB">
        <w:rPr>
          <w:rFonts w:ascii="Times New Roman" w:hAnsi="Times New Roman" w:cs="Times New Roman"/>
        </w:rPr>
        <w:t>s</w:t>
      </w:r>
      <w:r w:rsidR="00C30C6A" w:rsidRPr="00E317BB">
        <w:rPr>
          <w:rFonts w:ascii="Times New Roman" w:hAnsi="Times New Roman" w:cs="Times New Roman"/>
        </w:rPr>
        <w:t xml:space="preserve"> were changed to include a wider spectrum of emotions together: anger is described as ‘angry/irritable’ and sad is described as ‘sad/low mood’. Other categories are included to reflect the discussion with staff, including </w:t>
      </w:r>
      <w:r w:rsidR="00C30C6A" w:rsidRPr="00E317BB">
        <w:rPr>
          <w:rFonts w:ascii="Times New Roman" w:hAnsi="Times New Roman" w:cs="Times New Roman"/>
          <w:i/>
        </w:rPr>
        <w:t xml:space="preserve">shows humour, resting/settled, asleep, </w:t>
      </w:r>
      <w:r w:rsidR="00C30C6A" w:rsidRPr="00E317BB">
        <w:rPr>
          <w:rFonts w:ascii="Times New Roman" w:hAnsi="Times New Roman" w:cs="Times New Roman"/>
        </w:rPr>
        <w:t>and an ‘other (please state)’ category</w:t>
      </w:r>
      <w:r w:rsidR="004A644C" w:rsidRPr="00E317BB">
        <w:rPr>
          <w:rFonts w:ascii="Times New Roman" w:hAnsi="Times New Roman" w:cs="Times New Roman"/>
          <w:i/>
        </w:rPr>
        <w:t xml:space="preserve">. </w:t>
      </w:r>
      <w:r w:rsidR="00C30C6A" w:rsidRPr="00E317BB">
        <w:rPr>
          <w:rFonts w:ascii="Times New Roman" w:hAnsi="Times New Roman" w:cs="Times New Roman"/>
        </w:rPr>
        <w:t xml:space="preserve">To simplify this for analysis, this element of the scale can be grouped into three dimensions of positive, negative and neutral affect. </w:t>
      </w:r>
    </w:p>
    <w:p w14:paraId="1E57860C" w14:textId="1F7E390A" w:rsidR="00687D6E" w:rsidRPr="00E317BB" w:rsidRDefault="00687D6E" w:rsidP="007A3C99">
      <w:pPr>
        <w:spacing w:line="480" w:lineRule="auto"/>
        <w:ind w:left="720"/>
        <w:jc w:val="both"/>
        <w:rPr>
          <w:rFonts w:ascii="Times New Roman" w:hAnsi="Times New Roman" w:cs="Times New Roman"/>
          <w:i/>
        </w:rPr>
      </w:pPr>
      <w:r w:rsidRPr="00E317BB">
        <w:rPr>
          <w:rFonts w:ascii="Times New Roman" w:hAnsi="Times New Roman" w:cs="Times New Roman"/>
        </w:rPr>
        <w:t>-</w:t>
      </w:r>
      <w:r w:rsidRPr="00E317BB">
        <w:rPr>
          <w:rFonts w:ascii="Times New Roman" w:hAnsi="Times New Roman" w:cs="Times New Roman"/>
          <w:i/>
        </w:rPr>
        <w:t xml:space="preserve">Agitation </w:t>
      </w:r>
      <w:r w:rsidRPr="00E317BB">
        <w:rPr>
          <w:rFonts w:ascii="Times New Roman" w:hAnsi="Times New Roman" w:cs="Times New Roman"/>
        </w:rPr>
        <w:t>examines the presence or absence of signs of agitation, based on the consensus definition by Cummings et al</w:t>
      </w:r>
      <w:r w:rsidR="006F369D" w:rsidRPr="00E317BB">
        <w:rPr>
          <w:rFonts w:ascii="Times New Roman" w:hAnsi="Times New Roman" w:cs="Times New Roman"/>
          <w:vertAlign w:val="superscript"/>
          <w:lang w:val="en-US"/>
        </w:rPr>
        <w:t>38</w:t>
      </w:r>
      <w:r w:rsidRPr="00E317BB">
        <w:rPr>
          <w:rFonts w:ascii="Times New Roman" w:hAnsi="Times New Roman" w:cs="Times New Roman"/>
        </w:rPr>
        <w:t>.</w:t>
      </w:r>
      <w:r w:rsidR="00C30C6A" w:rsidRPr="00E317BB">
        <w:rPr>
          <w:rFonts w:ascii="Times New Roman" w:hAnsi="Times New Roman" w:cs="Times New Roman"/>
        </w:rPr>
        <w:t xml:space="preserve"> </w:t>
      </w:r>
    </w:p>
    <w:p w14:paraId="32098001" w14:textId="77777777" w:rsidR="000D4F49" w:rsidRPr="00E317BB" w:rsidRDefault="000D4F49" w:rsidP="007A3C99">
      <w:pPr>
        <w:spacing w:line="480" w:lineRule="auto"/>
        <w:jc w:val="both"/>
        <w:rPr>
          <w:rFonts w:ascii="Times New Roman" w:hAnsi="Times New Roman" w:cs="Times New Roman"/>
        </w:rPr>
      </w:pPr>
    </w:p>
    <w:p w14:paraId="2A79D59A" w14:textId="59880E85" w:rsidR="00823D6F" w:rsidRPr="00E317BB" w:rsidRDefault="00823D6F" w:rsidP="00DF08FE">
      <w:pPr>
        <w:spacing w:line="480" w:lineRule="auto"/>
        <w:jc w:val="both"/>
        <w:rPr>
          <w:rFonts w:ascii="Times New Roman" w:hAnsi="Times New Roman" w:cs="Times New Roman"/>
        </w:rPr>
      </w:pPr>
      <w:r w:rsidRPr="00E317BB">
        <w:rPr>
          <w:rFonts w:ascii="Times New Roman" w:hAnsi="Times New Roman" w:cs="Times New Roman"/>
        </w:rPr>
        <w:t xml:space="preserve">A sixth domain, </w:t>
      </w:r>
      <w:r w:rsidRPr="00E317BB">
        <w:rPr>
          <w:rFonts w:ascii="Times New Roman" w:hAnsi="Times New Roman" w:cs="Times New Roman"/>
          <w:i/>
        </w:rPr>
        <w:t xml:space="preserve">address, </w:t>
      </w:r>
      <w:r w:rsidRPr="00E317BB">
        <w:rPr>
          <w:rFonts w:ascii="Times New Roman" w:hAnsi="Times New Roman" w:cs="Times New Roman"/>
        </w:rPr>
        <w:t xml:space="preserve">records whether the museum facilitator or a member of staff is directly engaging the person in the session, to gauge the level </w:t>
      </w:r>
      <w:r w:rsidR="00405DE3" w:rsidRPr="00E317BB">
        <w:rPr>
          <w:rFonts w:ascii="Times New Roman" w:hAnsi="Times New Roman" w:cs="Times New Roman"/>
        </w:rPr>
        <w:t>of</w:t>
      </w:r>
      <w:r w:rsidRPr="00E317BB">
        <w:rPr>
          <w:rFonts w:ascii="Times New Roman" w:hAnsi="Times New Roman" w:cs="Times New Roman"/>
        </w:rPr>
        <w:t xml:space="preserve"> support required within the museum sessions. </w:t>
      </w:r>
    </w:p>
    <w:p w14:paraId="3EB7C127" w14:textId="77777777" w:rsidR="00823D6F" w:rsidRPr="00E317BB" w:rsidRDefault="00823D6F" w:rsidP="007A3C99">
      <w:pPr>
        <w:spacing w:line="480" w:lineRule="auto"/>
        <w:jc w:val="both"/>
        <w:rPr>
          <w:rFonts w:ascii="Times New Roman" w:hAnsi="Times New Roman" w:cs="Times New Roman"/>
        </w:rPr>
      </w:pPr>
    </w:p>
    <w:p w14:paraId="5B5B1AF4" w14:textId="375C8BC4" w:rsidR="006464AA" w:rsidRPr="00E317BB" w:rsidRDefault="006464AA" w:rsidP="007A3C99">
      <w:pPr>
        <w:spacing w:line="480" w:lineRule="auto"/>
        <w:jc w:val="both"/>
        <w:rPr>
          <w:rFonts w:ascii="Times New Roman" w:hAnsi="Times New Roman" w:cs="Times New Roman"/>
        </w:rPr>
      </w:pPr>
      <w:r w:rsidRPr="00E317BB">
        <w:rPr>
          <w:rFonts w:ascii="Times New Roman" w:hAnsi="Times New Roman" w:cs="Times New Roman"/>
        </w:rPr>
        <w:t xml:space="preserve">[Insert Figures 2 and 3 here] </w:t>
      </w:r>
    </w:p>
    <w:p w14:paraId="5125EF5C" w14:textId="77777777" w:rsidR="006464AA" w:rsidRPr="00E317BB" w:rsidRDefault="006464AA" w:rsidP="007A3C99">
      <w:pPr>
        <w:spacing w:line="480" w:lineRule="auto"/>
        <w:jc w:val="both"/>
        <w:rPr>
          <w:rFonts w:ascii="Times New Roman" w:hAnsi="Times New Roman" w:cs="Times New Roman"/>
        </w:rPr>
      </w:pPr>
    </w:p>
    <w:p w14:paraId="08A3935A" w14:textId="73A0976C" w:rsidR="00A757B2" w:rsidRPr="00E317BB" w:rsidRDefault="000D4F49" w:rsidP="007348EA">
      <w:pPr>
        <w:spacing w:line="480" w:lineRule="auto"/>
        <w:jc w:val="both"/>
        <w:rPr>
          <w:rFonts w:ascii="Times New Roman" w:hAnsi="Times New Roman" w:cs="Times New Roman"/>
        </w:rPr>
      </w:pPr>
      <w:r w:rsidRPr="00E317BB">
        <w:rPr>
          <w:rFonts w:ascii="Times New Roman" w:hAnsi="Times New Roman" w:cs="Times New Roman"/>
        </w:rPr>
        <w:t xml:space="preserve">The tool was developed for </w:t>
      </w:r>
      <w:r w:rsidR="005072FD" w:rsidRPr="00E317BB">
        <w:rPr>
          <w:rFonts w:ascii="Times New Roman" w:hAnsi="Times New Roman" w:cs="Times New Roman"/>
        </w:rPr>
        <w:t xml:space="preserve">direct observation </w:t>
      </w:r>
      <w:r w:rsidRPr="00E317BB">
        <w:rPr>
          <w:rFonts w:ascii="Times New Roman" w:hAnsi="Times New Roman" w:cs="Times New Roman"/>
        </w:rPr>
        <w:t xml:space="preserve">within sessions and for use in video analysis. </w:t>
      </w:r>
      <w:r w:rsidR="00120EAB" w:rsidRPr="00E317BB">
        <w:rPr>
          <w:rFonts w:ascii="Times New Roman" w:hAnsi="Times New Roman" w:cs="Times New Roman"/>
        </w:rPr>
        <w:t>During the study, observations were taken by the researcher at the beginning, middle and end of a one-hour session, with each participant observed for total of one minute. The tool is subsequently being used for continuous video analysis, including establishing test-retest reliability of the tool</w:t>
      </w:r>
      <w:r w:rsidR="00B2524C" w:rsidRPr="00E317BB">
        <w:rPr>
          <w:rFonts w:ascii="Times New Roman" w:hAnsi="Times New Roman" w:cs="Times New Roman"/>
        </w:rPr>
        <w:t>; results of these studies will be reported separately</w:t>
      </w:r>
      <w:r w:rsidR="00120EAB" w:rsidRPr="00E317BB">
        <w:rPr>
          <w:rFonts w:ascii="Times New Roman" w:hAnsi="Times New Roman" w:cs="Times New Roman"/>
        </w:rPr>
        <w:t xml:space="preserve">. </w:t>
      </w:r>
    </w:p>
    <w:p w14:paraId="27F7C493" w14:textId="640A35D4" w:rsidR="00503158" w:rsidRPr="00E317BB" w:rsidRDefault="00503158" w:rsidP="007A3C99">
      <w:pPr>
        <w:spacing w:line="480" w:lineRule="auto"/>
        <w:jc w:val="both"/>
        <w:rPr>
          <w:rFonts w:ascii="Times New Roman" w:hAnsi="Times New Roman" w:cs="Times New Roman"/>
          <w:b/>
        </w:rPr>
      </w:pPr>
    </w:p>
    <w:p w14:paraId="62E1E507" w14:textId="77777777" w:rsidR="000825E3" w:rsidRPr="00E317BB" w:rsidRDefault="000825E3" w:rsidP="006464AA">
      <w:pPr>
        <w:spacing w:line="480" w:lineRule="auto"/>
        <w:jc w:val="both"/>
        <w:rPr>
          <w:rFonts w:ascii="Times New Roman" w:hAnsi="Times New Roman" w:cs="Times New Roman"/>
          <w:b/>
        </w:rPr>
      </w:pPr>
    </w:p>
    <w:p w14:paraId="5E5F3EC0" w14:textId="77777777" w:rsidR="006B0A91" w:rsidRPr="00E317BB" w:rsidRDefault="006B0A91" w:rsidP="006464AA">
      <w:pPr>
        <w:spacing w:line="480" w:lineRule="auto"/>
        <w:jc w:val="both"/>
        <w:rPr>
          <w:rFonts w:ascii="Times New Roman" w:hAnsi="Times New Roman" w:cs="Times New Roman"/>
          <w:b/>
        </w:rPr>
      </w:pPr>
      <w:r w:rsidRPr="00E317BB">
        <w:rPr>
          <w:rFonts w:ascii="Times New Roman" w:hAnsi="Times New Roman" w:cs="Times New Roman"/>
          <w:b/>
        </w:rPr>
        <w:t xml:space="preserve">Concluding comments </w:t>
      </w:r>
    </w:p>
    <w:p w14:paraId="6B732D08" w14:textId="3300E3FB" w:rsidR="00557184" w:rsidRPr="00E317BB" w:rsidRDefault="00557184" w:rsidP="007A3C99">
      <w:pPr>
        <w:spacing w:line="480" w:lineRule="auto"/>
        <w:jc w:val="both"/>
        <w:rPr>
          <w:rFonts w:ascii="Times New Roman" w:hAnsi="Times New Roman" w:cs="Times New Roman"/>
        </w:rPr>
      </w:pPr>
      <w:r w:rsidRPr="00E317BB">
        <w:rPr>
          <w:rFonts w:ascii="Times New Roman" w:hAnsi="Times New Roman" w:cs="Times New Roman"/>
        </w:rPr>
        <w:t xml:space="preserve">This article presents a new observational tool to investigate the distinctive value of museum object handling programmes </w:t>
      </w:r>
      <w:r w:rsidR="003C1ECB" w:rsidRPr="00E317BB">
        <w:rPr>
          <w:rFonts w:ascii="Times New Roman" w:hAnsi="Times New Roman" w:cs="Times New Roman"/>
        </w:rPr>
        <w:t xml:space="preserve">for people with dementia. </w:t>
      </w:r>
      <w:r w:rsidR="00F106CC" w:rsidRPr="00E317BB">
        <w:rPr>
          <w:rFonts w:ascii="Times New Roman" w:hAnsi="Times New Roman" w:cs="Times New Roman"/>
        </w:rPr>
        <w:t xml:space="preserve">Given that museums and galleries </w:t>
      </w:r>
      <w:r w:rsidR="00B2524C" w:rsidRPr="00E317BB">
        <w:rPr>
          <w:rFonts w:ascii="Times New Roman" w:hAnsi="Times New Roman" w:cs="Times New Roman"/>
        </w:rPr>
        <w:t xml:space="preserve">are increasingly working with people with </w:t>
      </w:r>
      <w:r w:rsidR="00F106CC" w:rsidRPr="00E317BB">
        <w:rPr>
          <w:rFonts w:ascii="Times New Roman" w:hAnsi="Times New Roman" w:cs="Times New Roman"/>
        </w:rPr>
        <w:t>dementia</w:t>
      </w:r>
      <w:r w:rsidR="00B2524C" w:rsidRPr="00E317BB">
        <w:rPr>
          <w:rFonts w:ascii="Times New Roman" w:hAnsi="Times New Roman" w:cs="Times New Roman"/>
        </w:rPr>
        <w:t xml:space="preserve"> and carers </w:t>
      </w:r>
      <w:r w:rsidR="00F106CC" w:rsidRPr="00E317BB">
        <w:rPr>
          <w:rFonts w:ascii="Times New Roman" w:hAnsi="Times New Roman" w:cs="Times New Roman"/>
        </w:rPr>
        <w:t xml:space="preserve">as a </w:t>
      </w:r>
      <w:r w:rsidR="005B7F0F" w:rsidRPr="00E317BB">
        <w:rPr>
          <w:rFonts w:ascii="Times New Roman" w:hAnsi="Times New Roman" w:cs="Times New Roman"/>
        </w:rPr>
        <w:t>k</w:t>
      </w:r>
      <w:r w:rsidR="00F106CC" w:rsidRPr="00E317BB">
        <w:rPr>
          <w:rFonts w:ascii="Times New Roman" w:hAnsi="Times New Roman" w:cs="Times New Roman"/>
        </w:rPr>
        <w:t xml:space="preserve">ey target audience, it is essential to characterise and assess the efficacy of these activities. </w:t>
      </w:r>
      <w:r w:rsidR="009804FF" w:rsidRPr="00E317BB">
        <w:rPr>
          <w:rFonts w:ascii="Times New Roman" w:hAnsi="Times New Roman" w:cs="Times New Roman"/>
        </w:rPr>
        <w:t xml:space="preserve">In future articles we intend to describe the relationship between engagement, object attributes, social interaction and agitation in people with dementia. Situated as a potential adjunct to approaches to such as Cognitive Stimulation Therapy, museum object handling </w:t>
      </w:r>
      <w:r w:rsidR="008E1140" w:rsidRPr="00E317BB">
        <w:rPr>
          <w:rFonts w:ascii="Times New Roman" w:hAnsi="Times New Roman" w:cs="Times New Roman"/>
        </w:rPr>
        <w:t xml:space="preserve">as a meaningful activity </w:t>
      </w:r>
      <w:r w:rsidR="009804FF" w:rsidRPr="00E317BB">
        <w:rPr>
          <w:rFonts w:ascii="Times New Roman" w:hAnsi="Times New Roman" w:cs="Times New Roman"/>
        </w:rPr>
        <w:t xml:space="preserve">for people with dementia has considerable potential to take advantage of cultural assets such as museums and art galleries, and develop a new suite of cultural engagement activities for people with dementia. </w:t>
      </w:r>
      <w:r w:rsidR="00E63EBE" w:rsidRPr="00E317BB">
        <w:rPr>
          <w:rFonts w:ascii="Times New Roman" w:hAnsi="Times New Roman" w:cs="Times New Roman"/>
        </w:rPr>
        <w:t xml:space="preserve">This article lays the methodological groundwork for such </w:t>
      </w:r>
      <w:r w:rsidR="003C1ECB" w:rsidRPr="00E317BB">
        <w:rPr>
          <w:rFonts w:ascii="Times New Roman" w:hAnsi="Times New Roman" w:cs="Times New Roman"/>
        </w:rPr>
        <w:t>investigation</w:t>
      </w:r>
      <w:r w:rsidR="00E63EBE" w:rsidRPr="00E317BB">
        <w:rPr>
          <w:rFonts w:ascii="Times New Roman" w:hAnsi="Times New Roman" w:cs="Times New Roman"/>
        </w:rPr>
        <w:t xml:space="preserve">s. </w:t>
      </w:r>
    </w:p>
    <w:p w14:paraId="6273072D" w14:textId="0C3DB854" w:rsidR="003C1ECB" w:rsidRPr="00E317BB" w:rsidRDefault="00C526A4" w:rsidP="007A3C99">
      <w:pPr>
        <w:spacing w:line="480" w:lineRule="auto"/>
        <w:jc w:val="both"/>
        <w:rPr>
          <w:rFonts w:ascii="Times New Roman" w:hAnsi="Times New Roman" w:cs="Times New Roman"/>
        </w:rPr>
      </w:pPr>
      <w:r w:rsidRPr="00E317BB">
        <w:rPr>
          <w:rFonts w:ascii="Times New Roman" w:hAnsi="Times New Roman" w:cs="Times New Roman"/>
        </w:rPr>
        <w:t xml:space="preserve">This paper </w:t>
      </w:r>
      <w:r w:rsidR="00E63EBE" w:rsidRPr="00E317BB">
        <w:rPr>
          <w:rFonts w:ascii="Times New Roman" w:hAnsi="Times New Roman" w:cs="Times New Roman"/>
        </w:rPr>
        <w:t>also</w:t>
      </w:r>
      <w:r w:rsidRPr="00E317BB">
        <w:rPr>
          <w:rFonts w:ascii="Times New Roman" w:hAnsi="Times New Roman" w:cs="Times New Roman"/>
        </w:rPr>
        <w:t xml:space="preserve"> sought to</w:t>
      </w:r>
      <w:r w:rsidR="005072FD" w:rsidRPr="00E317BB">
        <w:rPr>
          <w:rFonts w:ascii="Times New Roman" w:hAnsi="Times New Roman" w:cs="Times New Roman"/>
        </w:rPr>
        <w:t xml:space="preserve"> summarise our approach to collaboration and</w:t>
      </w:r>
      <w:r w:rsidRPr="00E317BB">
        <w:rPr>
          <w:rFonts w:ascii="Times New Roman" w:hAnsi="Times New Roman" w:cs="Times New Roman"/>
        </w:rPr>
        <w:t xml:space="preserve"> present a </w:t>
      </w:r>
      <w:r w:rsidR="008E1140" w:rsidRPr="00E317BB">
        <w:rPr>
          <w:rFonts w:ascii="Times New Roman" w:hAnsi="Times New Roman" w:cs="Times New Roman"/>
        </w:rPr>
        <w:t xml:space="preserve">four </w:t>
      </w:r>
      <w:r w:rsidR="005072FD" w:rsidRPr="00E317BB">
        <w:rPr>
          <w:rFonts w:ascii="Times New Roman" w:hAnsi="Times New Roman" w:cs="Times New Roman"/>
        </w:rPr>
        <w:t>step approach for</w:t>
      </w:r>
      <w:r w:rsidRPr="00E317BB">
        <w:rPr>
          <w:rFonts w:ascii="Times New Roman" w:hAnsi="Times New Roman" w:cs="Times New Roman"/>
        </w:rPr>
        <w:t xml:space="preserve"> co-developing methodolog</w:t>
      </w:r>
      <w:r w:rsidR="000F3D49" w:rsidRPr="00E317BB">
        <w:rPr>
          <w:rFonts w:ascii="Times New Roman" w:hAnsi="Times New Roman" w:cs="Times New Roman"/>
        </w:rPr>
        <w:t xml:space="preserve">ies for research in </w:t>
      </w:r>
      <w:r w:rsidR="00E63EBE" w:rsidRPr="00E317BB">
        <w:rPr>
          <w:rFonts w:ascii="Times New Roman" w:hAnsi="Times New Roman" w:cs="Times New Roman"/>
        </w:rPr>
        <w:t xml:space="preserve">museums/arts </w:t>
      </w:r>
      <w:r w:rsidRPr="00E317BB">
        <w:rPr>
          <w:rFonts w:ascii="Times New Roman" w:hAnsi="Times New Roman" w:cs="Times New Roman"/>
        </w:rPr>
        <w:t xml:space="preserve">for health. </w:t>
      </w:r>
      <w:r w:rsidR="00557184" w:rsidRPr="00E317BB">
        <w:rPr>
          <w:rFonts w:ascii="Times New Roman" w:hAnsi="Times New Roman" w:cs="Times New Roman"/>
        </w:rPr>
        <w:t>This is based o</w:t>
      </w:r>
      <w:r w:rsidR="00E63EBE" w:rsidRPr="00E317BB">
        <w:rPr>
          <w:rFonts w:ascii="Times New Roman" w:hAnsi="Times New Roman" w:cs="Times New Roman"/>
        </w:rPr>
        <w:t>n</w:t>
      </w:r>
      <w:r w:rsidRPr="00E317BB">
        <w:rPr>
          <w:rFonts w:ascii="Times New Roman" w:hAnsi="Times New Roman" w:cs="Times New Roman"/>
        </w:rPr>
        <w:t xml:space="preserve"> the belief that</w:t>
      </w:r>
      <w:r w:rsidR="004A3121" w:rsidRPr="00E317BB">
        <w:rPr>
          <w:rFonts w:ascii="Times New Roman" w:hAnsi="Times New Roman" w:cs="Times New Roman"/>
        </w:rPr>
        <w:t xml:space="preserve"> higher quality, </w:t>
      </w:r>
      <w:r w:rsidRPr="00E317BB">
        <w:rPr>
          <w:rFonts w:ascii="Times New Roman" w:hAnsi="Times New Roman" w:cs="Times New Roman"/>
        </w:rPr>
        <w:t>more useful and relevant research results from collaboration and from integrating the diverse perspectives of multiple stakeholders</w:t>
      </w:r>
      <w:r w:rsidR="005072FD" w:rsidRPr="00E317BB">
        <w:rPr>
          <w:rFonts w:ascii="Times New Roman" w:hAnsi="Times New Roman" w:cs="Times New Roman"/>
        </w:rPr>
        <w:t xml:space="preserve">. </w:t>
      </w:r>
    </w:p>
    <w:p w14:paraId="6F18AA78" w14:textId="77777777" w:rsidR="00B82C1A" w:rsidRDefault="00B82C1A" w:rsidP="007A3C99">
      <w:pPr>
        <w:spacing w:line="480" w:lineRule="auto"/>
        <w:jc w:val="both"/>
        <w:rPr>
          <w:rFonts w:ascii="Times New Roman" w:hAnsi="Times New Roman" w:cs="Times New Roman"/>
        </w:rPr>
      </w:pPr>
    </w:p>
    <w:p w14:paraId="37A71817" w14:textId="77777777" w:rsidR="00E317BB" w:rsidRDefault="00E317BB" w:rsidP="007A3C99">
      <w:pPr>
        <w:spacing w:line="480" w:lineRule="auto"/>
        <w:jc w:val="both"/>
        <w:rPr>
          <w:rFonts w:ascii="Times New Roman" w:hAnsi="Times New Roman" w:cs="Times New Roman"/>
        </w:rPr>
      </w:pPr>
    </w:p>
    <w:p w14:paraId="20540073" w14:textId="77777777" w:rsidR="00E317BB" w:rsidRDefault="00E317BB" w:rsidP="007A3C99">
      <w:pPr>
        <w:spacing w:line="480" w:lineRule="auto"/>
        <w:jc w:val="both"/>
        <w:rPr>
          <w:rFonts w:ascii="Times New Roman" w:hAnsi="Times New Roman" w:cs="Times New Roman"/>
        </w:rPr>
      </w:pPr>
    </w:p>
    <w:p w14:paraId="53AAF6FF" w14:textId="77777777" w:rsidR="00B82C1A" w:rsidRPr="00E317BB" w:rsidRDefault="00B82C1A" w:rsidP="007A3C99">
      <w:pPr>
        <w:spacing w:line="480" w:lineRule="auto"/>
        <w:jc w:val="both"/>
        <w:rPr>
          <w:rFonts w:ascii="Times New Roman" w:hAnsi="Times New Roman" w:cs="Times New Roman"/>
        </w:rPr>
      </w:pPr>
    </w:p>
    <w:p w14:paraId="60D280AE" w14:textId="069F9092" w:rsidR="00B82C1A" w:rsidRPr="00E317BB" w:rsidRDefault="00B82C1A" w:rsidP="007A3C99">
      <w:pPr>
        <w:spacing w:line="480" w:lineRule="auto"/>
        <w:jc w:val="both"/>
        <w:rPr>
          <w:rFonts w:ascii="Times New Roman" w:hAnsi="Times New Roman" w:cs="Times New Roman"/>
        </w:rPr>
      </w:pPr>
      <w:r w:rsidRPr="00E317BB">
        <w:rPr>
          <w:rFonts w:ascii="Times New Roman" w:hAnsi="Times New Roman" w:cs="Times New Roman"/>
        </w:rPr>
        <w:t xml:space="preserve">References </w:t>
      </w:r>
    </w:p>
    <w:p w14:paraId="49863EF4" w14:textId="77777777" w:rsidR="006065B1" w:rsidRPr="00E317BB" w:rsidRDefault="006065B1" w:rsidP="007A3C99">
      <w:pPr>
        <w:spacing w:line="480" w:lineRule="auto"/>
        <w:jc w:val="both"/>
        <w:rPr>
          <w:rFonts w:ascii="Times New Roman" w:hAnsi="Times New Roman" w:cs="Times New Roman"/>
        </w:rPr>
      </w:pPr>
    </w:p>
    <w:p w14:paraId="38A1F541" w14:textId="7B75E76C"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 </w:t>
      </w:r>
      <w:r w:rsidRPr="00E317BB">
        <w:rPr>
          <w:rFonts w:ascii="Times New Roman" w:hAnsi="Times New Roman"/>
          <w:lang w:val="en-US"/>
        </w:rPr>
        <w:tab/>
        <w:t xml:space="preserve">Stickley T, Parr H, Atkinson S, et al. Arts, health &amp; wellbeing: reflections on a national seminar series and building a UK research network. </w:t>
      </w:r>
      <w:r w:rsidRPr="00E317BB">
        <w:rPr>
          <w:rFonts w:ascii="Times New Roman" w:hAnsi="Times New Roman"/>
          <w:i/>
          <w:iCs/>
          <w:lang w:val="en-US"/>
        </w:rPr>
        <w:t>Arts &amp; Health</w:t>
      </w:r>
      <w:r w:rsidRPr="00E317BB">
        <w:rPr>
          <w:rFonts w:ascii="Times New Roman" w:hAnsi="Times New Roman"/>
          <w:lang w:val="en-US"/>
        </w:rPr>
        <w:t xml:space="preserve"> 2017; 9: 14–25.</w:t>
      </w:r>
    </w:p>
    <w:p w14:paraId="384A7F6D"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 </w:t>
      </w:r>
      <w:r w:rsidRPr="00E317BB">
        <w:rPr>
          <w:rFonts w:ascii="Times New Roman" w:hAnsi="Times New Roman"/>
          <w:lang w:val="en-US"/>
        </w:rPr>
        <w:tab/>
        <w:t xml:space="preserve">Camic PM, Chatterjee HJ. Museums and art galleries as partners for public health interventions. </w:t>
      </w:r>
      <w:r w:rsidRPr="00E317BB">
        <w:rPr>
          <w:rFonts w:ascii="Times New Roman" w:hAnsi="Times New Roman"/>
          <w:i/>
          <w:iCs/>
          <w:lang w:val="en-US"/>
        </w:rPr>
        <w:t>Perspectives in Public Health</w:t>
      </w:r>
      <w:r w:rsidRPr="00E317BB">
        <w:rPr>
          <w:rFonts w:ascii="Times New Roman" w:hAnsi="Times New Roman"/>
          <w:lang w:val="en-US"/>
        </w:rPr>
        <w:t xml:space="preserve"> 2013; 133: 66–71.</w:t>
      </w:r>
    </w:p>
    <w:p w14:paraId="1D075702"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 </w:t>
      </w:r>
      <w:r w:rsidRPr="00E317BB">
        <w:rPr>
          <w:rFonts w:ascii="Times New Roman" w:hAnsi="Times New Roman"/>
          <w:lang w:val="en-US"/>
        </w:rPr>
        <w:tab/>
        <w:t xml:space="preserve">MacPherson S, Bird M, Anderson K, et al. An art gallery access programme for people with dementia: ‘you do it for the moment’. </w:t>
      </w:r>
      <w:r w:rsidRPr="00E317BB">
        <w:rPr>
          <w:rFonts w:ascii="Times New Roman" w:hAnsi="Times New Roman"/>
          <w:i/>
          <w:iCs/>
          <w:lang w:val="en-US"/>
        </w:rPr>
        <w:t>Aging Ment Health</w:t>
      </w:r>
      <w:r w:rsidRPr="00E317BB">
        <w:rPr>
          <w:rFonts w:ascii="Times New Roman" w:hAnsi="Times New Roman"/>
          <w:lang w:val="en-US"/>
        </w:rPr>
        <w:t xml:space="preserve"> 2009; 13: 744–752.</w:t>
      </w:r>
    </w:p>
    <w:p w14:paraId="3DA1BC7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4. </w:t>
      </w:r>
      <w:r w:rsidRPr="00E317BB">
        <w:rPr>
          <w:rFonts w:ascii="Times New Roman" w:hAnsi="Times New Roman"/>
          <w:lang w:val="en-US"/>
        </w:rPr>
        <w:tab/>
        <w:t xml:space="preserve">Eekelaar C, Camic PM, Springham N. Art galleries, episodic memory and verbal fluency in dementia: An exploratory study. </w:t>
      </w:r>
      <w:r w:rsidRPr="00E317BB">
        <w:rPr>
          <w:rFonts w:ascii="Times New Roman" w:hAnsi="Times New Roman"/>
          <w:i/>
          <w:iCs/>
          <w:lang w:val="en-US"/>
        </w:rPr>
        <w:t>Psychology of Aesthetics, Creativity, and the Arts</w:t>
      </w:r>
      <w:r w:rsidRPr="00E317BB">
        <w:rPr>
          <w:rFonts w:ascii="Times New Roman" w:hAnsi="Times New Roman"/>
          <w:lang w:val="en-US"/>
        </w:rPr>
        <w:t xml:space="preserve"> 2012; 6: 262–272.</w:t>
      </w:r>
    </w:p>
    <w:p w14:paraId="00C83225"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5. </w:t>
      </w:r>
      <w:r w:rsidRPr="00E317BB">
        <w:rPr>
          <w:rFonts w:ascii="Times New Roman" w:hAnsi="Times New Roman"/>
          <w:lang w:val="en-US"/>
        </w:rPr>
        <w:tab/>
        <w:t xml:space="preserve">Rosenberg F. The MoMA Alzheimer’s Project: Programming and resources for making art accessible to people with Alzheimer’s disease and their caregivers. </w:t>
      </w:r>
      <w:r w:rsidRPr="00E317BB">
        <w:rPr>
          <w:rFonts w:ascii="Times New Roman" w:hAnsi="Times New Roman"/>
          <w:i/>
          <w:iCs/>
          <w:lang w:val="en-US"/>
        </w:rPr>
        <w:t>Arts &amp; Health</w:t>
      </w:r>
      <w:r w:rsidRPr="00E317BB">
        <w:rPr>
          <w:rFonts w:ascii="Times New Roman" w:hAnsi="Times New Roman"/>
          <w:lang w:val="en-US"/>
        </w:rPr>
        <w:t xml:space="preserve"> 2009; 1: 93–97.</w:t>
      </w:r>
    </w:p>
    <w:p w14:paraId="1B38742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6. </w:t>
      </w:r>
      <w:r w:rsidRPr="00E317BB">
        <w:rPr>
          <w:rFonts w:ascii="Times New Roman" w:hAnsi="Times New Roman"/>
          <w:lang w:val="en-US"/>
        </w:rPr>
        <w:tab/>
        <w:t xml:space="preserve">Camic PM, Baker EL, Tischler V. Theorizing How Art Gallery Interventions Impact People With Dementia and Their Caregivers. </w:t>
      </w:r>
      <w:r w:rsidRPr="00E317BB">
        <w:rPr>
          <w:rFonts w:ascii="Times New Roman" w:hAnsi="Times New Roman"/>
          <w:i/>
          <w:iCs/>
          <w:lang w:val="en-US"/>
        </w:rPr>
        <w:t>The Gerontologist</w:t>
      </w:r>
      <w:r w:rsidRPr="00E317BB">
        <w:rPr>
          <w:rFonts w:ascii="Times New Roman" w:hAnsi="Times New Roman"/>
          <w:lang w:val="en-US"/>
        </w:rPr>
        <w:t xml:space="preserve"> 2015; Online First.</w:t>
      </w:r>
    </w:p>
    <w:p w14:paraId="5FCCFDA5"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7. </w:t>
      </w:r>
      <w:r w:rsidRPr="00E317BB">
        <w:rPr>
          <w:rFonts w:ascii="Times New Roman" w:hAnsi="Times New Roman"/>
          <w:lang w:val="en-US"/>
        </w:rPr>
        <w:tab/>
        <w:t xml:space="preserve">Camic PM, Hulbert S, Kimmel J. Museum object handling: A health-promoting community-based activity for dementia care. </w:t>
      </w:r>
      <w:r w:rsidRPr="00E317BB">
        <w:rPr>
          <w:rFonts w:ascii="Times New Roman" w:hAnsi="Times New Roman"/>
          <w:i/>
          <w:iCs/>
          <w:lang w:val="en-US"/>
        </w:rPr>
        <w:t>Journal of Health Psychology</w:t>
      </w:r>
      <w:r w:rsidRPr="00E317BB">
        <w:rPr>
          <w:rFonts w:ascii="Times New Roman" w:hAnsi="Times New Roman"/>
          <w:lang w:val="en-US"/>
        </w:rPr>
        <w:t xml:space="preserve"> 2017; 1359105316685899.</w:t>
      </w:r>
    </w:p>
    <w:p w14:paraId="562B837C"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8. </w:t>
      </w:r>
      <w:r w:rsidRPr="00E317BB">
        <w:rPr>
          <w:rFonts w:ascii="Times New Roman" w:hAnsi="Times New Roman"/>
          <w:lang w:val="en-US"/>
        </w:rPr>
        <w:tab/>
        <w:t xml:space="preserve">Johnson J, Culverwell A, Hulbert S, et al. Museum activities in dementia care: Using visual analog scales to measure subjective wellbeing. </w:t>
      </w:r>
      <w:r w:rsidRPr="00E317BB">
        <w:rPr>
          <w:rFonts w:ascii="Times New Roman" w:hAnsi="Times New Roman"/>
          <w:i/>
          <w:iCs/>
          <w:lang w:val="en-US"/>
        </w:rPr>
        <w:t>Dementia</w:t>
      </w:r>
      <w:r w:rsidRPr="00E317BB">
        <w:rPr>
          <w:rFonts w:ascii="Times New Roman" w:hAnsi="Times New Roman"/>
          <w:lang w:val="en-US"/>
        </w:rPr>
        <w:t xml:space="preserve"> 2015; 1471301215611763.</w:t>
      </w:r>
    </w:p>
    <w:p w14:paraId="5E601ACA"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9. </w:t>
      </w:r>
      <w:r w:rsidRPr="00E317BB">
        <w:rPr>
          <w:rFonts w:ascii="Times New Roman" w:hAnsi="Times New Roman"/>
          <w:lang w:val="en-US"/>
        </w:rPr>
        <w:tab/>
        <w:t xml:space="preserve">Shaer D, Beaven K, Springham N, et al. The role of art therapy in a pilot for art-based Information Prescriptions at Tate Britain. </w:t>
      </w:r>
      <w:r w:rsidRPr="00E317BB">
        <w:rPr>
          <w:rFonts w:ascii="Times New Roman" w:hAnsi="Times New Roman"/>
          <w:i/>
          <w:iCs/>
          <w:lang w:val="en-US"/>
        </w:rPr>
        <w:t>International Journal of Art Therapy</w:t>
      </w:r>
      <w:r w:rsidRPr="00E317BB">
        <w:rPr>
          <w:rFonts w:ascii="Times New Roman" w:hAnsi="Times New Roman"/>
          <w:lang w:val="en-US"/>
        </w:rPr>
        <w:t xml:space="preserve"> 2008; 13: 25–33.</w:t>
      </w:r>
    </w:p>
    <w:p w14:paraId="27F0A30E"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10. </w:t>
      </w:r>
      <w:r w:rsidRPr="00E317BB">
        <w:rPr>
          <w:rFonts w:ascii="Times New Roman" w:hAnsi="Times New Roman"/>
          <w:lang w:val="en-US"/>
        </w:rPr>
        <w:tab/>
        <w:t xml:space="preserve">Roberts S, Camic PM, Springham N. New roles for art galleries: Art-viewing as a community intervention for family carers of people with mental health problems. </w:t>
      </w:r>
      <w:r w:rsidRPr="00E317BB">
        <w:rPr>
          <w:rFonts w:ascii="Times New Roman" w:hAnsi="Times New Roman"/>
          <w:i/>
          <w:iCs/>
          <w:lang w:val="en-US"/>
        </w:rPr>
        <w:t>Arts &amp; Health</w:t>
      </w:r>
      <w:r w:rsidRPr="00E317BB">
        <w:rPr>
          <w:rFonts w:ascii="Times New Roman" w:hAnsi="Times New Roman"/>
          <w:lang w:val="en-US"/>
        </w:rPr>
        <w:t xml:space="preserve"> 2011; 3: 146–159.</w:t>
      </w:r>
    </w:p>
    <w:p w14:paraId="55AC2A9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11. </w:t>
      </w:r>
      <w:r w:rsidRPr="00E317BB">
        <w:rPr>
          <w:rFonts w:ascii="Times New Roman" w:hAnsi="Times New Roman"/>
          <w:lang w:val="en-US"/>
        </w:rPr>
        <w:tab/>
        <w:t xml:space="preserve">Ander E, Thomson LJ, Blair K, et al. Using museum objects to improve wellbeing in mental health service users and neurological rehabilitation clients. </w:t>
      </w:r>
      <w:r w:rsidRPr="00E317BB">
        <w:rPr>
          <w:rFonts w:ascii="Times New Roman" w:hAnsi="Times New Roman"/>
          <w:i/>
          <w:iCs/>
          <w:lang w:val="en-US"/>
        </w:rPr>
        <w:t>The British Journal of Occupational Therapy</w:t>
      </w:r>
      <w:r w:rsidRPr="00E317BB">
        <w:rPr>
          <w:rFonts w:ascii="Times New Roman" w:hAnsi="Times New Roman"/>
          <w:lang w:val="en-US"/>
        </w:rPr>
        <w:t xml:space="preserve"> 2013; 76: 208–216.</w:t>
      </w:r>
    </w:p>
    <w:p w14:paraId="48EB199B"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12. </w:t>
      </w:r>
      <w:r w:rsidRPr="00E317BB">
        <w:rPr>
          <w:rFonts w:ascii="Times New Roman" w:hAnsi="Times New Roman"/>
          <w:lang w:val="en-US"/>
        </w:rPr>
        <w:tab/>
        <w:t xml:space="preserve">Lanceley A, Noble G, Johnson M, et al. Investigating the therapeutic potential of a heritage-object focused intervention: a qualitative study. </w:t>
      </w:r>
      <w:r w:rsidRPr="00E317BB">
        <w:rPr>
          <w:rFonts w:ascii="Times New Roman" w:hAnsi="Times New Roman"/>
          <w:i/>
          <w:iCs/>
          <w:lang w:val="en-US"/>
        </w:rPr>
        <w:t>J Health Psychol</w:t>
      </w:r>
      <w:r w:rsidRPr="00E317BB">
        <w:rPr>
          <w:rFonts w:ascii="Times New Roman" w:hAnsi="Times New Roman"/>
          <w:lang w:val="en-US"/>
        </w:rPr>
        <w:t xml:space="preserve"> 2012; 17: 809–820.</w:t>
      </w:r>
    </w:p>
    <w:p w14:paraId="7E4229F8"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13. </w:t>
      </w:r>
      <w:r w:rsidRPr="00E317BB">
        <w:rPr>
          <w:rFonts w:ascii="Times New Roman" w:hAnsi="Times New Roman"/>
          <w:lang w:val="en-US"/>
        </w:rPr>
        <w:tab/>
        <w:t xml:space="preserve">Thomson LJ, Ander EE, Menon U, et al. Enhancing Cancer Patient Well-Being With a Nonpharmacological, Heritage-Focused Intervention. </w:t>
      </w:r>
      <w:r w:rsidRPr="00E317BB">
        <w:rPr>
          <w:rFonts w:ascii="Times New Roman" w:hAnsi="Times New Roman"/>
          <w:i/>
          <w:iCs/>
          <w:lang w:val="en-US"/>
        </w:rPr>
        <w:t>Journal of Pain and Symptom Management</w:t>
      </w:r>
      <w:r w:rsidRPr="00E317BB">
        <w:rPr>
          <w:rFonts w:ascii="Times New Roman" w:hAnsi="Times New Roman"/>
          <w:lang w:val="en-US"/>
        </w:rPr>
        <w:t xml:space="preserve"> 2012; 44: 731–740.</w:t>
      </w:r>
    </w:p>
    <w:p w14:paraId="4B51070E"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14. </w:t>
      </w:r>
      <w:r w:rsidRPr="00E317BB">
        <w:rPr>
          <w:rFonts w:ascii="Times New Roman" w:hAnsi="Times New Roman"/>
          <w:lang w:val="en-US"/>
        </w:rPr>
        <w:tab/>
        <w:t xml:space="preserve">Wikström BM. Nursing education at an art gallery. </w:t>
      </w:r>
      <w:r w:rsidRPr="00E317BB">
        <w:rPr>
          <w:rFonts w:ascii="Times New Roman" w:hAnsi="Times New Roman"/>
          <w:i/>
          <w:iCs/>
          <w:lang w:val="en-US"/>
        </w:rPr>
        <w:t>Journal of Nursing Scholarship: An Official Publication of Sigma Theta Tau International Honor Society of Nursing</w:t>
      </w:r>
      <w:r w:rsidRPr="00E317BB">
        <w:rPr>
          <w:rFonts w:ascii="Times New Roman" w:hAnsi="Times New Roman"/>
          <w:lang w:val="en-US"/>
        </w:rPr>
        <w:t xml:space="preserve"> 2000; 32: 197–199.</w:t>
      </w:r>
    </w:p>
    <w:p w14:paraId="7E887694"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15. </w:t>
      </w:r>
      <w:r w:rsidRPr="00E317BB">
        <w:rPr>
          <w:rFonts w:ascii="Times New Roman" w:hAnsi="Times New Roman"/>
          <w:lang w:val="en-US"/>
        </w:rPr>
        <w:tab/>
        <w:t xml:space="preserve">Wikström B-M. Works of art as a pedagogical tool: an alternative approach to education. </w:t>
      </w:r>
      <w:r w:rsidRPr="00E317BB">
        <w:rPr>
          <w:rFonts w:ascii="Times New Roman" w:hAnsi="Times New Roman"/>
          <w:i/>
          <w:iCs/>
          <w:lang w:val="en-US"/>
        </w:rPr>
        <w:t>Creative Nursing</w:t>
      </w:r>
      <w:r w:rsidRPr="00E317BB">
        <w:rPr>
          <w:rFonts w:ascii="Times New Roman" w:hAnsi="Times New Roman"/>
          <w:lang w:val="en-US"/>
        </w:rPr>
        <w:t xml:space="preserve"> 2011; 17: 187–194.</w:t>
      </w:r>
    </w:p>
    <w:p w14:paraId="543A0B71"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16. </w:t>
      </w:r>
      <w:r w:rsidRPr="00E317BB">
        <w:rPr>
          <w:rFonts w:ascii="Times New Roman" w:hAnsi="Times New Roman"/>
          <w:lang w:val="en-US"/>
        </w:rPr>
        <w:tab/>
        <w:t xml:space="preserve">Morse N, Thomson LJM, Brown Z, et al. Effects of creative museum outreach sessions on measures of confidence, sociability and well-being for mental health and addiction recovery service-users. </w:t>
      </w:r>
      <w:r w:rsidRPr="00E317BB">
        <w:rPr>
          <w:rFonts w:ascii="Times New Roman" w:hAnsi="Times New Roman"/>
          <w:i/>
          <w:iCs/>
          <w:lang w:val="en-US"/>
        </w:rPr>
        <w:t>Arts &amp; Health</w:t>
      </w:r>
      <w:r w:rsidRPr="00E317BB">
        <w:rPr>
          <w:rFonts w:ascii="Times New Roman" w:hAnsi="Times New Roman"/>
          <w:lang w:val="en-US"/>
        </w:rPr>
        <w:t xml:space="preserve"> 2015; 7: 231–246.</w:t>
      </w:r>
    </w:p>
    <w:p w14:paraId="51D5DBAC"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17. </w:t>
      </w:r>
      <w:r w:rsidRPr="00E317BB">
        <w:rPr>
          <w:rFonts w:ascii="Times New Roman" w:hAnsi="Times New Roman"/>
          <w:lang w:val="en-US"/>
        </w:rPr>
        <w:tab/>
        <w:t xml:space="preserve">Solway R, Camic PM, Thomson LJ, et al. Material objects and psychological theory: A conceptual literature review. </w:t>
      </w:r>
      <w:r w:rsidRPr="00E317BB">
        <w:rPr>
          <w:rFonts w:ascii="Times New Roman" w:hAnsi="Times New Roman"/>
          <w:i/>
          <w:iCs/>
          <w:lang w:val="en-US"/>
        </w:rPr>
        <w:t>Arts &amp; Health</w:t>
      </w:r>
      <w:r w:rsidRPr="00E317BB">
        <w:rPr>
          <w:rFonts w:ascii="Times New Roman" w:hAnsi="Times New Roman"/>
          <w:lang w:val="en-US"/>
        </w:rPr>
        <w:t xml:space="preserve"> 2015; 0: 1–20.</w:t>
      </w:r>
    </w:p>
    <w:p w14:paraId="1459255C"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18. </w:t>
      </w:r>
      <w:r w:rsidRPr="00E317BB">
        <w:rPr>
          <w:rFonts w:ascii="Times New Roman" w:hAnsi="Times New Roman"/>
          <w:lang w:val="en-US"/>
        </w:rPr>
        <w:tab/>
        <w:t xml:space="preserve">Thomson LJM, Chatterjee HJ. Well-Being With Objects: Evaluating a Museum Object-Handling Intervention for Older Adults in Health Care Settings. </w:t>
      </w:r>
      <w:r w:rsidRPr="00E317BB">
        <w:rPr>
          <w:rFonts w:ascii="Times New Roman" w:hAnsi="Times New Roman"/>
          <w:i/>
          <w:iCs/>
          <w:lang w:val="en-US"/>
        </w:rPr>
        <w:t>Journal of Applied Gerontology</w:t>
      </w:r>
      <w:r w:rsidRPr="00E317BB">
        <w:rPr>
          <w:rFonts w:ascii="Times New Roman" w:hAnsi="Times New Roman"/>
          <w:lang w:val="en-US"/>
        </w:rPr>
        <w:t xml:space="preserve"> 2016; 35: 349–362.</w:t>
      </w:r>
    </w:p>
    <w:p w14:paraId="3AFB0606"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19. </w:t>
      </w:r>
      <w:r w:rsidRPr="00E317BB">
        <w:rPr>
          <w:rFonts w:ascii="Times New Roman" w:hAnsi="Times New Roman"/>
          <w:lang w:val="en-US"/>
        </w:rPr>
        <w:tab/>
        <w:t xml:space="preserve">Lackoi K, Patsou M, Chatterjee HJ. </w:t>
      </w:r>
      <w:r w:rsidRPr="00E317BB">
        <w:rPr>
          <w:rFonts w:ascii="Times New Roman" w:hAnsi="Times New Roman"/>
          <w:i/>
          <w:iCs/>
          <w:lang w:val="en-US"/>
        </w:rPr>
        <w:t>Museums for Health and Wellbeing. A preliminary report.</w:t>
      </w:r>
      <w:r w:rsidRPr="00E317BB">
        <w:rPr>
          <w:rFonts w:ascii="Times New Roman" w:hAnsi="Times New Roman"/>
          <w:lang w:val="en-US"/>
        </w:rPr>
        <w:t>https://museumsandwellbeingalliance.wordpress.com/ (2016, accessed 31 October 2016).</w:t>
      </w:r>
    </w:p>
    <w:p w14:paraId="4B22F895"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20. </w:t>
      </w:r>
      <w:r w:rsidRPr="00E317BB">
        <w:rPr>
          <w:rFonts w:ascii="Times New Roman" w:hAnsi="Times New Roman"/>
          <w:lang w:val="en-US"/>
        </w:rPr>
        <w:tab/>
        <w:t xml:space="preserve">Aguirre E, Woods RT, Spector A, et al. Cognitive stimulation for dementia: a systematic review of the evidence of effectiveness from randomised controlled trials. </w:t>
      </w:r>
      <w:r w:rsidRPr="00E317BB">
        <w:rPr>
          <w:rFonts w:ascii="Times New Roman" w:hAnsi="Times New Roman"/>
          <w:i/>
          <w:iCs/>
          <w:lang w:val="en-US"/>
        </w:rPr>
        <w:t>Ageing Res Rev</w:t>
      </w:r>
      <w:r w:rsidRPr="00E317BB">
        <w:rPr>
          <w:rFonts w:ascii="Times New Roman" w:hAnsi="Times New Roman"/>
          <w:lang w:val="en-US"/>
        </w:rPr>
        <w:t xml:space="preserve"> 2013; 12: 253–262.</w:t>
      </w:r>
    </w:p>
    <w:p w14:paraId="17A75542"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21. </w:t>
      </w:r>
      <w:r w:rsidRPr="00E317BB">
        <w:rPr>
          <w:rFonts w:ascii="Times New Roman" w:hAnsi="Times New Roman"/>
          <w:lang w:val="en-US"/>
        </w:rPr>
        <w:tab/>
        <w:t xml:space="preserve">Nyman SR, Szymczynska P. Meaningful activities for improving the wellbeing of people with dementia: beyond mere pleasure to meeting fundamental psychological needs. </w:t>
      </w:r>
      <w:r w:rsidRPr="00E317BB">
        <w:rPr>
          <w:rFonts w:ascii="Times New Roman" w:hAnsi="Times New Roman"/>
          <w:i/>
          <w:iCs/>
          <w:lang w:val="en-US"/>
        </w:rPr>
        <w:t>Perspect Public Health</w:t>
      </w:r>
      <w:r w:rsidRPr="00E317BB">
        <w:rPr>
          <w:rFonts w:ascii="Times New Roman" w:hAnsi="Times New Roman"/>
          <w:lang w:val="en-US"/>
        </w:rPr>
        <w:t xml:space="preserve"> 2016; 136: 99–107.</w:t>
      </w:r>
    </w:p>
    <w:p w14:paraId="097E7263"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22. </w:t>
      </w:r>
      <w:r w:rsidRPr="00E317BB">
        <w:rPr>
          <w:rFonts w:ascii="Times New Roman" w:hAnsi="Times New Roman"/>
          <w:lang w:val="en-US"/>
        </w:rPr>
        <w:tab/>
        <w:t xml:space="preserve">van der Ploeg ES, Eppingstall B, Camp CJ, et al. A randomized crossover trial to study the effect of personalized, one-to-one interaction using Montessori-based activities on agitation, affect, and engagement in nursing home residents with Dementia. </w:t>
      </w:r>
      <w:r w:rsidRPr="00E317BB">
        <w:rPr>
          <w:rFonts w:ascii="Times New Roman" w:hAnsi="Times New Roman"/>
          <w:i/>
          <w:iCs/>
          <w:lang w:val="en-US"/>
        </w:rPr>
        <w:t>International Psychogeriatrics</w:t>
      </w:r>
      <w:r w:rsidRPr="00E317BB">
        <w:rPr>
          <w:rFonts w:ascii="Times New Roman" w:hAnsi="Times New Roman"/>
          <w:lang w:val="en-US"/>
        </w:rPr>
        <w:t xml:space="preserve"> 2013; 25: 565–575.</w:t>
      </w:r>
    </w:p>
    <w:p w14:paraId="52F6F64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23. </w:t>
      </w:r>
      <w:r w:rsidRPr="00E317BB">
        <w:rPr>
          <w:rFonts w:ascii="Times New Roman" w:hAnsi="Times New Roman"/>
          <w:lang w:val="en-US"/>
        </w:rPr>
        <w:tab/>
        <w:t xml:space="preserve">Materne CJ, Luszcz MA, Goodwin-Smith I. Increasing constructive engagement and positive affect for residents with severe and very severe dementia through group-based activities. </w:t>
      </w:r>
      <w:r w:rsidRPr="00E317BB">
        <w:rPr>
          <w:rFonts w:ascii="Times New Roman" w:hAnsi="Times New Roman"/>
          <w:i/>
          <w:iCs/>
          <w:lang w:val="en-US"/>
        </w:rPr>
        <w:t>Australasian Journal on Ageing</w:t>
      </w:r>
      <w:r w:rsidRPr="00E317BB">
        <w:rPr>
          <w:rFonts w:ascii="Times New Roman" w:hAnsi="Times New Roman"/>
          <w:lang w:val="en-US"/>
        </w:rPr>
        <w:t xml:space="preserve"> 2014; 33: E7–E10.</w:t>
      </w:r>
    </w:p>
    <w:p w14:paraId="675342CE"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24. </w:t>
      </w:r>
      <w:r w:rsidRPr="00E317BB">
        <w:rPr>
          <w:rFonts w:ascii="Times New Roman" w:hAnsi="Times New Roman"/>
          <w:lang w:val="en-US"/>
        </w:rPr>
        <w:tab/>
        <w:t xml:space="preserve">Cacioppo JT, Hughes ME, Waite LJ, et al. Loneliness as a specific risk factor for depressive symptoms: cross-sectional and longitudinal analyses. </w:t>
      </w:r>
      <w:r w:rsidRPr="00E317BB">
        <w:rPr>
          <w:rFonts w:ascii="Times New Roman" w:hAnsi="Times New Roman"/>
          <w:i/>
          <w:iCs/>
          <w:lang w:val="en-US"/>
        </w:rPr>
        <w:t>Psychol Aging</w:t>
      </w:r>
      <w:r w:rsidRPr="00E317BB">
        <w:rPr>
          <w:rFonts w:ascii="Times New Roman" w:hAnsi="Times New Roman"/>
          <w:lang w:val="en-US"/>
        </w:rPr>
        <w:t xml:space="preserve"> 2006; 21: 140–151.</w:t>
      </w:r>
    </w:p>
    <w:p w14:paraId="0036D572"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25. </w:t>
      </w:r>
      <w:r w:rsidRPr="00E317BB">
        <w:rPr>
          <w:rFonts w:ascii="Times New Roman" w:hAnsi="Times New Roman"/>
          <w:lang w:val="en-US"/>
        </w:rPr>
        <w:tab/>
        <w:t xml:space="preserve">Zuidema S, Koopmans R, Verhey F. Prevalence and Predictors of Neuropsychiatric Symptoms in Cognitively Impaired Nursing Home Patients. </w:t>
      </w:r>
      <w:r w:rsidRPr="00E317BB">
        <w:rPr>
          <w:rFonts w:ascii="Times New Roman" w:hAnsi="Times New Roman"/>
          <w:i/>
          <w:iCs/>
          <w:lang w:val="en-US"/>
        </w:rPr>
        <w:t>Journal of Geriatric Psychiatry and Neurology</w:t>
      </w:r>
      <w:r w:rsidRPr="00E317BB">
        <w:rPr>
          <w:rFonts w:ascii="Times New Roman" w:hAnsi="Times New Roman"/>
          <w:lang w:val="en-US"/>
        </w:rPr>
        <w:t>. Epub ahead of print 29 June 2016. DOI: 10.1177/0891988706292762.</w:t>
      </w:r>
    </w:p>
    <w:p w14:paraId="52A72C83"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26. </w:t>
      </w:r>
      <w:r w:rsidRPr="00E317BB">
        <w:rPr>
          <w:rFonts w:ascii="Times New Roman" w:hAnsi="Times New Roman"/>
          <w:lang w:val="en-US"/>
        </w:rPr>
        <w:tab/>
        <w:t xml:space="preserve">Brooker DJ, Woolley RJ, Lee D. Enriching opportunities for people living with dementia in nursing homes: an evaluation of a multi-level activity-based model of care. </w:t>
      </w:r>
      <w:r w:rsidRPr="00E317BB">
        <w:rPr>
          <w:rFonts w:ascii="Times New Roman" w:hAnsi="Times New Roman"/>
          <w:i/>
          <w:iCs/>
          <w:lang w:val="en-US"/>
        </w:rPr>
        <w:t>Aging Ment Health</w:t>
      </w:r>
      <w:r w:rsidRPr="00E317BB">
        <w:rPr>
          <w:rFonts w:ascii="Times New Roman" w:hAnsi="Times New Roman"/>
          <w:lang w:val="en-US"/>
        </w:rPr>
        <w:t xml:space="preserve"> 2007; 11: 361–370.</w:t>
      </w:r>
    </w:p>
    <w:p w14:paraId="72637CF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27. </w:t>
      </w:r>
      <w:r w:rsidRPr="00E317BB">
        <w:rPr>
          <w:rFonts w:ascii="Times New Roman" w:hAnsi="Times New Roman"/>
          <w:lang w:val="en-US"/>
        </w:rPr>
        <w:tab/>
        <w:t xml:space="preserve">Gitlin LN, Winter L, Burke J, et al. Tailored Activities to Manage Neuropsychiatric Behaviors in Persons With Dementia and Reduce Caregiver Burden: A Randomized Pilot Study. </w:t>
      </w:r>
      <w:r w:rsidRPr="00E317BB">
        <w:rPr>
          <w:rFonts w:ascii="Times New Roman" w:hAnsi="Times New Roman"/>
          <w:i/>
          <w:iCs/>
          <w:lang w:val="en-US"/>
        </w:rPr>
        <w:t>The American Journal of Geriatric Psychiatry</w:t>
      </w:r>
      <w:r w:rsidRPr="00E317BB">
        <w:rPr>
          <w:rFonts w:ascii="Times New Roman" w:hAnsi="Times New Roman"/>
          <w:lang w:val="en-US"/>
        </w:rPr>
        <w:t xml:space="preserve"> 2008; 16: 229–239.</w:t>
      </w:r>
    </w:p>
    <w:p w14:paraId="6DBE4D72"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28. </w:t>
      </w:r>
      <w:r w:rsidRPr="00E317BB">
        <w:rPr>
          <w:rFonts w:ascii="Times New Roman" w:hAnsi="Times New Roman"/>
          <w:lang w:val="en-US"/>
        </w:rPr>
        <w:tab/>
        <w:t xml:space="preserve">Cohen-Mansfield J, Dakheel-Ali M, Marx MS. Engagement in persons with dementia: the concept and its measurement. </w:t>
      </w:r>
      <w:r w:rsidRPr="00E317BB">
        <w:rPr>
          <w:rFonts w:ascii="Times New Roman" w:hAnsi="Times New Roman"/>
          <w:i/>
          <w:iCs/>
          <w:lang w:val="en-US"/>
        </w:rPr>
        <w:t>Am J Geriatr Psychiatry</w:t>
      </w:r>
      <w:r w:rsidRPr="00E317BB">
        <w:rPr>
          <w:rFonts w:ascii="Times New Roman" w:hAnsi="Times New Roman"/>
          <w:lang w:val="en-US"/>
        </w:rPr>
        <w:t xml:space="preserve"> 2009; 17: 299–307.</w:t>
      </w:r>
    </w:p>
    <w:p w14:paraId="38AE0B52"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29. </w:t>
      </w:r>
      <w:r w:rsidRPr="00E317BB">
        <w:rPr>
          <w:rFonts w:ascii="Times New Roman" w:hAnsi="Times New Roman"/>
          <w:lang w:val="en-US"/>
        </w:rPr>
        <w:tab/>
        <w:t xml:space="preserve">Jones C, Sung B, Moyle W. Assessing engagement in people with dementia: a new approach to assessment using video analysis. </w:t>
      </w:r>
      <w:r w:rsidRPr="00E317BB">
        <w:rPr>
          <w:rFonts w:ascii="Times New Roman" w:hAnsi="Times New Roman"/>
          <w:i/>
          <w:iCs/>
          <w:lang w:val="en-US"/>
        </w:rPr>
        <w:t>Arch Psychiatr Nurs</w:t>
      </w:r>
      <w:r w:rsidRPr="00E317BB">
        <w:rPr>
          <w:rFonts w:ascii="Times New Roman" w:hAnsi="Times New Roman"/>
          <w:lang w:val="en-US"/>
        </w:rPr>
        <w:t xml:space="preserve"> 2015; 29: 377–382.</w:t>
      </w:r>
    </w:p>
    <w:p w14:paraId="07F51AD7"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30. </w:t>
      </w:r>
      <w:r w:rsidRPr="00E317BB">
        <w:rPr>
          <w:rFonts w:ascii="Times New Roman" w:hAnsi="Times New Roman"/>
          <w:lang w:val="en-US"/>
        </w:rPr>
        <w:tab/>
        <w:t xml:space="preserve">Spector A, Thorgrimsen L, Woods B, et al. Efficacy of an evidence-based cognitive stimulation therapy programme for people with dementia: randomised controlled trial. </w:t>
      </w:r>
      <w:r w:rsidRPr="00E317BB">
        <w:rPr>
          <w:rFonts w:ascii="Times New Roman" w:hAnsi="Times New Roman"/>
          <w:i/>
          <w:iCs/>
          <w:lang w:val="en-US"/>
        </w:rPr>
        <w:t>Br J Psychiatry</w:t>
      </w:r>
      <w:r w:rsidRPr="00E317BB">
        <w:rPr>
          <w:rFonts w:ascii="Times New Roman" w:hAnsi="Times New Roman"/>
          <w:lang w:val="en-US"/>
        </w:rPr>
        <w:t xml:space="preserve"> 2003; 183: 248–254.</w:t>
      </w:r>
    </w:p>
    <w:p w14:paraId="6113599C"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31. </w:t>
      </w:r>
      <w:r w:rsidRPr="00E317BB">
        <w:rPr>
          <w:rFonts w:ascii="Times New Roman" w:hAnsi="Times New Roman"/>
          <w:lang w:val="en-US"/>
        </w:rPr>
        <w:tab/>
        <w:t xml:space="preserve">Spector A, Orrell M, Woods B. Cognitive Stimulation Therapy (CST): effects on different areas of cognitive function for people with dementia. </w:t>
      </w:r>
      <w:r w:rsidRPr="00E317BB">
        <w:rPr>
          <w:rFonts w:ascii="Times New Roman" w:hAnsi="Times New Roman"/>
          <w:i/>
          <w:iCs/>
          <w:lang w:val="en-US"/>
        </w:rPr>
        <w:t>Int J Geriatr Psychiatry</w:t>
      </w:r>
      <w:r w:rsidRPr="00E317BB">
        <w:rPr>
          <w:rFonts w:ascii="Times New Roman" w:hAnsi="Times New Roman"/>
          <w:lang w:val="en-US"/>
        </w:rPr>
        <w:t xml:space="preserve"> 2010; 25: 1253–1258.</w:t>
      </w:r>
    </w:p>
    <w:p w14:paraId="3E6195A8"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32. </w:t>
      </w:r>
      <w:r w:rsidRPr="00E317BB">
        <w:rPr>
          <w:rFonts w:ascii="Times New Roman" w:hAnsi="Times New Roman"/>
          <w:lang w:val="en-US"/>
        </w:rPr>
        <w:tab/>
        <w:t xml:space="preserve">Spector A, Gardner C, Orrell M. The impact of Cognitive Stimulation Therapy groups on people with dementia: views from participants, their carers and group facilitators. </w:t>
      </w:r>
      <w:r w:rsidRPr="00E317BB">
        <w:rPr>
          <w:rFonts w:ascii="Times New Roman" w:hAnsi="Times New Roman"/>
          <w:i/>
          <w:iCs/>
          <w:lang w:val="en-US"/>
        </w:rPr>
        <w:t>Aging Ment Health</w:t>
      </w:r>
      <w:r w:rsidRPr="00E317BB">
        <w:rPr>
          <w:rFonts w:ascii="Times New Roman" w:hAnsi="Times New Roman"/>
          <w:lang w:val="en-US"/>
        </w:rPr>
        <w:t xml:space="preserve"> 2011; 15: 945–949.</w:t>
      </w:r>
    </w:p>
    <w:p w14:paraId="40B71BA8"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33. </w:t>
      </w:r>
      <w:r w:rsidRPr="00E317BB">
        <w:rPr>
          <w:rFonts w:ascii="Times New Roman" w:hAnsi="Times New Roman"/>
          <w:lang w:val="en-US"/>
        </w:rPr>
        <w:tab/>
        <w:t xml:space="preserve">Regier NG, Hodgson NA, Gitlin LN. Characteristics of Activities for Persons With Dementia at the Mild, Moderate, and Severe Stages. </w:t>
      </w:r>
      <w:r w:rsidRPr="00E317BB">
        <w:rPr>
          <w:rFonts w:ascii="Times New Roman" w:hAnsi="Times New Roman"/>
          <w:i/>
          <w:iCs/>
          <w:lang w:val="en-US"/>
        </w:rPr>
        <w:t>Gerontologist</w:t>
      </w:r>
      <w:r w:rsidRPr="00E317BB">
        <w:rPr>
          <w:rFonts w:ascii="Times New Roman" w:hAnsi="Times New Roman"/>
          <w:lang w:val="en-US"/>
        </w:rPr>
        <w:t>; Online First. Epub ahead of print 2016. DOI: 10.1093/geront/gnw133.</w:t>
      </w:r>
    </w:p>
    <w:p w14:paraId="4BACDCC3"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34. </w:t>
      </w:r>
      <w:r w:rsidRPr="00E317BB">
        <w:rPr>
          <w:rFonts w:ascii="Times New Roman" w:hAnsi="Times New Roman"/>
          <w:lang w:val="en-US"/>
        </w:rPr>
        <w:tab/>
        <w:t xml:space="preserve">Woods RT, Bruce E, Edwards RT, et al. REMCARE: reminiscence groups for people with dementia and their family caregivers - effectiveness and cost-effectiveness pragmatic multicentre randomised trial. </w:t>
      </w:r>
      <w:r w:rsidRPr="00E317BB">
        <w:rPr>
          <w:rFonts w:ascii="Times New Roman" w:hAnsi="Times New Roman"/>
          <w:i/>
          <w:iCs/>
          <w:lang w:val="en-US"/>
        </w:rPr>
        <w:t>Health Technol Assess</w:t>
      </w:r>
      <w:r w:rsidRPr="00E317BB">
        <w:rPr>
          <w:rFonts w:ascii="Times New Roman" w:hAnsi="Times New Roman"/>
          <w:lang w:val="en-US"/>
        </w:rPr>
        <w:t xml:space="preserve"> 2012; 16: v–xv, 1-116.</w:t>
      </w:r>
    </w:p>
    <w:p w14:paraId="419E11C9"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35. </w:t>
      </w:r>
      <w:r w:rsidRPr="00E317BB">
        <w:rPr>
          <w:rFonts w:ascii="Times New Roman" w:hAnsi="Times New Roman"/>
          <w:lang w:val="en-US"/>
        </w:rPr>
        <w:tab/>
        <w:t xml:space="preserve">James IA. </w:t>
      </w:r>
      <w:r w:rsidRPr="00E317BB">
        <w:rPr>
          <w:rFonts w:ascii="Times New Roman" w:hAnsi="Times New Roman"/>
          <w:i/>
          <w:iCs/>
          <w:lang w:val="en-US"/>
        </w:rPr>
        <w:t>Understanding behaviour in dementia that challenges: a guide to assessment and treatment</w:t>
      </w:r>
      <w:r w:rsidRPr="00E317BB">
        <w:rPr>
          <w:rFonts w:ascii="Times New Roman" w:hAnsi="Times New Roman"/>
          <w:lang w:val="en-US"/>
        </w:rPr>
        <w:t>. London: Jessica Kingsley, Jessica Kingsley Publishers, 2011.</w:t>
      </w:r>
    </w:p>
    <w:p w14:paraId="681D29E7"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36. </w:t>
      </w:r>
      <w:r w:rsidRPr="00E317BB">
        <w:rPr>
          <w:rFonts w:ascii="Times New Roman" w:hAnsi="Times New Roman"/>
          <w:lang w:val="en-US"/>
        </w:rPr>
        <w:tab/>
        <w:t xml:space="preserve">Pool J. </w:t>
      </w:r>
      <w:r w:rsidRPr="00E317BB">
        <w:rPr>
          <w:rFonts w:ascii="Times New Roman" w:hAnsi="Times New Roman"/>
          <w:i/>
          <w:iCs/>
          <w:lang w:val="en-US"/>
        </w:rPr>
        <w:t>The Pool Activity Level (PAL) Instrument for Occupational Profiling: A Practical Resource for Carers of People with Cognitive Impairment Fourth Edition</w:t>
      </w:r>
      <w:r w:rsidRPr="00E317BB">
        <w:rPr>
          <w:rFonts w:ascii="Times New Roman" w:hAnsi="Times New Roman"/>
          <w:lang w:val="en-US"/>
        </w:rPr>
        <w:t>. London: Jessica Kingsley Publishers, 2012.</w:t>
      </w:r>
    </w:p>
    <w:p w14:paraId="41DD739C" w14:textId="77777777" w:rsidR="005B7F0F" w:rsidRPr="00E317BB" w:rsidRDefault="005B7F0F" w:rsidP="006464AA">
      <w:pPr>
        <w:pStyle w:val="Bibliography"/>
        <w:rPr>
          <w:rFonts w:ascii="Times New Roman" w:hAnsi="Times New Roman"/>
          <w:lang w:val="en-US"/>
        </w:rPr>
      </w:pPr>
      <w:r w:rsidRPr="00E317BB">
        <w:rPr>
          <w:rFonts w:ascii="Times New Roman" w:hAnsi="Times New Roman"/>
          <w:lang w:val="en-US"/>
        </w:rPr>
        <w:t xml:space="preserve">37. </w:t>
      </w:r>
      <w:r w:rsidRPr="00E317BB">
        <w:rPr>
          <w:rFonts w:ascii="Times New Roman" w:hAnsi="Times New Roman"/>
          <w:lang w:val="en-US"/>
        </w:rPr>
        <w:tab/>
        <w:t>Lawton MP, Van Haistmas K, Klapper JA. Observed Emotion Rating Scalehttps://www.abramsoncenter.org/media/1199/observed-emotion-rating-scale.pdf (1999, accessed 12 April 2017).</w:t>
      </w:r>
    </w:p>
    <w:p w14:paraId="67A908B4" w14:textId="77777777" w:rsidR="005B7F0F" w:rsidRPr="006464AA" w:rsidRDefault="005B7F0F" w:rsidP="006464AA">
      <w:pPr>
        <w:pStyle w:val="Bibliography"/>
        <w:rPr>
          <w:rFonts w:ascii="Times New Roman" w:hAnsi="Times New Roman"/>
          <w:lang w:val="en-US"/>
        </w:rPr>
      </w:pPr>
      <w:r w:rsidRPr="00E317BB">
        <w:rPr>
          <w:rFonts w:ascii="Times New Roman" w:hAnsi="Times New Roman"/>
          <w:lang w:val="en-US"/>
        </w:rPr>
        <w:t xml:space="preserve">38. </w:t>
      </w:r>
      <w:r w:rsidRPr="00E317BB">
        <w:rPr>
          <w:rFonts w:ascii="Times New Roman" w:hAnsi="Times New Roman"/>
          <w:lang w:val="en-US"/>
        </w:rPr>
        <w:tab/>
        <w:t xml:space="preserve">Cummings J, Mintzer J, Brodaty H, et al. Agitation in cognitive disorders: International Psychogeriatric Association provisional consensus clinical and research definition. </w:t>
      </w:r>
      <w:r w:rsidRPr="00E317BB">
        <w:rPr>
          <w:rFonts w:ascii="Times New Roman" w:hAnsi="Times New Roman"/>
          <w:i/>
          <w:iCs/>
          <w:lang w:val="en-US"/>
        </w:rPr>
        <w:t>Int Psychogeriatr</w:t>
      </w:r>
      <w:r w:rsidRPr="00E317BB">
        <w:rPr>
          <w:rFonts w:ascii="Times New Roman" w:hAnsi="Times New Roman"/>
          <w:lang w:val="en-US"/>
        </w:rPr>
        <w:t xml:space="preserve"> 2015; 27: 7–17.</w:t>
      </w:r>
    </w:p>
    <w:p w14:paraId="15CB330D" w14:textId="7E7BBEE5" w:rsidR="00C0761F" w:rsidRPr="007A3C99" w:rsidRDefault="00E317BB" w:rsidP="00E317BB">
      <w:pPr>
        <w:rPr>
          <w:rFonts w:ascii="Times New Roman" w:hAnsi="Times New Roman" w:cs="Times New Roman"/>
        </w:rPr>
        <w:sectPr w:rsidR="00C0761F" w:rsidRPr="007A3C99" w:rsidSect="00BE2054">
          <w:pgSz w:w="11900" w:h="16840"/>
          <w:pgMar w:top="1440" w:right="1800" w:bottom="1440" w:left="1800" w:header="708" w:footer="708" w:gutter="0"/>
          <w:cols w:space="708"/>
          <w:docGrid w:linePitch="360"/>
        </w:sectPr>
      </w:pPr>
      <w:r>
        <w:rPr>
          <w:rFonts w:ascii="Times New Roman" w:hAnsi="Times New Roman" w:cs="Times New Roman"/>
        </w:rPr>
        <w:br w:type="page"/>
      </w:r>
    </w:p>
    <w:tbl>
      <w:tblPr>
        <w:tblW w:w="15366" w:type="dxa"/>
        <w:tblInd w:w="93" w:type="dxa"/>
        <w:tblLayout w:type="fixed"/>
        <w:tblLook w:val="04A0" w:firstRow="1" w:lastRow="0" w:firstColumn="1" w:lastColumn="0" w:noHBand="0" w:noVBand="1"/>
      </w:tblPr>
      <w:tblGrid>
        <w:gridCol w:w="6252"/>
        <w:gridCol w:w="1418"/>
        <w:gridCol w:w="664"/>
        <w:gridCol w:w="236"/>
        <w:gridCol w:w="296"/>
        <w:gridCol w:w="1300"/>
        <w:gridCol w:w="1300"/>
        <w:gridCol w:w="1300"/>
        <w:gridCol w:w="1300"/>
        <w:gridCol w:w="1300"/>
      </w:tblGrid>
      <w:tr w:rsidR="00E317BB" w:rsidRPr="00E317BB" w14:paraId="085AE8F3" w14:textId="77777777" w:rsidTr="002C3FCC">
        <w:trPr>
          <w:trHeight w:val="300"/>
        </w:trPr>
        <w:tc>
          <w:tcPr>
            <w:tcW w:w="88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3C533E"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 xml:space="preserve">Beginning of group observation (1 minute per participant) </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52361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xml:space="preserve">Date: </w:t>
            </w:r>
          </w:p>
        </w:tc>
        <w:tc>
          <w:tcPr>
            <w:tcW w:w="3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3F1A53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xml:space="preserve">Time: </w:t>
            </w:r>
          </w:p>
        </w:tc>
      </w:tr>
      <w:tr w:rsidR="00E317BB" w:rsidRPr="00E317BB" w14:paraId="6E6502BA" w14:textId="77777777" w:rsidTr="002C3FCC">
        <w:trPr>
          <w:trHeight w:val="300"/>
        </w:trPr>
        <w:tc>
          <w:tcPr>
            <w:tcW w:w="6252" w:type="dxa"/>
            <w:tcBorders>
              <w:top w:val="nil"/>
              <w:left w:val="single" w:sz="4" w:space="0" w:color="auto"/>
              <w:bottom w:val="nil"/>
              <w:right w:val="single" w:sz="4" w:space="0" w:color="auto"/>
            </w:tcBorders>
            <w:shd w:val="clear" w:color="auto" w:fill="auto"/>
            <w:noWrap/>
            <w:vAlign w:val="bottom"/>
            <w:hideMark/>
          </w:tcPr>
          <w:p w14:paraId="22A762D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xml:space="preserve">NAME (Initials) </w:t>
            </w:r>
          </w:p>
        </w:tc>
        <w:tc>
          <w:tcPr>
            <w:tcW w:w="1418" w:type="dxa"/>
            <w:tcBorders>
              <w:top w:val="nil"/>
              <w:left w:val="nil"/>
              <w:bottom w:val="nil"/>
              <w:right w:val="single" w:sz="4" w:space="0" w:color="auto"/>
            </w:tcBorders>
            <w:shd w:val="clear" w:color="auto" w:fill="auto"/>
            <w:noWrap/>
            <w:vAlign w:val="bottom"/>
            <w:hideMark/>
          </w:tcPr>
          <w:p w14:paraId="0A8753D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04A7CCA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463C87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730E38D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03A8B35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79F4822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4319D1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56F4D4FC" w14:textId="77777777" w:rsidTr="002C3FCC">
        <w:trPr>
          <w:trHeight w:val="300"/>
        </w:trPr>
        <w:tc>
          <w:tcPr>
            <w:tcW w:w="6252" w:type="dxa"/>
            <w:tcBorders>
              <w:top w:val="single" w:sz="4" w:space="0" w:color="auto"/>
              <w:left w:val="single" w:sz="4" w:space="0" w:color="auto"/>
              <w:bottom w:val="single" w:sz="4" w:space="0" w:color="auto"/>
              <w:right w:val="nil"/>
            </w:tcBorders>
            <w:shd w:val="clear" w:color="000000" w:fill="A6A6A6"/>
            <w:vAlign w:val="center"/>
            <w:hideMark/>
          </w:tcPr>
          <w:p w14:paraId="34268551"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ADDRESS</w:t>
            </w:r>
          </w:p>
        </w:tc>
        <w:tc>
          <w:tcPr>
            <w:tcW w:w="1418" w:type="dxa"/>
            <w:tcBorders>
              <w:top w:val="single" w:sz="4" w:space="0" w:color="auto"/>
              <w:left w:val="nil"/>
              <w:bottom w:val="single" w:sz="4" w:space="0" w:color="auto"/>
              <w:right w:val="nil"/>
            </w:tcBorders>
            <w:shd w:val="clear" w:color="000000" w:fill="A6A6A6"/>
            <w:noWrap/>
            <w:vAlign w:val="bottom"/>
            <w:hideMark/>
          </w:tcPr>
          <w:p w14:paraId="44D5560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single" w:sz="4" w:space="0" w:color="auto"/>
              <w:left w:val="nil"/>
              <w:bottom w:val="single" w:sz="4" w:space="0" w:color="auto"/>
              <w:right w:val="nil"/>
            </w:tcBorders>
            <w:shd w:val="clear" w:color="000000" w:fill="A6A6A6"/>
            <w:noWrap/>
            <w:vAlign w:val="bottom"/>
            <w:hideMark/>
          </w:tcPr>
          <w:p w14:paraId="47534AE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616E38E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5C89780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20CE0E9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C12883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0E00FCF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FD2AE3A"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14:paraId="099BB82B"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Not being addressed</w:t>
            </w:r>
          </w:p>
        </w:tc>
        <w:tc>
          <w:tcPr>
            <w:tcW w:w="1418" w:type="dxa"/>
            <w:tcBorders>
              <w:top w:val="nil"/>
              <w:left w:val="nil"/>
              <w:bottom w:val="single" w:sz="4" w:space="0" w:color="auto"/>
              <w:right w:val="single" w:sz="4" w:space="0" w:color="auto"/>
            </w:tcBorders>
            <w:shd w:val="clear" w:color="auto" w:fill="auto"/>
            <w:noWrap/>
            <w:vAlign w:val="bottom"/>
            <w:hideMark/>
          </w:tcPr>
          <w:p w14:paraId="35F4FD5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12A7195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4F82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31A5B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AE853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969D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9F502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1A236226" w14:textId="77777777" w:rsidTr="002C3FCC">
        <w:trPr>
          <w:trHeight w:val="300"/>
        </w:trPr>
        <w:tc>
          <w:tcPr>
            <w:tcW w:w="6252" w:type="dxa"/>
            <w:tcBorders>
              <w:top w:val="nil"/>
              <w:left w:val="single" w:sz="4" w:space="0" w:color="auto"/>
              <w:bottom w:val="nil"/>
              <w:right w:val="single" w:sz="4" w:space="0" w:color="auto"/>
            </w:tcBorders>
            <w:shd w:val="clear" w:color="auto" w:fill="auto"/>
            <w:vAlign w:val="center"/>
            <w:hideMark/>
          </w:tcPr>
          <w:p w14:paraId="6072BA8A"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Being addressed</w:t>
            </w:r>
          </w:p>
        </w:tc>
        <w:tc>
          <w:tcPr>
            <w:tcW w:w="1418" w:type="dxa"/>
            <w:tcBorders>
              <w:top w:val="nil"/>
              <w:left w:val="nil"/>
              <w:bottom w:val="nil"/>
              <w:right w:val="single" w:sz="4" w:space="0" w:color="auto"/>
            </w:tcBorders>
            <w:shd w:val="clear" w:color="auto" w:fill="auto"/>
            <w:noWrap/>
            <w:vAlign w:val="bottom"/>
            <w:hideMark/>
          </w:tcPr>
          <w:p w14:paraId="2C6B275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25CFE01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2D566E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FDA098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2AAD71A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5AEE61D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062D7D0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09305523" w14:textId="77777777" w:rsidTr="002C3FCC">
        <w:trPr>
          <w:trHeight w:val="300"/>
        </w:trPr>
        <w:tc>
          <w:tcPr>
            <w:tcW w:w="6252" w:type="dxa"/>
            <w:tcBorders>
              <w:top w:val="single" w:sz="4" w:space="0" w:color="auto"/>
              <w:left w:val="single" w:sz="4" w:space="0" w:color="auto"/>
              <w:bottom w:val="single" w:sz="4" w:space="0" w:color="auto"/>
              <w:right w:val="nil"/>
            </w:tcBorders>
            <w:shd w:val="clear" w:color="000000" w:fill="A6A6A6"/>
            <w:noWrap/>
            <w:vAlign w:val="bottom"/>
            <w:hideMark/>
          </w:tcPr>
          <w:p w14:paraId="5A78FA09"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ATTENTION</w:t>
            </w:r>
          </w:p>
        </w:tc>
        <w:tc>
          <w:tcPr>
            <w:tcW w:w="1418" w:type="dxa"/>
            <w:tcBorders>
              <w:top w:val="single" w:sz="4" w:space="0" w:color="auto"/>
              <w:left w:val="nil"/>
              <w:bottom w:val="single" w:sz="4" w:space="0" w:color="auto"/>
              <w:right w:val="nil"/>
            </w:tcBorders>
            <w:shd w:val="clear" w:color="000000" w:fill="A6A6A6"/>
            <w:noWrap/>
            <w:vAlign w:val="bottom"/>
            <w:hideMark/>
          </w:tcPr>
          <w:p w14:paraId="6E1D07E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single" w:sz="4" w:space="0" w:color="auto"/>
              <w:left w:val="nil"/>
              <w:bottom w:val="single" w:sz="4" w:space="0" w:color="auto"/>
              <w:right w:val="nil"/>
            </w:tcBorders>
            <w:shd w:val="clear" w:color="000000" w:fill="A6A6A6"/>
            <w:noWrap/>
            <w:vAlign w:val="bottom"/>
            <w:hideMark/>
          </w:tcPr>
          <w:p w14:paraId="6AC4300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037489E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28DAAC9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681C28F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B5CA59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4C48354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1FACFC67"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E3ED49E"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Left partway through </w:t>
            </w:r>
          </w:p>
        </w:tc>
        <w:tc>
          <w:tcPr>
            <w:tcW w:w="1418" w:type="dxa"/>
            <w:tcBorders>
              <w:top w:val="nil"/>
              <w:left w:val="nil"/>
              <w:bottom w:val="single" w:sz="4" w:space="0" w:color="auto"/>
              <w:right w:val="single" w:sz="4" w:space="0" w:color="auto"/>
            </w:tcBorders>
            <w:shd w:val="clear" w:color="auto" w:fill="auto"/>
            <w:noWrap/>
            <w:vAlign w:val="bottom"/>
            <w:hideMark/>
          </w:tcPr>
          <w:p w14:paraId="6B6F6E0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2CDC674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72976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76CB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826C9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8CBAF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ED74F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bookmarkStart w:id="0" w:name="_GoBack"/>
            <w:bookmarkEnd w:id="0"/>
          </w:p>
        </w:tc>
      </w:tr>
      <w:tr w:rsidR="00E317BB" w:rsidRPr="00E317BB" w14:paraId="785AFC5C"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4A5BB8A2"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Unable to concentrate </w:t>
            </w:r>
          </w:p>
        </w:tc>
        <w:tc>
          <w:tcPr>
            <w:tcW w:w="1418" w:type="dxa"/>
            <w:tcBorders>
              <w:top w:val="nil"/>
              <w:left w:val="nil"/>
              <w:bottom w:val="single" w:sz="4" w:space="0" w:color="auto"/>
              <w:right w:val="single" w:sz="4" w:space="0" w:color="auto"/>
            </w:tcBorders>
            <w:shd w:val="clear" w:color="auto" w:fill="auto"/>
            <w:noWrap/>
            <w:vAlign w:val="bottom"/>
            <w:hideMark/>
          </w:tcPr>
          <w:p w14:paraId="3BC7080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5D8CB57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1A486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59989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4104E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66A08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2A6B1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3CF8345D"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5905FAA"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Concentrates for very short period only (less than 10 sec) </w:t>
            </w:r>
          </w:p>
        </w:tc>
        <w:tc>
          <w:tcPr>
            <w:tcW w:w="1418" w:type="dxa"/>
            <w:tcBorders>
              <w:top w:val="nil"/>
              <w:left w:val="nil"/>
              <w:bottom w:val="single" w:sz="4" w:space="0" w:color="auto"/>
              <w:right w:val="single" w:sz="4" w:space="0" w:color="auto"/>
            </w:tcBorders>
            <w:shd w:val="clear" w:color="auto" w:fill="auto"/>
            <w:noWrap/>
            <w:vAlign w:val="bottom"/>
            <w:hideMark/>
          </w:tcPr>
          <w:p w14:paraId="1EB2DB8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4E9D34B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FC4CC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1AA1F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C4971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5FC3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09AB2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0F3284EA"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8FD9FFD"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Concentrates and Re-attends after distraction </w:t>
            </w:r>
          </w:p>
        </w:tc>
        <w:tc>
          <w:tcPr>
            <w:tcW w:w="1418" w:type="dxa"/>
            <w:tcBorders>
              <w:top w:val="nil"/>
              <w:left w:val="nil"/>
              <w:bottom w:val="single" w:sz="4" w:space="0" w:color="auto"/>
              <w:right w:val="single" w:sz="4" w:space="0" w:color="auto"/>
            </w:tcBorders>
            <w:shd w:val="clear" w:color="auto" w:fill="auto"/>
            <w:noWrap/>
            <w:vAlign w:val="bottom"/>
            <w:hideMark/>
          </w:tcPr>
          <w:p w14:paraId="54EF7C5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0281B76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59AD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F1512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C3B82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7CD90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FD81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3D8C3617" w14:textId="77777777" w:rsidTr="002C3FCC">
        <w:trPr>
          <w:trHeight w:val="300"/>
        </w:trPr>
        <w:tc>
          <w:tcPr>
            <w:tcW w:w="6252" w:type="dxa"/>
            <w:tcBorders>
              <w:top w:val="nil"/>
              <w:left w:val="single" w:sz="4" w:space="0" w:color="auto"/>
              <w:bottom w:val="nil"/>
              <w:right w:val="single" w:sz="4" w:space="0" w:color="auto"/>
            </w:tcBorders>
            <w:shd w:val="clear" w:color="auto" w:fill="auto"/>
            <w:noWrap/>
            <w:vAlign w:val="bottom"/>
            <w:hideMark/>
          </w:tcPr>
          <w:p w14:paraId="2021B737"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Concentrates for full periods </w:t>
            </w:r>
          </w:p>
        </w:tc>
        <w:tc>
          <w:tcPr>
            <w:tcW w:w="1418" w:type="dxa"/>
            <w:tcBorders>
              <w:top w:val="nil"/>
              <w:left w:val="nil"/>
              <w:bottom w:val="nil"/>
              <w:right w:val="single" w:sz="4" w:space="0" w:color="auto"/>
            </w:tcBorders>
            <w:shd w:val="clear" w:color="auto" w:fill="auto"/>
            <w:noWrap/>
            <w:vAlign w:val="bottom"/>
            <w:hideMark/>
          </w:tcPr>
          <w:p w14:paraId="487E6C6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3512263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1451E0C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242829D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3DA4C9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58B8FFC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4C38E3E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4EFAC3F" w14:textId="77777777" w:rsidTr="002C3FCC">
        <w:trPr>
          <w:trHeight w:val="300"/>
        </w:trPr>
        <w:tc>
          <w:tcPr>
            <w:tcW w:w="6252" w:type="dxa"/>
            <w:tcBorders>
              <w:top w:val="single" w:sz="4" w:space="0" w:color="auto"/>
              <w:left w:val="single" w:sz="4" w:space="0" w:color="auto"/>
              <w:bottom w:val="single" w:sz="4" w:space="0" w:color="auto"/>
              <w:right w:val="nil"/>
            </w:tcBorders>
            <w:shd w:val="clear" w:color="000000" w:fill="A6A6A6"/>
            <w:noWrap/>
            <w:vAlign w:val="bottom"/>
            <w:hideMark/>
          </w:tcPr>
          <w:p w14:paraId="4703DF08"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 xml:space="preserve">ENGAGEMENT WITH OBJECT </w:t>
            </w:r>
          </w:p>
        </w:tc>
        <w:tc>
          <w:tcPr>
            <w:tcW w:w="1418" w:type="dxa"/>
            <w:tcBorders>
              <w:top w:val="single" w:sz="4" w:space="0" w:color="auto"/>
              <w:left w:val="nil"/>
              <w:bottom w:val="single" w:sz="4" w:space="0" w:color="auto"/>
              <w:right w:val="nil"/>
            </w:tcBorders>
            <w:shd w:val="clear" w:color="000000" w:fill="A6A6A6"/>
            <w:noWrap/>
            <w:vAlign w:val="bottom"/>
            <w:hideMark/>
          </w:tcPr>
          <w:p w14:paraId="7A90051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single" w:sz="4" w:space="0" w:color="auto"/>
              <w:left w:val="nil"/>
              <w:bottom w:val="single" w:sz="4" w:space="0" w:color="auto"/>
              <w:right w:val="nil"/>
            </w:tcBorders>
            <w:shd w:val="clear" w:color="000000" w:fill="A6A6A6"/>
            <w:noWrap/>
            <w:vAlign w:val="bottom"/>
            <w:hideMark/>
          </w:tcPr>
          <w:p w14:paraId="0220B66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3C03305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6163458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386FA33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2DD6286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0BD9286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6F1FFF5E"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9AFA28A"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Negative engagement </w:t>
            </w:r>
          </w:p>
        </w:tc>
        <w:tc>
          <w:tcPr>
            <w:tcW w:w="1418" w:type="dxa"/>
            <w:tcBorders>
              <w:top w:val="nil"/>
              <w:left w:val="nil"/>
              <w:bottom w:val="single" w:sz="4" w:space="0" w:color="auto"/>
              <w:right w:val="single" w:sz="4" w:space="0" w:color="auto"/>
            </w:tcBorders>
            <w:shd w:val="clear" w:color="auto" w:fill="auto"/>
            <w:noWrap/>
            <w:vAlign w:val="bottom"/>
            <w:hideMark/>
          </w:tcPr>
          <w:p w14:paraId="01FB3DB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1E7B1DB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01B4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94225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5C3C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63E22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E916E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0F465F1A"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994B17C"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Responds to prompts only </w:t>
            </w:r>
          </w:p>
        </w:tc>
        <w:tc>
          <w:tcPr>
            <w:tcW w:w="1418" w:type="dxa"/>
            <w:tcBorders>
              <w:top w:val="nil"/>
              <w:left w:val="nil"/>
              <w:bottom w:val="single" w:sz="4" w:space="0" w:color="auto"/>
              <w:right w:val="single" w:sz="4" w:space="0" w:color="auto"/>
            </w:tcBorders>
            <w:shd w:val="clear" w:color="auto" w:fill="auto"/>
            <w:noWrap/>
            <w:vAlign w:val="bottom"/>
            <w:hideMark/>
          </w:tcPr>
          <w:p w14:paraId="1869B11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29BBD7C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5118D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321D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A5E2E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DF7A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1BB2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768A84C4"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9BB334D"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Visual engagement with object</w:t>
            </w:r>
          </w:p>
        </w:tc>
        <w:tc>
          <w:tcPr>
            <w:tcW w:w="1418" w:type="dxa"/>
            <w:tcBorders>
              <w:top w:val="nil"/>
              <w:left w:val="nil"/>
              <w:bottom w:val="single" w:sz="4" w:space="0" w:color="auto"/>
              <w:right w:val="single" w:sz="4" w:space="0" w:color="auto"/>
            </w:tcBorders>
            <w:shd w:val="clear" w:color="auto" w:fill="auto"/>
            <w:noWrap/>
            <w:vAlign w:val="bottom"/>
            <w:hideMark/>
          </w:tcPr>
          <w:p w14:paraId="3DABD60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043FC31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2AE67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8898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1FA94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EB27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020BC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5DDA8B1B"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B144B50"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Explores objects (not engaged in conversation) </w:t>
            </w:r>
          </w:p>
        </w:tc>
        <w:tc>
          <w:tcPr>
            <w:tcW w:w="1418" w:type="dxa"/>
            <w:tcBorders>
              <w:top w:val="nil"/>
              <w:left w:val="nil"/>
              <w:bottom w:val="single" w:sz="4" w:space="0" w:color="auto"/>
              <w:right w:val="single" w:sz="4" w:space="0" w:color="auto"/>
            </w:tcBorders>
            <w:shd w:val="clear" w:color="auto" w:fill="auto"/>
            <w:noWrap/>
            <w:vAlign w:val="bottom"/>
            <w:hideMark/>
          </w:tcPr>
          <w:p w14:paraId="149A1C8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7744053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88B0A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ECB30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D09A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7498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1C399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3DDAC792" w14:textId="77777777" w:rsidTr="002C3FCC">
        <w:trPr>
          <w:trHeight w:val="300"/>
        </w:trPr>
        <w:tc>
          <w:tcPr>
            <w:tcW w:w="6252" w:type="dxa"/>
            <w:tcBorders>
              <w:top w:val="nil"/>
              <w:left w:val="single" w:sz="4" w:space="0" w:color="auto"/>
              <w:bottom w:val="nil"/>
              <w:right w:val="single" w:sz="4" w:space="0" w:color="auto"/>
            </w:tcBorders>
            <w:shd w:val="clear" w:color="auto" w:fill="auto"/>
            <w:noWrap/>
            <w:vAlign w:val="bottom"/>
            <w:hideMark/>
          </w:tcPr>
          <w:p w14:paraId="2417738F"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Explores object and engages in conversation around object</w:t>
            </w:r>
          </w:p>
        </w:tc>
        <w:tc>
          <w:tcPr>
            <w:tcW w:w="1418" w:type="dxa"/>
            <w:tcBorders>
              <w:top w:val="nil"/>
              <w:left w:val="nil"/>
              <w:bottom w:val="nil"/>
              <w:right w:val="single" w:sz="4" w:space="0" w:color="auto"/>
            </w:tcBorders>
            <w:shd w:val="clear" w:color="auto" w:fill="auto"/>
            <w:noWrap/>
            <w:vAlign w:val="bottom"/>
            <w:hideMark/>
          </w:tcPr>
          <w:p w14:paraId="32B90C3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0017717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1E683B3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1FB3AEA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4B401AB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754D43A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0295CD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099CDEFE" w14:textId="77777777" w:rsidTr="002C3FCC">
        <w:trPr>
          <w:trHeight w:val="300"/>
        </w:trPr>
        <w:tc>
          <w:tcPr>
            <w:tcW w:w="6252" w:type="dxa"/>
            <w:tcBorders>
              <w:top w:val="single" w:sz="4" w:space="0" w:color="auto"/>
              <w:left w:val="single" w:sz="4" w:space="0" w:color="auto"/>
              <w:bottom w:val="single" w:sz="4" w:space="0" w:color="auto"/>
              <w:right w:val="nil"/>
            </w:tcBorders>
            <w:shd w:val="clear" w:color="000000" w:fill="A6A6A6"/>
            <w:noWrap/>
            <w:vAlign w:val="bottom"/>
            <w:hideMark/>
          </w:tcPr>
          <w:p w14:paraId="0D26F95E"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SOCIAL INTERACTION</w:t>
            </w:r>
          </w:p>
        </w:tc>
        <w:tc>
          <w:tcPr>
            <w:tcW w:w="1418" w:type="dxa"/>
            <w:tcBorders>
              <w:top w:val="single" w:sz="4" w:space="0" w:color="auto"/>
              <w:left w:val="nil"/>
              <w:bottom w:val="single" w:sz="4" w:space="0" w:color="auto"/>
              <w:right w:val="nil"/>
            </w:tcBorders>
            <w:shd w:val="clear" w:color="000000" w:fill="A6A6A6"/>
            <w:noWrap/>
            <w:vAlign w:val="bottom"/>
            <w:hideMark/>
          </w:tcPr>
          <w:p w14:paraId="2B39500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single" w:sz="4" w:space="0" w:color="auto"/>
              <w:left w:val="nil"/>
              <w:bottom w:val="single" w:sz="4" w:space="0" w:color="auto"/>
              <w:right w:val="nil"/>
            </w:tcBorders>
            <w:shd w:val="clear" w:color="000000" w:fill="A6A6A6"/>
            <w:noWrap/>
            <w:vAlign w:val="bottom"/>
            <w:hideMark/>
          </w:tcPr>
          <w:p w14:paraId="50BF33C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5232CF2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024123C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805FCE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38C5116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7B3A60B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057F8235"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22364A7"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Negative social interaction </w:t>
            </w:r>
          </w:p>
        </w:tc>
        <w:tc>
          <w:tcPr>
            <w:tcW w:w="1418" w:type="dxa"/>
            <w:tcBorders>
              <w:top w:val="nil"/>
              <w:left w:val="nil"/>
              <w:bottom w:val="single" w:sz="4" w:space="0" w:color="auto"/>
              <w:right w:val="single" w:sz="4" w:space="0" w:color="auto"/>
            </w:tcBorders>
            <w:shd w:val="clear" w:color="auto" w:fill="auto"/>
            <w:noWrap/>
            <w:vAlign w:val="bottom"/>
            <w:hideMark/>
          </w:tcPr>
          <w:p w14:paraId="02D9453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6441340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76FE9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0C65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68E6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E24DE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D459A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5195600"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07B2E387"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Does not engage socially </w:t>
            </w:r>
          </w:p>
        </w:tc>
        <w:tc>
          <w:tcPr>
            <w:tcW w:w="1418" w:type="dxa"/>
            <w:tcBorders>
              <w:top w:val="nil"/>
              <w:left w:val="nil"/>
              <w:bottom w:val="single" w:sz="4" w:space="0" w:color="auto"/>
              <w:right w:val="single" w:sz="4" w:space="0" w:color="auto"/>
            </w:tcBorders>
            <w:shd w:val="clear" w:color="auto" w:fill="auto"/>
            <w:noWrap/>
            <w:vAlign w:val="bottom"/>
            <w:hideMark/>
          </w:tcPr>
          <w:p w14:paraId="74CF755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55D4F5B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E2BA4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219D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76A00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E6129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643A3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4074C1A"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5804FC90"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Spoke only when asked</w:t>
            </w:r>
          </w:p>
        </w:tc>
        <w:tc>
          <w:tcPr>
            <w:tcW w:w="1418" w:type="dxa"/>
            <w:tcBorders>
              <w:top w:val="nil"/>
              <w:left w:val="nil"/>
              <w:bottom w:val="single" w:sz="4" w:space="0" w:color="auto"/>
              <w:right w:val="single" w:sz="4" w:space="0" w:color="auto"/>
            </w:tcBorders>
            <w:shd w:val="clear" w:color="auto" w:fill="auto"/>
            <w:noWrap/>
            <w:vAlign w:val="bottom"/>
            <w:hideMark/>
          </w:tcPr>
          <w:p w14:paraId="525A13D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64B86F7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9A0F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C20BE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4FC91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E2D40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EC9B1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3CEB84A1"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6FF4D7F"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Interacts positively with staff only</w:t>
            </w:r>
          </w:p>
        </w:tc>
        <w:tc>
          <w:tcPr>
            <w:tcW w:w="1418" w:type="dxa"/>
            <w:tcBorders>
              <w:top w:val="nil"/>
              <w:left w:val="nil"/>
              <w:bottom w:val="single" w:sz="4" w:space="0" w:color="auto"/>
              <w:right w:val="single" w:sz="4" w:space="0" w:color="auto"/>
            </w:tcBorders>
            <w:shd w:val="clear" w:color="auto" w:fill="auto"/>
            <w:noWrap/>
            <w:vAlign w:val="bottom"/>
            <w:hideMark/>
          </w:tcPr>
          <w:p w14:paraId="6B4CE8F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0093025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CC66C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0484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1723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F6B24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233D1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630C807" w14:textId="77777777" w:rsidTr="002C3FCC">
        <w:trPr>
          <w:trHeight w:val="300"/>
        </w:trPr>
        <w:tc>
          <w:tcPr>
            <w:tcW w:w="6252" w:type="dxa"/>
            <w:tcBorders>
              <w:top w:val="nil"/>
              <w:left w:val="single" w:sz="4" w:space="0" w:color="auto"/>
              <w:bottom w:val="nil"/>
              <w:right w:val="single" w:sz="4" w:space="0" w:color="auto"/>
            </w:tcBorders>
            <w:shd w:val="clear" w:color="auto" w:fill="auto"/>
            <w:noWrap/>
            <w:vAlign w:val="bottom"/>
            <w:hideMark/>
          </w:tcPr>
          <w:p w14:paraId="324BF632"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Shares in group activity with others </w:t>
            </w:r>
          </w:p>
        </w:tc>
        <w:tc>
          <w:tcPr>
            <w:tcW w:w="1418" w:type="dxa"/>
            <w:tcBorders>
              <w:top w:val="nil"/>
              <w:left w:val="nil"/>
              <w:bottom w:val="nil"/>
              <w:right w:val="single" w:sz="4" w:space="0" w:color="auto"/>
            </w:tcBorders>
            <w:shd w:val="clear" w:color="auto" w:fill="auto"/>
            <w:noWrap/>
            <w:vAlign w:val="bottom"/>
            <w:hideMark/>
          </w:tcPr>
          <w:p w14:paraId="2730B09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11F41F5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5D63688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49AE030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33B6B9F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04085EA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5024933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B764DB1" w14:textId="77777777" w:rsidTr="002C3FCC">
        <w:trPr>
          <w:trHeight w:val="300"/>
        </w:trPr>
        <w:tc>
          <w:tcPr>
            <w:tcW w:w="6252" w:type="dxa"/>
            <w:tcBorders>
              <w:top w:val="single" w:sz="4" w:space="0" w:color="auto"/>
              <w:left w:val="single" w:sz="4" w:space="0" w:color="auto"/>
              <w:bottom w:val="single" w:sz="4" w:space="0" w:color="auto"/>
              <w:right w:val="nil"/>
            </w:tcBorders>
            <w:shd w:val="clear" w:color="000000" w:fill="A6A6A6"/>
            <w:noWrap/>
            <w:vAlign w:val="bottom"/>
            <w:hideMark/>
          </w:tcPr>
          <w:p w14:paraId="3876719C"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 xml:space="preserve">WELL-BEING (Mood) </w:t>
            </w:r>
          </w:p>
        </w:tc>
        <w:tc>
          <w:tcPr>
            <w:tcW w:w="1418" w:type="dxa"/>
            <w:tcBorders>
              <w:top w:val="single" w:sz="4" w:space="0" w:color="auto"/>
              <w:left w:val="nil"/>
              <w:bottom w:val="single" w:sz="4" w:space="0" w:color="auto"/>
              <w:right w:val="nil"/>
            </w:tcBorders>
            <w:shd w:val="clear" w:color="000000" w:fill="A6A6A6"/>
            <w:noWrap/>
            <w:vAlign w:val="bottom"/>
            <w:hideMark/>
          </w:tcPr>
          <w:p w14:paraId="32F148F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single" w:sz="4" w:space="0" w:color="auto"/>
              <w:left w:val="nil"/>
              <w:bottom w:val="single" w:sz="4" w:space="0" w:color="auto"/>
              <w:right w:val="nil"/>
            </w:tcBorders>
            <w:shd w:val="clear" w:color="000000" w:fill="A6A6A6"/>
            <w:noWrap/>
            <w:vAlign w:val="bottom"/>
            <w:hideMark/>
          </w:tcPr>
          <w:p w14:paraId="6D87DBC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00845A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2864ED0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42E561A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74E0548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5D16B6F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1E7AE47F"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48F53F9"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Bright, reactive </w:t>
            </w:r>
          </w:p>
        </w:tc>
        <w:tc>
          <w:tcPr>
            <w:tcW w:w="1418" w:type="dxa"/>
            <w:tcBorders>
              <w:top w:val="nil"/>
              <w:left w:val="nil"/>
              <w:bottom w:val="single" w:sz="4" w:space="0" w:color="auto"/>
              <w:right w:val="single" w:sz="4" w:space="0" w:color="auto"/>
            </w:tcBorders>
            <w:shd w:val="clear" w:color="auto" w:fill="auto"/>
            <w:noWrap/>
            <w:vAlign w:val="bottom"/>
            <w:hideMark/>
          </w:tcPr>
          <w:p w14:paraId="599534A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4C1293A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B87B4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F84A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6FE2F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1F1D8"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7D17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55FB2F23"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B9CAD0F"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Shows enjoyment</w:t>
            </w:r>
          </w:p>
        </w:tc>
        <w:tc>
          <w:tcPr>
            <w:tcW w:w="1418" w:type="dxa"/>
            <w:tcBorders>
              <w:top w:val="nil"/>
              <w:left w:val="nil"/>
              <w:bottom w:val="single" w:sz="4" w:space="0" w:color="auto"/>
              <w:right w:val="single" w:sz="4" w:space="0" w:color="auto"/>
            </w:tcBorders>
            <w:shd w:val="clear" w:color="auto" w:fill="auto"/>
            <w:noWrap/>
            <w:vAlign w:val="bottom"/>
            <w:hideMark/>
          </w:tcPr>
          <w:p w14:paraId="74A7F8E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6B03C73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FFB14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1A2B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0C858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6C2CB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FD498A"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6BBBA0D7"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204C433C"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Shows humour</w:t>
            </w:r>
          </w:p>
        </w:tc>
        <w:tc>
          <w:tcPr>
            <w:tcW w:w="1418" w:type="dxa"/>
            <w:tcBorders>
              <w:top w:val="nil"/>
              <w:left w:val="nil"/>
              <w:bottom w:val="single" w:sz="4" w:space="0" w:color="auto"/>
              <w:right w:val="single" w:sz="4" w:space="0" w:color="auto"/>
            </w:tcBorders>
            <w:shd w:val="clear" w:color="auto" w:fill="auto"/>
            <w:noWrap/>
            <w:vAlign w:val="bottom"/>
            <w:hideMark/>
          </w:tcPr>
          <w:p w14:paraId="28BC0F6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51A74AD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EE057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53D83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9B25E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09D9E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FA05C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54E7228"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18164F3F"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Resting / Settled (neutral)</w:t>
            </w:r>
          </w:p>
        </w:tc>
        <w:tc>
          <w:tcPr>
            <w:tcW w:w="1418" w:type="dxa"/>
            <w:tcBorders>
              <w:top w:val="nil"/>
              <w:left w:val="nil"/>
              <w:bottom w:val="single" w:sz="4" w:space="0" w:color="auto"/>
              <w:right w:val="single" w:sz="4" w:space="0" w:color="auto"/>
            </w:tcBorders>
            <w:shd w:val="clear" w:color="auto" w:fill="auto"/>
            <w:noWrap/>
            <w:vAlign w:val="bottom"/>
            <w:hideMark/>
          </w:tcPr>
          <w:p w14:paraId="2AEAD02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0D40E8E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32986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D04F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83C93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CA8B1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4691A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3013332D"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D7E551A"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Sleepy  / Tired (neutral) </w:t>
            </w:r>
          </w:p>
        </w:tc>
        <w:tc>
          <w:tcPr>
            <w:tcW w:w="1418" w:type="dxa"/>
            <w:tcBorders>
              <w:top w:val="nil"/>
              <w:left w:val="nil"/>
              <w:bottom w:val="single" w:sz="4" w:space="0" w:color="auto"/>
              <w:right w:val="single" w:sz="4" w:space="0" w:color="auto"/>
            </w:tcBorders>
            <w:shd w:val="clear" w:color="auto" w:fill="auto"/>
            <w:noWrap/>
            <w:vAlign w:val="bottom"/>
            <w:hideMark/>
          </w:tcPr>
          <w:p w14:paraId="2293BED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190DAD8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5EE7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59A1A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9B180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F66DC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DE814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B0E2C12"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B9F14C5"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Anxious</w:t>
            </w:r>
          </w:p>
        </w:tc>
        <w:tc>
          <w:tcPr>
            <w:tcW w:w="1418" w:type="dxa"/>
            <w:tcBorders>
              <w:top w:val="nil"/>
              <w:left w:val="nil"/>
              <w:bottom w:val="single" w:sz="4" w:space="0" w:color="auto"/>
              <w:right w:val="single" w:sz="4" w:space="0" w:color="auto"/>
            </w:tcBorders>
            <w:shd w:val="clear" w:color="auto" w:fill="auto"/>
            <w:noWrap/>
            <w:vAlign w:val="bottom"/>
            <w:hideMark/>
          </w:tcPr>
          <w:p w14:paraId="50ECB81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245EFAD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C9AB3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BA8E7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F910B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0375B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C754D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902BA5D"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9BD8D52"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Angry / Irritable </w:t>
            </w:r>
          </w:p>
        </w:tc>
        <w:tc>
          <w:tcPr>
            <w:tcW w:w="1418" w:type="dxa"/>
            <w:tcBorders>
              <w:top w:val="nil"/>
              <w:left w:val="nil"/>
              <w:bottom w:val="single" w:sz="4" w:space="0" w:color="auto"/>
              <w:right w:val="single" w:sz="4" w:space="0" w:color="auto"/>
            </w:tcBorders>
            <w:shd w:val="clear" w:color="auto" w:fill="auto"/>
            <w:noWrap/>
            <w:vAlign w:val="bottom"/>
            <w:hideMark/>
          </w:tcPr>
          <w:p w14:paraId="77E37A5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6CDA8AD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0C5AF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0A133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EFC6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756E0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0A08D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29DFA70"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68B43E8D"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Sad / Low Mood</w:t>
            </w:r>
          </w:p>
        </w:tc>
        <w:tc>
          <w:tcPr>
            <w:tcW w:w="1418" w:type="dxa"/>
            <w:tcBorders>
              <w:top w:val="nil"/>
              <w:left w:val="nil"/>
              <w:bottom w:val="single" w:sz="4" w:space="0" w:color="auto"/>
              <w:right w:val="single" w:sz="4" w:space="0" w:color="auto"/>
            </w:tcBorders>
            <w:shd w:val="clear" w:color="auto" w:fill="auto"/>
            <w:noWrap/>
            <w:vAlign w:val="bottom"/>
            <w:hideMark/>
          </w:tcPr>
          <w:p w14:paraId="65D08CF9"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0CBD1FE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7E770D"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AA112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60E06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8EBEF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3FFB7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00DBEB0" w14:textId="77777777" w:rsidTr="002C3FCC">
        <w:trPr>
          <w:trHeight w:val="300"/>
        </w:trPr>
        <w:tc>
          <w:tcPr>
            <w:tcW w:w="6252" w:type="dxa"/>
            <w:tcBorders>
              <w:top w:val="nil"/>
              <w:left w:val="single" w:sz="4" w:space="0" w:color="auto"/>
              <w:bottom w:val="nil"/>
              <w:right w:val="single" w:sz="4" w:space="0" w:color="auto"/>
            </w:tcBorders>
            <w:shd w:val="clear" w:color="auto" w:fill="auto"/>
            <w:noWrap/>
            <w:vAlign w:val="bottom"/>
            <w:hideMark/>
          </w:tcPr>
          <w:p w14:paraId="419D731A"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Other (please state)</w:t>
            </w:r>
          </w:p>
        </w:tc>
        <w:tc>
          <w:tcPr>
            <w:tcW w:w="1418" w:type="dxa"/>
            <w:tcBorders>
              <w:top w:val="nil"/>
              <w:left w:val="nil"/>
              <w:bottom w:val="nil"/>
              <w:right w:val="single" w:sz="4" w:space="0" w:color="auto"/>
            </w:tcBorders>
            <w:shd w:val="clear" w:color="auto" w:fill="auto"/>
            <w:noWrap/>
            <w:vAlign w:val="bottom"/>
            <w:hideMark/>
          </w:tcPr>
          <w:p w14:paraId="5055932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nil"/>
              <w:right w:val="single" w:sz="4" w:space="0" w:color="auto"/>
            </w:tcBorders>
            <w:shd w:val="clear" w:color="auto" w:fill="auto"/>
            <w:noWrap/>
            <w:vAlign w:val="bottom"/>
            <w:hideMark/>
          </w:tcPr>
          <w:p w14:paraId="7DFBD9F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41E5066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0A32C5F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58E1E2A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6CC0406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nil"/>
              <w:right w:val="single" w:sz="4" w:space="0" w:color="auto"/>
            </w:tcBorders>
            <w:shd w:val="clear" w:color="auto" w:fill="auto"/>
            <w:noWrap/>
            <w:vAlign w:val="bottom"/>
            <w:hideMark/>
          </w:tcPr>
          <w:p w14:paraId="2672E02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26841EFF" w14:textId="77777777" w:rsidTr="002C3FCC">
        <w:trPr>
          <w:trHeight w:val="300"/>
        </w:trPr>
        <w:tc>
          <w:tcPr>
            <w:tcW w:w="8334" w:type="dxa"/>
            <w:gridSpan w:val="3"/>
            <w:tcBorders>
              <w:top w:val="single" w:sz="4" w:space="0" w:color="auto"/>
              <w:left w:val="single" w:sz="4" w:space="0" w:color="auto"/>
              <w:bottom w:val="single" w:sz="4" w:space="0" w:color="auto"/>
              <w:right w:val="nil"/>
            </w:tcBorders>
            <w:shd w:val="clear" w:color="000000" w:fill="A6A6A6"/>
            <w:noWrap/>
            <w:vAlign w:val="bottom"/>
            <w:hideMark/>
          </w:tcPr>
          <w:p w14:paraId="4A593835" w14:textId="77777777" w:rsidR="00E317BB" w:rsidRPr="00E317BB" w:rsidRDefault="00E317BB" w:rsidP="00E317BB">
            <w:pPr>
              <w:rPr>
                <w:rFonts w:ascii="Arial" w:eastAsia="Times New Roman" w:hAnsi="Arial" w:cs="Arial"/>
                <w:b/>
                <w:bCs/>
                <w:sz w:val="22"/>
                <w:szCs w:val="22"/>
              </w:rPr>
            </w:pPr>
            <w:r w:rsidRPr="00E317BB">
              <w:rPr>
                <w:rFonts w:ascii="Arial" w:eastAsia="Times New Roman" w:hAnsi="Arial" w:cs="Arial"/>
                <w:b/>
                <w:bCs/>
                <w:sz w:val="22"/>
                <w:szCs w:val="22"/>
              </w:rPr>
              <w:t>AGITATION</w:t>
            </w:r>
          </w:p>
        </w:tc>
        <w:tc>
          <w:tcPr>
            <w:tcW w:w="236" w:type="dxa"/>
            <w:tcBorders>
              <w:top w:val="single" w:sz="4" w:space="0" w:color="auto"/>
              <w:left w:val="nil"/>
              <w:bottom w:val="single" w:sz="4" w:space="0" w:color="auto"/>
              <w:right w:val="nil"/>
            </w:tcBorders>
            <w:shd w:val="clear" w:color="000000" w:fill="A6A6A6"/>
            <w:noWrap/>
            <w:vAlign w:val="bottom"/>
            <w:hideMark/>
          </w:tcPr>
          <w:p w14:paraId="5BCE340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296" w:type="dxa"/>
            <w:tcBorders>
              <w:top w:val="single" w:sz="4" w:space="0" w:color="auto"/>
              <w:left w:val="nil"/>
              <w:bottom w:val="single" w:sz="4" w:space="0" w:color="auto"/>
              <w:right w:val="nil"/>
            </w:tcBorders>
            <w:shd w:val="clear" w:color="000000" w:fill="A6A6A6"/>
            <w:noWrap/>
            <w:vAlign w:val="bottom"/>
            <w:hideMark/>
          </w:tcPr>
          <w:p w14:paraId="10AEC42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BA84E03"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22C578E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0CBBBEB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nil"/>
            </w:tcBorders>
            <w:shd w:val="clear" w:color="000000" w:fill="A6A6A6"/>
            <w:noWrap/>
            <w:vAlign w:val="bottom"/>
            <w:hideMark/>
          </w:tcPr>
          <w:p w14:paraId="198F231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single" w:sz="4" w:space="0" w:color="auto"/>
              <w:left w:val="nil"/>
              <w:bottom w:val="single" w:sz="4" w:space="0" w:color="auto"/>
              <w:right w:val="single" w:sz="4" w:space="0" w:color="auto"/>
            </w:tcBorders>
            <w:shd w:val="clear" w:color="000000" w:fill="A6A6A6"/>
            <w:noWrap/>
            <w:vAlign w:val="bottom"/>
            <w:hideMark/>
          </w:tcPr>
          <w:p w14:paraId="23419880"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11CFF7C0"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35A5F4D4"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No signs of agitation</w:t>
            </w:r>
          </w:p>
        </w:tc>
        <w:tc>
          <w:tcPr>
            <w:tcW w:w="1418" w:type="dxa"/>
            <w:tcBorders>
              <w:top w:val="nil"/>
              <w:left w:val="nil"/>
              <w:bottom w:val="single" w:sz="4" w:space="0" w:color="auto"/>
              <w:right w:val="single" w:sz="4" w:space="0" w:color="auto"/>
            </w:tcBorders>
            <w:shd w:val="clear" w:color="auto" w:fill="auto"/>
            <w:noWrap/>
            <w:vAlign w:val="bottom"/>
            <w:hideMark/>
          </w:tcPr>
          <w:p w14:paraId="3AAE3AD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49140B1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F97786"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6B1C2F"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24FC0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E4B6C2"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442F1B"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r w:rsidR="00E317BB" w:rsidRPr="00E317BB" w14:paraId="47EC262B" w14:textId="77777777" w:rsidTr="002C3FCC">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14:paraId="72604B87" w14:textId="77777777" w:rsidR="00E317BB" w:rsidRPr="00E317BB" w:rsidRDefault="00E317BB" w:rsidP="00E317BB">
            <w:pPr>
              <w:rPr>
                <w:rFonts w:ascii="Arial" w:eastAsia="Times New Roman" w:hAnsi="Arial" w:cs="Arial"/>
                <w:sz w:val="22"/>
                <w:szCs w:val="22"/>
              </w:rPr>
            </w:pPr>
            <w:r w:rsidRPr="00E317BB">
              <w:rPr>
                <w:rFonts w:ascii="Arial" w:eastAsia="Times New Roman" w:hAnsi="Arial" w:cs="Arial"/>
                <w:sz w:val="22"/>
                <w:szCs w:val="22"/>
              </w:rPr>
              <w:t xml:space="preserve">Signs of agitation </w:t>
            </w:r>
          </w:p>
        </w:tc>
        <w:tc>
          <w:tcPr>
            <w:tcW w:w="1418" w:type="dxa"/>
            <w:tcBorders>
              <w:top w:val="nil"/>
              <w:left w:val="nil"/>
              <w:bottom w:val="single" w:sz="4" w:space="0" w:color="auto"/>
              <w:right w:val="single" w:sz="4" w:space="0" w:color="auto"/>
            </w:tcBorders>
            <w:shd w:val="clear" w:color="auto" w:fill="auto"/>
            <w:noWrap/>
            <w:vAlign w:val="bottom"/>
            <w:hideMark/>
          </w:tcPr>
          <w:p w14:paraId="733E5E85"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14:paraId="3ABD047C"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61DFBE"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D1359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0E8B4"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BE7E7"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C70B1" w14:textId="77777777" w:rsidR="00E317BB" w:rsidRPr="00E317BB" w:rsidRDefault="00E317BB" w:rsidP="00E317BB">
            <w:pPr>
              <w:rPr>
                <w:rFonts w:ascii="Calibri" w:eastAsia="Times New Roman" w:hAnsi="Calibri" w:cs="Times New Roman"/>
                <w:sz w:val="22"/>
                <w:szCs w:val="22"/>
              </w:rPr>
            </w:pPr>
            <w:r w:rsidRPr="00E317BB">
              <w:rPr>
                <w:rFonts w:ascii="Calibri" w:eastAsia="Times New Roman" w:hAnsi="Calibri" w:cs="Times New Roman"/>
                <w:sz w:val="22"/>
                <w:szCs w:val="22"/>
              </w:rPr>
              <w:t> </w:t>
            </w:r>
          </w:p>
        </w:tc>
      </w:tr>
    </w:tbl>
    <w:p w14:paraId="1D722547" w14:textId="77777777" w:rsidR="00E317BB" w:rsidRPr="00E317BB" w:rsidRDefault="00E317BB" w:rsidP="00E317BB">
      <w:pPr>
        <w:rPr>
          <w:rFonts w:ascii="Times New Roman" w:hAnsi="Times New Roman" w:cs="Times New Roman"/>
        </w:rPr>
        <w:sectPr w:rsidR="00E317BB" w:rsidRPr="00E317BB" w:rsidSect="001F3324">
          <w:pgSz w:w="16840" w:h="11900" w:orient="landscape"/>
          <w:pgMar w:top="397" w:right="720" w:bottom="284" w:left="720" w:header="708" w:footer="708" w:gutter="0"/>
          <w:cols w:space="708"/>
          <w:docGrid w:linePitch="360"/>
        </w:sectPr>
      </w:pPr>
    </w:p>
    <w:tbl>
      <w:tblPr>
        <w:tblStyle w:val="TableGrid1"/>
        <w:tblpPr w:leftFromText="180" w:rightFromText="180" w:vertAnchor="page" w:horzAnchor="page" w:tblpX="853" w:tblpY="931"/>
        <w:tblW w:w="10762" w:type="dxa"/>
        <w:tblLayout w:type="fixed"/>
        <w:tblLook w:val="04A0" w:firstRow="1" w:lastRow="0" w:firstColumn="1" w:lastColumn="0" w:noHBand="0" w:noVBand="1"/>
      </w:tblPr>
      <w:tblGrid>
        <w:gridCol w:w="4678"/>
        <w:gridCol w:w="6084"/>
      </w:tblGrid>
      <w:tr w:rsidR="00E317BB" w:rsidRPr="00E317BB" w14:paraId="10AFECA5" w14:textId="77777777" w:rsidTr="00E317BB">
        <w:tc>
          <w:tcPr>
            <w:tcW w:w="4678" w:type="dxa"/>
            <w:vAlign w:val="center"/>
          </w:tcPr>
          <w:p w14:paraId="71B5C7EA" w14:textId="77777777" w:rsidR="00E317BB" w:rsidRPr="00E317BB" w:rsidRDefault="00E317BB" w:rsidP="00E317BB">
            <w:pPr>
              <w:jc w:val="center"/>
              <w:rPr>
                <w:rFonts w:ascii="Arial" w:hAnsi="Arial" w:cs="Arial"/>
                <w:b/>
                <w:sz w:val="18"/>
                <w:szCs w:val="18"/>
              </w:rPr>
            </w:pPr>
            <w:r w:rsidRPr="00E317BB">
              <w:rPr>
                <w:rFonts w:ascii="Arial" w:hAnsi="Arial" w:cs="Arial"/>
                <w:b/>
                <w:sz w:val="18"/>
                <w:szCs w:val="18"/>
              </w:rPr>
              <w:t>Domain</w:t>
            </w:r>
          </w:p>
        </w:tc>
        <w:tc>
          <w:tcPr>
            <w:tcW w:w="6084" w:type="dxa"/>
            <w:vAlign w:val="center"/>
          </w:tcPr>
          <w:p w14:paraId="65C34EB9" w14:textId="77777777" w:rsidR="00E317BB" w:rsidRPr="00E317BB" w:rsidRDefault="00E317BB" w:rsidP="00E317BB">
            <w:pPr>
              <w:jc w:val="center"/>
              <w:rPr>
                <w:rFonts w:ascii="Arial" w:hAnsi="Arial" w:cs="Arial"/>
                <w:b/>
                <w:sz w:val="18"/>
                <w:szCs w:val="18"/>
              </w:rPr>
            </w:pPr>
            <w:r w:rsidRPr="00E317BB">
              <w:rPr>
                <w:rFonts w:ascii="Arial" w:hAnsi="Arial" w:cs="Arial"/>
                <w:b/>
                <w:sz w:val="18"/>
                <w:szCs w:val="18"/>
              </w:rPr>
              <w:t>Operational Definitions</w:t>
            </w:r>
          </w:p>
        </w:tc>
      </w:tr>
      <w:tr w:rsidR="00E317BB" w:rsidRPr="00E317BB" w14:paraId="5AE13291" w14:textId="77777777" w:rsidTr="00E317BB">
        <w:tc>
          <w:tcPr>
            <w:tcW w:w="4678" w:type="dxa"/>
            <w:vAlign w:val="bottom"/>
          </w:tcPr>
          <w:p w14:paraId="48163CD3" w14:textId="77777777" w:rsidR="00E317BB" w:rsidRPr="00E317BB" w:rsidRDefault="00E317BB" w:rsidP="00E317BB">
            <w:pPr>
              <w:rPr>
                <w:rFonts w:ascii="Arial" w:eastAsia="Times New Roman" w:hAnsi="Arial" w:cs="Arial"/>
                <w:b/>
                <w:bCs/>
                <w:sz w:val="18"/>
                <w:szCs w:val="18"/>
              </w:rPr>
            </w:pPr>
            <w:r w:rsidRPr="00E317BB">
              <w:rPr>
                <w:rFonts w:ascii="Arial" w:eastAsia="Times New Roman" w:hAnsi="Arial" w:cs="Arial"/>
                <w:b/>
                <w:bCs/>
                <w:sz w:val="18"/>
                <w:szCs w:val="18"/>
              </w:rPr>
              <w:t>ADDRESS</w:t>
            </w:r>
          </w:p>
        </w:tc>
        <w:tc>
          <w:tcPr>
            <w:tcW w:w="6084" w:type="dxa"/>
          </w:tcPr>
          <w:p w14:paraId="18283E0D" w14:textId="77777777" w:rsidR="00E317BB" w:rsidRPr="00E317BB" w:rsidRDefault="00E317BB" w:rsidP="00E317BB">
            <w:pPr>
              <w:rPr>
                <w:rFonts w:ascii="Arial" w:hAnsi="Arial" w:cs="Arial"/>
                <w:b/>
                <w:sz w:val="18"/>
                <w:szCs w:val="18"/>
              </w:rPr>
            </w:pPr>
          </w:p>
        </w:tc>
      </w:tr>
      <w:tr w:rsidR="00E317BB" w:rsidRPr="00E317BB" w14:paraId="717A91D4" w14:textId="77777777" w:rsidTr="00E317BB">
        <w:tc>
          <w:tcPr>
            <w:tcW w:w="4678" w:type="dxa"/>
            <w:vAlign w:val="bottom"/>
          </w:tcPr>
          <w:p w14:paraId="0C5DC736" w14:textId="77777777" w:rsidR="00E317BB" w:rsidRPr="00E317BB" w:rsidRDefault="00E317BB" w:rsidP="00E317BB">
            <w:pPr>
              <w:rPr>
                <w:rFonts w:ascii="Arial" w:eastAsia="Times New Roman" w:hAnsi="Arial" w:cs="Arial"/>
                <w:bCs/>
                <w:sz w:val="18"/>
                <w:szCs w:val="18"/>
              </w:rPr>
            </w:pPr>
            <w:r w:rsidRPr="00E317BB">
              <w:rPr>
                <w:rFonts w:ascii="Arial" w:eastAsia="Times New Roman" w:hAnsi="Arial" w:cs="Arial"/>
                <w:bCs/>
                <w:sz w:val="18"/>
                <w:szCs w:val="18"/>
              </w:rPr>
              <w:t>Being addressed</w:t>
            </w:r>
          </w:p>
        </w:tc>
        <w:tc>
          <w:tcPr>
            <w:tcW w:w="6084" w:type="dxa"/>
          </w:tcPr>
          <w:p w14:paraId="04B010A1"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is being addressed directly by the museum facilitator </w:t>
            </w:r>
          </w:p>
        </w:tc>
      </w:tr>
      <w:tr w:rsidR="00E317BB" w:rsidRPr="00E317BB" w14:paraId="781C965A" w14:textId="77777777" w:rsidTr="00E317BB">
        <w:tc>
          <w:tcPr>
            <w:tcW w:w="4678" w:type="dxa"/>
            <w:vAlign w:val="bottom"/>
          </w:tcPr>
          <w:p w14:paraId="06396BB4" w14:textId="77777777" w:rsidR="00E317BB" w:rsidRPr="00E317BB" w:rsidRDefault="00E317BB" w:rsidP="00E317BB">
            <w:pPr>
              <w:rPr>
                <w:rFonts w:ascii="Arial" w:eastAsia="Times New Roman" w:hAnsi="Arial" w:cs="Arial"/>
                <w:bCs/>
                <w:sz w:val="18"/>
                <w:szCs w:val="18"/>
              </w:rPr>
            </w:pPr>
            <w:r w:rsidRPr="00E317BB">
              <w:rPr>
                <w:rFonts w:ascii="Arial" w:eastAsia="Times New Roman" w:hAnsi="Arial" w:cs="Arial"/>
                <w:bCs/>
                <w:sz w:val="18"/>
                <w:szCs w:val="18"/>
              </w:rPr>
              <w:t>Not being addressed</w:t>
            </w:r>
          </w:p>
        </w:tc>
        <w:tc>
          <w:tcPr>
            <w:tcW w:w="6084" w:type="dxa"/>
          </w:tcPr>
          <w:p w14:paraId="63E58B44"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The museum facilitator is not currently addressing the participant. The facilitator may be addressing another participant or be elsewhere in the room. </w:t>
            </w:r>
          </w:p>
        </w:tc>
      </w:tr>
      <w:tr w:rsidR="00E317BB" w:rsidRPr="00E317BB" w14:paraId="0FBDF5F0" w14:textId="77777777" w:rsidTr="00E317BB">
        <w:tc>
          <w:tcPr>
            <w:tcW w:w="4678" w:type="dxa"/>
            <w:vAlign w:val="bottom"/>
          </w:tcPr>
          <w:p w14:paraId="7BC0F50D" w14:textId="77777777" w:rsidR="00E317BB" w:rsidRPr="00E317BB" w:rsidRDefault="00E317BB" w:rsidP="00E317BB">
            <w:pPr>
              <w:rPr>
                <w:rFonts w:ascii="Arial" w:hAnsi="Arial" w:cs="Arial"/>
                <w:b/>
                <w:sz w:val="18"/>
                <w:szCs w:val="18"/>
              </w:rPr>
            </w:pPr>
            <w:r w:rsidRPr="00E317BB">
              <w:rPr>
                <w:rFonts w:ascii="Arial" w:eastAsia="Times New Roman" w:hAnsi="Arial" w:cs="Arial"/>
                <w:b/>
                <w:bCs/>
                <w:sz w:val="18"/>
                <w:szCs w:val="18"/>
              </w:rPr>
              <w:t xml:space="preserve">ATTENTION </w:t>
            </w:r>
          </w:p>
        </w:tc>
        <w:tc>
          <w:tcPr>
            <w:tcW w:w="6084" w:type="dxa"/>
          </w:tcPr>
          <w:p w14:paraId="3485E564" w14:textId="77777777" w:rsidR="00E317BB" w:rsidRPr="00E317BB" w:rsidRDefault="00E317BB" w:rsidP="00E317BB">
            <w:pPr>
              <w:rPr>
                <w:rFonts w:ascii="Arial" w:hAnsi="Arial" w:cs="Arial"/>
                <w:b/>
                <w:sz w:val="18"/>
                <w:szCs w:val="18"/>
              </w:rPr>
            </w:pPr>
          </w:p>
        </w:tc>
      </w:tr>
      <w:tr w:rsidR="00E317BB" w:rsidRPr="00E317BB" w14:paraId="105DE8CF" w14:textId="77777777" w:rsidTr="00E317BB">
        <w:tc>
          <w:tcPr>
            <w:tcW w:w="4678" w:type="dxa"/>
            <w:vAlign w:val="center"/>
          </w:tcPr>
          <w:p w14:paraId="0590AC0B"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Left partway through </w:t>
            </w:r>
          </w:p>
        </w:tc>
        <w:tc>
          <w:tcPr>
            <w:tcW w:w="6084" w:type="dxa"/>
          </w:tcPr>
          <w:p w14:paraId="1A24C9C9"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gets up and leaves the activity area </w:t>
            </w:r>
          </w:p>
        </w:tc>
      </w:tr>
      <w:tr w:rsidR="00E317BB" w:rsidRPr="00E317BB" w14:paraId="03E707EC" w14:textId="77777777" w:rsidTr="00E317BB">
        <w:tc>
          <w:tcPr>
            <w:tcW w:w="4678" w:type="dxa"/>
            <w:vAlign w:val="center"/>
          </w:tcPr>
          <w:p w14:paraId="7DB8F6EE"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Unable to concentrate </w:t>
            </w:r>
          </w:p>
        </w:tc>
        <w:tc>
          <w:tcPr>
            <w:tcW w:w="6084" w:type="dxa"/>
          </w:tcPr>
          <w:p w14:paraId="3BE60F55"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is continuously distracted throughout the session /Participant stares blankly into space </w:t>
            </w:r>
          </w:p>
        </w:tc>
      </w:tr>
      <w:tr w:rsidR="00E317BB" w:rsidRPr="00E317BB" w14:paraId="3CC8A754" w14:textId="77777777" w:rsidTr="00E317BB">
        <w:tc>
          <w:tcPr>
            <w:tcW w:w="4678" w:type="dxa"/>
            <w:vAlign w:val="center"/>
          </w:tcPr>
          <w:p w14:paraId="5127AC9E" w14:textId="77777777" w:rsidR="00E317BB" w:rsidRPr="00E317BB" w:rsidRDefault="00E317BB" w:rsidP="00E317BB">
            <w:pPr>
              <w:rPr>
                <w:rFonts w:ascii="Arial" w:hAnsi="Arial" w:cs="Arial"/>
                <w:b/>
                <w:sz w:val="18"/>
                <w:szCs w:val="18"/>
              </w:rPr>
            </w:pPr>
            <w:r w:rsidRPr="00E317BB">
              <w:rPr>
                <w:rFonts w:ascii="Arial" w:eastAsia="Times New Roman" w:hAnsi="Arial" w:cs="Arial"/>
                <w:sz w:val="18"/>
                <w:szCs w:val="18"/>
              </w:rPr>
              <w:t xml:space="preserve">Engages for very short period (less than 10 sec) </w:t>
            </w:r>
          </w:p>
        </w:tc>
        <w:tc>
          <w:tcPr>
            <w:tcW w:w="6084" w:type="dxa"/>
          </w:tcPr>
          <w:p w14:paraId="7A1618F7"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only very briefly engages with the activity, for less than 10 seconds before pulling away or turning from the museum object and facilitator. </w:t>
            </w:r>
          </w:p>
        </w:tc>
      </w:tr>
      <w:tr w:rsidR="00E317BB" w:rsidRPr="00E317BB" w14:paraId="67EE77A8" w14:textId="77777777" w:rsidTr="00E317BB">
        <w:tc>
          <w:tcPr>
            <w:tcW w:w="4678" w:type="dxa"/>
            <w:vAlign w:val="center"/>
          </w:tcPr>
          <w:p w14:paraId="78C8150F" w14:textId="77777777" w:rsidR="00E317BB" w:rsidRPr="00E317BB" w:rsidRDefault="00E317BB" w:rsidP="00E317BB">
            <w:pPr>
              <w:rPr>
                <w:rFonts w:ascii="Arial" w:hAnsi="Arial" w:cs="Arial"/>
                <w:b/>
                <w:sz w:val="18"/>
                <w:szCs w:val="18"/>
              </w:rPr>
            </w:pPr>
            <w:r w:rsidRPr="00E317BB">
              <w:rPr>
                <w:rFonts w:ascii="Arial" w:eastAsia="Times New Roman" w:hAnsi="Arial" w:cs="Arial"/>
                <w:sz w:val="18"/>
                <w:szCs w:val="18"/>
              </w:rPr>
              <w:t>Engages for short periods; re-attends after distraction</w:t>
            </w:r>
          </w:p>
        </w:tc>
        <w:tc>
          <w:tcPr>
            <w:tcW w:w="6084" w:type="dxa"/>
          </w:tcPr>
          <w:p w14:paraId="2EDCCE98"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sustains engagement for a short while before being distracted by an external factor, but re-attends and refocuses after this. </w:t>
            </w:r>
          </w:p>
        </w:tc>
      </w:tr>
      <w:tr w:rsidR="00E317BB" w:rsidRPr="00E317BB" w14:paraId="1A98C885" w14:textId="77777777" w:rsidTr="00E317BB">
        <w:tc>
          <w:tcPr>
            <w:tcW w:w="4678" w:type="dxa"/>
            <w:vAlign w:val="center"/>
          </w:tcPr>
          <w:p w14:paraId="42714B16" w14:textId="77777777" w:rsidR="00E317BB" w:rsidRPr="00E317BB" w:rsidRDefault="00E317BB" w:rsidP="00E317BB">
            <w:pPr>
              <w:rPr>
                <w:rFonts w:ascii="Arial" w:hAnsi="Arial" w:cs="Arial"/>
                <w:b/>
                <w:sz w:val="18"/>
                <w:szCs w:val="18"/>
              </w:rPr>
            </w:pPr>
            <w:r w:rsidRPr="00E317BB">
              <w:rPr>
                <w:rFonts w:ascii="Arial" w:eastAsia="Times New Roman" w:hAnsi="Arial" w:cs="Arial"/>
                <w:sz w:val="18"/>
                <w:szCs w:val="18"/>
              </w:rPr>
              <w:t xml:space="preserve">Engages for full periods </w:t>
            </w:r>
          </w:p>
        </w:tc>
        <w:tc>
          <w:tcPr>
            <w:tcW w:w="6084" w:type="dxa"/>
          </w:tcPr>
          <w:p w14:paraId="0F5A69C8"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appears alert and attentive throughout the facilitated interaction around the museum object. </w:t>
            </w:r>
          </w:p>
        </w:tc>
      </w:tr>
      <w:tr w:rsidR="00E317BB" w:rsidRPr="00E317BB" w14:paraId="3A49DA19" w14:textId="77777777" w:rsidTr="00E317BB">
        <w:tc>
          <w:tcPr>
            <w:tcW w:w="4678" w:type="dxa"/>
            <w:vAlign w:val="center"/>
          </w:tcPr>
          <w:p w14:paraId="725145E5"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b/>
                <w:bCs/>
                <w:sz w:val="18"/>
                <w:szCs w:val="18"/>
              </w:rPr>
              <w:t>ENGAGEMENT WITH OBJECT</w:t>
            </w:r>
          </w:p>
        </w:tc>
        <w:tc>
          <w:tcPr>
            <w:tcW w:w="6084" w:type="dxa"/>
          </w:tcPr>
          <w:p w14:paraId="32F34925" w14:textId="77777777" w:rsidR="00E317BB" w:rsidRPr="00E317BB" w:rsidRDefault="00E317BB" w:rsidP="00E317BB">
            <w:pPr>
              <w:rPr>
                <w:rFonts w:ascii="Arial" w:hAnsi="Arial" w:cs="Arial"/>
                <w:b/>
                <w:sz w:val="18"/>
                <w:szCs w:val="18"/>
              </w:rPr>
            </w:pPr>
          </w:p>
        </w:tc>
      </w:tr>
      <w:tr w:rsidR="00E317BB" w:rsidRPr="00E317BB" w14:paraId="699B6335" w14:textId="77777777" w:rsidTr="00E317BB">
        <w:tc>
          <w:tcPr>
            <w:tcW w:w="4678" w:type="dxa"/>
            <w:vAlign w:val="center"/>
          </w:tcPr>
          <w:p w14:paraId="3E40B9C3"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Negative engagement </w:t>
            </w:r>
          </w:p>
        </w:tc>
        <w:tc>
          <w:tcPr>
            <w:tcW w:w="6084" w:type="dxa"/>
          </w:tcPr>
          <w:p w14:paraId="54234F05" w14:textId="77777777" w:rsidR="00E317BB" w:rsidRPr="00E317BB" w:rsidRDefault="00E317BB" w:rsidP="00E317BB">
            <w:pPr>
              <w:widowControl w:val="0"/>
              <w:autoSpaceDE w:val="0"/>
              <w:autoSpaceDN w:val="0"/>
              <w:adjustRightInd w:val="0"/>
              <w:rPr>
                <w:rFonts w:ascii="Arial" w:hAnsi="Arial" w:cs="Arial"/>
                <w:sz w:val="18"/>
                <w:szCs w:val="18"/>
              </w:rPr>
            </w:pPr>
            <w:r w:rsidRPr="00E317BB">
              <w:rPr>
                <w:rFonts w:ascii="Arial" w:hAnsi="Arial" w:cs="Arial"/>
                <w:sz w:val="18"/>
                <w:szCs w:val="18"/>
              </w:rPr>
              <w:t xml:space="preserve">Hitting, shaking or throwing the museum object. </w:t>
            </w:r>
          </w:p>
        </w:tc>
      </w:tr>
      <w:tr w:rsidR="00E317BB" w:rsidRPr="00E317BB" w14:paraId="4812B5EC" w14:textId="77777777" w:rsidTr="00E317BB">
        <w:tc>
          <w:tcPr>
            <w:tcW w:w="4678" w:type="dxa"/>
            <w:vAlign w:val="center"/>
          </w:tcPr>
          <w:p w14:paraId="0939D3C8"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Responds to prompts and handles object  </w:t>
            </w:r>
          </w:p>
          <w:p w14:paraId="0A7E45E0" w14:textId="77777777" w:rsidR="00E317BB" w:rsidRPr="00E317BB" w:rsidRDefault="00E317BB" w:rsidP="00E317BB">
            <w:pPr>
              <w:rPr>
                <w:rFonts w:ascii="Arial" w:eastAsia="Times New Roman" w:hAnsi="Arial" w:cs="Arial"/>
                <w:sz w:val="18"/>
                <w:szCs w:val="18"/>
              </w:rPr>
            </w:pPr>
          </w:p>
        </w:tc>
        <w:tc>
          <w:tcPr>
            <w:tcW w:w="6084" w:type="dxa"/>
          </w:tcPr>
          <w:p w14:paraId="294B47EA" w14:textId="77777777" w:rsidR="00E317BB" w:rsidRPr="00E317BB" w:rsidRDefault="00E317BB" w:rsidP="00E317BB">
            <w:pPr>
              <w:widowControl w:val="0"/>
              <w:autoSpaceDE w:val="0"/>
              <w:autoSpaceDN w:val="0"/>
              <w:adjustRightInd w:val="0"/>
              <w:rPr>
                <w:rFonts w:ascii="Arial" w:hAnsi="Arial" w:cs="Arial"/>
                <w:sz w:val="18"/>
                <w:szCs w:val="18"/>
              </w:rPr>
            </w:pPr>
            <w:r w:rsidRPr="00E317BB">
              <w:rPr>
                <w:rFonts w:ascii="Arial" w:hAnsi="Arial" w:cs="Arial"/>
                <w:sz w:val="18"/>
                <w:szCs w:val="18"/>
              </w:rPr>
              <w:t>Participant accepts the museum object when it is handed to them. Participant holds or handles the object but appears to do so in an automated way. Conversation around the object is very limited and vocalisations are very short and participant appears on the whole uninterested and unwilling</w:t>
            </w:r>
          </w:p>
        </w:tc>
      </w:tr>
      <w:tr w:rsidR="00E317BB" w:rsidRPr="00E317BB" w14:paraId="6DC3A10A" w14:textId="77777777" w:rsidTr="00E317BB">
        <w:tc>
          <w:tcPr>
            <w:tcW w:w="4678" w:type="dxa"/>
            <w:vAlign w:val="center"/>
          </w:tcPr>
          <w:p w14:paraId="10D9F761" w14:textId="77777777" w:rsidR="00E317BB" w:rsidRPr="00E317BB" w:rsidRDefault="00E317BB" w:rsidP="00E317BB">
            <w:pPr>
              <w:rPr>
                <w:rFonts w:ascii="Arial" w:eastAsia="Times New Roman" w:hAnsi="Arial" w:cs="Arial"/>
                <w:b/>
                <w:bCs/>
                <w:sz w:val="18"/>
                <w:szCs w:val="18"/>
              </w:rPr>
            </w:pPr>
            <w:r w:rsidRPr="00E317BB">
              <w:rPr>
                <w:rFonts w:ascii="Arial" w:eastAsia="Times New Roman" w:hAnsi="Arial" w:cs="Arial"/>
                <w:sz w:val="18"/>
                <w:szCs w:val="18"/>
              </w:rPr>
              <w:t xml:space="preserve">Visual engagement with object </w:t>
            </w:r>
          </w:p>
        </w:tc>
        <w:tc>
          <w:tcPr>
            <w:tcW w:w="6084" w:type="dxa"/>
          </w:tcPr>
          <w:p w14:paraId="14F3F325" w14:textId="77777777" w:rsidR="00E317BB" w:rsidRPr="00E317BB" w:rsidRDefault="00E317BB" w:rsidP="00E317BB">
            <w:pPr>
              <w:widowControl w:val="0"/>
              <w:autoSpaceDE w:val="0"/>
              <w:autoSpaceDN w:val="0"/>
              <w:adjustRightInd w:val="0"/>
              <w:rPr>
                <w:rFonts w:ascii="Arial" w:hAnsi="Arial" w:cs="Arial"/>
                <w:sz w:val="18"/>
                <w:szCs w:val="18"/>
              </w:rPr>
            </w:pPr>
            <w:r w:rsidRPr="00E317BB">
              <w:rPr>
                <w:rFonts w:ascii="Arial" w:hAnsi="Arial" w:cs="Arial"/>
                <w:sz w:val="18"/>
                <w:szCs w:val="18"/>
              </w:rPr>
              <w:t xml:space="preserve">Participant maintains eye contact with museum object or the facilitator holding the object. General talking about the object, </w:t>
            </w:r>
            <w:r w:rsidRPr="00E317BB">
              <w:rPr>
                <w:rFonts w:ascii="Arial" w:hAnsi="Arial" w:cs="Arial"/>
                <w:sz w:val="18"/>
                <w:szCs w:val="18"/>
                <w:lang w:val="en-US"/>
              </w:rPr>
              <w:t xml:space="preserve">verbally responding to statement/questions specifically to museum object. </w:t>
            </w:r>
          </w:p>
        </w:tc>
      </w:tr>
      <w:tr w:rsidR="00E317BB" w:rsidRPr="00E317BB" w14:paraId="4A38DA97" w14:textId="77777777" w:rsidTr="00E317BB">
        <w:tc>
          <w:tcPr>
            <w:tcW w:w="4678" w:type="dxa"/>
            <w:vAlign w:val="center"/>
          </w:tcPr>
          <w:p w14:paraId="0505EB3B"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Explores objects spontaneously (not engaged in conversation) </w:t>
            </w:r>
          </w:p>
        </w:tc>
        <w:tc>
          <w:tcPr>
            <w:tcW w:w="6084" w:type="dxa"/>
          </w:tcPr>
          <w:p w14:paraId="4F1DEDCE"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accepts the museum object and explores it in an attentive and self-directed manner. Object is turned around and handled in different ways, including stroking, manipulating, or smelling the object. Exploration is done mostly in silence. </w:t>
            </w:r>
          </w:p>
        </w:tc>
      </w:tr>
      <w:tr w:rsidR="00E317BB" w:rsidRPr="00E317BB" w14:paraId="2328C41D" w14:textId="77777777" w:rsidTr="00E317BB">
        <w:tc>
          <w:tcPr>
            <w:tcW w:w="4678" w:type="dxa"/>
            <w:vAlign w:val="center"/>
          </w:tcPr>
          <w:p w14:paraId="0226BC22"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Explores object and engages in conversation around object </w:t>
            </w:r>
          </w:p>
        </w:tc>
        <w:tc>
          <w:tcPr>
            <w:tcW w:w="6084" w:type="dxa"/>
          </w:tcPr>
          <w:p w14:paraId="230C1FB2"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accepts the museum object, explores in in attentive and self-directed manner. Participant initiates and maintains conversation about the museum object or to the museum object. Vocalisations are enthusiastic and participant appears on the whole alert and interested. </w:t>
            </w:r>
          </w:p>
        </w:tc>
      </w:tr>
      <w:tr w:rsidR="00E317BB" w:rsidRPr="00E317BB" w14:paraId="55B360F4" w14:textId="77777777" w:rsidTr="00E317BB">
        <w:tc>
          <w:tcPr>
            <w:tcW w:w="4678" w:type="dxa"/>
            <w:vAlign w:val="center"/>
          </w:tcPr>
          <w:p w14:paraId="6DF84BD9"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b/>
                <w:bCs/>
                <w:sz w:val="18"/>
                <w:szCs w:val="18"/>
              </w:rPr>
              <w:t>SOCIAL INTERACTION</w:t>
            </w:r>
          </w:p>
        </w:tc>
        <w:tc>
          <w:tcPr>
            <w:tcW w:w="6084" w:type="dxa"/>
          </w:tcPr>
          <w:p w14:paraId="6982B053" w14:textId="77777777" w:rsidR="00E317BB" w:rsidRPr="00E317BB" w:rsidRDefault="00E317BB" w:rsidP="00E317BB">
            <w:pPr>
              <w:rPr>
                <w:rFonts w:ascii="Arial" w:hAnsi="Arial" w:cs="Arial"/>
                <w:b/>
                <w:sz w:val="18"/>
                <w:szCs w:val="18"/>
              </w:rPr>
            </w:pPr>
          </w:p>
        </w:tc>
      </w:tr>
      <w:tr w:rsidR="00E317BB" w:rsidRPr="00E317BB" w14:paraId="397150F2" w14:textId="77777777" w:rsidTr="00E317BB">
        <w:tc>
          <w:tcPr>
            <w:tcW w:w="4678" w:type="dxa"/>
            <w:vAlign w:val="center"/>
          </w:tcPr>
          <w:p w14:paraId="5D9B53B2" w14:textId="77777777" w:rsidR="00E317BB" w:rsidRPr="00E317BB" w:rsidRDefault="00E317BB" w:rsidP="00E317BB">
            <w:pPr>
              <w:rPr>
                <w:rFonts w:ascii="Arial" w:eastAsia="Times New Roman" w:hAnsi="Arial" w:cs="Arial"/>
                <w:strike/>
                <w:sz w:val="18"/>
                <w:szCs w:val="18"/>
              </w:rPr>
            </w:pPr>
          </w:p>
          <w:p w14:paraId="2AE6B273"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Negative social interaction </w:t>
            </w:r>
          </w:p>
        </w:tc>
        <w:tc>
          <w:tcPr>
            <w:tcW w:w="6084" w:type="dxa"/>
          </w:tcPr>
          <w:p w14:paraId="6F58B6FF"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makes complaints and verbalises the desire to leave, or participant interrupt other participants who are engaged in the activity. </w:t>
            </w:r>
          </w:p>
        </w:tc>
      </w:tr>
      <w:tr w:rsidR="00E317BB" w:rsidRPr="00E317BB" w14:paraId="43A6FB25" w14:textId="77777777" w:rsidTr="00E317BB">
        <w:tc>
          <w:tcPr>
            <w:tcW w:w="4678" w:type="dxa"/>
            <w:vAlign w:val="center"/>
          </w:tcPr>
          <w:p w14:paraId="4B3B1494"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Does not engage socially  </w:t>
            </w:r>
          </w:p>
        </w:tc>
        <w:tc>
          <w:tcPr>
            <w:tcW w:w="6084" w:type="dxa"/>
          </w:tcPr>
          <w:p w14:paraId="3491423D"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does not interact with those around him/her, body language closed. </w:t>
            </w:r>
          </w:p>
        </w:tc>
      </w:tr>
      <w:tr w:rsidR="00E317BB" w:rsidRPr="00E317BB" w14:paraId="0CB53C32" w14:textId="77777777" w:rsidTr="00E317BB">
        <w:tc>
          <w:tcPr>
            <w:tcW w:w="4678" w:type="dxa"/>
            <w:vAlign w:val="center"/>
          </w:tcPr>
          <w:p w14:paraId="77FDA43D" w14:textId="77777777" w:rsidR="00E317BB" w:rsidRPr="00E317BB" w:rsidRDefault="00E317BB" w:rsidP="00E317BB">
            <w:pPr>
              <w:rPr>
                <w:rFonts w:ascii="Arial" w:eastAsia="Times New Roman" w:hAnsi="Arial" w:cs="Arial"/>
                <w:b/>
                <w:bCs/>
                <w:sz w:val="18"/>
                <w:szCs w:val="18"/>
              </w:rPr>
            </w:pPr>
            <w:r w:rsidRPr="00E317BB">
              <w:rPr>
                <w:rFonts w:ascii="Arial" w:eastAsia="Times New Roman" w:hAnsi="Arial" w:cs="Arial"/>
                <w:sz w:val="18"/>
                <w:szCs w:val="18"/>
              </w:rPr>
              <w:t xml:space="preserve">Spoke only when asked </w:t>
            </w:r>
          </w:p>
        </w:tc>
        <w:tc>
          <w:tcPr>
            <w:tcW w:w="6084" w:type="dxa"/>
          </w:tcPr>
          <w:p w14:paraId="5892A448"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Responses or vocalisation are short or monosyllabic. </w:t>
            </w:r>
          </w:p>
        </w:tc>
      </w:tr>
      <w:tr w:rsidR="00E317BB" w:rsidRPr="00E317BB" w14:paraId="7D5516EF" w14:textId="77777777" w:rsidTr="00E317BB">
        <w:tc>
          <w:tcPr>
            <w:tcW w:w="4678" w:type="dxa"/>
            <w:vAlign w:val="center"/>
          </w:tcPr>
          <w:p w14:paraId="1FD2FC12"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Interacts positively with staff only </w:t>
            </w:r>
          </w:p>
        </w:tc>
        <w:tc>
          <w:tcPr>
            <w:tcW w:w="6084" w:type="dxa"/>
          </w:tcPr>
          <w:p w14:paraId="7C1CF0F6"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interacts positively with facilitator or care staff only. </w:t>
            </w:r>
          </w:p>
        </w:tc>
      </w:tr>
      <w:tr w:rsidR="00E317BB" w:rsidRPr="00E317BB" w14:paraId="5F0C98AB" w14:textId="77777777" w:rsidTr="00E317BB">
        <w:tc>
          <w:tcPr>
            <w:tcW w:w="4678" w:type="dxa"/>
            <w:vAlign w:val="center"/>
          </w:tcPr>
          <w:p w14:paraId="445DBB8C"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Shares in group activity with others </w:t>
            </w:r>
          </w:p>
        </w:tc>
        <w:tc>
          <w:tcPr>
            <w:tcW w:w="6084" w:type="dxa"/>
          </w:tcPr>
          <w:p w14:paraId="5AF0B2EA"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Participant interacts with other participants around the museum objects or in other conversation. Participant making eye contact with others, open body language and/or engaging in conversation. </w:t>
            </w:r>
          </w:p>
        </w:tc>
      </w:tr>
      <w:tr w:rsidR="00E317BB" w:rsidRPr="00E317BB" w14:paraId="08C4A62F" w14:textId="77777777" w:rsidTr="00E317BB">
        <w:tc>
          <w:tcPr>
            <w:tcW w:w="4678" w:type="dxa"/>
            <w:vAlign w:val="center"/>
          </w:tcPr>
          <w:p w14:paraId="0149B3EA"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b/>
                <w:bCs/>
                <w:sz w:val="18"/>
                <w:szCs w:val="18"/>
              </w:rPr>
              <w:t xml:space="preserve">WELL-BEING (Mood) </w:t>
            </w:r>
          </w:p>
        </w:tc>
        <w:tc>
          <w:tcPr>
            <w:tcW w:w="6084" w:type="dxa"/>
          </w:tcPr>
          <w:p w14:paraId="0387B8AE" w14:textId="77777777" w:rsidR="00E317BB" w:rsidRPr="00E317BB" w:rsidRDefault="00E317BB" w:rsidP="00E317BB">
            <w:pPr>
              <w:rPr>
                <w:rFonts w:ascii="Arial" w:hAnsi="Arial" w:cs="Arial"/>
                <w:b/>
                <w:sz w:val="18"/>
                <w:szCs w:val="18"/>
              </w:rPr>
            </w:pPr>
          </w:p>
        </w:tc>
      </w:tr>
      <w:tr w:rsidR="00E317BB" w:rsidRPr="00E317BB" w14:paraId="0B316EED" w14:textId="77777777" w:rsidTr="00E317BB">
        <w:tc>
          <w:tcPr>
            <w:tcW w:w="4678" w:type="dxa"/>
            <w:vAlign w:val="center"/>
          </w:tcPr>
          <w:p w14:paraId="7B28162C" w14:textId="77777777" w:rsidR="00E317BB" w:rsidRPr="00E317BB" w:rsidRDefault="00E317BB" w:rsidP="00E317BB">
            <w:pPr>
              <w:rPr>
                <w:rFonts w:ascii="Arial" w:eastAsia="Times New Roman" w:hAnsi="Arial" w:cs="Arial"/>
                <w:b/>
                <w:bCs/>
                <w:sz w:val="18"/>
                <w:szCs w:val="18"/>
              </w:rPr>
            </w:pPr>
            <w:r w:rsidRPr="00E317BB">
              <w:rPr>
                <w:rFonts w:ascii="Arial" w:eastAsia="Times New Roman" w:hAnsi="Arial" w:cs="Arial"/>
                <w:sz w:val="18"/>
                <w:szCs w:val="18"/>
              </w:rPr>
              <w:t xml:space="preserve">Bright, reactive </w:t>
            </w:r>
          </w:p>
        </w:tc>
        <w:tc>
          <w:tcPr>
            <w:tcW w:w="6084" w:type="dxa"/>
          </w:tcPr>
          <w:p w14:paraId="4BE7804A"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Appears alert </w:t>
            </w:r>
          </w:p>
        </w:tc>
      </w:tr>
      <w:tr w:rsidR="00E317BB" w:rsidRPr="00E317BB" w14:paraId="73887259" w14:textId="77777777" w:rsidTr="00E317BB">
        <w:tc>
          <w:tcPr>
            <w:tcW w:w="4678" w:type="dxa"/>
            <w:vAlign w:val="center"/>
          </w:tcPr>
          <w:p w14:paraId="02793DFD"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Shows enjoyment</w:t>
            </w:r>
          </w:p>
        </w:tc>
        <w:tc>
          <w:tcPr>
            <w:tcW w:w="6084" w:type="dxa"/>
          </w:tcPr>
          <w:p w14:paraId="004BB5C2"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Smiling, laughing and relaxed body language, verbal expressions of enjoyment </w:t>
            </w:r>
          </w:p>
        </w:tc>
      </w:tr>
      <w:tr w:rsidR="00E317BB" w:rsidRPr="00E317BB" w14:paraId="17ACB131" w14:textId="77777777" w:rsidTr="00E317BB">
        <w:tc>
          <w:tcPr>
            <w:tcW w:w="4678" w:type="dxa"/>
            <w:vAlign w:val="center"/>
          </w:tcPr>
          <w:p w14:paraId="5497AAE0"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Shows humour</w:t>
            </w:r>
          </w:p>
        </w:tc>
        <w:tc>
          <w:tcPr>
            <w:tcW w:w="6084" w:type="dxa"/>
          </w:tcPr>
          <w:p w14:paraId="59832844" w14:textId="77777777" w:rsidR="00E317BB" w:rsidRPr="00E317BB" w:rsidRDefault="00E317BB" w:rsidP="00E317BB">
            <w:pPr>
              <w:rPr>
                <w:rFonts w:ascii="Arial" w:hAnsi="Arial" w:cs="Arial"/>
                <w:sz w:val="18"/>
                <w:szCs w:val="18"/>
              </w:rPr>
            </w:pPr>
            <w:r w:rsidRPr="00E317BB">
              <w:rPr>
                <w:rFonts w:ascii="Arial" w:hAnsi="Arial" w:cs="Arial"/>
                <w:sz w:val="18"/>
                <w:szCs w:val="18"/>
              </w:rPr>
              <w:t>Participant demonstrates their sense of humour verbally or through playful interactions with the museum object</w:t>
            </w:r>
          </w:p>
        </w:tc>
      </w:tr>
      <w:tr w:rsidR="00E317BB" w:rsidRPr="00E317BB" w14:paraId="3085D33F" w14:textId="77777777" w:rsidTr="00E317BB">
        <w:tc>
          <w:tcPr>
            <w:tcW w:w="4678" w:type="dxa"/>
            <w:vAlign w:val="center"/>
          </w:tcPr>
          <w:p w14:paraId="57165B46"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Resting / Settled (neutral)</w:t>
            </w:r>
          </w:p>
        </w:tc>
        <w:tc>
          <w:tcPr>
            <w:tcW w:w="6084" w:type="dxa"/>
          </w:tcPr>
          <w:p w14:paraId="0FB8684C" w14:textId="77777777" w:rsidR="00E317BB" w:rsidRPr="00E317BB" w:rsidRDefault="00E317BB" w:rsidP="00E317BB">
            <w:pPr>
              <w:rPr>
                <w:rFonts w:ascii="Arial" w:hAnsi="Arial" w:cs="Arial"/>
                <w:sz w:val="18"/>
                <w:szCs w:val="18"/>
              </w:rPr>
            </w:pPr>
            <w:r w:rsidRPr="00E317BB">
              <w:rPr>
                <w:rFonts w:ascii="Arial" w:hAnsi="Arial" w:cs="Arial"/>
                <w:sz w:val="18"/>
                <w:szCs w:val="18"/>
              </w:rPr>
              <w:t>Appears calm and no discreet facial or body expression</w:t>
            </w:r>
          </w:p>
        </w:tc>
      </w:tr>
      <w:tr w:rsidR="00E317BB" w:rsidRPr="00E317BB" w14:paraId="3D1C46FE" w14:textId="77777777" w:rsidTr="00E317BB">
        <w:tc>
          <w:tcPr>
            <w:tcW w:w="4678" w:type="dxa"/>
            <w:vAlign w:val="center"/>
          </w:tcPr>
          <w:p w14:paraId="1905F51A"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Asleep (neutral) </w:t>
            </w:r>
          </w:p>
        </w:tc>
        <w:tc>
          <w:tcPr>
            <w:tcW w:w="6084" w:type="dxa"/>
          </w:tcPr>
          <w:p w14:paraId="1498986D" w14:textId="77777777" w:rsidR="00E317BB" w:rsidRPr="00E317BB" w:rsidRDefault="00E317BB" w:rsidP="00E317BB">
            <w:pPr>
              <w:rPr>
                <w:rFonts w:ascii="Arial" w:hAnsi="Arial" w:cs="Arial"/>
                <w:sz w:val="18"/>
                <w:szCs w:val="18"/>
              </w:rPr>
            </w:pPr>
            <w:r w:rsidRPr="00E317BB">
              <w:rPr>
                <w:rFonts w:ascii="Arial" w:hAnsi="Arial" w:cs="Arial"/>
                <w:sz w:val="18"/>
                <w:szCs w:val="18"/>
              </w:rPr>
              <w:t>Asleep in chair</w:t>
            </w:r>
          </w:p>
        </w:tc>
      </w:tr>
      <w:tr w:rsidR="00E317BB" w:rsidRPr="00E317BB" w14:paraId="25C718FE" w14:textId="77777777" w:rsidTr="00E317BB">
        <w:tc>
          <w:tcPr>
            <w:tcW w:w="4678" w:type="dxa"/>
            <w:vAlign w:val="center"/>
          </w:tcPr>
          <w:p w14:paraId="00DC5D5D"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Anxious</w:t>
            </w:r>
          </w:p>
        </w:tc>
        <w:tc>
          <w:tcPr>
            <w:tcW w:w="6084" w:type="dxa"/>
          </w:tcPr>
          <w:p w14:paraId="20F65928"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Shaking, repetitive calling out, expressing repetitive worry, lines between eyebrows, tight facial muscles,. </w:t>
            </w:r>
          </w:p>
        </w:tc>
      </w:tr>
      <w:tr w:rsidR="00E317BB" w:rsidRPr="00E317BB" w14:paraId="25F39D8F" w14:textId="77777777" w:rsidTr="00E317BB">
        <w:tc>
          <w:tcPr>
            <w:tcW w:w="4678" w:type="dxa"/>
            <w:vAlign w:val="center"/>
          </w:tcPr>
          <w:p w14:paraId="621695DC"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Angry / Irritable </w:t>
            </w:r>
          </w:p>
        </w:tc>
        <w:tc>
          <w:tcPr>
            <w:tcW w:w="6084" w:type="dxa"/>
          </w:tcPr>
          <w:p w14:paraId="1780095B"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Yelling, cursing, swearing, clenching teeth, narrowing eyes, eyebrows furrowed </w:t>
            </w:r>
          </w:p>
        </w:tc>
      </w:tr>
      <w:tr w:rsidR="00E317BB" w:rsidRPr="00E317BB" w14:paraId="5C69C2C0" w14:textId="77777777" w:rsidTr="00E317BB">
        <w:tc>
          <w:tcPr>
            <w:tcW w:w="4678" w:type="dxa"/>
            <w:vAlign w:val="center"/>
          </w:tcPr>
          <w:p w14:paraId="0DF044F4"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Sad / Low Mood</w:t>
            </w:r>
          </w:p>
        </w:tc>
        <w:tc>
          <w:tcPr>
            <w:tcW w:w="6084" w:type="dxa"/>
          </w:tcPr>
          <w:p w14:paraId="5591FB7D" w14:textId="77777777" w:rsidR="00E317BB" w:rsidRPr="00E317BB" w:rsidRDefault="00E317BB" w:rsidP="00E317BB">
            <w:pPr>
              <w:rPr>
                <w:rFonts w:ascii="Arial" w:hAnsi="Arial" w:cs="Arial"/>
                <w:sz w:val="18"/>
                <w:szCs w:val="18"/>
              </w:rPr>
            </w:pPr>
            <w:r w:rsidRPr="00E317BB">
              <w:rPr>
                <w:rFonts w:ascii="Arial" w:hAnsi="Arial" w:cs="Arial"/>
                <w:sz w:val="18"/>
                <w:szCs w:val="18"/>
              </w:rPr>
              <w:t>Moaning, sighing, head/eyes turned down, crying</w:t>
            </w:r>
          </w:p>
        </w:tc>
      </w:tr>
      <w:tr w:rsidR="00E317BB" w:rsidRPr="00E317BB" w14:paraId="4459CCCB" w14:textId="77777777" w:rsidTr="00E317BB">
        <w:tc>
          <w:tcPr>
            <w:tcW w:w="4678" w:type="dxa"/>
            <w:vAlign w:val="center"/>
          </w:tcPr>
          <w:p w14:paraId="60611F82"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Other (please state)</w:t>
            </w:r>
          </w:p>
        </w:tc>
        <w:tc>
          <w:tcPr>
            <w:tcW w:w="6084" w:type="dxa"/>
          </w:tcPr>
          <w:p w14:paraId="09029D50" w14:textId="77777777" w:rsidR="00E317BB" w:rsidRPr="00E317BB" w:rsidRDefault="00E317BB" w:rsidP="00E317BB">
            <w:pPr>
              <w:rPr>
                <w:rFonts w:ascii="Arial" w:hAnsi="Arial" w:cs="Arial"/>
                <w:sz w:val="18"/>
                <w:szCs w:val="18"/>
              </w:rPr>
            </w:pPr>
          </w:p>
        </w:tc>
      </w:tr>
      <w:tr w:rsidR="00E317BB" w:rsidRPr="00E317BB" w14:paraId="793C2F67" w14:textId="77777777" w:rsidTr="00E317BB">
        <w:tc>
          <w:tcPr>
            <w:tcW w:w="4678" w:type="dxa"/>
            <w:vAlign w:val="center"/>
          </w:tcPr>
          <w:p w14:paraId="44127391"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b/>
                <w:bCs/>
                <w:sz w:val="18"/>
                <w:szCs w:val="18"/>
              </w:rPr>
              <w:t>AGITATION</w:t>
            </w:r>
          </w:p>
        </w:tc>
        <w:tc>
          <w:tcPr>
            <w:tcW w:w="6084" w:type="dxa"/>
          </w:tcPr>
          <w:p w14:paraId="12E86A21" w14:textId="77777777" w:rsidR="00E317BB" w:rsidRPr="00E317BB" w:rsidRDefault="00E317BB" w:rsidP="00E317BB">
            <w:pPr>
              <w:rPr>
                <w:rFonts w:ascii="Arial" w:hAnsi="Arial" w:cs="Arial"/>
                <w:b/>
                <w:sz w:val="18"/>
                <w:szCs w:val="18"/>
              </w:rPr>
            </w:pPr>
          </w:p>
        </w:tc>
      </w:tr>
      <w:tr w:rsidR="00E317BB" w:rsidRPr="00E317BB" w14:paraId="2BDD2E6B" w14:textId="77777777" w:rsidTr="00E317BB">
        <w:tc>
          <w:tcPr>
            <w:tcW w:w="4678" w:type="dxa"/>
            <w:vAlign w:val="center"/>
          </w:tcPr>
          <w:p w14:paraId="14F38432" w14:textId="77777777" w:rsidR="00E317BB" w:rsidRPr="00E317BB" w:rsidRDefault="00E317BB" w:rsidP="00E317BB">
            <w:pPr>
              <w:rPr>
                <w:rFonts w:ascii="Arial" w:eastAsia="Times New Roman" w:hAnsi="Arial" w:cs="Arial"/>
                <w:b/>
                <w:bCs/>
                <w:sz w:val="18"/>
                <w:szCs w:val="18"/>
              </w:rPr>
            </w:pPr>
            <w:r w:rsidRPr="00E317BB">
              <w:rPr>
                <w:rFonts w:ascii="Arial" w:eastAsia="Times New Roman" w:hAnsi="Arial" w:cs="Arial"/>
                <w:sz w:val="18"/>
                <w:szCs w:val="18"/>
              </w:rPr>
              <w:t>Signs of agitation (verbal and/or physical and/or motor activities)</w:t>
            </w:r>
          </w:p>
        </w:tc>
        <w:tc>
          <w:tcPr>
            <w:tcW w:w="6084" w:type="dxa"/>
          </w:tcPr>
          <w:p w14:paraId="5D233CB7" w14:textId="77777777" w:rsidR="00E317BB" w:rsidRPr="00E317BB" w:rsidRDefault="00E317BB" w:rsidP="00E317BB">
            <w:pPr>
              <w:rPr>
                <w:rFonts w:ascii="Arial" w:hAnsi="Arial" w:cs="Arial"/>
                <w:sz w:val="18"/>
                <w:szCs w:val="18"/>
              </w:rPr>
            </w:pPr>
            <w:r w:rsidRPr="00E317BB">
              <w:rPr>
                <w:rFonts w:ascii="Arial" w:hAnsi="Arial" w:cs="Arial"/>
                <w:sz w:val="18"/>
                <w:szCs w:val="18"/>
              </w:rPr>
              <w:t>Restlessness, agitated movement, pacing around the room, picking up objects and fiddling, repetitive rubbing own limbs or torso. Abusive or aggressive verbalisations or vocalisations and behaviours towards self and others. Repeating words and phrases</w:t>
            </w:r>
          </w:p>
        </w:tc>
      </w:tr>
      <w:tr w:rsidR="00E317BB" w:rsidRPr="00E317BB" w14:paraId="2E2E233E" w14:textId="77777777" w:rsidTr="00E317BB">
        <w:tc>
          <w:tcPr>
            <w:tcW w:w="4678" w:type="dxa"/>
            <w:vAlign w:val="center"/>
          </w:tcPr>
          <w:p w14:paraId="5F4A94F6" w14:textId="77777777" w:rsidR="00E317BB" w:rsidRPr="00E317BB" w:rsidRDefault="00E317BB" w:rsidP="00E317BB">
            <w:pPr>
              <w:rPr>
                <w:rFonts w:ascii="Arial" w:eastAsia="Times New Roman" w:hAnsi="Arial" w:cs="Arial"/>
                <w:sz w:val="18"/>
                <w:szCs w:val="18"/>
              </w:rPr>
            </w:pPr>
            <w:r w:rsidRPr="00E317BB">
              <w:rPr>
                <w:rFonts w:ascii="Arial" w:eastAsia="Times New Roman" w:hAnsi="Arial" w:cs="Arial"/>
                <w:sz w:val="18"/>
                <w:szCs w:val="18"/>
              </w:rPr>
              <w:t xml:space="preserve">No signs of agitation </w:t>
            </w:r>
          </w:p>
        </w:tc>
        <w:tc>
          <w:tcPr>
            <w:tcW w:w="6084" w:type="dxa"/>
          </w:tcPr>
          <w:p w14:paraId="4B419641" w14:textId="77777777" w:rsidR="00E317BB" w:rsidRPr="00E317BB" w:rsidRDefault="00E317BB" w:rsidP="00E317BB">
            <w:pPr>
              <w:rPr>
                <w:rFonts w:ascii="Arial" w:hAnsi="Arial" w:cs="Arial"/>
                <w:sz w:val="18"/>
                <w:szCs w:val="18"/>
              </w:rPr>
            </w:pPr>
            <w:r w:rsidRPr="00E317BB">
              <w:rPr>
                <w:rFonts w:ascii="Arial" w:hAnsi="Arial" w:cs="Arial"/>
                <w:sz w:val="18"/>
                <w:szCs w:val="18"/>
              </w:rPr>
              <w:t xml:space="preserve">No signs of the above. </w:t>
            </w:r>
          </w:p>
        </w:tc>
      </w:tr>
    </w:tbl>
    <w:p w14:paraId="3B0ABD04" w14:textId="77777777" w:rsidR="00E317BB" w:rsidRPr="00E317BB" w:rsidRDefault="00E317BB" w:rsidP="00E317BB">
      <w:pPr>
        <w:ind w:left="-284" w:firstLine="284"/>
        <w:rPr>
          <w:rFonts w:ascii="Times New Roman" w:hAnsi="Times New Roman" w:cs="Times New Roman"/>
        </w:rPr>
      </w:pPr>
    </w:p>
    <w:p w14:paraId="7E2B43DA" w14:textId="68E76B2D" w:rsidR="00FE31CF" w:rsidRPr="007A3C99" w:rsidRDefault="00E317BB" w:rsidP="00E317BB">
      <w:pPr>
        <w:ind w:left="-284"/>
        <w:rPr>
          <w:rFonts w:ascii="Times New Roman" w:hAnsi="Times New Roman" w:cs="Times New Roman"/>
        </w:rPr>
      </w:pPr>
      <w:r w:rsidRPr="00E317BB">
        <w:rPr>
          <w:rFonts w:ascii="Times New Roman" w:hAnsi="Times New Roman" w:cs="Times New Roman"/>
        </w:rPr>
        <w:t>Figure 3: Operational Definitions of the Museum Engagement Observation Tool for PWD</w:t>
      </w:r>
    </w:p>
    <w:sectPr w:rsidR="00FE31CF" w:rsidRPr="007A3C99" w:rsidSect="003E526A">
      <w:pgSz w:w="11900" w:h="16840"/>
      <w:pgMar w:top="1304" w:right="1800" w:bottom="1440" w:left="16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508C" w14:textId="77777777" w:rsidR="00A0424A" w:rsidRDefault="00A0424A" w:rsidP="00D6296E">
      <w:r>
        <w:separator/>
      </w:r>
    </w:p>
  </w:endnote>
  <w:endnote w:type="continuationSeparator" w:id="0">
    <w:p w14:paraId="500013D8" w14:textId="77777777" w:rsidR="00A0424A" w:rsidRDefault="00A0424A" w:rsidP="00D6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6E41F" w14:textId="77777777" w:rsidR="00A0424A" w:rsidRDefault="00A0424A" w:rsidP="00D6296E">
      <w:r>
        <w:separator/>
      </w:r>
    </w:p>
  </w:footnote>
  <w:footnote w:type="continuationSeparator" w:id="0">
    <w:p w14:paraId="19DB36E0" w14:textId="77777777" w:rsidR="00A0424A" w:rsidRDefault="00A0424A" w:rsidP="00D6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3DB"/>
    <w:multiLevelType w:val="hybridMultilevel"/>
    <w:tmpl w:val="28DE2012"/>
    <w:lvl w:ilvl="0" w:tplc="EAF2E6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3FEC"/>
    <w:multiLevelType w:val="hybridMultilevel"/>
    <w:tmpl w:val="104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30F5D"/>
    <w:multiLevelType w:val="hybridMultilevel"/>
    <w:tmpl w:val="4CEA2F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14105"/>
    <w:multiLevelType w:val="hybridMultilevel"/>
    <w:tmpl w:val="C6505F82"/>
    <w:lvl w:ilvl="0" w:tplc="EAF2E6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636A4"/>
    <w:multiLevelType w:val="hybridMultilevel"/>
    <w:tmpl w:val="F5B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9544F"/>
    <w:multiLevelType w:val="hybridMultilevel"/>
    <w:tmpl w:val="3EC68644"/>
    <w:lvl w:ilvl="0" w:tplc="EAF2E6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538E7"/>
    <w:multiLevelType w:val="hybridMultilevel"/>
    <w:tmpl w:val="488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F50FE"/>
    <w:multiLevelType w:val="hybridMultilevel"/>
    <w:tmpl w:val="BF16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6D7C1A"/>
    <w:multiLevelType w:val="hybridMultilevel"/>
    <w:tmpl w:val="71E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95BC2"/>
    <w:multiLevelType w:val="hybridMultilevel"/>
    <w:tmpl w:val="F40ACDC8"/>
    <w:lvl w:ilvl="0" w:tplc="EAF2E6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11"/>
    <w:rsid w:val="00003B9F"/>
    <w:rsid w:val="00005BDD"/>
    <w:rsid w:val="00007278"/>
    <w:rsid w:val="00010D62"/>
    <w:rsid w:val="0001171D"/>
    <w:rsid w:val="0001553B"/>
    <w:rsid w:val="000158A3"/>
    <w:rsid w:val="00020F44"/>
    <w:rsid w:val="00022047"/>
    <w:rsid w:val="00027B13"/>
    <w:rsid w:val="00042E5A"/>
    <w:rsid w:val="00045714"/>
    <w:rsid w:val="00046476"/>
    <w:rsid w:val="00046EEA"/>
    <w:rsid w:val="00047496"/>
    <w:rsid w:val="000474E9"/>
    <w:rsid w:val="000477CA"/>
    <w:rsid w:val="00047E70"/>
    <w:rsid w:val="00050082"/>
    <w:rsid w:val="00050BFD"/>
    <w:rsid w:val="000521FA"/>
    <w:rsid w:val="00060E2B"/>
    <w:rsid w:val="0006131A"/>
    <w:rsid w:val="0006504B"/>
    <w:rsid w:val="0006751D"/>
    <w:rsid w:val="00071ED7"/>
    <w:rsid w:val="000726B3"/>
    <w:rsid w:val="00077486"/>
    <w:rsid w:val="00077AE8"/>
    <w:rsid w:val="000825E3"/>
    <w:rsid w:val="0008314C"/>
    <w:rsid w:val="0008626E"/>
    <w:rsid w:val="00095A3C"/>
    <w:rsid w:val="00096A42"/>
    <w:rsid w:val="000A01AD"/>
    <w:rsid w:val="000A1C31"/>
    <w:rsid w:val="000A5AC6"/>
    <w:rsid w:val="000A694D"/>
    <w:rsid w:val="000A7267"/>
    <w:rsid w:val="000B6538"/>
    <w:rsid w:val="000C32FD"/>
    <w:rsid w:val="000C378B"/>
    <w:rsid w:val="000D0177"/>
    <w:rsid w:val="000D142B"/>
    <w:rsid w:val="000D37EB"/>
    <w:rsid w:val="000D4F49"/>
    <w:rsid w:val="000E0521"/>
    <w:rsid w:val="000F3D49"/>
    <w:rsid w:val="000F43A6"/>
    <w:rsid w:val="0010286C"/>
    <w:rsid w:val="001109D2"/>
    <w:rsid w:val="0011183F"/>
    <w:rsid w:val="0011477C"/>
    <w:rsid w:val="00120EAB"/>
    <w:rsid w:val="00140623"/>
    <w:rsid w:val="001459BF"/>
    <w:rsid w:val="00151D6A"/>
    <w:rsid w:val="0016038F"/>
    <w:rsid w:val="00165BBA"/>
    <w:rsid w:val="00172A20"/>
    <w:rsid w:val="001761A2"/>
    <w:rsid w:val="001766F7"/>
    <w:rsid w:val="00186F11"/>
    <w:rsid w:val="001871DA"/>
    <w:rsid w:val="0019283A"/>
    <w:rsid w:val="00192A5D"/>
    <w:rsid w:val="00192B3B"/>
    <w:rsid w:val="00193196"/>
    <w:rsid w:val="0019324D"/>
    <w:rsid w:val="0019780C"/>
    <w:rsid w:val="001A1A34"/>
    <w:rsid w:val="001B48EE"/>
    <w:rsid w:val="001B7DCF"/>
    <w:rsid w:val="001C2943"/>
    <w:rsid w:val="001D0581"/>
    <w:rsid w:val="001D5D64"/>
    <w:rsid w:val="001D5DEE"/>
    <w:rsid w:val="001E1360"/>
    <w:rsid w:val="001E28DA"/>
    <w:rsid w:val="001E38B2"/>
    <w:rsid w:val="001E4CD9"/>
    <w:rsid w:val="001F0E7F"/>
    <w:rsid w:val="001F20B6"/>
    <w:rsid w:val="001F714F"/>
    <w:rsid w:val="00203E28"/>
    <w:rsid w:val="002074E0"/>
    <w:rsid w:val="0021226A"/>
    <w:rsid w:val="00222704"/>
    <w:rsid w:val="00231AE0"/>
    <w:rsid w:val="00232763"/>
    <w:rsid w:val="00232AD2"/>
    <w:rsid w:val="002355E0"/>
    <w:rsid w:val="00237B01"/>
    <w:rsid w:val="00240229"/>
    <w:rsid w:val="00241545"/>
    <w:rsid w:val="002527C2"/>
    <w:rsid w:val="00255404"/>
    <w:rsid w:val="00260823"/>
    <w:rsid w:val="00265C84"/>
    <w:rsid w:val="002706DB"/>
    <w:rsid w:val="002740B8"/>
    <w:rsid w:val="00274E3C"/>
    <w:rsid w:val="00280434"/>
    <w:rsid w:val="00282853"/>
    <w:rsid w:val="002862BB"/>
    <w:rsid w:val="00291719"/>
    <w:rsid w:val="00296C46"/>
    <w:rsid w:val="00296E75"/>
    <w:rsid w:val="002A76A0"/>
    <w:rsid w:val="002B2011"/>
    <w:rsid w:val="002B3719"/>
    <w:rsid w:val="002E1C15"/>
    <w:rsid w:val="002E2888"/>
    <w:rsid w:val="002F0296"/>
    <w:rsid w:val="00300652"/>
    <w:rsid w:val="00302A6D"/>
    <w:rsid w:val="00312CA8"/>
    <w:rsid w:val="00314661"/>
    <w:rsid w:val="003178E0"/>
    <w:rsid w:val="0032096B"/>
    <w:rsid w:val="0032266B"/>
    <w:rsid w:val="00323DC7"/>
    <w:rsid w:val="00326C30"/>
    <w:rsid w:val="00332730"/>
    <w:rsid w:val="0034255C"/>
    <w:rsid w:val="00350A27"/>
    <w:rsid w:val="00356720"/>
    <w:rsid w:val="003570F0"/>
    <w:rsid w:val="0036230F"/>
    <w:rsid w:val="00362DE6"/>
    <w:rsid w:val="00366026"/>
    <w:rsid w:val="00366652"/>
    <w:rsid w:val="00372F57"/>
    <w:rsid w:val="00374B82"/>
    <w:rsid w:val="00383576"/>
    <w:rsid w:val="00384137"/>
    <w:rsid w:val="00386517"/>
    <w:rsid w:val="00397BD3"/>
    <w:rsid w:val="003A37EA"/>
    <w:rsid w:val="003C1ECB"/>
    <w:rsid w:val="003C317F"/>
    <w:rsid w:val="003C3A57"/>
    <w:rsid w:val="003C44AE"/>
    <w:rsid w:val="003C702D"/>
    <w:rsid w:val="003D2A49"/>
    <w:rsid w:val="003D5C55"/>
    <w:rsid w:val="003E120C"/>
    <w:rsid w:val="003E7A93"/>
    <w:rsid w:val="003F2B74"/>
    <w:rsid w:val="004033AC"/>
    <w:rsid w:val="00404B15"/>
    <w:rsid w:val="004053BE"/>
    <w:rsid w:val="00405DCA"/>
    <w:rsid w:val="00405DE3"/>
    <w:rsid w:val="004113F2"/>
    <w:rsid w:val="0041182C"/>
    <w:rsid w:val="004128BF"/>
    <w:rsid w:val="00417A49"/>
    <w:rsid w:val="00425AC1"/>
    <w:rsid w:val="00431972"/>
    <w:rsid w:val="00436D97"/>
    <w:rsid w:val="004373AA"/>
    <w:rsid w:val="00441713"/>
    <w:rsid w:val="004419CB"/>
    <w:rsid w:val="004442C3"/>
    <w:rsid w:val="00450C0C"/>
    <w:rsid w:val="0045491B"/>
    <w:rsid w:val="004576F4"/>
    <w:rsid w:val="004603C1"/>
    <w:rsid w:val="00465355"/>
    <w:rsid w:val="00475722"/>
    <w:rsid w:val="0047614B"/>
    <w:rsid w:val="0047711A"/>
    <w:rsid w:val="004773BB"/>
    <w:rsid w:val="0049013F"/>
    <w:rsid w:val="004A17D4"/>
    <w:rsid w:val="004A1897"/>
    <w:rsid w:val="004A239D"/>
    <w:rsid w:val="004A3121"/>
    <w:rsid w:val="004A5C58"/>
    <w:rsid w:val="004A644C"/>
    <w:rsid w:val="004A7169"/>
    <w:rsid w:val="004B4734"/>
    <w:rsid w:val="004C1117"/>
    <w:rsid w:val="004C126A"/>
    <w:rsid w:val="004C1501"/>
    <w:rsid w:val="004D4D0F"/>
    <w:rsid w:val="004E00E8"/>
    <w:rsid w:val="004E7B6A"/>
    <w:rsid w:val="004F2CD7"/>
    <w:rsid w:val="004F4887"/>
    <w:rsid w:val="004F7435"/>
    <w:rsid w:val="005021E8"/>
    <w:rsid w:val="00503158"/>
    <w:rsid w:val="00503465"/>
    <w:rsid w:val="00504C43"/>
    <w:rsid w:val="005072FD"/>
    <w:rsid w:val="005079D7"/>
    <w:rsid w:val="005115A4"/>
    <w:rsid w:val="0051177C"/>
    <w:rsid w:val="0051402C"/>
    <w:rsid w:val="00515FBF"/>
    <w:rsid w:val="00516F37"/>
    <w:rsid w:val="005200A3"/>
    <w:rsid w:val="00530880"/>
    <w:rsid w:val="005403CE"/>
    <w:rsid w:val="005568DA"/>
    <w:rsid w:val="00557184"/>
    <w:rsid w:val="0056010F"/>
    <w:rsid w:val="00560984"/>
    <w:rsid w:val="00563885"/>
    <w:rsid w:val="00567868"/>
    <w:rsid w:val="00572EE4"/>
    <w:rsid w:val="00573C9A"/>
    <w:rsid w:val="005944C1"/>
    <w:rsid w:val="005A0010"/>
    <w:rsid w:val="005A0DD3"/>
    <w:rsid w:val="005A35CB"/>
    <w:rsid w:val="005B17F8"/>
    <w:rsid w:val="005B3D12"/>
    <w:rsid w:val="005B7F0F"/>
    <w:rsid w:val="005C4EB5"/>
    <w:rsid w:val="005C6DDE"/>
    <w:rsid w:val="005C74AC"/>
    <w:rsid w:val="005D46F3"/>
    <w:rsid w:val="005E1012"/>
    <w:rsid w:val="005E1108"/>
    <w:rsid w:val="005E359D"/>
    <w:rsid w:val="005E3950"/>
    <w:rsid w:val="006008B0"/>
    <w:rsid w:val="006010F7"/>
    <w:rsid w:val="00601CAB"/>
    <w:rsid w:val="006065B1"/>
    <w:rsid w:val="00612025"/>
    <w:rsid w:val="00621F08"/>
    <w:rsid w:val="00623581"/>
    <w:rsid w:val="00625588"/>
    <w:rsid w:val="00630A73"/>
    <w:rsid w:val="00634719"/>
    <w:rsid w:val="0063498C"/>
    <w:rsid w:val="006361B8"/>
    <w:rsid w:val="006464AA"/>
    <w:rsid w:val="00647957"/>
    <w:rsid w:val="00653475"/>
    <w:rsid w:val="00661AEE"/>
    <w:rsid w:val="00665C6E"/>
    <w:rsid w:val="00672BC2"/>
    <w:rsid w:val="00676A86"/>
    <w:rsid w:val="00681397"/>
    <w:rsid w:val="00687D6E"/>
    <w:rsid w:val="006934E6"/>
    <w:rsid w:val="006962FB"/>
    <w:rsid w:val="006A0310"/>
    <w:rsid w:val="006A3E50"/>
    <w:rsid w:val="006B0A91"/>
    <w:rsid w:val="006B2377"/>
    <w:rsid w:val="006B778F"/>
    <w:rsid w:val="006C3D2E"/>
    <w:rsid w:val="006C6F7A"/>
    <w:rsid w:val="006D3261"/>
    <w:rsid w:val="006D3BE1"/>
    <w:rsid w:val="006D563C"/>
    <w:rsid w:val="006D5C1D"/>
    <w:rsid w:val="006E16C4"/>
    <w:rsid w:val="006E3E35"/>
    <w:rsid w:val="006E52FB"/>
    <w:rsid w:val="006E70E5"/>
    <w:rsid w:val="006E7468"/>
    <w:rsid w:val="006E7706"/>
    <w:rsid w:val="006F369D"/>
    <w:rsid w:val="006F41F0"/>
    <w:rsid w:val="006F6381"/>
    <w:rsid w:val="007034D6"/>
    <w:rsid w:val="00714D17"/>
    <w:rsid w:val="007220DF"/>
    <w:rsid w:val="00723A88"/>
    <w:rsid w:val="00733013"/>
    <w:rsid w:val="007345C0"/>
    <w:rsid w:val="007348EA"/>
    <w:rsid w:val="00743042"/>
    <w:rsid w:val="00750943"/>
    <w:rsid w:val="007624D8"/>
    <w:rsid w:val="007630EA"/>
    <w:rsid w:val="00764DB1"/>
    <w:rsid w:val="00770CA7"/>
    <w:rsid w:val="007744DB"/>
    <w:rsid w:val="00776965"/>
    <w:rsid w:val="00781A24"/>
    <w:rsid w:val="00790AAF"/>
    <w:rsid w:val="0079278C"/>
    <w:rsid w:val="0079456A"/>
    <w:rsid w:val="007A3B83"/>
    <w:rsid w:val="007A3C99"/>
    <w:rsid w:val="007A3D21"/>
    <w:rsid w:val="007B072E"/>
    <w:rsid w:val="007B0BDB"/>
    <w:rsid w:val="007B6404"/>
    <w:rsid w:val="007C0CBB"/>
    <w:rsid w:val="007C1948"/>
    <w:rsid w:val="007D59A8"/>
    <w:rsid w:val="007E0CE4"/>
    <w:rsid w:val="007E13DA"/>
    <w:rsid w:val="007E313C"/>
    <w:rsid w:val="007E3763"/>
    <w:rsid w:val="007E3F62"/>
    <w:rsid w:val="007E450B"/>
    <w:rsid w:val="007F66A4"/>
    <w:rsid w:val="00805738"/>
    <w:rsid w:val="00806DD5"/>
    <w:rsid w:val="00812EE7"/>
    <w:rsid w:val="0081349D"/>
    <w:rsid w:val="00823D6F"/>
    <w:rsid w:val="00825239"/>
    <w:rsid w:val="00830DE6"/>
    <w:rsid w:val="00832E11"/>
    <w:rsid w:val="0083525F"/>
    <w:rsid w:val="00841ABB"/>
    <w:rsid w:val="00851146"/>
    <w:rsid w:val="00855E4D"/>
    <w:rsid w:val="00857F0B"/>
    <w:rsid w:val="00861959"/>
    <w:rsid w:val="00863639"/>
    <w:rsid w:val="008764F8"/>
    <w:rsid w:val="008765BD"/>
    <w:rsid w:val="0087773D"/>
    <w:rsid w:val="00886D99"/>
    <w:rsid w:val="008941BD"/>
    <w:rsid w:val="008A2465"/>
    <w:rsid w:val="008A6CBE"/>
    <w:rsid w:val="008B1499"/>
    <w:rsid w:val="008B1FF8"/>
    <w:rsid w:val="008B43F7"/>
    <w:rsid w:val="008C79B4"/>
    <w:rsid w:val="008D5559"/>
    <w:rsid w:val="008E0C2B"/>
    <w:rsid w:val="008E1140"/>
    <w:rsid w:val="008E2DDB"/>
    <w:rsid w:val="008E72CE"/>
    <w:rsid w:val="00903A03"/>
    <w:rsid w:val="00905699"/>
    <w:rsid w:val="00905BC6"/>
    <w:rsid w:val="00906962"/>
    <w:rsid w:val="00911318"/>
    <w:rsid w:val="00911E98"/>
    <w:rsid w:val="00913CB0"/>
    <w:rsid w:val="009220F8"/>
    <w:rsid w:val="00924EB8"/>
    <w:rsid w:val="009261A2"/>
    <w:rsid w:val="00930E9B"/>
    <w:rsid w:val="009469DE"/>
    <w:rsid w:val="0095687F"/>
    <w:rsid w:val="009570E8"/>
    <w:rsid w:val="0095796D"/>
    <w:rsid w:val="00964268"/>
    <w:rsid w:val="00964BEC"/>
    <w:rsid w:val="00967882"/>
    <w:rsid w:val="00967B04"/>
    <w:rsid w:val="00977A6B"/>
    <w:rsid w:val="009804FF"/>
    <w:rsid w:val="00982B77"/>
    <w:rsid w:val="00984103"/>
    <w:rsid w:val="00992216"/>
    <w:rsid w:val="0099250A"/>
    <w:rsid w:val="00992A88"/>
    <w:rsid w:val="009940D6"/>
    <w:rsid w:val="00996DEB"/>
    <w:rsid w:val="009A4665"/>
    <w:rsid w:val="009A51D6"/>
    <w:rsid w:val="009A7217"/>
    <w:rsid w:val="009B0AF4"/>
    <w:rsid w:val="009C30AF"/>
    <w:rsid w:val="009C418E"/>
    <w:rsid w:val="009C543E"/>
    <w:rsid w:val="009C7899"/>
    <w:rsid w:val="009D7DE9"/>
    <w:rsid w:val="009E0ACD"/>
    <w:rsid w:val="009E2F9B"/>
    <w:rsid w:val="009F3C03"/>
    <w:rsid w:val="009F6D4D"/>
    <w:rsid w:val="009F7AB0"/>
    <w:rsid w:val="00A00BF5"/>
    <w:rsid w:val="00A0424A"/>
    <w:rsid w:val="00A15FA5"/>
    <w:rsid w:val="00A16F93"/>
    <w:rsid w:val="00A17124"/>
    <w:rsid w:val="00A17177"/>
    <w:rsid w:val="00A22F44"/>
    <w:rsid w:val="00A250E3"/>
    <w:rsid w:val="00A32051"/>
    <w:rsid w:val="00A347EA"/>
    <w:rsid w:val="00A60FC7"/>
    <w:rsid w:val="00A61E56"/>
    <w:rsid w:val="00A6438D"/>
    <w:rsid w:val="00A64845"/>
    <w:rsid w:val="00A655C9"/>
    <w:rsid w:val="00A72280"/>
    <w:rsid w:val="00A757B2"/>
    <w:rsid w:val="00A81C58"/>
    <w:rsid w:val="00A81E0A"/>
    <w:rsid w:val="00A87D0A"/>
    <w:rsid w:val="00A9161A"/>
    <w:rsid w:val="00A91F81"/>
    <w:rsid w:val="00A951D7"/>
    <w:rsid w:val="00A95747"/>
    <w:rsid w:val="00AA0711"/>
    <w:rsid w:val="00AA2A06"/>
    <w:rsid w:val="00AA6D24"/>
    <w:rsid w:val="00AB448B"/>
    <w:rsid w:val="00AB638D"/>
    <w:rsid w:val="00AC18D3"/>
    <w:rsid w:val="00AC3EA0"/>
    <w:rsid w:val="00AC41F8"/>
    <w:rsid w:val="00AC7A2C"/>
    <w:rsid w:val="00AD4E5B"/>
    <w:rsid w:val="00AD78C9"/>
    <w:rsid w:val="00AE1ECA"/>
    <w:rsid w:val="00AE3360"/>
    <w:rsid w:val="00AE3361"/>
    <w:rsid w:val="00AE4FED"/>
    <w:rsid w:val="00AF42A4"/>
    <w:rsid w:val="00B03444"/>
    <w:rsid w:val="00B03FA6"/>
    <w:rsid w:val="00B078D5"/>
    <w:rsid w:val="00B1125B"/>
    <w:rsid w:val="00B1666E"/>
    <w:rsid w:val="00B2524C"/>
    <w:rsid w:val="00B255E0"/>
    <w:rsid w:val="00B3161E"/>
    <w:rsid w:val="00B36B72"/>
    <w:rsid w:val="00B4011F"/>
    <w:rsid w:val="00B433BB"/>
    <w:rsid w:val="00B434E0"/>
    <w:rsid w:val="00B4436F"/>
    <w:rsid w:val="00B4583B"/>
    <w:rsid w:val="00B50447"/>
    <w:rsid w:val="00B50538"/>
    <w:rsid w:val="00B530CF"/>
    <w:rsid w:val="00B5393E"/>
    <w:rsid w:val="00B544A4"/>
    <w:rsid w:val="00B61DB9"/>
    <w:rsid w:val="00B729EF"/>
    <w:rsid w:val="00B7523C"/>
    <w:rsid w:val="00B765E4"/>
    <w:rsid w:val="00B81024"/>
    <w:rsid w:val="00B82C1A"/>
    <w:rsid w:val="00B85AAC"/>
    <w:rsid w:val="00B9339A"/>
    <w:rsid w:val="00B939FD"/>
    <w:rsid w:val="00BA3195"/>
    <w:rsid w:val="00BA47DB"/>
    <w:rsid w:val="00BB5959"/>
    <w:rsid w:val="00BB5F99"/>
    <w:rsid w:val="00BB7351"/>
    <w:rsid w:val="00BC32A9"/>
    <w:rsid w:val="00BC47E1"/>
    <w:rsid w:val="00BC65C1"/>
    <w:rsid w:val="00BD1222"/>
    <w:rsid w:val="00BD7570"/>
    <w:rsid w:val="00BE2054"/>
    <w:rsid w:val="00BE30B4"/>
    <w:rsid w:val="00BE58D9"/>
    <w:rsid w:val="00BE667B"/>
    <w:rsid w:val="00BF1560"/>
    <w:rsid w:val="00BF19BE"/>
    <w:rsid w:val="00BF4601"/>
    <w:rsid w:val="00C03FAF"/>
    <w:rsid w:val="00C05AA4"/>
    <w:rsid w:val="00C0761F"/>
    <w:rsid w:val="00C15D88"/>
    <w:rsid w:val="00C16706"/>
    <w:rsid w:val="00C23263"/>
    <w:rsid w:val="00C23C83"/>
    <w:rsid w:val="00C24630"/>
    <w:rsid w:val="00C26ABF"/>
    <w:rsid w:val="00C30C6A"/>
    <w:rsid w:val="00C31F1C"/>
    <w:rsid w:val="00C32B83"/>
    <w:rsid w:val="00C35B8C"/>
    <w:rsid w:val="00C514B9"/>
    <w:rsid w:val="00C526A4"/>
    <w:rsid w:val="00C6116F"/>
    <w:rsid w:val="00C61B2B"/>
    <w:rsid w:val="00C62837"/>
    <w:rsid w:val="00C662FD"/>
    <w:rsid w:val="00C81A0A"/>
    <w:rsid w:val="00C8763A"/>
    <w:rsid w:val="00CA263D"/>
    <w:rsid w:val="00CA41E1"/>
    <w:rsid w:val="00CA56F9"/>
    <w:rsid w:val="00CA5CF4"/>
    <w:rsid w:val="00CB094A"/>
    <w:rsid w:val="00CC11E1"/>
    <w:rsid w:val="00CC146B"/>
    <w:rsid w:val="00CD39A3"/>
    <w:rsid w:val="00CD4303"/>
    <w:rsid w:val="00CD546A"/>
    <w:rsid w:val="00CE1074"/>
    <w:rsid w:val="00CE1130"/>
    <w:rsid w:val="00CE6219"/>
    <w:rsid w:val="00CF0261"/>
    <w:rsid w:val="00CF70AE"/>
    <w:rsid w:val="00D00F25"/>
    <w:rsid w:val="00D060A4"/>
    <w:rsid w:val="00D06742"/>
    <w:rsid w:val="00D20E64"/>
    <w:rsid w:val="00D23011"/>
    <w:rsid w:val="00D23A21"/>
    <w:rsid w:val="00D24E6B"/>
    <w:rsid w:val="00D2693C"/>
    <w:rsid w:val="00D31AFA"/>
    <w:rsid w:val="00D32581"/>
    <w:rsid w:val="00D33E70"/>
    <w:rsid w:val="00D34D61"/>
    <w:rsid w:val="00D53D3A"/>
    <w:rsid w:val="00D5689E"/>
    <w:rsid w:val="00D6296E"/>
    <w:rsid w:val="00D84A69"/>
    <w:rsid w:val="00D874A8"/>
    <w:rsid w:val="00D90BFB"/>
    <w:rsid w:val="00D97D2A"/>
    <w:rsid w:val="00DA5331"/>
    <w:rsid w:val="00DB14A3"/>
    <w:rsid w:val="00DB467F"/>
    <w:rsid w:val="00DB64DE"/>
    <w:rsid w:val="00DC41A5"/>
    <w:rsid w:val="00DD501C"/>
    <w:rsid w:val="00DF08FE"/>
    <w:rsid w:val="00DF1BBA"/>
    <w:rsid w:val="00DF28E1"/>
    <w:rsid w:val="00DF34A6"/>
    <w:rsid w:val="00DF5328"/>
    <w:rsid w:val="00DF5BC6"/>
    <w:rsid w:val="00DF7941"/>
    <w:rsid w:val="00E0097B"/>
    <w:rsid w:val="00E014E8"/>
    <w:rsid w:val="00E02AD9"/>
    <w:rsid w:val="00E05C41"/>
    <w:rsid w:val="00E14F20"/>
    <w:rsid w:val="00E15EC7"/>
    <w:rsid w:val="00E17570"/>
    <w:rsid w:val="00E26557"/>
    <w:rsid w:val="00E317BB"/>
    <w:rsid w:val="00E349C6"/>
    <w:rsid w:val="00E35A66"/>
    <w:rsid w:val="00E366F8"/>
    <w:rsid w:val="00E403B3"/>
    <w:rsid w:val="00E45CE5"/>
    <w:rsid w:val="00E474F0"/>
    <w:rsid w:val="00E56DF8"/>
    <w:rsid w:val="00E60581"/>
    <w:rsid w:val="00E61FF3"/>
    <w:rsid w:val="00E63EBE"/>
    <w:rsid w:val="00E70239"/>
    <w:rsid w:val="00E778EE"/>
    <w:rsid w:val="00E86507"/>
    <w:rsid w:val="00E96473"/>
    <w:rsid w:val="00EA15C8"/>
    <w:rsid w:val="00EA50B5"/>
    <w:rsid w:val="00EB2515"/>
    <w:rsid w:val="00EC478C"/>
    <w:rsid w:val="00ED1118"/>
    <w:rsid w:val="00ED129D"/>
    <w:rsid w:val="00ED144D"/>
    <w:rsid w:val="00ED4D8D"/>
    <w:rsid w:val="00EF25BD"/>
    <w:rsid w:val="00EF4619"/>
    <w:rsid w:val="00EF6C37"/>
    <w:rsid w:val="00F017F9"/>
    <w:rsid w:val="00F07663"/>
    <w:rsid w:val="00F10364"/>
    <w:rsid w:val="00F10445"/>
    <w:rsid w:val="00F106CC"/>
    <w:rsid w:val="00F12EC6"/>
    <w:rsid w:val="00F14156"/>
    <w:rsid w:val="00F202FC"/>
    <w:rsid w:val="00F30060"/>
    <w:rsid w:val="00F31BCE"/>
    <w:rsid w:val="00F5111D"/>
    <w:rsid w:val="00F7119F"/>
    <w:rsid w:val="00F711F4"/>
    <w:rsid w:val="00F73871"/>
    <w:rsid w:val="00F76336"/>
    <w:rsid w:val="00F81C70"/>
    <w:rsid w:val="00F860C7"/>
    <w:rsid w:val="00F86D1C"/>
    <w:rsid w:val="00F95FA4"/>
    <w:rsid w:val="00FC41FF"/>
    <w:rsid w:val="00FD5CD0"/>
    <w:rsid w:val="00FE0176"/>
    <w:rsid w:val="00FE09DF"/>
    <w:rsid w:val="00FE31CF"/>
    <w:rsid w:val="00FE62DB"/>
    <w:rsid w:val="00FF41DA"/>
    <w:rsid w:val="00FF6AFC"/>
    <w:rsid w:val="00FF7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ED9AB"/>
  <w14:defaultImageDpi w14:val="300"/>
  <w15:docId w15:val="{DBD6C744-3061-47D3-9CD7-BD64CD5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A6CBE"/>
    <w:pPr>
      <w:tabs>
        <w:tab w:val="left" w:pos="500"/>
      </w:tabs>
      <w:spacing w:after="240"/>
      <w:ind w:left="504" w:hanging="504"/>
    </w:pPr>
  </w:style>
  <w:style w:type="character" w:styleId="Hyperlink">
    <w:name w:val="Hyperlink"/>
    <w:basedOn w:val="DefaultParagraphFont"/>
    <w:uiPriority w:val="99"/>
    <w:unhideWhenUsed/>
    <w:rsid w:val="00A22F44"/>
    <w:rPr>
      <w:color w:val="0000FF" w:themeColor="hyperlink"/>
      <w:u w:val="single"/>
    </w:rPr>
  </w:style>
  <w:style w:type="paragraph" w:styleId="ListParagraph">
    <w:name w:val="List Paragraph"/>
    <w:basedOn w:val="Normal"/>
    <w:uiPriority w:val="34"/>
    <w:qFormat/>
    <w:rsid w:val="00DB14A3"/>
    <w:pPr>
      <w:ind w:left="720"/>
      <w:contextualSpacing/>
    </w:pPr>
  </w:style>
  <w:style w:type="character" w:styleId="CommentReference">
    <w:name w:val="annotation reference"/>
    <w:basedOn w:val="DefaultParagraphFont"/>
    <w:uiPriority w:val="99"/>
    <w:semiHidden/>
    <w:unhideWhenUsed/>
    <w:rsid w:val="00C16706"/>
    <w:rPr>
      <w:sz w:val="16"/>
      <w:szCs w:val="16"/>
    </w:rPr>
  </w:style>
  <w:style w:type="paragraph" w:styleId="CommentText">
    <w:name w:val="annotation text"/>
    <w:basedOn w:val="Normal"/>
    <w:link w:val="CommentTextChar"/>
    <w:uiPriority w:val="99"/>
    <w:semiHidden/>
    <w:unhideWhenUsed/>
    <w:rsid w:val="00C16706"/>
    <w:rPr>
      <w:sz w:val="20"/>
      <w:szCs w:val="20"/>
    </w:rPr>
  </w:style>
  <w:style w:type="character" w:customStyle="1" w:styleId="CommentTextChar">
    <w:name w:val="Comment Text Char"/>
    <w:basedOn w:val="DefaultParagraphFont"/>
    <w:link w:val="CommentText"/>
    <w:uiPriority w:val="99"/>
    <w:semiHidden/>
    <w:rsid w:val="00C16706"/>
    <w:rPr>
      <w:sz w:val="20"/>
      <w:szCs w:val="20"/>
    </w:rPr>
  </w:style>
  <w:style w:type="paragraph" w:styleId="BalloonText">
    <w:name w:val="Balloon Text"/>
    <w:basedOn w:val="Normal"/>
    <w:link w:val="BalloonTextChar"/>
    <w:uiPriority w:val="99"/>
    <w:semiHidden/>
    <w:unhideWhenUsed/>
    <w:rsid w:val="00C16706"/>
    <w:rPr>
      <w:rFonts w:ascii="Lucida Grande" w:hAnsi="Lucida Grande"/>
      <w:sz w:val="18"/>
      <w:szCs w:val="18"/>
    </w:rPr>
  </w:style>
  <w:style w:type="character" w:customStyle="1" w:styleId="BalloonTextChar">
    <w:name w:val="Balloon Text Char"/>
    <w:basedOn w:val="DefaultParagraphFont"/>
    <w:link w:val="BalloonText"/>
    <w:uiPriority w:val="99"/>
    <w:semiHidden/>
    <w:rsid w:val="00C16706"/>
    <w:rPr>
      <w:rFonts w:ascii="Lucida Grande" w:hAnsi="Lucida Grande"/>
      <w:sz w:val="18"/>
      <w:szCs w:val="18"/>
    </w:rPr>
  </w:style>
  <w:style w:type="paragraph" w:styleId="FootnoteText">
    <w:name w:val="footnote text"/>
    <w:basedOn w:val="Normal"/>
    <w:link w:val="FootnoteTextChar"/>
    <w:uiPriority w:val="99"/>
    <w:unhideWhenUsed/>
    <w:rsid w:val="00D6296E"/>
    <w:rPr>
      <w:rFonts w:ascii="Times" w:hAnsi="Times"/>
    </w:rPr>
  </w:style>
  <w:style w:type="character" w:customStyle="1" w:styleId="FootnoteTextChar">
    <w:name w:val="Footnote Text Char"/>
    <w:basedOn w:val="DefaultParagraphFont"/>
    <w:link w:val="FootnoteText"/>
    <w:uiPriority w:val="99"/>
    <w:rsid w:val="00D6296E"/>
    <w:rPr>
      <w:rFonts w:ascii="Times" w:hAnsi="Times"/>
    </w:rPr>
  </w:style>
  <w:style w:type="character" w:styleId="FootnoteReference">
    <w:name w:val="footnote reference"/>
    <w:basedOn w:val="DefaultParagraphFont"/>
    <w:uiPriority w:val="99"/>
    <w:unhideWhenUsed/>
    <w:rsid w:val="00D6296E"/>
    <w:rPr>
      <w:vertAlign w:val="superscript"/>
    </w:rPr>
  </w:style>
  <w:style w:type="table" w:styleId="TableGrid">
    <w:name w:val="Table Grid"/>
    <w:basedOn w:val="TableNormal"/>
    <w:uiPriority w:val="59"/>
    <w:rsid w:val="00FE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20B6"/>
  </w:style>
  <w:style w:type="paragraph" w:styleId="CommentSubject">
    <w:name w:val="annotation subject"/>
    <w:basedOn w:val="CommentText"/>
    <w:next w:val="CommentText"/>
    <w:link w:val="CommentSubjectChar"/>
    <w:uiPriority w:val="99"/>
    <w:semiHidden/>
    <w:unhideWhenUsed/>
    <w:rsid w:val="00F017F9"/>
    <w:rPr>
      <w:b/>
      <w:bCs/>
    </w:rPr>
  </w:style>
  <w:style w:type="character" w:customStyle="1" w:styleId="CommentSubjectChar">
    <w:name w:val="Comment Subject Char"/>
    <w:basedOn w:val="CommentTextChar"/>
    <w:link w:val="CommentSubject"/>
    <w:uiPriority w:val="99"/>
    <w:semiHidden/>
    <w:rsid w:val="00F017F9"/>
    <w:rPr>
      <w:b/>
      <w:bCs/>
      <w:sz w:val="20"/>
      <w:szCs w:val="20"/>
    </w:rPr>
  </w:style>
  <w:style w:type="table" w:customStyle="1" w:styleId="TableGrid1">
    <w:name w:val="Table Grid1"/>
    <w:basedOn w:val="TableNormal"/>
    <w:next w:val="TableGrid"/>
    <w:uiPriority w:val="59"/>
    <w:rsid w:val="00E3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96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9F1D-1244-4CCE-B918-50D89924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12A77248.dotm</Template>
  <TotalTime>1</TotalTime>
  <Pages>20</Pages>
  <Words>5405</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Morse</dc:creator>
  <cp:keywords/>
  <dc:description/>
  <cp:lastModifiedBy>Morse, Nuala M. (Dr.)</cp:lastModifiedBy>
  <cp:revision>2</cp:revision>
  <cp:lastPrinted>2017-09-21T16:19:00Z</cp:lastPrinted>
  <dcterms:created xsi:type="dcterms:W3CDTF">2018-03-27T08:39:00Z</dcterms:created>
  <dcterms:modified xsi:type="dcterms:W3CDTF">2018-03-27T08:39:00Z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id="mUXqP3H3"/&gt;&lt;style id="http://www.zotero.org/styles/sage-vancouver"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value=""/&gt;&lt;/prefs&gt;&lt;/data&gt;</vt:lpwstr>
  </property>
</Properties>
</file>