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8E8E" w14:textId="1780ED32" w:rsidR="007F35EF" w:rsidRPr="009A766B" w:rsidRDefault="00F41287" w:rsidP="00BB5F50">
      <w:pPr>
        <w:rPr>
          <w:b/>
          <w:sz w:val="26"/>
          <w:szCs w:val="26"/>
        </w:rPr>
      </w:pPr>
      <w:r>
        <w:rPr>
          <w:b/>
          <w:sz w:val="26"/>
          <w:szCs w:val="26"/>
        </w:rPr>
        <w:t xml:space="preserve">Is one innovation enough? </w:t>
      </w:r>
      <w:r w:rsidR="009A766B" w:rsidRPr="009A766B">
        <w:rPr>
          <w:b/>
          <w:sz w:val="26"/>
          <w:szCs w:val="26"/>
        </w:rPr>
        <w:t>Leaders, covariation and language change</w:t>
      </w:r>
      <w:r w:rsidR="007F35EF" w:rsidRPr="001875FD">
        <w:rPr>
          <w:rStyle w:val="EndnoteReference"/>
          <w:b/>
          <w:sz w:val="26"/>
          <w:szCs w:val="26"/>
        </w:rPr>
        <w:endnoteReference w:customMarkFollows="1" w:id="1"/>
        <w:sym w:font="Symbol" w:char="F02A"/>
      </w:r>
      <w:r w:rsidR="007F35EF" w:rsidRPr="009A766B">
        <w:rPr>
          <w:b/>
          <w:sz w:val="26"/>
          <w:szCs w:val="26"/>
        </w:rPr>
        <w:t> </w:t>
      </w:r>
    </w:p>
    <w:p w14:paraId="065AC30A" w14:textId="77777777" w:rsidR="007F35EF" w:rsidRDefault="007F35EF" w:rsidP="00BB5F50">
      <w:pPr>
        <w:rPr>
          <w:i/>
          <w:sz w:val="26"/>
          <w:szCs w:val="26"/>
        </w:rPr>
      </w:pPr>
    </w:p>
    <w:p w14:paraId="67AD77B0" w14:textId="77777777" w:rsidR="007F35EF" w:rsidRPr="00B33D9C" w:rsidRDefault="007F35EF" w:rsidP="00BB5F50">
      <w:pPr>
        <w:rPr>
          <w:i/>
          <w:sz w:val="26"/>
          <w:szCs w:val="26"/>
        </w:rPr>
      </w:pPr>
      <w:r w:rsidRPr="00B33D9C">
        <w:rPr>
          <w:i/>
          <w:sz w:val="26"/>
          <w:szCs w:val="26"/>
        </w:rPr>
        <w:t xml:space="preserve">Cathleen Waters </w:t>
      </w:r>
    </w:p>
    <w:p w14:paraId="04D599CC" w14:textId="77777777" w:rsidR="007F35EF" w:rsidRDefault="007F35EF" w:rsidP="00BB5F50">
      <w:pPr>
        <w:rPr>
          <w:sz w:val="26"/>
          <w:szCs w:val="26"/>
        </w:rPr>
      </w:pPr>
      <w:r>
        <w:rPr>
          <w:sz w:val="26"/>
          <w:szCs w:val="26"/>
        </w:rPr>
        <w:t>University of Leicester, UK</w:t>
      </w:r>
    </w:p>
    <w:p w14:paraId="1179C815" w14:textId="77777777" w:rsidR="007F35EF" w:rsidRPr="00B33D9C" w:rsidRDefault="007F35EF" w:rsidP="00BB5F50">
      <w:pPr>
        <w:rPr>
          <w:i/>
          <w:sz w:val="26"/>
          <w:szCs w:val="26"/>
        </w:rPr>
      </w:pPr>
      <w:r w:rsidRPr="00B33D9C">
        <w:rPr>
          <w:i/>
          <w:sz w:val="26"/>
          <w:szCs w:val="26"/>
        </w:rPr>
        <w:t>Sali A. Tagliamonte</w:t>
      </w:r>
    </w:p>
    <w:p w14:paraId="07FD7E1C" w14:textId="77777777" w:rsidR="007F35EF" w:rsidRDefault="007F35EF" w:rsidP="00BB5F50">
      <w:pPr>
        <w:rPr>
          <w:sz w:val="26"/>
          <w:szCs w:val="26"/>
        </w:rPr>
      </w:pPr>
      <w:r>
        <w:rPr>
          <w:sz w:val="26"/>
          <w:szCs w:val="26"/>
        </w:rPr>
        <w:t>University of Toronto, Cda</w:t>
      </w:r>
    </w:p>
    <w:p w14:paraId="22DBBFA8" w14:textId="77777777" w:rsidR="007F35EF" w:rsidRPr="00B33D9C" w:rsidRDefault="007F35EF" w:rsidP="00BB5F50">
      <w:pPr>
        <w:rPr>
          <w:sz w:val="26"/>
          <w:szCs w:val="26"/>
        </w:rPr>
      </w:pPr>
    </w:p>
    <w:p w14:paraId="63544E72" w14:textId="77777777" w:rsidR="007F35EF" w:rsidRDefault="007F35EF" w:rsidP="00BB5F50">
      <w:pPr>
        <w:rPr>
          <w:bCs/>
        </w:rPr>
      </w:pPr>
      <w:r>
        <w:rPr>
          <w:bCs/>
        </w:rPr>
        <w:t xml:space="preserve">Abstract: </w:t>
      </w:r>
    </w:p>
    <w:p w14:paraId="54FAEBFB" w14:textId="3C4A12C4" w:rsidR="007F35EF" w:rsidRDefault="007F35EF" w:rsidP="005B2D15">
      <w:r>
        <w:rPr>
          <w:bCs/>
        </w:rPr>
        <w:t xml:space="preserve">Do the people who lead in one linguistic change, lead in others? </w:t>
      </w:r>
      <w:r w:rsidR="00546235">
        <w:rPr>
          <w:bCs/>
        </w:rPr>
        <w:t>Previous work has sugg</w:t>
      </w:r>
      <w:r w:rsidR="004A32EB">
        <w:rPr>
          <w:bCs/>
        </w:rPr>
        <w:t>ested that they do not, but the</w:t>
      </w:r>
      <w:r w:rsidR="00546235">
        <w:rPr>
          <w:bCs/>
        </w:rPr>
        <w:t xml:space="preserve"> </w:t>
      </w:r>
      <w:r w:rsidR="00DF386B">
        <w:rPr>
          <w:bCs/>
        </w:rPr>
        <w:t>topic</w:t>
      </w:r>
      <w:r w:rsidR="00546235">
        <w:rPr>
          <w:bCs/>
        </w:rPr>
        <w:t xml:space="preserve"> has not been addressed extensively with non-phonological, spoken data. </w:t>
      </w:r>
      <w:r>
        <w:rPr>
          <w:bCs/>
        </w:rPr>
        <w:t>In this paper, we</w:t>
      </w:r>
      <w:r>
        <w:t xml:space="preserve"> answer this question through an examination of </w:t>
      </w:r>
      <w:r w:rsidRPr="00B77653">
        <w:t xml:space="preserve">lexical, morphosyntactic and discourse-pragmatic changes in progress </w:t>
      </w:r>
      <w:r>
        <w:t>in Canadian English as spoken in the largest urban center</w:t>
      </w:r>
      <w:r w:rsidR="002D18F4">
        <w:t xml:space="preserve"> of the country</w:t>
      </w:r>
      <w:r>
        <w:t>, Toronto. Close scrutiny of the</w:t>
      </w:r>
      <w:r>
        <w:rPr>
          <w:bCs/>
        </w:rPr>
        <w:t xml:space="preserve"> behavio</w:t>
      </w:r>
      <w:r w:rsidRPr="00B77653">
        <w:rPr>
          <w:bCs/>
        </w:rPr>
        <w:t xml:space="preserve">r </w:t>
      </w:r>
      <w:r>
        <w:rPr>
          <w:bCs/>
        </w:rPr>
        <w:t>of</w:t>
      </w:r>
      <w:r w:rsidRPr="00B77653">
        <w:rPr>
          <w:bCs/>
        </w:rPr>
        <w:t xml:space="preserve"> individuals</w:t>
      </w:r>
      <w:r>
        <w:rPr>
          <w:bCs/>
        </w:rPr>
        <w:t xml:space="preserve"> </w:t>
      </w:r>
      <w:r w:rsidRPr="00B77653">
        <w:rPr>
          <w:bCs/>
        </w:rPr>
        <w:t xml:space="preserve">across multiple linguistic </w:t>
      </w:r>
      <w:r w:rsidRPr="00F6584D">
        <w:rPr>
          <w:bCs/>
        </w:rPr>
        <w:t>variables,</w:t>
      </w:r>
      <w:r w:rsidR="00E856E5">
        <w:rPr>
          <w:bCs/>
        </w:rPr>
        <w:t xml:space="preserve"> i.e. covariation</w:t>
      </w:r>
      <w:r w:rsidR="002B72B6">
        <w:rPr>
          <w:bCs/>
          <w:smallCaps/>
        </w:rPr>
        <w:t>,</w:t>
      </w:r>
      <w:r w:rsidR="00E856E5">
        <w:rPr>
          <w:bCs/>
          <w:smallCaps/>
        </w:rPr>
        <w:t xml:space="preserve"> </w:t>
      </w:r>
      <w:r w:rsidR="002B72B6">
        <w:rPr>
          <w:bCs/>
        </w:rPr>
        <w:t>and u</w:t>
      </w:r>
      <w:r>
        <w:rPr>
          <w:bCs/>
        </w:rPr>
        <w:t xml:space="preserve">sing the Pearson product-moment correlation coefficient </w:t>
      </w:r>
      <w:r>
        <w:t xml:space="preserve">enables us to test the use of incoming variants both by </w:t>
      </w:r>
      <w:r w:rsidRPr="00B77653">
        <w:t xml:space="preserve">the community </w:t>
      </w:r>
      <w:r>
        <w:t xml:space="preserve">of speakers </w:t>
      </w:r>
      <w:r w:rsidRPr="00B77653">
        <w:t>as a whole</w:t>
      </w:r>
      <w:r>
        <w:t xml:space="preserve"> and by those who are leading change. The innovative variants of quotatives, i.e. </w:t>
      </w:r>
      <w:r>
        <w:rPr>
          <w:i/>
        </w:rPr>
        <w:t>be like</w:t>
      </w:r>
      <w:r>
        <w:t xml:space="preserve">, intensifiers, i.e. </w:t>
      </w:r>
      <w:r>
        <w:rPr>
          <w:i/>
        </w:rPr>
        <w:t xml:space="preserve">really, so, </w:t>
      </w:r>
      <w:r>
        <w:t xml:space="preserve">deontic modality, i.e. </w:t>
      </w:r>
      <w:r>
        <w:rPr>
          <w:i/>
        </w:rPr>
        <w:t>have to</w:t>
      </w:r>
      <w:r>
        <w:t xml:space="preserve">, stative possession, i.e. </w:t>
      </w:r>
      <w:r>
        <w:rPr>
          <w:i/>
        </w:rPr>
        <w:t>have</w:t>
      </w:r>
      <w:r>
        <w:t xml:space="preserve"> and general extenders, i.e. </w:t>
      </w:r>
      <w:r>
        <w:rPr>
          <w:i/>
        </w:rPr>
        <w:t xml:space="preserve">and stuff, </w:t>
      </w:r>
      <w:r>
        <w:t xml:space="preserve">demonstrate </w:t>
      </w:r>
      <w:r w:rsidRPr="00B77653">
        <w:t>that</w:t>
      </w:r>
      <w:r>
        <w:t xml:space="preserve"> the </w:t>
      </w:r>
      <w:r w:rsidRPr="00B77653">
        <w:t>leaders of</w:t>
      </w:r>
      <w:r>
        <w:t xml:space="preserve"> these multiple </w:t>
      </w:r>
      <w:r w:rsidRPr="00B77653">
        <w:t>linguistic changes have common social characteristics</w:t>
      </w:r>
      <w:r>
        <w:t xml:space="preserve"> (e.g. women lead more than one change)</w:t>
      </w:r>
      <w:r w:rsidRPr="00B77653">
        <w:t xml:space="preserve">, </w:t>
      </w:r>
      <w:r>
        <w:t xml:space="preserve">but it is not the case that </w:t>
      </w:r>
      <w:r w:rsidRPr="00B77653">
        <w:t xml:space="preserve">any </w:t>
      </w:r>
      <w:r>
        <w:t>one</w:t>
      </w:r>
      <w:r w:rsidRPr="00B77653">
        <w:t xml:space="preserve"> individual in a community</w:t>
      </w:r>
      <w:r>
        <w:t xml:space="preserve"> will be</w:t>
      </w:r>
      <w:r w:rsidRPr="00B77653">
        <w:t xml:space="preserve"> at the forefront of more than one change. </w:t>
      </w:r>
      <w:r>
        <w:rPr>
          <w:bCs/>
        </w:rPr>
        <w:br w:type="page"/>
      </w:r>
      <w:r>
        <w:rPr>
          <w:bCs/>
        </w:rPr>
        <w:lastRenderedPageBreak/>
        <w:t>Th</w:t>
      </w:r>
      <w:r w:rsidRPr="00B77653">
        <w:rPr>
          <w:bCs/>
        </w:rPr>
        <w:t>e</w:t>
      </w:r>
      <w:r>
        <w:rPr>
          <w:bCs/>
        </w:rPr>
        <w:t xml:space="preserve"> study of</w:t>
      </w:r>
      <w:r>
        <w:rPr>
          <w:bCs/>
          <w:smallCaps/>
        </w:rPr>
        <w:t xml:space="preserve"> c</w:t>
      </w:r>
      <w:r w:rsidRPr="00C324EE">
        <w:rPr>
          <w:bCs/>
          <w:smallCaps/>
        </w:rPr>
        <w:t>ovariation</w:t>
      </w:r>
      <w:r>
        <w:rPr>
          <w:bCs/>
          <w:smallCaps/>
        </w:rPr>
        <w:t xml:space="preserve">, </w:t>
      </w:r>
      <w:r>
        <w:rPr>
          <w:bCs/>
        </w:rPr>
        <w:t>the degree of consistency of behavio</w:t>
      </w:r>
      <w:r w:rsidRPr="00B77653">
        <w:rPr>
          <w:bCs/>
        </w:rPr>
        <w:t xml:space="preserve">r </w:t>
      </w:r>
      <w:r>
        <w:rPr>
          <w:bCs/>
        </w:rPr>
        <w:t>by</w:t>
      </w:r>
      <w:r w:rsidRPr="00B77653">
        <w:rPr>
          <w:bCs/>
        </w:rPr>
        <w:t xml:space="preserve"> i</w:t>
      </w:r>
      <w:r>
        <w:rPr>
          <w:bCs/>
        </w:rPr>
        <w:t xml:space="preserve">ndividuals across multiple </w:t>
      </w:r>
      <w:r w:rsidRPr="00B77653">
        <w:rPr>
          <w:bCs/>
        </w:rPr>
        <w:t xml:space="preserve">linguistic </w:t>
      </w:r>
      <w:r w:rsidRPr="00F6584D">
        <w:rPr>
          <w:bCs/>
        </w:rPr>
        <w:t xml:space="preserve">variables, </w:t>
      </w:r>
      <w:r w:rsidRPr="00F6584D">
        <w:t xml:space="preserve">has received increasing interest in the past twenty years. </w:t>
      </w:r>
      <w:r>
        <w:t xml:space="preserve">Covariation </w:t>
      </w:r>
      <w:r w:rsidRPr="00F6584D">
        <w:t>h</w:t>
      </w:r>
      <w:r>
        <w:t xml:space="preserve">as been examined in a range of languages and varieties, with synchronic studies tending to focus primarily, though not exclusively, on phonetic or phonological variation and change </w:t>
      </w:r>
      <w:r w:rsidRPr="00B77653">
        <w:t xml:space="preserve">(Chambers 2009; </w:t>
      </w:r>
      <w:r>
        <w:t>Guy 2013</w:t>
      </w:r>
      <w:r w:rsidRPr="00B77653">
        <w:t>; Labov 2001; Maclagan</w:t>
      </w:r>
      <w:r>
        <w:t xml:space="preserve"> et al. </w:t>
      </w:r>
      <w:r w:rsidRPr="00B77653">
        <w:t xml:space="preserve">1999; </w:t>
      </w:r>
      <w:r>
        <w:t xml:space="preserve">Oushiro 2016; Oushiro and Guy 2015; </w:t>
      </w:r>
      <w:r w:rsidRPr="00B77653">
        <w:t>Stuart-Smith and Timmins 2010</w:t>
      </w:r>
      <w:r>
        <w:t>; Thorburn 2014; and contributions in Hinskens and Guy 2016</w:t>
      </w:r>
      <w:r w:rsidRPr="00B77653">
        <w:t>)</w:t>
      </w:r>
      <w:r>
        <w:t xml:space="preserve">. Covariation across multiple morphosyntactic and lexical variables, including change in progress, has been examined more extensively in historical, diachronic work </w:t>
      </w:r>
      <w:r w:rsidRPr="00B77653">
        <w:t>(Nevalainen and Raumolin-Brunberg 2003; Nevalainen et al. 2011)</w:t>
      </w:r>
      <w:r>
        <w:t xml:space="preserve"> than in contemporary varieties</w:t>
      </w:r>
      <w:r w:rsidRPr="00B77653">
        <w:t xml:space="preserve">. </w:t>
      </w:r>
    </w:p>
    <w:p w14:paraId="393BDABE" w14:textId="31A2179C" w:rsidR="007F35EF" w:rsidRPr="00B77653" w:rsidRDefault="007F35EF" w:rsidP="007E3081">
      <w:pPr>
        <w:ind w:firstLine="720"/>
      </w:pPr>
      <w:r w:rsidRPr="00B77653">
        <w:t>The goal of this study</w:t>
      </w:r>
      <w:r>
        <w:t>, therefore,</w:t>
      </w:r>
      <w:r w:rsidRPr="00B77653">
        <w:t xml:space="preserve"> </w:t>
      </w:r>
      <w:r w:rsidR="007E2DDA">
        <w:t>was</w:t>
      </w:r>
      <w:r w:rsidR="007E2DDA" w:rsidRPr="00B77653">
        <w:t xml:space="preserve"> </w:t>
      </w:r>
      <w:r w:rsidRPr="00B77653">
        <w:t>to examine lexical, morphosyntactic and disco</w:t>
      </w:r>
      <w:r>
        <w:t>urse-pragmatic (henceforth, non</w:t>
      </w:r>
      <w:r w:rsidRPr="00B77653">
        <w:t>phonological)</w:t>
      </w:r>
      <w:r>
        <w:t xml:space="preserve"> </w:t>
      </w:r>
      <w:r w:rsidRPr="00B77653">
        <w:t xml:space="preserve">changes in progress </w:t>
      </w:r>
      <w:r>
        <w:t xml:space="preserve">with a synchronic corpus of </w:t>
      </w:r>
      <w:r w:rsidRPr="00B77653">
        <w:t xml:space="preserve">a variety of </w:t>
      </w:r>
      <w:r>
        <w:t>contemporary</w:t>
      </w:r>
      <w:r w:rsidRPr="00B77653">
        <w:t xml:space="preserve"> English</w:t>
      </w:r>
      <w:r>
        <w:t xml:space="preserve">. </w:t>
      </w:r>
      <w:r w:rsidR="00A50C78">
        <w:t>The data comprises</w:t>
      </w:r>
      <w:r w:rsidR="00A50C78" w:rsidRPr="00B77653">
        <w:t xml:space="preserve"> vernacular, spoken </w:t>
      </w:r>
      <w:r w:rsidR="00A50C78">
        <w:t xml:space="preserve">language and innovative uses of </w:t>
      </w:r>
      <w:r w:rsidR="00A50C78" w:rsidRPr="00B77653">
        <w:t>quotatives, intensification, general extenders, stative possession and deontic modality.</w:t>
      </w:r>
      <w:r w:rsidR="00A50C78">
        <w:t xml:space="preserve"> </w:t>
      </w:r>
      <w:r>
        <w:t>We explored co</w:t>
      </w:r>
      <w:r w:rsidRPr="00B77653">
        <w:t xml:space="preserve">variation </w:t>
      </w:r>
      <w:r>
        <w:t xml:space="preserve">in the use of incoming variants </w:t>
      </w:r>
      <w:r w:rsidRPr="00B77653">
        <w:t>in the community as a whole</w:t>
      </w:r>
      <w:r>
        <w:t>, and then focused more closely on those who are leading change</w:t>
      </w:r>
      <w:r w:rsidR="002B72B6">
        <w:t>,</w:t>
      </w:r>
      <w:r>
        <w:t xml:space="preserve"> to determine if the </w:t>
      </w:r>
      <w:r w:rsidRPr="009675EE">
        <w:t xml:space="preserve">leaders of </w:t>
      </w:r>
      <w:r>
        <w:t xml:space="preserve">one </w:t>
      </w:r>
      <w:r w:rsidRPr="009675EE">
        <w:t>change</w:t>
      </w:r>
      <w:r w:rsidRPr="00C64C8C">
        <w:t xml:space="preserve"> are the leaders of multiple </w:t>
      </w:r>
      <w:r w:rsidRPr="009675EE">
        <w:t>changes</w:t>
      </w:r>
      <w:r w:rsidRPr="00C64C8C">
        <w:t>.</w:t>
      </w:r>
      <w:r>
        <w:t xml:space="preserve"> We assess</w:t>
      </w:r>
      <w:r w:rsidR="00A50C78">
        <w:t>ed</w:t>
      </w:r>
      <w:r>
        <w:t xml:space="preserve"> leadership in a change based on the frequency of incoming variants out of the total number of variants used for the same meaning. </w:t>
      </w:r>
      <w:r w:rsidRPr="00B77653">
        <w:t xml:space="preserve">As we will demonstrate, </w:t>
      </w:r>
      <w:r w:rsidR="004A32EB">
        <w:t>our findings are consistent with historical studies</w:t>
      </w:r>
      <w:r w:rsidR="002B72B6">
        <w:t xml:space="preserve"> of nonphonological changes</w:t>
      </w:r>
      <w:r w:rsidR="004A32EB">
        <w:t xml:space="preserve"> and </w:t>
      </w:r>
      <w:r w:rsidR="00DD3451">
        <w:t>contemporary</w:t>
      </w:r>
      <w:r w:rsidR="004A32EB">
        <w:t xml:space="preserve"> phonological changes</w:t>
      </w:r>
      <w:r w:rsidR="00A50C78">
        <w:t>, namely, that there is</w:t>
      </w:r>
      <w:r w:rsidR="00DA2658">
        <w:t xml:space="preserve"> </w:t>
      </w:r>
      <w:r w:rsidRPr="00B77653">
        <w:t xml:space="preserve">little correlation </w:t>
      </w:r>
      <w:r>
        <w:t>among</w:t>
      </w:r>
      <w:r w:rsidRPr="00B77653">
        <w:t xml:space="preserve"> the innovative forms in the community as a whole, </w:t>
      </w:r>
      <w:r>
        <w:t xml:space="preserve">and </w:t>
      </w:r>
      <w:r w:rsidRPr="00B77653">
        <w:t xml:space="preserve">even less correlation among the leaders. Drawing </w:t>
      </w:r>
      <w:r>
        <w:t xml:space="preserve">on </w:t>
      </w:r>
      <w:r w:rsidR="00F770DF">
        <w:t xml:space="preserve">previous </w:t>
      </w:r>
      <w:r w:rsidR="0040324B">
        <w:t xml:space="preserve">quantitative </w:t>
      </w:r>
      <w:r w:rsidRPr="00B77653">
        <w:t>studies</w:t>
      </w:r>
      <w:r w:rsidR="0040324B">
        <w:t xml:space="preserve"> of covariation</w:t>
      </w:r>
      <w:r w:rsidR="00F770DF">
        <w:t xml:space="preserve"> and</w:t>
      </w:r>
      <w:r w:rsidRPr="00B77653">
        <w:t xml:space="preserve"> </w:t>
      </w:r>
      <w:r w:rsidR="00F770DF">
        <w:t xml:space="preserve">our own results and analysis </w:t>
      </w:r>
      <w:r w:rsidRPr="00B77653">
        <w:t>we will argue that, a</w:t>
      </w:r>
      <w:r>
        <w:t>lthough the leaders of these multiple non</w:t>
      </w:r>
      <w:r w:rsidRPr="00B77653">
        <w:t xml:space="preserve">phonological linguistic changes </w:t>
      </w:r>
      <w:r>
        <w:t xml:space="preserve">may </w:t>
      </w:r>
      <w:r w:rsidRPr="00B77653">
        <w:t>have common social characteristics</w:t>
      </w:r>
      <w:r>
        <w:t xml:space="preserve"> (e.g. women may lead change)</w:t>
      </w:r>
      <w:r w:rsidRPr="00B77653">
        <w:t xml:space="preserve">, any </w:t>
      </w:r>
      <w:r>
        <w:t>one</w:t>
      </w:r>
      <w:r w:rsidRPr="00B77653">
        <w:t xml:space="preserve"> individual is unlikely to be at the forefront of more than one change. </w:t>
      </w:r>
    </w:p>
    <w:p w14:paraId="48438DB4" w14:textId="5AFB0339" w:rsidR="007F35EF" w:rsidRPr="00B77653" w:rsidRDefault="007F35EF" w:rsidP="00FE3A44">
      <w:r w:rsidRPr="00B77653">
        <w:tab/>
        <w:t>The paper is organi</w:t>
      </w:r>
      <w:r>
        <w:t>z</w:t>
      </w:r>
      <w:r w:rsidRPr="00B77653">
        <w:t xml:space="preserve">ed as follows. In the next section, </w:t>
      </w:r>
      <w:r>
        <w:t xml:space="preserve">we </w:t>
      </w:r>
      <w:r w:rsidRPr="00B77653">
        <w:t>discuss</w:t>
      </w:r>
      <w:r>
        <w:t xml:space="preserve"> stages of change and categories of </w:t>
      </w:r>
      <w:r w:rsidRPr="00B77653">
        <w:t>individuals</w:t>
      </w:r>
      <w:r>
        <w:t xml:space="preserve"> during change</w:t>
      </w:r>
      <w:r w:rsidRPr="00B77653">
        <w:t xml:space="preserve">, </w:t>
      </w:r>
      <w:r>
        <w:t>including</w:t>
      </w:r>
      <w:r w:rsidRPr="00B77653">
        <w:t xml:space="preserve"> some ideas from diffusion theory</w:t>
      </w:r>
      <w:r>
        <w:rPr>
          <w:rStyle w:val="EndnoteReference"/>
        </w:rPr>
        <w:endnoteReference w:id="2"/>
      </w:r>
      <w:r w:rsidRPr="00B77653">
        <w:t xml:space="preserve"> </w:t>
      </w:r>
      <w:r>
        <w:t>(</w:t>
      </w:r>
      <w:r w:rsidRPr="00B77653">
        <w:t>Rogers 2003</w:t>
      </w:r>
      <w:r>
        <w:t>) that were central to our conceptualization of leaders</w:t>
      </w:r>
      <w:r w:rsidRPr="00B77653">
        <w:t xml:space="preserve">. </w:t>
      </w:r>
      <w:r>
        <w:t xml:space="preserve">We then present an overview of </w:t>
      </w:r>
      <w:r w:rsidR="00F770DF">
        <w:t xml:space="preserve">the literature </w:t>
      </w:r>
      <w:r>
        <w:t xml:space="preserve">on covariation for changes in progress. The subsequent section </w:t>
      </w:r>
      <w:r w:rsidRPr="00B77653">
        <w:t>describe</w:t>
      </w:r>
      <w:r>
        <w:t>s</w:t>
      </w:r>
      <w:r w:rsidRPr="00B77653">
        <w:t xml:space="preserve"> our</w:t>
      </w:r>
      <w:r>
        <w:t xml:space="preserve"> data</w:t>
      </w:r>
      <w:r w:rsidRPr="00B77653">
        <w:t xml:space="preserve">, the </w:t>
      </w:r>
      <w:r w:rsidR="00F770DF">
        <w:t xml:space="preserve">linguistic </w:t>
      </w:r>
      <w:r w:rsidRPr="00B77653">
        <w:t>variables in detail, and our methodology, both for determining who we categori</w:t>
      </w:r>
      <w:r>
        <w:t>z</w:t>
      </w:r>
      <w:r w:rsidRPr="00B77653">
        <w:t xml:space="preserve">ed as leaders and for </w:t>
      </w:r>
      <w:r w:rsidR="00DF386B">
        <w:t xml:space="preserve">the </w:t>
      </w:r>
      <w:r w:rsidRPr="00B77653">
        <w:t>correlation</w:t>
      </w:r>
      <w:r>
        <w:t xml:space="preserve"> calculation</w:t>
      </w:r>
      <w:r w:rsidRPr="00B77653">
        <w:t>s. The presentation of our results, first for all speakers in the study, and then only for those we i</w:t>
      </w:r>
      <w:r>
        <w:t>dentified as leaders, follows. We demonstrate extremely limited correlation in the use of more than one incoming varia</w:t>
      </w:r>
      <w:r w:rsidRPr="00B77653">
        <w:t>n</w:t>
      </w:r>
      <w:r>
        <w:t>t</w:t>
      </w:r>
      <w:r w:rsidRPr="00B77653">
        <w:t xml:space="preserve"> </w:t>
      </w:r>
      <w:r>
        <w:t xml:space="preserve">by individuals, and the correlations that we do find resist straightforward explanation, leading us to conclude that the </w:t>
      </w:r>
      <w:r w:rsidR="00A46BF1">
        <w:t xml:space="preserve">evidence from </w:t>
      </w:r>
      <w:r w:rsidR="00F770DF">
        <w:t>linguistic changes beyond phonology in contemporary,</w:t>
      </w:r>
      <w:r w:rsidR="00A46BF1">
        <w:t xml:space="preserve"> spoken language also shows that </w:t>
      </w:r>
      <w:r>
        <w:t xml:space="preserve">leaders of one change are unlikely to be the leaders of others. </w:t>
      </w:r>
    </w:p>
    <w:p w14:paraId="62A014B2" w14:textId="77777777" w:rsidR="007F35EF" w:rsidRDefault="007F35EF" w:rsidP="00675DFC">
      <w:pPr>
        <w:rPr>
          <w:b/>
        </w:rPr>
      </w:pPr>
    </w:p>
    <w:p w14:paraId="3246D67E" w14:textId="77777777" w:rsidR="007F35EF" w:rsidRDefault="007F35EF" w:rsidP="00675DFC">
      <w:pPr>
        <w:rPr>
          <w:b/>
        </w:rPr>
      </w:pPr>
      <w:r>
        <w:rPr>
          <w:b/>
        </w:rPr>
        <w:t>BACKGROUND</w:t>
      </w:r>
    </w:p>
    <w:p w14:paraId="629F73D7" w14:textId="327088B3" w:rsidR="007F35EF" w:rsidRPr="00B77653" w:rsidRDefault="007F35EF" w:rsidP="00675DFC">
      <w:r w:rsidRPr="00675DFC">
        <w:rPr>
          <w:b/>
        </w:rPr>
        <w:t>STAGES OF CHANGE</w:t>
      </w:r>
      <w:r>
        <w:rPr>
          <w:b/>
        </w:rPr>
        <w:t xml:space="preserve">. </w:t>
      </w:r>
      <w:r w:rsidRPr="00B77653">
        <w:t xml:space="preserve">Linguistic change has been described as having five stages: incipient, new and vigorous, mid-range, nearing completion, and completed (Labov 1994, 63-64, 83-84; Nevalainen and Raumolin-Brunberg 2003, 55). Similarly, and drawing from diffusion theory (Rogers 2003, 22, 267-299), speakers have been described as belonging to one of five groups: innovators, early adopters, early majority, late majority, and laggards (Stuart-Smith and Timmins 2010, 43-51). However, as </w:t>
      </w:r>
      <w:r>
        <w:t xml:space="preserve">other </w:t>
      </w:r>
      <w:r w:rsidRPr="00B77653">
        <w:t xml:space="preserve">linguists using the concepts of diffusion theory have noted (Milroy 1992, 183-184; Stuart-Smith and Timmins 2010, 45), innovations in </w:t>
      </w:r>
      <w:r>
        <w:t xml:space="preserve">language </w:t>
      </w:r>
      <w:r w:rsidRPr="00B77653">
        <w:t xml:space="preserve">are different </w:t>
      </w:r>
      <w:r>
        <w:t xml:space="preserve">from some other types of change </w:t>
      </w:r>
      <w:r w:rsidRPr="00B77653">
        <w:t>that diffusion theory seeks to explain</w:t>
      </w:r>
      <w:r>
        <w:t xml:space="preserve">, such as </w:t>
      </w:r>
      <w:r w:rsidRPr="00B77653">
        <w:t xml:space="preserve">the implementation of </w:t>
      </w:r>
      <w:r>
        <w:t>a cultural or industrial</w:t>
      </w:r>
      <w:r w:rsidRPr="00B77653">
        <w:t xml:space="preserve"> prac</w:t>
      </w:r>
      <w:r>
        <w:t>tice</w:t>
      </w:r>
      <w:r w:rsidRPr="00B77653">
        <w:t xml:space="preserve">. </w:t>
      </w:r>
      <w:r w:rsidR="0040324B">
        <w:t>As d</w:t>
      </w:r>
      <w:r w:rsidRPr="00B77653">
        <w:t>iffusion theory focuses on a binary contrast between “</w:t>
      </w:r>
      <w:r w:rsidRPr="00B77653">
        <w:rPr>
          <w:i/>
        </w:rPr>
        <w:t>adoption</w:t>
      </w:r>
      <w:r w:rsidRPr="00B77653">
        <w:t xml:space="preserve">, a decision to make full use of an innovation as the best course of action available, or </w:t>
      </w:r>
      <w:r w:rsidRPr="00B77653">
        <w:rPr>
          <w:i/>
        </w:rPr>
        <w:t>rejection</w:t>
      </w:r>
      <w:r w:rsidRPr="00B77653">
        <w:t>, a decision not to adopt an innovation”</w:t>
      </w:r>
      <w:r w:rsidRPr="00B77653">
        <w:rPr>
          <w:i/>
        </w:rPr>
        <w:t xml:space="preserve"> </w:t>
      </w:r>
      <w:r w:rsidRPr="00B77653">
        <w:t>(italics original, Rogers 2003, 21)</w:t>
      </w:r>
      <w:r w:rsidR="00A46BF1">
        <w:t>, diffusion theory</w:t>
      </w:r>
      <w:r w:rsidR="00107515">
        <w:t xml:space="preserve"> </w:t>
      </w:r>
      <w:r>
        <w:t>is an oversimplification for</w:t>
      </w:r>
      <w:r w:rsidRPr="00B77653">
        <w:t xml:space="preserve"> linguistic change</w:t>
      </w:r>
      <w:r>
        <w:t>, which</w:t>
      </w:r>
      <w:r w:rsidRPr="00B77653">
        <w:t xml:space="preserve"> is characteri</w:t>
      </w:r>
      <w:r>
        <w:t>z</w:t>
      </w:r>
      <w:r w:rsidRPr="00B77653">
        <w:t xml:space="preserve">ed by a (sometimes lengthy) </w:t>
      </w:r>
      <w:r>
        <w:t xml:space="preserve">period of variability during which </w:t>
      </w:r>
      <w:r w:rsidRPr="00B77653">
        <w:t>both an older and a newer form</w:t>
      </w:r>
      <w:r>
        <w:t xml:space="preserve"> coexist (Hopper 1991, 22). </w:t>
      </w:r>
      <w:r w:rsidRPr="00B77653">
        <w:t xml:space="preserve"> </w:t>
      </w:r>
    </w:p>
    <w:p w14:paraId="1A2BF7AB" w14:textId="78E8C15A" w:rsidR="007F35EF" w:rsidRPr="00B77653" w:rsidRDefault="007F35EF" w:rsidP="00675DFC">
      <w:pPr>
        <w:ind w:firstLine="720"/>
      </w:pPr>
      <w:r>
        <w:t>Categoriz</w:t>
      </w:r>
      <w:r w:rsidRPr="00B77653">
        <w:t xml:space="preserve">ation of individual linguistic behavior, therefore, requires a relative measure of frequency (Nevalainen et al. 2011, 5); it is necessary to consider the individual with respect to the rest of population at the same point in time. Thus, a study of how much an individual participates in an on-going change must first determine some measure relevant for </w:t>
      </w:r>
      <w:r w:rsidR="00784807">
        <w:t>study. A linguistic phenomenon undergoing change presents an ideal litmus test for such an endeavor since it can be counted and compared</w:t>
      </w:r>
      <w:r w:rsidRPr="00B77653">
        <w:t xml:space="preserve"> (e.g., second formant of a vowel, proportion of innovative to conservative features, etc.). Individuals are then assigned to categories based on these relative criteria, resulting in divisions such as leader versus laggard, high versus low rate of use, etc. (Guy 201</w:t>
      </w:r>
      <w:r>
        <w:t>3</w:t>
      </w:r>
      <w:r w:rsidRPr="00B77653">
        <w:t xml:space="preserve">, </w:t>
      </w:r>
      <w:r>
        <w:t>70</w:t>
      </w:r>
      <w:r w:rsidRPr="00B77653">
        <w:t>; Maclagan et al. 1999, 33; Nevalainen et al. 2011, 26; Stuart-Smith and Timmins 2010, 49-50</w:t>
      </w:r>
      <w:r>
        <w:t>; Thorburn 2014, 258</w:t>
      </w:r>
      <w:r w:rsidRPr="00B77653">
        <w:t xml:space="preserve">). Although five </w:t>
      </w:r>
      <w:r>
        <w:t xml:space="preserve">stages </w:t>
      </w:r>
      <w:r w:rsidRPr="00B77653">
        <w:t>of change were listed a</w:t>
      </w:r>
      <w:r>
        <w:t>bove, in practice, the categoriz</w:t>
      </w:r>
      <w:r w:rsidRPr="00B77653">
        <w:t>ation of linguistic behavior is usually operationalized into a tern</w:t>
      </w:r>
      <w:r>
        <w:t>ary system such as progressive/</w:t>
      </w:r>
      <w:r w:rsidRPr="00B77653">
        <w:t>in-between</w:t>
      </w:r>
      <w:r>
        <w:t>/</w:t>
      </w:r>
      <w:r w:rsidRPr="00B77653">
        <w:t>conservative (e.g., Nevalainen et al. 2011)</w:t>
      </w:r>
      <w:r>
        <w:t xml:space="preserve">, high/middling/low (Guy 2013) </w:t>
      </w:r>
      <w:r w:rsidRPr="00B77653">
        <w:t>or innovative</w:t>
      </w:r>
      <w:r>
        <w:t>/</w:t>
      </w:r>
      <w:r w:rsidRPr="00B77653">
        <w:t>neutral</w:t>
      </w:r>
      <w:r>
        <w:t>/c</w:t>
      </w:r>
      <w:r w:rsidRPr="00B77653">
        <w:t xml:space="preserve">onservative (e.g., Maclagan et al. 1999). </w:t>
      </w:r>
      <w:r>
        <w:t xml:space="preserve">Even with a less granular scale, it </w:t>
      </w:r>
      <w:r>
        <w:rPr>
          <w:lang w:val="en-CA"/>
        </w:rPr>
        <w:t xml:space="preserve">is not always a straightforward process </w:t>
      </w:r>
      <w:r w:rsidRPr="006A74A4">
        <w:rPr>
          <w:lang w:val="en-CA"/>
        </w:rPr>
        <w:t xml:space="preserve">to assign an individual to a group (Stuart-Smith </w:t>
      </w:r>
      <w:r>
        <w:rPr>
          <w:lang w:val="en-CA"/>
        </w:rPr>
        <w:t xml:space="preserve">and Timmins 2010, </w:t>
      </w:r>
      <w:r w:rsidRPr="006A74A4">
        <w:rPr>
          <w:lang w:val="en-CA"/>
        </w:rPr>
        <w:t>53)</w:t>
      </w:r>
      <w:r>
        <w:rPr>
          <w:lang w:val="en-CA"/>
        </w:rPr>
        <w:t xml:space="preserve">. Similar to </w:t>
      </w:r>
      <w:r w:rsidRPr="00B77653">
        <w:t>pattern</w:t>
      </w:r>
      <w:r>
        <w:t>s</w:t>
      </w:r>
      <w:r w:rsidRPr="00B77653">
        <w:t xml:space="preserve"> observed for other social and linguistic pol</w:t>
      </w:r>
      <w:r>
        <w:t>arities (e.g., formal/informal), the patterns of innovative use by</w:t>
      </w:r>
      <w:r>
        <w:rPr>
          <w:lang w:val="en-CA"/>
        </w:rPr>
        <w:t xml:space="preserve"> </w:t>
      </w:r>
      <w:r w:rsidRPr="00B77653">
        <w:t>speaker</w:t>
      </w:r>
      <w:r>
        <w:t xml:space="preserve">s participating in a linguistic change fall on a </w:t>
      </w:r>
      <w:r w:rsidRPr="00B77653">
        <w:t xml:space="preserve">continuum from innovative to </w:t>
      </w:r>
      <w:r>
        <w:t>c</w:t>
      </w:r>
      <w:r w:rsidRPr="00B77653">
        <w:t>onservative</w:t>
      </w:r>
      <w:r>
        <w:t xml:space="preserve"> with few speakers at either pole </w:t>
      </w:r>
      <w:r w:rsidRPr="00B77653">
        <w:t>(Labov 2001, 463; Nevalainen</w:t>
      </w:r>
      <w:r>
        <w:t xml:space="preserve"> et al.</w:t>
      </w:r>
      <w:r w:rsidRPr="00B77653">
        <w:t xml:space="preserve"> 2011, 1-2).</w:t>
      </w:r>
      <w:r>
        <w:t xml:space="preserve"> For our purposes, we established a binary division of leaders versus all others. We describe the process for that categorization in the Data, Variables and Methods section below. </w:t>
      </w:r>
    </w:p>
    <w:p w14:paraId="23C91890" w14:textId="77777777" w:rsidR="007F35EF" w:rsidRDefault="007F35EF" w:rsidP="00FE3A44">
      <w:pPr>
        <w:rPr>
          <w:b/>
        </w:rPr>
      </w:pPr>
    </w:p>
    <w:p w14:paraId="74C0240D" w14:textId="3D979297" w:rsidR="007F35EF" w:rsidRPr="00AF6EBF" w:rsidRDefault="007F35EF" w:rsidP="00DF09C4">
      <w:pPr>
        <w:rPr>
          <w:bCs/>
          <w:highlight w:val="yellow"/>
        </w:rPr>
      </w:pPr>
      <w:r>
        <w:rPr>
          <w:b/>
        </w:rPr>
        <w:t xml:space="preserve">COVARIATION OF INNOVATIVE FORMS. </w:t>
      </w:r>
      <w:r>
        <w:t>There is some limited evidence for</w:t>
      </w:r>
      <w:r w:rsidRPr="00B77653">
        <w:t xml:space="preserve"> covariation</w:t>
      </w:r>
      <w:r>
        <w:t xml:space="preserve"> of incoming forms with </w:t>
      </w:r>
      <w:r w:rsidRPr="00B77653">
        <w:t>phonological</w:t>
      </w:r>
      <w:r>
        <w:t xml:space="preserve"> change.</w:t>
      </w:r>
      <w:r>
        <w:rPr>
          <w:rStyle w:val="EndnoteReference"/>
        </w:rPr>
        <w:endnoteReference w:id="3"/>
      </w:r>
      <w:r>
        <w:t xml:space="preserve"> </w:t>
      </w:r>
      <w:r w:rsidRPr="00B77653">
        <w:t xml:space="preserve"> For instance, </w:t>
      </w:r>
      <w:r w:rsidRPr="00AF6EBF">
        <w:t xml:space="preserve">Labov (2001, 371-373) calculated </w:t>
      </w:r>
      <w:r>
        <w:t xml:space="preserve">correlations by using Pearson’s correlation coefficient (a.k.a. Pearson’s </w:t>
      </w:r>
      <w:r w:rsidRPr="00A35920">
        <w:rPr>
          <w:i/>
        </w:rPr>
        <w:t>r</w:t>
      </w:r>
      <w:r>
        <w:t>), a measurement of linear relationship between two variables</w:t>
      </w:r>
      <w:r w:rsidR="00784807">
        <w:t>,</w:t>
      </w:r>
      <w:r>
        <w:t xml:space="preserve"> </w:t>
      </w:r>
      <w:r w:rsidRPr="00AF6EBF">
        <w:t xml:space="preserve">for 86 individuals in Philadelphia </w:t>
      </w:r>
      <w:r w:rsidR="00784807">
        <w:t>focusing on</w:t>
      </w:r>
      <w:r w:rsidR="00784807" w:rsidRPr="00AF6EBF">
        <w:t xml:space="preserve"> </w:t>
      </w:r>
      <w:r w:rsidRPr="00AF6EBF">
        <w:t>phonological changes in</w:t>
      </w:r>
      <w:r>
        <w:rPr>
          <w:bCs/>
        </w:rPr>
        <w:t xml:space="preserve"> progress</w:t>
      </w:r>
      <w:r w:rsidRPr="00B77653">
        <w:rPr>
          <w:bCs/>
        </w:rPr>
        <w:t xml:space="preserve">. Some changes were highly correlated with each other (Pearson’s </w:t>
      </w:r>
      <w:r w:rsidRPr="00B77653">
        <w:rPr>
          <w:bCs/>
          <w:i/>
        </w:rPr>
        <w:t>r</w:t>
      </w:r>
      <w:r w:rsidRPr="00B77653">
        <w:rPr>
          <w:bCs/>
        </w:rPr>
        <w:t xml:space="preserve"> greater than </w:t>
      </w:r>
      <w:r>
        <w:rPr>
          <w:bCs/>
        </w:rPr>
        <w:t>0</w:t>
      </w:r>
      <w:r w:rsidRPr="00B77653">
        <w:rPr>
          <w:bCs/>
        </w:rPr>
        <w:t>.6)</w:t>
      </w:r>
      <w:r>
        <w:rPr>
          <w:bCs/>
        </w:rPr>
        <w:t xml:space="preserve"> while other changes</w:t>
      </w:r>
      <w:r w:rsidRPr="00B77653">
        <w:rPr>
          <w:bCs/>
        </w:rPr>
        <w:t xml:space="preserve"> showed no significant correlations.</w:t>
      </w:r>
      <w:r>
        <w:rPr>
          <w:bCs/>
        </w:rPr>
        <w:t xml:space="preserve"> Similarly, i</w:t>
      </w:r>
      <w:r w:rsidRPr="00B77653">
        <w:t>n a study of phonological change</w:t>
      </w:r>
      <w:r>
        <w:t xml:space="preserve"> in New Zealand English</w:t>
      </w:r>
      <w:r w:rsidRPr="00B77653">
        <w:t>, Maclagan et al. (1999) contrasted</w:t>
      </w:r>
      <w:r>
        <w:t xml:space="preserve"> the behavior</w:t>
      </w:r>
      <w:r w:rsidRPr="00B77653">
        <w:t xml:space="preserve"> of over two hundred individuals across five </w:t>
      </w:r>
      <w:r>
        <w:t xml:space="preserve">phonological </w:t>
      </w:r>
      <w:r w:rsidRPr="00B77653">
        <w:t xml:space="preserve">features (three front vowels </w:t>
      </w:r>
      <w:r w:rsidR="00784807">
        <w:t>and</w:t>
      </w:r>
      <w:r w:rsidR="00784807" w:rsidRPr="00B77653">
        <w:t xml:space="preserve"> </w:t>
      </w:r>
      <w:r w:rsidRPr="00B77653">
        <w:t>two diphthongs)</w:t>
      </w:r>
      <w:r>
        <w:t>, and examined the behavio</w:t>
      </w:r>
      <w:r w:rsidRPr="00B77653">
        <w:t>r of the leaders</w:t>
      </w:r>
      <w:r>
        <w:t xml:space="preserve"> of change</w:t>
      </w:r>
      <w:r w:rsidRPr="00B77653">
        <w:t xml:space="preserve"> more closely. Across their data, some individuals were consistently innovative, some were consistently conservative, and some indiv</w:t>
      </w:r>
      <w:r>
        <w:t>iduals exhibited conservative behavio</w:t>
      </w:r>
      <w:r w:rsidRPr="00B77653">
        <w:t>r for one set of features and</w:t>
      </w:r>
      <w:r>
        <w:t xml:space="preserve"> innovative behavio</w:t>
      </w:r>
      <w:r w:rsidRPr="00B77653">
        <w:t xml:space="preserve">r for the other (Maclagan et al. 1999, 34). </w:t>
      </w:r>
    </w:p>
    <w:p w14:paraId="0A33FB77" w14:textId="5FD81414" w:rsidR="007F35EF" w:rsidRDefault="007F35EF" w:rsidP="00B8264A">
      <w:pPr>
        <w:ind w:firstLine="720"/>
      </w:pPr>
      <w:r>
        <w:rPr>
          <w:bCs/>
        </w:rPr>
        <w:t xml:space="preserve">Thus, </w:t>
      </w:r>
      <w:r w:rsidRPr="00B77653">
        <w:t>an individual’s use of an innovative (or conservative) variant for one phonological change in a community may</w:t>
      </w:r>
      <w:r>
        <w:t>, or may not,</w:t>
      </w:r>
      <w:r w:rsidRPr="00B77653">
        <w:t xml:space="preserve"> be correlated with that speaker’s use of other innovative (or conservative) phonological form</w:t>
      </w:r>
      <w:r w:rsidR="00A46BF1">
        <w:t>s</w:t>
      </w:r>
      <w:r w:rsidRPr="00B77653">
        <w:t>. As Guy (</w:t>
      </w:r>
      <w:r>
        <w:t>2013</w:t>
      </w:r>
      <w:r w:rsidRPr="00B77653">
        <w:t>,</w:t>
      </w:r>
      <w:r>
        <w:t xml:space="preserve"> 64</w:t>
      </w:r>
      <w:r w:rsidRPr="00B77653">
        <w:t>) observed, the existence of phenomena such as chain shifts</w:t>
      </w:r>
      <w:r>
        <w:t xml:space="preserve"> implies that correlation of incoming forms must be possible in some circumstances, and thus some covariation may be structural</w:t>
      </w:r>
      <w:r w:rsidRPr="00B77653">
        <w:t>.</w:t>
      </w:r>
      <w:r>
        <w:t xml:space="preserve"> However, e</w:t>
      </w:r>
      <w:r w:rsidRPr="00B77653">
        <w:t xml:space="preserve">ven when phonological changes covary in a community, not all phonological changes are correlated (Labov 2001, 372f), and the behavior of individuals, including leaders of change, is not always consistent across </w:t>
      </w:r>
      <w:r>
        <w:t>phonological variables (Guy 2013</w:t>
      </w:r>
      <w:r w:rsidRPr="00B77653">
        <w:t>,</w:t>
      </w:r>
      <w:r>
        <w:t xml:space="preserve"> 70</w:t>
      </w:r>
      <w:r w:rsidRPr="00B77653">
        <w:t>; Maclagan</w:t>
      </w:r>
      <w:r>
        <w:t xml:space="preserve"> et al. </w:t>
      </w:r>
      <w:r w:rsidRPr="00B77653">
        <w:t xml:space="preserve">1999, 33-34; </w:t>
      </w:r>
      <w:r>
        <w:t xml:space="preserve">Oushiro and Guy 2015, 165; </w:t>
      </w:r>
      <w:r w:rsidRPr="00B77653">
        <w:t>Stuart-Smith and Timmins 2010, 49-50</w:t>
      </w:r>
      <w:r>
        <w:t>; Thorburn 2014, 263</w:t>
      </w:r>
      <w:r w:rsidRPr="00B77653">
        <w:t xml:space="preserve">). </w:t>
      </w:r>
    </w:p>
    <w:p w14:paraId="0742B7B6" w14:textId="1C0547EE" w:rsidR="007F35EF" w:rsidRPr="000A5EAD" w:rsidRDefault="007F35EF" w:rsidP="00675DFC">
      <w:pPr>
        <w:ind w:firstLine="720"/>
      </w:pPr>
      <w:r>
        <w:t xml:space="preserve">As is the case in </w:t>
      </w:r>
      <w:r w:rsidRPr="00B77653">
        <w:t xml:space="preserve">variationist work </w:t>
      </w:r>
      <w:r>
        <w:t xml:space="preserve">more </w:t>
      </w:r>
      <w:r w:rsidRPr="00B77653">
        <w:t xml:space="preserve">generally, there have been more studies </w:t>
      </w:r>
      <w:r>
        <w:t xml:space="preserve">of </w:t>
      </w:r>
      <w:r w:rsidRPr="00B77653">
        <w:t xml:space="preserve">phonological </w:t>
      </w:r>
      <w:r>
        <w:t>co</w:t>
      </w:r>
      <w:r w:rsidRPr="00B77653">
        <w:t xml:space="preserve">variation than </w:t>
      </w:r>
      <w:r>
        <w:t xml:space="preserve">covariation </w:t>
      </w:r>
      <w:r w:rsidRPr="00B77653">
        <w:t>at other levels of the grammar</w:t>
      </w:r>
      <w:r>
        <w:t xml:space="preserve">, though some previous work on the leaders of nonphonological change has been undertaken. </w:t>
      </w:r>
      <w:r w:rsidRPr="00A4578D">
        <w:t xml:space="preserve">Nevalainen et al. (2011) used historical </w:t>
      </w:r>
      <w:r>
        <w:t xml:space="preserve">written </w:t>
      </w:r>
      <w:r w:rsidRPr="00A4578D">
        <w:t xml:space="preserve">data to explore </w:t>
      </w:r>
      <w:r w:rsidRPr="00A4578D">
        <w:rPr>
          <w:bCs/>
        </w:rPr>
        <w:t>real-time</w:t>
      </w:r>
      <w:r>
        <w:rPr>
          <w:bCs/>
        </w:rPr>
        <w:t xml:space="preserve"> morphosyntactic </w:t>
      </w:r>
      <w:r w:rsidRPr="00A4578D">
        <w:t>change in English through an investigation of six changes that are no</w:t>
      </w:r>
      <w:r>
        <w:t xml:space="preserve">w completed, such as the shift in </w:t>
      </w:r>
      <w:r w:rsidRPr="00A4578D">
        <w:t xml:space="preserve">second person subject pronoun </w:t>
      </w:r>
      <w:r w:rsidRPr="00A4578D">
        <w:rPr>
          <w:i/>
        </w:rPr>
        <w:t xml:space="preserve">ye </w:t>
      </w:r>
      <w:r w:rsidRPr="00A4578D">
        <w:t xml:space="preserve">to </w:t>
      </w:r>
      <w:r w:rsidRPr="00A4578D">
        <w:rPr>
          <w:i/>
        </w:rPr>
        <w:t>you</w:t>
      </w:r>
      <w:r w:rsidRPr="00A4578D">
        <w:t xml:space="preserve"> and the change in the third person singular suffix </w:t>
      </w:r>
      <w:r>
        <w:rPr>
          <w:i/>
        </w:rPr>
        <w:t>-</w:t>
      </w:r>
      <w:r w:rsidRPr="00A4578D">
        <w:rPr>
          <w:i/>
        </w:rPr>
        <w:t xml:space="preserve">th </w:t>
      </w:r>
      <w:r w:rsidRPr="00A4578D">
        <w:t xml:space="preserve">to </w:t>
      </w:r>
      <w:r w:rsidRPr="00A4578D">
        <w:rPr>
          <w:i/>
        </w:rPr>
        <w:t>-s</w:t>
      </w:r>
      <w:r w:rsidRPr="00A4578D">
        <w:t xml:space="preserve"> (</w:t>
      </w:r>
      <w:r w:rsidRPr="00A4578D">
        <w:rPr>
          <w:i/>
        </w:rPr>
        <w:t xml:space="preserve">goeth </w:t>
      </w:r>
      <w:r w:rsidRPr="00A4578D">
        <w:t xml:space="preserve">to </w:t>
      </w:r>
      <w:r w:rsidRPr="00A4578D">
        <w:rPr>
          <w:i/>
        </w:rPr>
        <w:t>goes</w:t>
      </w:r>
      <w:r w:rsidRPr="00A4578D">
        <w:t>).</w:t>
      </w:r>
      <w:r w:rsidRPr="00B77653">
        <w:t xml:space="preserve"> Nevalainen et al. (2011, 26) sought to “focus on all the six changes simultaneously and ask whether it is possible to find people who are linguistically more progressive or conservative than others” </w:t>
      </w:r>
      <w:r w:rsidR="000D568C">
        <w:t xml:space="preserve">based on data from </w:t>
      </w:r>
      <w:r w:rsidRPr="00992E8A">
        <w:t>letters written</w:t>
      </w:r>
      <w:r w:rsidRPr="00992E8A">
        <w:rPr>
          <w:bCs/>
        </w:rPr>
        <w:t xml:space="preserve"> from </w:t>
      </w:r>
      <w:r w:rsidRPr="00992E8A">
        <w:t>1410 to 1681 (the Corpus of Early English Correspondence)</w:t>
      </w:r>
      <w:r w:rsidR="00116AF3">
        <w:t>.</w:t>
      </w:r>
      <w:r>
        <w:rPr>
          <w:rStyle w:val="EndnoteReference"/>
        </w:rPr>
        <w:endnoteReference w:id="4"/>
      </w:r>
      <w:r w:rsidRPr="00992E8A">
        <w:t xml:space="preserve"> </w:t>
      </w:r>
      <w:r w:rsidR="00116AF3">
        <w:t xml:space="preserve">Through the method of </w:t>
      </w:r>
      <w:r w:rsidRPr="00992E8A">
        <w:t>repeated sampling with replacement to estimate frequency of use, they calculated average</w:t>
      </w:r>
      <w:r w:rsidR="000D568C">
        <w:t xml:space="preserve"> usage of a variant </w:t>
      </w:r>
      <w:r w:rsidRPr="00992E8A">
        <w:t>for a given time period</w:t>
      </w:r>
      <w:r w:rsidR="003C4F88">
        <w:t xml:space="preserve"> </w:t>
      </w:r>
      <w:r w:rsidR="003C4F88" w:rsidRPr="00992E8A">
        <w:t xml:space="preserve">(Nevalainen et al. 2011, 14ff.). </w:t>
      </w:r>
      <w:r w:rsidR="003C4F88">
        <w:t>T</w:t>
      </w:r>
      <w:r w:rsidR="00116AF3">
        <w:t xml:space="preserve">hey then </w:t>
      </w:r>
      <w:r w:rsidRPr="00992E8A">
        <w:t xml:space="preserve">determined the leaders of change by comparing </w:t>
      </w:r>
      <w:r w:rsidR="000D568C">
        <w:t xml:space="preserve">the rates of </w:t>
      </w:r>
      <w:r w:rsidRPr="00992E8A">
        <w:t xml:space="preserve">individuals to the averages </w:t>
      </w:r>
      <w:r w:rsidR="003C4F88">
        <w:t xml:space="preserve">(ibid). </w:t>
      </w:r>
      <w:r w:rsidRPr="00992E8A">
        <w:t xml:space="preserve">For a subset of their data, the period of 1500 to 1619, Nevalainen et al. (2011, 36) examined the behavior </w:t>
      </w:r>
      <w:r>
        <w:t xml:space="preserve">of individuals across real-time </w:t>
      </w:r>
      <w:r w:rsidRPr="00992E8A">
        <w:t xml:space="preserve">and </w:t>
      </w:r>
      <w:r>
        <w:t>uncovered</w:t>
      </w:r>
      <w:r w:rsidRPr="00992E8A">
        <w:t xml:space="preserve"> limited consistency across variables in general</w:t>
      </w:r>
      <w:r>
        <w:t xml:space="preserve">. </w:t>
      </w:r>
      <w:r w:rsidRPr="00992E8A">
        <w:t>Nevalainen et al.</w:t>
      </w:r>
      <w:r>
        <w:t xml:space="preserve"> </w:t>
      </w:r>
      <w:r w:rsidRPr="00992E8A">
        <w:t>(</w:t>
      </w:r>
      <w:r w:rsidRPr="000A5EAD">
        <w:t>2011,</w:t>
      </w:r>
      <w:r>
        <w:rPr>
          <w:i/>
        </w:rPr>
        <w:t xml:space="preserve"> </w:t>
      </w:r>
      <w:r w:rsidRPr="000A5EAD">
        <w:t>25-27</w:t>
      </w:r>
      <w:r w:rsidRPr="00992E8A">
        <w:t>)</w:t>
      </w:r>
      <w:r>
        <w:t xml:space="preserve"> found </w:t>
      </w:r>
      <w:r w:rsidRPr="00992E8A">
        <w:t xml:space="preserve">no speaker who they categorized as “progressive” in all changes, </w:t>
      </w:r>
      <w:r>
        <w:t xml:space="preserve">and </w:t>
      </w:r>
      <w:r w:rsidRPr="00992E8A">
        <w:t>they further noted that some speakers who were categorized as progressive for some changes were conservative for others</w:t>
      </w:r>
      <w:r w:rsidRPr="000A5EAD">
        <w:t xml:space="preserve">. Nevalainen et al. (2011, 29-30) did identify two individuals that they categorized as being leaders more generally, by virtue of their higher rates of innovative forms </w:t>
      </w:r>
      <w:r>
        <w:t>in</w:t>
      </w:r>
      <w:r w:rsidRPr="000A5EAD">
        <w:t xml:space="preserve"> five of the six variables. </w:t>
      </w:r>
      <w:r>
        <w:t>As they note, however, one of these individuals was Elizabeth I, who “most likely promoted the diffusion of the variants she adopted” (</w:t>
      </w:r>
      <w:r w:rsidRPr="00992E8A">
        <w:t>Nevalainen et al.</w:t>
      </w:r>
      <w:r>
        <w:t xml:space="preserve"> 2001, 29).   </w:t>
      </w:r>
    </w:p>
    <w:p w14:paraId="258E6C6D" w14:textId="06F1AF2B" w:rsidR="007F35EF" w:rsidRPr="00B77653" w:rsidRDefault="007F35EF" w:rsidP="00675DFC">
      <w:r w:rsidRPr="000A5EAD">
        <w:rPr>
          <w:b/>
        </w:rPr>
        <w:tab/>
      </w:r>
      <w:r w:rsidRPr="000A5EAD">
        <w:t>In sum</w:t>
      </w:r>
      <w:r w:rsidRPr="00B77653">
        <w:t>mary, previous investigation into the co</w:t>
      </w:r>
      <w:r>
        <w:t>rrelation of individual behavio</w:t>
      </w:r>
      <w:r w:rsidRPr="00B77653">
        <w:t>r across variables has revealed some instances of covariation</w:t>
      </w:r>
      <w:r>
        <w:t xml:space="preserve">, </w:t>
      </w:r>
      <w:r w:rsidR="006A25AD">
        <w:t xml:space="preserve">however </w:t>
      </w:r>
      <w:r>
        <w:t>individual behavio</w:t>
      </w:r>
      <w:r w:rsidRPr="00B77653">
        <w:t xml:space="preserve">r, particularly with respect </w:t>
      </w:r>
      <w:r>
        <w:t>to nonphonological change</w:t>
      </w:r>
      <w:r w:rsidR="006A25AD">
        <w:t xml:space="preserve"> remains in question. Indeed, there are few studies that combine</w:t>
      </w:r>
      <w:r>
        <w:t xml:space="preserve"> </w:t>
      </w:r>
      <w:r w:rsidR="00DD3451">
        <w:t>contemporary</w:t>
      </w:r>
      <w:r w:rsidR="00A46BF1">
        <w:t xml:space="preserve">, spoken data </w:t>
      </w:r>
      <w:r w:rsidR="006A25AD">
        <w:t>and changes beyond phonology.  The combination of vernacular speech</w:t>
      </w:r>
      <w:r w:rsidRPr="00B77653">
        <w:t xml:space="preserve">, </w:t>
      </w:r>
      <w:r w:rsidR="006A25AD">
        <w:t xml:space="preserve">non-phonological </w:t>
      </w:r>
      <w:r w:rsidRPr="00B77653">
        <w:t xml:space="preserve">variables and </w:t>
      </w:r>
      <w:r w:rsidR="006A25AD">
        <w:t xml:space="preserve">statistical </w:t>
      </w:r>
      <w:r w:rsidRPr="00B77653">
        <w:t>method</w:t>
      </w:r>
      <w:r w:rsidR="006A25AD">
        <w:t>s</w:t>
      </w:r>
      <w:r w:rsidRPr="00B77653">
        <w:t xml:space="preserve"> </w:t>
      </w:r>
      <w:r w:rsidR="006A25AD">
        <w:t>we present in this study enable</w:t>
      </w:r>
      <w:r w:rsidR="006A25AD" w:rsidRPr="00B77653">
        <w:t xml:space="preserve"> </w:t>
      </w:r>
      <w:r w:rsidRPr="00B77653">
        <w:t xml:space="preserve">us to expand the study of covariation into new territory. </w:t>
      </w:r>
    </w:p>
    <w:p w14:paraId="63E26AFC" w14:textId="77777777" w:rsidR="007F35EF" w:rsidRPr="00B77653" w:rsidRDefault="007F35EF" w:rsidP="00675DFC"/>
    <w:p w14:paraId="002F3A24" w14:textId="77777777" w:rsidR="007F35EF" w:rsidRPr="00B77653" w:rsidRDefault="007F35EF" w:rsidP="009F0C95">
      <w:pPr>
        <w:rPr>
          <w:b/>
        </w:rPr>
      </w:pPr>
      <w:r w:rsidRPr="00B77653">
        <w:rPr>
          <w:b/>
        </w:rPr>
        <w:t>DATA</w:t>
      </w:r>
      <w:r>
        <w:rPr>
          <w:b/>
        </w:rPr>
        <w:t>, VARIABLES</w:t>
      </w:r>
      <w:r w:rsidRPr="00B77653">
        <w:rPr>
          <w:b/>
        </w:rPr>
        <w:t xml:space="preserve"> AND METHOD </w:t>
      </w:r>
    </w:p>
    <w:p w14:paraId="2ED61C78" w14:textId="1823D4A9" w:rsidR="007F35EF" w:rsidRPr="00B77653" w:rsidRDefault="007F35EF" w:rsidP="00F14FFC">
      <w:r w:rsidRPr="00B77653">
        <w:t xml:space="preserve">The data come from the two-million-word Toronto English Archive (henceforth, TEA), a sociolinguistic corpus of vernacular speech that was collected by members of the community from 2002 to 2004 and stratified by social factors (Tagliamonte </w:t>
      </w:r>
      <w:r>
        <w:t xml:space="preserve">2003-6, </w:t>
      </w:r>
      <w:r w:rsidRPr="00B77653">
        <w:t xml:space="preserve">2006). Crucially, the corpus has </w:t>
      </w:r>
      <w:r w:rsidR="0094799B">
        <w:t>sufficient</w:t>
      </w:r>
      <w:r w:rsidR="0094799B" w:rsidRPr="00B77653">
        <w:t xml:space="preserve"> </w:t>
      </w:r>
      <w:r w:rsidRPr="00B77653">
        <w:t>data to</w:t>
      </w:r>
      <w:r>
        <w:t xml:space="preserve"> adequately</w:t>
      </w:r>
      <w:r w:rsidRPr="00B77653">
        <w:t xml:space="preserve"> </w:t>
      </w:r>
      <w:r>
        <w:t>assess</w:t>
      </w:r>
      <w:r w:rsidRPr="00B77653">
        <w:t xml:space="preserve"> variability in multiple linguistic features for many speakers</w:t>
      </w:r>
      <w:r>
        <w:t>, and in some cases, many leaders</w:t>
      </w:r>
      <w:r w:rsidR="0094799B">
        <w:t>. T</w:t>
      </w:r>
      <w:r w:rsidR="002D7569">
        <w:t>he infrequent nature of mophosyntacti</w:t>
      </w:r>
      <w:r w:rsidR="004C152F">
        <w:t>c variables</w:t>
      </w:r>
      <w:r w:rsidR="002D7569">
        <w:t xml:space="preserve"> necessitated the inclusion of some individuals with a low number of tokens</w:t>
      </w:r>
      <w:r w:rsidR="004C152F">
        <w:t>, and we address our strategies for managing this below</w:t>
      </w:r>
      <w:r w:rsidRPr="00B77653">
        <w:t xml:space="preserve">. </w:t>
      </w:r>
      <w:r w:rsidR="002D7569">
        <w:t>However</w:t>
      </w:r>
      <w:r w:rsidRPr="00B77653">
        <w:t xml:space="preserve">, for each pair of variables, we were able to look at the correlation in behavior for between 30 and 84 individuals (adults) overall, though the number of individuals who could be categorized as leaders, as we discuss below, </w:t>
      </w:r>
      <w:r>
        <w:t>was dependent</w:t>
      </w:r>
      <w:r w:rsidRPr="00B77653">
        <w:t xml:space="preserve"> on the variable. </w:t>
      </w:r>
      <w:r w:rsidR="0094799B">
        <w:t>Further, we specifically chose linguistic</w:t>
      </w:r>
      <w:r w:rsidRPr="00B77653">
        <w:t xml:space="preserve"> variables </w:t>
      </w:r>
      <w:r>
        <w:t>that</w:t>
      </w:r>
      <w:r w:rsidRPr="00B77653">
        <w:t xml:space="preserve"> had previously been studied in the community because “the behavior of the individual speaker cannot be understood until the sociolinguistic pattern of the community as a whole is delineated” (Labov 1994, 33). </w:t>
      </w:r>
      <w:r w:rsidR="0094799B">
        <w:t>This strategy</w:t>
      </w:r>
      <w:r w:rsidR="0094799B" w:rsidRPr="00B77653">
        <w:t xml:space="preserve"> </w:t>
      </w:r>
      <w:r w:rsidRPr="00B77653">
        <w:t>also allow</w:t>
      </w:r>
      <w:r>
        <w:t>ed us to account for linguistic-</w:t>
      </w:r>
      <w:r w:rsidRPr="00B77653">
        <w:t xml:space="preserve">internal factors in </w:t>
      </w:r>
      <w:r>
        <w:t>our calculations of</w:t>
      </w:r>
      <w:r w:rsidRPr="00B77653">
        <w:t xml:space="preserve"> individuals’ </w:t>
      </w:r>
      <w:r>
        <w:t>propensity for use of the innovative variants</w:t>
      </w:r>
      <w:r w:rsidRPr="00B77653">
        <w:t>.</w:t>
      </w:r>
      <w:r w:rsidR="00A46BF1">
        <w:t xml:space="preserve"> </w:t>
      </w:r>
      <w:r w:rsidR="002D7569">
        <w:t xml:space="preserve">One trade-off of using this type of large sociolinguistic corpus, however, is our inability to establish </w:t>
      </w:r>
      <w:r w:rsidR="004C152F">
        <w:t xml:space="preserve">reliable information on </w:t>
      </w:r>
      <w:r w:rsidR="009265CA">
        <w:t>inde</w:t>
      </w:r>
      <w:r w:rsidR="002D7569">
        <w:t xml:space="preserve">xicality </w:t>
      </w:r>
      <w:r w:rsidR="009265CA" w:rsidRPr="004D4B7D">
        <w:t>(Eckert</w:t>
      </w:r>
      <w:r w:rsidR="009265CA">
        <w:t xml:space="preserve"> 2008</w:t>
      </w:r>
      <w:r w:rsidR="002D7569">
        <w:t xml:space="preserve">) for the variants </w:t>
      </w:r>
      <w:r w:rsidR="004C152F">
        <w:t>we examined, and we</w:t>
      </w:r>
      <w:r w:rsidR="0094799B">
        <w:t xml:space="preserve"> are</w:t>
      </w:r>
      <w:r w:rsidR="004C152F">
        <w:t xml:space="preserve"> therefore cautious in our interpretation of social meaning in our discussion.   </w:t>
      </w:r>
    </w:p>
    <w:p w14:paraId="670EF392" w14:textId="0209E43C" w:rsidR="007F35EF" w:rsidRPr="00B77653" w:rsidRDefault="0094799B" w:rsidP="00FE3A44">
      <w:pPr>
        <w:ind w:firstLine="720"/>
      </w:pPr>
      <w:r>
        <w:t>We illustrate the</w:t>
      </w:r>
      <w:r w:rsidRPr="00B77653">
        <w:t xml:space="preserve"> </w:t>
      </w:r>
      <w:r w:rsidR="007F35EF" w:rsidRPr="00B77653">
        <w:t>five</w:t>
      </w:r>
      <w:r w:rsidR="007F35EF">
        <w:t xml:space="preserve"> </w:t>
      </w:r>
      <w:r w:rsidR="007F35EF" w:rsidRPr="00B77653">
        <w:t xml:space="preserve">variables we examined </w:t>
      </w:r>
      <w:r>
        <w:t>below</w:t>
      </w:r>
      <w:r w:rsidR="007F35EF" w:rsidRPr="00B77653">
        <w:t>, with a reference to the previous stud</w:t>
      </w:r>
      <w:r>
        <w:t>y</w:t>
      </w:r>
      <w:r w:rsidR="007F35EF" w:rsidRPr="00B77653">
        <w:t xml:space="preserve"> </w:t>
      </w:r>
      <w:r>
        <w:t xml:space="preserve">of them </w:t>
      </w:r>
      <w:r w:rsidR="007F35EF" w:rsidRPr="00B77653">
        <w:t xml:space="preserve">using TEA, and </w:t>
      </w:r>
      <w:r>
        <w:t>providing</w:t>
      </w:r>
      <w:r w:rsidRPr="00B77653">
        <w:t xml:space="preserve"> </w:t>
      </w:r>
      <w:r w:rsidR="007F35EF" w:rsidRPr="00B77653">
        <w:t>examples</w:t>
      </w:r>
      <w:r w:rsidR="007F35EF">
        <w:rPr>
          <w:rStyle w:val="EndnoteReference"/>
        </w:rPr>
        <w:endnoteReference w:id="5"/>
      </w:r>
      <w:r w:rsidR="007F35EF" w:rsidRPr="00B77653">
        <w:t xml:space="preserve"> from the corpus: </w:t>
      </w:r>
    </w:p>
    <w:p w14:paraId="43A3174F" w14:textId="77777777" w:rsidR="007F35EF" w:rsidRPr="00B77653" w:rsidRDefault="007F35EF" w:rsidP="00FE3A44">
      <w:pPr>
        <w:ind w:firstLine="720"/>
      </w:pPr>
    </w:p>
    <w:p w14:paraId="62C2016C" w14:textId="77777777" w:rsidR="007F35EF" w:rsidRPr="00B77653" w:rsidRDefault="007F35EF" w:rsidP="00FE3A44">
      <w:pPr>
        <w:rPr>
          <w:iCs/>
        </w:rPr>
      </w:pPr>
      <w:r w:rsidRPr="00B77653">
        <w:t>(1) QUOTATIVES to introduce direct speech</w:t>
      </w:r>
      <w:r w:rsidRPr="00B77653">
        <w:rPr>
          <w:iCs/>
        </w:rPr>
        <w:t xml:space="preserve"> (Tagliamonte and D’Arcy 2004)</w:t>
      </w:r>
    </w:p>
    <w:p w14:paraId="47BD7043" w14:textId="77777777" w:rsidR="007F35EF" w:rsidRPr="00B77653" w:rsidRDefault="007F35EF" w:rsidP="00FE3A44">
      <w:r w:rsidRPr="00B77653">
        <w:t>a. She</w:t>
      </w:r>
      <w:r w:rsidRPr="00B77653">
        <w:rPr>
          <w:u w:val="single"/>
        </w:rPr>
        <w:t>’s like</w:t>
      </w:r>
      <w:r w:rsidRPr="00B77653">
        <w:t>, “That’s your boyfriend?” (3T)</w:t>
      </w:r>
    </w:p>
    <w:p w14:paraId="4988A6FC" w14:textId="77777777" w:rsidR="007F35EF" w:rsidRPr="00B77653" w:rsidRDefault="007F35EF" w:rsidP="00FE3A44">
      <w:r w:rsidRPr="00B77653">
        <w:t xml:space="preserve">b. And she </w:t>
      </w:r>
      <w:r w:rsidRPr="00B77653">
        <w:rPr>
          <w:u w:val="single"/>
        </w:rPr>
        <w:t>said</w:t>
      </w:r>
      <w:r w:rsidRPr="00B77653">
        <w:t>, “What are you doing?” (2e)</w:t>
      </w:r>
    </w:p>
    <w:p w14:paraId="1A7AF9ED" w14:textId="77777777" w:rsidR="007F35EF" w:rsidRPr="00B77653" w:rsidRDefault="007F35EF" w:rsidP="00FE3A44">
      <w:r w:rsidRPr="00B77653">
        <w:t xml:space="preserve">c. People will </w:t>
      </w:r>
      <w:r w:rsidRPr="00B77653">
        <w:rPr>
          <w:u w:val="single"/>
        </w:rPr>
        <w:t>think</w:t>
      </w:r>
      <w:r w:rsidRPr="00B77653">
        <w:t>, “This is a good, like, advantage.” (2n)</w:t>
      </w:r>
    </w:p>
    <w:p w14:paraId="7AD2AD8B" w14:textId="77777777" w:rsidR="007F35EF" w:rsidRPr="00B77653" w:rsidRDefault="007F35EF" w:rsidP="00FE3A44"/>
    <w:p w14:paraId="7F58B364" w14:textId="77777777" w:rsidR="007F35EF" w:rsidRPr="00B77653" w:rsidRDefault="007F35EF" w:rsidP="00FE3A44">
      <w:r w:rsidRPr="00B77653">
        <w:t>(2) INTENSIFIERS preceding adjectives (Tagliamonte 2008)</w:t>
      </w:r>
    </w:p>
    <w:p w14:paraId="08E6F3F3" w14:textId="77777777" w:rsidR="007F35EF" w:rsidRPr="00B77653" w:rsidRDefault="007F35EF" w:rsidP="00FE3A44">
      <w:r w:rsidRPr="00B77653">
        <w:t xml:space="preserve">a. My mom said that it’s </w:t>
      </w:r>
      <w:r w:rsidRPr="00B77653">
        <w:rPr>
          <w:u w:val="single"/>
        </w:rPr>
        <w:t>really</w:t>
      </w:r>
      <w:r w:rsidRPr="00B77653">
        <w:t xml:space="preserve"> dangerous for me. (I4)</w:t>
      </w:r>
    </w:p>
    <w:p w14:paraId="1F29650E" w14:textId="77777777" w:rsidR="007F35EF" w:rsidRPr="00B77653" w:rsidRDefault="007F35EF" w:rsidP="00FE3A44">
      <w:r w:rsidRPr="00B77653">
        <w:t xml:space="preserve">b. It seemed a </w:t>
      </w:r>
      <w:r w:rsidRPr="00B77653">
        <w:rPr>
          <w:u w:val="single"/>
        </w:rPr>
        <w:t>very</w:t>
      </w:r>
      <w:r w:rsidRPr="00B77653">
        <w:t xml:space="preserve"> pleasant place. (6)</w:t>
      </w:r>
    </w:p>
    <w:p w14:paraId="12169145" w14:textId="77777777" w:rsidR="007F35EF" w:rsidRPr="00B77653" w:rsidRDefault="007F35EF" w:rsidP="00FE3A44">
      <w:r w:rsidRPr="00B77653">
        <w:t xml:space="preserve">c. The guys are </w:t>
      </w:r>
      <w:r w:rsidRPr="00B77653">
        <w:rPr>
          <w:u w:val="single"/>
        </w:rPr>
        <w:t>so</w:t>
      </w:r>
      <w:r w:rsidRPr="00B77653">
        <w:t xml:space="preserve"> different! (ND)</w:t>
      </w:r>
    </w:p>
    <w:p w14:paraId="06CFCCFA" w14:textId="77777777" w:rsidR="007F35EF" w:rsidRPr="00B77653" w:rsidRDefault="007F35EF" w:rsidP="00FE3A44"/>
    <w:p w14:paraId="6CF73C2E" w14:textId="77777777" w:rsidR="007F35EF" w:rsidRPr="00B77653" w:rsidRDefault="007F35EF" w:rsidP="00FE3A44">
      <w:pPr>
        <w:rPr>
          <w:rFonts w:eastAsia="MinionPro-Regular"/>
          <w:lang w:eastAsia="en-CA"/>
        </w:rPr>
      </w:pPr>
      <w:r w:rsidRPr="00B77653">
        <w:t>(3) GENERAL EXTENDERS (Tagliamonte and Denis 2010)</w:t>
      </w:r>
    </w:p>
    <w:p w14:paraId="63CC94BD" w14:textId="77777777" w:rsidR="007F35EF" w:rsidRPr="00B77653" w:rsidRDefault="007F35EF" w:rsidP="00FE3A44">
      <w:pPr>
        <w:autoSpaceDE w:val="0"/>
        <w:autoSpaceDN w:val="0"/>
        <w:adjustRightInd w:val="0"/>
        <w:ind w:right="0"/>
        <w:rPr>
          <w:lang w:eastAsia="en-CA"/>
        </w:rPr>
      </w:pPr>
      <w:r w:rsidRPr="00B77653">
        <w:t xml:space="preserve">a. </w:t>
      </w:r>
      <w:r w:rsidRPr="00B77653">
        <w:rPr>
          <w:lang w:eastAsia="en-CA"/>
        </w:rPr>
        <w:t xml:space="preserve">I have to carry like a map around campus </w:t>
      </w:r>
      <w:r w:rsidRPr="00B77653">
        <w:rPr>
          <w:iCs/>
          <w:u w:val="single"/>
          <w:lang w:eastAsia="en-CA"/>
        </w:rPr>
        <w:t>and stuff</w:t>
      </w:r>
      <w:r w:rsidRPr="00B77653">
        <w:rPr>
          <w:i/>
          <w:iCs/>
          <w:lang w:eastAsia="en-CA"/>
        </w:rPr>
        <w:t xml:space="preserve"> </w:t>
      </w:r>
      <w:r w:rsidRPr="00B77653">
        <w:rPr>
          <w:lang w:eastAsia="en-CA"/>
        </w:rPr>
        <w:t>(4e)</w:t>
      </w:r>
    </w:p>
    <w:p w14:paraId="3A730362" w14:textId="77777777" w:rsidR="007F35EF" w:rsidRPr="00B77653" w:rsidRDefault="007F35EF" w:rsidP="00FE3A44">
      <w:pPr>
        <w:autoSpaceDE w:val="0"/>
        <w:autoSpaceDN w:val="0"/>
        <w:adjustRightInd w:val="0"/>
        <w:ind w:right="0"/>
        <w:rPr>
          <w:lang w:eastAsia="en-CA"/>
        </w:rPr>
      </w:pPr>
      <w:r w:rsidRPr="00B77653">
        <w:rPr>
          <w:lang w:eastAsia="en-CA"/>
        </w:rPr>
        <w:t xml:space="preserve">b. I heard that underneath the Taj-Mahal, they bury like the kid </w:t>
      </w:r>
      <w:r w:rsidRPr="00B77653">
        <w:rPr>
          <w:iCs/>
          <w:u w:val="single"/>
          <w:lang w:eastAsia="en-CA"/>
        </w:rPr>
        <w:t>or something</w:t>
      </w:r>
      <w:r w:rsidRPr="00B77653">
        <w:rPr>
          <w:lang w:eastAsia="en-CA"/>
        </w:rPr>
        <w:t>. (2p)</w:t>
      </w:r>
    </w:p>
    <w:p w14:paraId="69558F94" w14:textId="77777777" w:rsidR="007F35EF" w:rsidRPr="00B77653" w:rsidRDefault="007F35EF" w:rsidP="00FE3A44">
      <w:pPr>
        <w:autoSpaceDE w:val="0"/>
        <w:autoSpaceDN w:val="0"/>
        <w:adjustRightInd w:val="0"/>
        <w:ind w:right="0"/>
      </w:pPr>
      <w:r w:rsidRPr="00B77653">
        <w:rPr>
          <w:lang w:eastAsia="en-CA"/>
        </w:rPr>
        <w:t xml:space="preserve">c. … supplies </w:t>
      </w:r>
      <w:r w:rsidRPr="00B77653">
        <w:rPr>
          <w:iCs/>
          <w:u w:val="single"/>
          <w:lang w:eastAsia="en-CA"/>
        </w:rPr>
        <w:t>and things like that</w:t>
      </w:r>
      <w:r w:rsidRPr="00B77653">
        <w:rPr>
          <w:i/>
          <w:iCs/>
          <w:lang w:eastAsia="en-CA"/>
        </w:rPr>
        <w:t xml:space="preserve"> </w:t>
      </w:r>
      <w:r w:rsidRPr="00B77653">
        <w:rPr>
          <w:lang w:eastAsia="en-CA"/>
        </w:rPr>
        <w:t>(N&lt;)</w:t>
      </w:r>
    </w:p>
    <w:p w14:paraId="12721DD3" w14:textId="77777777" w:rsidR="007F35EF" w:rsidRPr="00B77653" w:rsidRDefault="007F35EF" w:rsidP="00FE3A44"/>
    <w:p w14:paraId="3EEEE133" w14:textId="77777777" w:rsidR="007F35EF" w:rsidRPr="00B77653" w:rsidRDefault="007F35EF" w:rsidP="00FE3A44">
      <w:r w:rsidRPr="00B77653">
        <w:t>(4) STATIVE POSSESSION (Tagliamonte, D’Arcy and Jankowski 2010)</w:t>
      </w:r>
    </w:p>
    <w:p w14:paraId="6D42282F" w14:textId="77777777" w:rsidR="007F35EF" w:rsidRPr="00B77653" w:rsidRDefault="007F35EF" w:rsidP="00FE3A44">
      <w:pPr>
        <w:pStyle w:val="Examples"/>
        <w:numPr>
          <w:ilvl w:val="0"/>
          <w:numId w:val="0"/>
        </w:numPr>
        <w:tabs>
          <w:tab w:val="clear" w:pos="980"/>
          <w:tab w:val="clear" w:pos="1400"/>
        </w:tabs>
        <w:spacing w:line="480" w:lineRule="auto"/>
        <w:rPr>
          <w:rFonts w:ascii="Times New Roman" w:hAnsi="Times New Roman"/>
          <w:szCs w:val="24"/>
        </w:rPr>
      </w:pPr>
      <w:r w:rsidRPr="00B77653">
        <w:rPr>
          <w:rFonts w:ascii="Times New Roman" w:hAnsi="Times New Roman"/>
          <w:szCs w:val="24"/>
        </w:rPr>
        <w:t xml:space="preserve">a. It </w:t>
      </w:r>
      <w:r w:rsidRPr="00B77653">
        <w:rPr>
          <w:rFonts w:ascii="Times New Roman" w:hAnsi="Times New Roman"/>
          <w:szCs w:val="24"/>
          <w:u w:val="single"/>
        </w:rPr>
        <w:t>has</w:t>
      </w:r>
      <w:r w:rsidRPr="00B77653">
        <w:rPr>
          <w:rFonts w:ascii="Times New Roman" w:hAnsi="Times New Roman"/>
          <w:szCs w:val="24"/>
        </w:rPr>
        <w:t xml:space="preserve"> some strength (I2)</w:t>
      </w:r>
    </w:p>
    <w:p w14:paraId="1E0C77EE" w14:textId="77777777" w:rsidR="007F35EF" w:rsidRPr="00B77653" w:rsidRDefault="007F35EF" w:rsidP="00FE3A44">
      <w:pPr>
        <w:pStyle w:val="Examples"/>
        <w:numPr>
          <w:ilvl w:val="0"/>
          <w:numId w:val="0"/>
        </w:numPr>
        <w:tabs>
          <w:tab w:val="clear" w:pos="980"/>
          <w:tab w:val="clear" w:pos="1400"/>
        </w:tabs>
        <w:spacing w:line="480" w:lineRule="auto"/>
        <w:rPr>
          <w:rFonts w:ascii="Times New Roman" w:hAnsi="Times New Roman"/>
          <w:szCs w:val="24"/>
        </w:rPr>
      </w:pPr>
      <w:r w:rsidRPr="00B77653">
        <w:rPr>
          <w:rFonts w:ascii="Times New Roman" w:hAnsi="Times New Roman"/>
          <w:szCs w:val="24"/>
        </w:rPr>
        <w:t>b. And I’</w:t>
      </w:r>
      <w:r w:rsidRPr="00B77653">
        <w:rPr>
          <w:rFonts w:ascii="Times New Roman" w:hAnsi="Times New Roman"/>
          <w:szCs w:val="24"/>
          <w:u w:val="single"/>
        </w:rPr>
        <w:t>ve got</w:t>
      </w:r>
      <w:r w:rsidRPr="00B77653">
        <w:rPr>
          <w:rFonts w:ascii="Times New Roman" w:hAnsi="Times New Roman"/>
          <w:szCs w:val="24"/>
        </w:rPr>
        <w:t xml:space="preserve"> one [kid] in my house. (NT)</w:t>
      </w:r>
    </w:p>
    <w:p w14:paraId="5F61ABD1" w14:textId="77777777" w:rsidR="007F35EF" w:rsidRPr="00B77653" w:rsidRDefault="007F35EF" w:rsidP="00FE3A44">
      <w:pPr>
        <w:pStyle w:val="Examples"/>
        <w:numPr>
          <w:ilvl w:val="0"/>
          <w:numId w:val="0"/>
        </w:numPr>
        <w:tabs>
          <w:tab w:val="clear" w:pos="980"/>
          <w:tab w:val="clear" w:pos="1400"/>
        </w:tabs>
        <w:spacing w:line="480" w:lineRule="auto"/>
        <w:rPr>
          <w:rFonts w:ascii="Times New Roman" w:hAnsi="Times New Roman"/>
          <w:szCs w:val="24"/>
        </w:rPr>
      </w:pPr>
      <w:r w:rsidRPr="00B77653">
        <w:rPr>
          <w:rFonts w:ascii="Times New Roman" w:hAnsi="Times New Roman"/>
          <w:szCs w:val="24"/>
        </w:rPr>
        <w:t xml:space="preserve">c. I </w:t>
      </w:r>
      <w:r w:rsidRPr="00B77653">
        <w:rPr>
          <w:rFonts w:ascii="Times New Roman" w:hAnsi="Times New Roman"/>
          <w:szCs w:val="24"/>
          <w:u w:val="single"/>
        </w:rPr>
        <w:t>got</w:t>
      </w:r>
      <w:r w:rsidRPr="00B77653">
        <w:rPr>
          <w:rFonts w:ascii="Times New Roman" w:hAnsi="Times New Roman"/>
          <w:szCs w:val="24"/>
        </w:rPr>
        <w:t xml:space="preserve"> a test in math and law coming up. (3m)</w:t>
      </w:r>
    </w:p>
    <w:p w14:paraId="41096045" w14:textId="77777777" w:rsidR="007F35EF" w:rsidRPr="00B77653" w:rsidRDefault="007F35EF" w:rsidP="00FE3A44">
      <w:pPr>
        <w:pStyle w:val="Examples"/>
        <w:numPr>
          <w:ilvl w:val="0"/>
          <w:numId w:val="0"/>
        </w:numPr>
        <w:tabs>
          <w:tab w:val="clear" w:pos="980"/>
          <w:tab w:val="clear" w:pos="1400"/>
        </w:tabs>
        <w:spacing w:line="480" w:lineRule="auto"/>
        <w:rPr>
          <w:rFonts w:ascii="Times New Roman" w:hAnsi="Times New Roman"/>
          <w:szCs w:val="24"/>
          <w:vertAlign w:val="superscript"/>
        </w:rPr>
      </w:pPr>
    </w:p>
    <w:p w14:paraId="1FBF0DC3" w14:textId="77777777" w:rsidR="007F35EF" w:rsidRPr="00B77653" w:rsidRDefault="007F35EF" w:rsidP="00FE3A44">
      <w:pPr>
        <w:rPr>
          <w:i/>
          <w:iCs/>
        </w:rPr>
      </w:pPr>
      <w:r w:rsidRPr="00B77653">
        <w:t xml:space="preserve">(5) DEONTIC MODALITY to express necessity or obligation (Tagliamonte and D’Arcy 2007b) </w:t>
      </w:r>
    </w:p>
    <w:p w14:paraId="7F7FAB62" w14:textId="77777777" w:rsidR="007F35EF" w:rsidRPr="00B77653" w:rsidRDefault="007F35EF" w:rsidP="00FE3A44">
      <w:pPr>
        <w:autoSpaceDE w:val="0"/>
        <w:autoSpaceDN w:val="0"/>
        <w:adjustRightInd w:val="0"/>
        <w:ind w:right="0"/>
        <w:rPr>
          <w:rFonts w:eastAsia="MinionPro-Regular"/>
          <w:lang w:eastAsia="en-CA"/>
        </w:rPr>
      </w:pPr>
      <w:r w:rsidRPr="00B77653">
        <w:t xml:space="preserve">a. </w:t>
      </w:r>
      <w:r w:rsidRPr="00B77653">
        <w:rPr>
          <w:rFonts w:eastAsia="MinionPro-Regular"/>
          <w:lang w:eastAsia="en-CA"/>
        </w:rPr>
        <w:t xml:space="preserve">Things change. And you </w:t>
      </w:r>
      <w:r w:rsidRPr="00B77653">
        <w:rPr>
          <w:rFonts w:eastAsia="MinionPro-Regular"/>
          <w:iCs/>
          <w:u w:val="single"/>
          <w:lang w:eastAsia="en-CA"/>
        </w:rPr>
        <w:t>have to</w:t>
      </w:r>
      <w:r w:rsidRPr="00B77653">
        <w:rPr>
          <w:rFonts w:eastAsia="MinionPro-Regular"/>
          <w:i/>
          <w:iCs/>
          <w:lang w:eastAsia="en-CA"/>
        </w:rPr>
        <w:t xml:space="preserve"> </w:t>
      </w:r>
      <w:r w:rsidRPr="00B77653">
        <w:rPr>
          <w:rFonts w:eastAsia="MinionPro-Regular"/>
          <w:lang w:eastAsia="en-CA"/>
        </w:rPr>
        <w:t>change with it. (Nr)</w:t>
      </w:r>
    </w:p>
    <w:p w14:paraId="5FDEBB9F" w14:textId="77777777" w:rsidR="007F35EF" w:rsidRPr="00B77653" w:rsidRDefault="007F35EF" w:rsidP="00FE3A44">
      <w:pPr>
        <w:rPr>
          <w:rFonts w:eastAsia="MinionPro-Regular"/>
          <w:lang w:eastAsia="en-CA"/>
        </w:rPr>
      </w:pPr>
      <w:r w:rsidRPr="00B77653">
        <w:t>b.</w:t>
      </w:r>
      <w:r w:rsidRPr="00B77653">
        <w:rPr>
          <w:rFonts w:eastAsia="MinionPro-Regular"/>
          <w:lang w:eastAsia="en-CA"/>
        </w:rPr>
        <w:t xml:space="preserve"> So it’s pretty understood on both sides what one </w:t>
      </w:r>
      <w:r w:rsidRPr="00B77653">
        <w:rPr>
          <w:rFonts w:eastAsia="MinionPro-Regular"/>
          <w:iCs/>
          <w:u w:val="single"/>
          <w:lang w:eastAsia="en-CA"/>
        </w:rPr>
        <w:t>must</w:t>
      </w:r>
      <w:r w:rsidRPr="00B77653">
        <w:rPr>
          <w:rFonts w:eastAsia="MinionPro-Regular"/>
          <w:iCs/>
          <w:lang w:eastAsia="en-CA"/>
        </w:rPr>
        <w:t xml:space="preserve"> </w:t>
      </w:r>
      <w:r w:rsidRPr="00B77653">
        <w:rPr>
          <w:rFonts w:eastAsia="MinionPro-Regular"/>
          <w:lang w:eastAsia="en-CA"/>
        </w:rPr>
        <w:t>do to get the</w:t>
      </w:r>
    </w:p>
    <w:p w14:paraId="7ED0A7B0" w14:textId="77777777" w:rsidR="007F35EF" w:rsidRPr="00B77653" w:rsidRDefault="007F35EF" w:rsidP="00FE3A44">
      <w:pPr>
        <w:autoSpaceDE w:val="0"/>
        <w:autoSpaceDN w:val="0"/>
        <w:adjustRightInd w:val="0"/>
        <w:ind w:right="0"/>
        <w:rPr>
          <w:rFonts w:eastAsia="MinionPro-Regular"/>
          <w:lang w:eastAsia="en-CA"/>
        </w:rPr>
      </w:pPr>
      <w:r w:rsidRPr="00B77653">
        <w:rPr>
          <w:rFonts w:eastAsia="MinionPro-Regular"/>
          <w:lang w:eastAsia="en-CA"/>
        </w:rPr>
        <w:t>other’s attention, you know. (3D)</w:t>
      </w:r>
    </w:p>
    <w:p w14:paraId="25BDFE7B" w14:textId="77777777" w:rsidR="007F35EF" w:rsidRPr="00B77653" w:rsidRDefault="007F35EF" w:rsidP="00FE3A44">
      <w:pPr>
        <w:autoSpaceDE w:val="0"/>
        <w:autoSpaceDN w:val="0"/>
        <w:adjustRightInd w:val="0"/>
        <w:ind w:right="0"/>
        <w:rPr>
          <w:rFonts w:eastAsia="MinionPro-Regular"/>
          <w:lang w:eastAsia="en-CA"/>
        </w:rPr>
      </w:pPr>
      <w:r w:rsidRPr="00B77653">
        <w:rPr>
          <w:rFonts w:eastAsia="MinionPro-Regular"/>
          <w:lang w:eastAsia="en-CA"/>
        </w:rPr>
        <w:t>c. We told her owner “You’</w:t>
      </w:r>
      <w:r w:rsidRPr="00B77653">
        <w:rPr>
          <w:rFonts w:eastAsia="MinionPro-Regular"/>
          <w:iCs/>
          <w:u w:val="single"/>
          <w:lang w:eastAsia="en-CA"/>
        </w:rPr>
        <w:t>ve got to</w:t>
      </w:r>
      <w:r w:rsidRPr="00B77653">
        <w:rPr>
          <w:rFonts w:eastAsia="MinionPro-Regular"/>
          <w:iCs/>
          <w:lang w:eastAsia="en-CA"/>
        </w:rPr>
        <w:t xml:space="preserve"> </w:t>
      </w:r>
      <w:r w:rsidRPr="00B77653">
        <w:rPr>
          <w:rFonts w:eastAsia="MinionPro-Regular"/>
          <w:lang w:eastAsia="en-CA"/>
        </w:rPr>
        <w:t>get control of that dog.” (Ir)</w:t>
      </w:r>
    </w:p>
    <w:p w14:paraId="04D86BC3" w14:textId="77777777" w:rsidR="007F35EF" w:rsidRPr="00B77653" w:rsidRDefault="007F35EF" w:rsidP="00FE3A44">
      <w:pPr>
        <w:autoSpaceDE w:val="0"/>
        <w:autoSpaceDN w:val="0"/>
        <w:adjustRightInd w:val="0"/>
        <w:ind w:right="0"/>
        <w:rPr>
          <w:rFonts w:eastAsia="MinionPro-Regular"/>
          <w:lang w:eastAsia="en-CA"/>
        </w:rPr>
      </w:pPr>
      <w:r w:rsidRPr="00B77653">
        <w:rPr>
          <w:rFonts w:eastAsia="MinionPro-Regular"/>
          <w:lang w:eastAsia="en-CA"/>
        </w:rPr>
        <w:t xml:space="preserve">d. You haven’t seen </w:t>
      </w:r>
      <w:r w:rsidRPr="008B0386">
        <w:rPr>
          <w:rFonts w:eastAsia="MinionPro-Regular"/>
          <w:i/>
          <w:lang w:eastAsia="en-CA"/>
        </w:rPr>
        <w:t>Orange County</w:t>
      </w:r>
      <w:r w:rsidRPr="00B77653">
        <w:rPr>
          <w:rFonts w:eastAsia="MinionPro-Regular"/>
          <w:lang w:eastAsia="en-CA"/>
        </w:rPr>
        <w:t xml:space="preserve">? You </w:t>
      </w:r>
      <w:r w:rsidRPr="00B77653">
        <w:rPr>
          <w:rFonts w:eastAsia="MinionPro-Regular"/>
          <w:iCs/>
          <w:u w:val="single"/>
          <w:lang w:eastAsia="en-CA"/>
        </w:rPr>
        <w:t>need to</w:t>
      </w:r>
      <w:r w:rsidRPr="00B77653">
        <w:rPr>
          <w:rFonts w:eastAsia="MinionPro-Regular"/>
          <w:i/>
          <w:iCs/>
          <w:lang w:eastAsia="en-CA"/>
        </w:rPr>
        <w:t xml:space="preserve"> </w:t>
      </w:r>
      <w:r w:rsidRPr="00B77653">
        <w:rPr>
          <w:rFonts w:eastAsia="MinionPro-Regular"/>
          <w:lang w:eastAsia="en-CA"/>
        </w:rPr>
        <w:t>see that movie. (3S)</w:t>
      </w:r>
    </w:p>
    <w:p w14:paraId="7DAAB85B" w14:textId="77777777" w:rsidR="007F35EF" w:rsidRPr="00B77653" w:rsidRDefault="007F35EF" w:rsidP="00FE3A44">
      <w:pPr>
        <w:autoSpaceDE w:val="0"/>
        <w:autoSpaceDN w:val="0"/>
        <w:adjustRightInd w:val="0"/>
        <w:ind w:right="0"/>
        <w:rPr>
          <w:rFonts w:eastAsia="MinionPro-Regular"/>
          <w:lang w:eastAsia="en-CA"/>
        </w:rPr>
      </w:pPr>
    </w:p>
    <w:p w14:paraId="63E15635" w14:textId="3122CDEA" w:rsidR="007F35EF" w:rsidRDefault="007F35EF" w:rsidP="00770A00">
      <w:r w:rsidRPr="00B77653">
        <w:t xml:space="preserve">   </w:t>
      </w:r>
      <w:r w:rsidRPr="00B77653">
        <w:tab/>
        <w:t xml:space="preserve">These </w:t>
      </w:r>
      <w:r>
        <w:t>five variables comprise</w:t>
      </w:r>
      <w:r w:rsidRPr="00B77653">
        <w:t xml:space="preserve"> lexical, morphosyntactic, and discourse-pragmatic</w:t>
      </w:r>
      <w:r>
        <w:t xml:space="preserve"> levels of the grammar. As the</w:t>
      </w:r>
      <w:r w:rsidRPr="00B77653">
        <w:t xml:space="preserve"> earlier studies </w:t>
      </w:r>
      <w:r>
        <w:t xml:space="preserve">of these variables in Toronto (cited above) </w:t>
      </w:r>
      <w:r w:rsidRPr="00B77653">
        <w:t>have shown, all five demonstrate both synchronic variability and change over apparent time in Toronto English</w:t>
      </w:r>
      <w:r w:rsidR="008B0386">
        <w:t xml:space="preserve">. </w:t>
      </w:r>
      <w:r w:rsidRPr="00B77653">
        <w:t xml:space="preserve">The next </w:t>
      </w:r>
      <w:r w:rsidR="0094799B">
        <w:t>step in our study</w:t>
      </w:r>
      <w:r w:rsidR="0094799B" w:rsidRPr="00B77653">
        <w:t xml:space="preserve"> </w:t>
      </w:r>
      <w:r w:rsidRPr="00B77653">
        <w:t xml:space="preserve">was to identify a replicable, consistent and objective criterion for determining which variant was on the leading edge of change. We </w:t>
      </w:r>
      <w:r>
        <w:t>categoriz</w:t>
      </w:r>
      <w:r w:rsidRPr="00B77653">
        <w:t>ed as “incoming” that variant which was used most commonly by speakers under the age of 30, although we also discuss some results based on alternative criteria below. Based on the previous studies</w:t>
      </w:r>
      <w:r w:rsidR="0094799B">
        <w:t xml:space="preserve"> of these features</w:t>
      </w:r>
      <w:r w:rsidRPr="00B77653">
        <w:t>, the incoming</w:t>
      </w:r>
      <w:r>
        <w:t xml:space="preserve"> variants were, q</w:t>
      </w:r>
      <w:r w:rsidRPr="00B77653">
        <w:t xml:space="preserve">uotative </w:t>
      </w:r>
      <w:r w:rsidRPr="00B77653">
        <w:rPr>
          <w:i/>
        </w:rPr>
        <w:t>be like</w:t>
      </w:r>
      <w:r>
        <w:t>, i</w:t>
      </w:r>
      <w:r w:rsidRPr="00B77653">
        <w:t xml:space="preserve">ntensifier </w:t>
      </w:r>
      <w:r w:rsidRPr="00B77653">
        <w:rPr>
          <w:i/>
        </w:rPr>
        <w:t>really</w:t>
      </w:r>
      <w:r w:rsidRPr="00B77653">
        <w:t xml:space="preserve">, </w:t>
      </w:r>
      <w:r>
        <w:t>general e</w:t>
      </w:r>
      <w:r w:rsidRPr="00B77653">
        <w:t>xtender</w:t>
      </w:r>
      <w:r>
        <w:t xml:space="preserve"> (GE)</w:t>
      </w:r>
      <w:r w:rsidRPr="00B77653">
        <w:t xml:space="preserve"> </w:t>
      </w:r>
      <w:r w:rsidRPr="00B77653">
        <w:rPr>
          <w:i/>
        </w:rPr>
        <w:t>and stuff</w:t>
      </w:r>
      <w:r w:rsidRPr="00B77653">
        <w:t xml:space="preserve">, </w:t>
      </w:r>
      <w:r>
        <w:t>s</w:t>
      </w:r>
      <w:r w:rsidRPr="00B77653">
        <w:t xml:space="preserve">tative </w:t>
      </w:r>
      <w:r w:rsidRPr="00B77653">
        <w:rPr>
          <w:i/>
        </w:rPr>
        <w:t>have</w:t>
      </w:r>
      <w:r>
        <w:t xml:space="preserve"> and d</w:t>
      </w:r>
      <w:r w:rsidRPr="00B77653">
        <w:t xml:space="preserve">eontic </w:t>
      </w:r>
      <w:r w:rsidRPr="00B77653">
        <w:rPr>
          <w:i/>
        </w:rPr>
        <w:t>have to</w:t>
      </w:r>
      <w:r w:rsidRPr="00B77653">
        <w:t xml:space="preserve">; each </w:t>
      </w:r>
      <w:r>
        <w:t xml:space="preserve">incoming form </w:t>
      </w:r>
      <w:r w:rsidRPr="00B77653">
        <w:t xml:space="preserve">is illustrated </w:t>
      </w:r>
      <w:r>
        <w:t xml:space="preserve">in the examples </w:t>
      </w:r>
      <w:r w:rsidRPr="00B77653">
        <w:t xml:space="preserve">labelled (a). </w:t>
      </w:r>
    </w:p>
    <w:p w14:paraId="3BF94C50" w14:textId="23AD3D36" w:rsidR="008B0386" w:rsidRPr="00B77653" w:rsidRDefault="008B0386" w:rsidP="008B0386">
      <w:pPr>
        <w:ind w:firstLine="720"/>
      </w:pPr>
      <w:r>
        <w:t>Although all t</w:t>
      </w:r>
      <w:r w:rsidRPr="00B77653">
        <w:t>he variables are established as changes in progress in the community</w:t>
      </w:r>
      <w:r>
        <w:t xml:space="preserve"> (Tagliamonte and D’Arcy 2009)</w:t>
      </w:r>
      <w:r w:rsidRPr="00B77653">
        <w:t>, some of the changes are long-term developments and some of them are relatively recent innovations</w:t>
      </w:r>
      <w:r>
        <w:t xml:space="preserve">. </w:t>
      </w:r>
      <w:r w:rsidR="003D5C69">
        <w:t xml:space="preserve">Quotative </w:t>
      </w:r>
      <w:r w:rsidR="003D5C69">
        <w:rPr>
          <w:i/>
        </w:rPr>
        <w:t>be like</w:t>
      </w:r>
      <w:r w:rsidR="003D5C69">
        <w:t xml:space="preserve"> is a recent innovation in Toronto (Tagliamonte and D’Arcy 2004), and, based</w:t>
      </w:r>
      <w:r>
        <w:t xml:space="preserve"> on p</w:t>
      </w:r>
      <w:r w:rsidRPr="00F71941">
        <w:t>revious</w:t>
      </w:r>
      <w:r w:rsidRPr="00B77653">
        <w:t xml:space="preserve"> work in </w:t>
      </w:r>
      <w:r>
        <w:t xml:space="preserve">the </w:t>
      </w:r>
      <w:r w:rsidRPr="00DB1F52">
        <w:t>TEA</w:t>
      </w:r>
      <w:r>
        <w:t xml:space="preserve">, we </w:t>
      </w:r>
      <w:r w:rsidR="003D5C69">
        <w:t xml:space="preserve">also </w:t>
      </w:r>
      <w:r>
        <w:t xml:space="preserve">identified </w:t>
      </w:r>
      <w:r w:rsidR="003D5C69">
        <w:t xml:space="preserve">as more recent innovations </w:t>
      </w:r>
      <w:r>
        <w:t>intensifier</w:t>
      </w:r>
      <w:r w:rsidRPr="00B77653">
        <w:t xml:space="preserve"> </w:t>
      </w:r>
      <w:r w:rsidRPr="00B77653">
        <w:rPr>
          <w:i/>
        </w:rPr>
        <w:t>really</w:t>
      </w:r>
      <w:r w:rsidRPr="00B77653">
        <w:t xml:space="preserve"> and </w:t>
      </w:r>
      <w:r>
        <w:t>GE</w:t>
      </w:r>
      <w:r w:rsidRPr="00B77653">
        <w:t xml:space="preserve"> </w:t>
      </w:r>
      <w:r w:rsidRPr="00B77653">
        <w:rPr>
          <w:i/>
        </w:rPr>
        <w:t xml:space="preserve">and stuff </w:t>
      </w:r>
      <w:r>
        <w:t xml:space="preserve">as their upward trajectory in the </w:t>
      </w:r>
      <w:r w:rsidRPr="003D5C69">
        <w:t>TEA</w:t>
      </w:r>
      <w:r>
        <w:t xml:space="preserve"> data only began in earnest with 40-60 year olds</w:t>
      </w:r>
      <w:r w:rsidRPr="00B77653">
        <w:t xml:space="preserve"> (Tagliamonte 2008, 372; Tagliamonte and Denis 2010, 358).</w:t>
      </w:r>
      <w:r w:rsidR="00EF1FB1">
        <w:t xml:space="preserve"> </w:t>
      </w:r>
      <w:r>
        <w:t>On the other hand, the preference for stative</w:t>
      </w:r>
      <w:r w:rsidRPr="00B77653">
        <w:t xml:space="preserve"> </w:t>
      </w:r>
      <w:r w:rsidRPr="00B77653">
        <w:rPr>
          <w:i/>
        </w:rPr>
        <w:t xml:space="preserve">have </w:t>
      </w:r>
      <w:r w:rsidRPr="00B77653">
        <w:t xml:space="preserve">and </w:t>
      </w:r>
      <w:r>
        <w:t>deontic</w:t>
      </w:r>
      <w:r w:rsidRPr="00B77653">
        <w:t xml:space="preserve"> </w:t>
      </w:r>
      <w:r w:rsidRPr="00B77653">
        <w:rPr>
          <w:i/>
        </w:rPr>
        <w:t>have to</w:t>
      </w:r>
      <w:r w:rsidRPr="00B77653">
        <w:t xml:space="preserve"> </w:t>
      </w:r>
      <w:r>
        <w:t xml:space="preserve">was established less recently as they </w:t>
      </w:r>
      <w:r w:rsidRPr="00B77653">
        <w:t>are</w:t>
      </w:r>
      <w:r w:rsidR="00120E54">
        <w:t xml:space="preserve"> the </w:t>
      </w:r>
      <w:r>
        <w:t>most frequent</w:t>
      </w:r>
      <w:r w:rsidR="00EF1FB1">
        <w:t>ly used</w:t>
      </w:r>
      <w:r>
        <w:t xml:space="preserve"> </w:t>
      </w:r>
      <w:r w:rsidR="00120E54">
        <w:t xml:space="preserve">variant for </w:t>
      </w:r>
      <w:r>
        <w:t xml:space="preserve">all </w:t>
      </w:r>
      <w:r w:rsidR="00120E54">
        <w:t xml:space="preserve">ages of </w:t>
      </w:r>
      <w:r w:rsidRPr="00B77653">
        <w:t>speakers</w:t>
      </w:r>
      <w:r>
        <w:t xml:space="preserve"> in Toronto</w:t>
      </w:r>
      <w:r w:rsidRPr="00B77653">
        <w:t xml:space="preserve"> (</w:t>
      </w:r>
      <w:r>
        <w:t>Tagliamonte and D’Arcy 2007b; Tagliamonte et al. 2010</w:t>
      </w:r>
      <w:r w:rsidRPr="00B77653">
        <w:t>).</w:t>
      </w:r>
      <w:r>
        <w:t xml:space="preserve"> </w:t>
      </w:r>
      <w:r w:rsidR="0094799B">
        <w:t>Despite these differences in terms of time-depth</w:t>
      </w:r>
      <w:r w:rsidR="004F6BF8">
        <w:t>,</w:t>
      </w:r>
      <w:r>
        <w:t xml:space="preserve"> as we will demonstrate, </w:t>
      </w:r>
      <w:r w:rsidR="008C7F0A">
        <w:t xml:space="preserve">recentness cannot explain the correlations we see in the data. </w:t>
      </w:r>
    </w:p>
    <w:p w14:paraId="56B518C0" w14:textId="4575D976" w:rsidR="007F35EF" w:rsidRPr="00B77653" w:rsidRDefault="007F35EF" w:rsidP="00FE3A44">
      <w:pPr>
        <w:ind w:firstLine="720"/>
      </w:pPr>
      <w:r w:rsidRPr="00B77653">
        <w:t xml:space="preserve">After establishing the incoming variant for each variable, we then determined a rate of use for each speaker across the phenomena. To do this, we </w:t>
      </w:r>
      <w:r w:rsidR="004B5A4A">
        <w:t>conducted a fixed effects logistic regression</w:t>
      </w:r>
      <w:r w:rsidR="004B5A4A" w:rsidRPr="00B77653">
        <w:t xml:space="preserve"> </w:t>
      </w:r>
      <w:r w:rsidR="004B5A4A">
        <w:t xml:space="preserve">using </w:t>
      </w:r>
      <w:r w:rsidRPr="00B77653">
        <w:t>Goldvarb X (Sankoff, Tagliamonte and Smith 2005)</w:t>
      </w:r>
      <w:r w:rsidR="004B5A4A">
        <w:t xml:space="preserve"> </w:t>
      </w:r>
      <w:r w:rsidRPr="00B77653">
        <w:t>for</w:t>
      </w:r>
      <w:r w:rsidR="004B5A4A">
        <w:t xml:space="preserve"> all</w:t>
      </w:r>
      <w:r w:rsidRPr="00B77653">
        <w:t xml:space="preserve"> the speakers who had been included in the original studies</w:t>
      </w:r>
      <w:r w:rsidR="004B5A4A">
        <w:t>.</w:t>
      </w:r>
      <w:r w:rsidRPr="00B77653">
        <w:t xml:space="preserve"> </w:t>
      </w:r>
      <w:r w:rsidR="004B5A4A">
        <w:t>W</w:t>
      </w:r>
      <w:r w:rsidR="004B5A4A" w:rsidRPr="00B77653">
        <w:t>e used the incoming variant as the application value in each case</w:t>
      </w:r>
      <w:r w:rsidR="004B5A4A">
        <w:t xml:space="preserve"> (see Guy 2013</w:t>
      </w:r>
      <w:r w:rsidR="004B5A4A" w:rsidRPr="00B77653">
        <w:t xml:space="preserve">, </w:t>
      </w:r>
      <w:r w:rsidR="004B5A4A">
        <w:t>66</w:t>
      </w:r>
      <w:r w:rsidR="004B5A4A" w:rsidRPr="00B77653">
        <w:t xml:space="preserve"> for a similar approach). </w:t>
      </w:r>
      <w:r w:rsidR="004B5A4A">
        <w:t xml:space="preserve">This provided a </w:t>
      </w:r>
      <w:r w:rsidRPr="00B77653">
        <w:t>series of individual factor weights (i.e., relative p</w:t>
      </w:r>
      <w:r>
        <w:t>robabilities, following Guy 2013</w:t>
      </w:r>
      <w:r w:rsidRPr="00B77653">
        <w:t>) to express the likelihood that an individual speaker would use a particular variant</w:t>
      </w:r>
      <w:r w:rsidR="004B5A4A">
        <w:t>.</w:t>
      </w:r>
      <w:r w:rsidRPr="00B77653">
        <w:t xml:space="preserve"> For example</w:t>
      </w:r>
      <w:r>
        <w:t>, using the data for q</w:t>
      </w:r>
      <w:r w:rsidRPr="00B77653">
        <w:t xml:space="preserve">uotatives, we calculated a factor weight for each speaker for the use of </w:t>
      </w:r>
      <w:r w:rsidRPr="00B77653">
        <w:rPr>
          <w:i/>
        </w:rPr>
        <w:t>be like</w:t>
      </w:r>
      <w:r>
        <w:t>. Then, using the data for i</w:t>
      </w:r>
      <w:r w:rsidRPr="00B77653">
        <w:t xml:space="preserve">ntensifiers, we calculated a factor weight for each speaker for </w:t>
      </w:r>
      <w:r w:rsidRPr="00B77653">
        <w:rPr>
          <w:i/>
        </w:rPr>
        <w:t>really</w:t>
      </w:r>
      <w:r w:rsidRPr="00B77653">
        <w:t xml:space="preserve">, and so on for the remaining variables.  </w:t>
      </w:r>
    </w:p>
    <w:p w14:paraId="7C83745C" w14:textId="70AACD64" w:rsidR="007F35EF" w:rsidRPr="00B77653" w:rsidRDefault="007F35EF" w:rsidP="00FE3A44">
      <w:pPr>
        <w:ind w:firstLine="720"/>
      </w:pPr>
      <w:r w:rsidRPr="00B77653">
        <w:t xml:space="preserve">In general, this approach yielded meaningful factor weight values, though it was necessary to consider two categories of exceptional cases. In the first category were the situations in which we were unable to adequately determine </w:t>
      </w:r>
      <w:r>
        <w:t>a speaker’s behavio</w:t>
      </w:r>
      <w:r w:rsidRPr="00B77653">
        <w:t xml:space="preserve">r for a particular variable. These cases arose either because we </w:t>
      </w:r>
      <w:r>
        <w:t xml:space="preserve">did not have any </w:t>
      </w:r>
      <w:r w:rsidRPr="00B77653">
        <w:t>tokens at all from a speaker for one of the variables, or because we had only a single token for a speaker for that variable. As we were unable to confidently determine an appropriate factor weight in these cases, the missing values were excluded (pair-wise) in our analysis. Thus, in the tables below, the number of matched speakers is not identical across all the variables. The second category of exceptional cases were speakers for whom we had two or more tokens but who were either categorical users (those who used only the incoming variant) or categorical non-users (those who never used the incoming variant). These speakers were assigned factor weights of 1 and 0, respectively in these cases.</w:t>
      </w:r>
      <w:r w:rsidRPr="00B77653">
        <w:rPr>
          <w:rStyle w:val="EndnoteReference"/>
        </w:rPr>
        <w:endnoteReference w:id="6"/>
      </w:r>
      <w:r w:rsidRPr="00B77653">
        <w:t xml:space="preserve"> </w:t>
      </w:r>
    </w:p>
    <w:p w14:paraId="5A13DBDD" w14:textId="2D0423E0" w:rsidR="007F35EF" w:rsidRDefault="007F35EF" w:rsidP="00451FE8">
      <w:pPr>
        <w:ind w:firstLine="720"/>
      </w:pPr>
      <w:r w:rsidRPr="00B77653">
        <w:t xml:space="preserve">Once we had a set of factor weights for the incoming variants and had matched them by speaker, we were then able to investigate patterns across variables. </w:t>
      </w:r>
      <w:r w:rsidR="008245BF">
        <w:t>Due to the fact that</w:t>
      </w:r>
      <w:r w:rsidR="008245BF" w:rsidRPr="00B77653">
        <w:t xml:space="preserve"> </w:t>
      </w:r>
      <w:r w:rsidR="004A32EB">
        <w:t xml:space="preserve">we were </w:t>
      </w:r>
      <w:r w:rsidR="00770A00">
        <w:t>evaluating</w:t>
      </w:r>
      <w:r w:rsidR="004A32EB">
        <w:t xml:space="preserve"> a </w:t>
      </w:r>
      <w:r w:rsidRPr="00B77653">
        <w:t xml:space="preserve">hypothesis that a leader of one change would also be a leader of other changes, we </w:t>
      </w:r>
      <w:r w:rsidR="008245BF">
        <w:t>needed</w:t>
      </w:r>
      <w:r w:rsidR="008245BF" w:rsidRPr="00B77653">
        <w:t xml:space="preserve"> </w:t>
      </w:r>
      <w:r w:rsidRPr="00B77653">
        <w:t xml:space="preserve">a statistical approach that would test a linear relationship. </w:t>
      </w:r>
      <w:r>
        <w:t xml:space="preserve">Following Labov (2001) and </w:t>
      </w:r>
      <w:r w:rsidRPr="00B77653">
        <w:t>Guy (</w:t>
      </w:r>
      <w:r>
        <w:t>2013</w:t>
      </w:r>
      <w:r w:rsidRPr="00B77653">
        <w:t>)</w:t>
      </w:r>
      <w:r>
        <w:t>, and in keeping with much other recent work in the area (see Guy and Hinskens 2016, 6 for discussion)</w:t>
      </w:r>
      <w:r w:rsidRPr="00B77653">
        <w:t xml:space="preserve">, we used the Pearson product-moment correlation coefficient (Pearson’s </w:t>
      </w:r>
      <w:r w:rsidRPr="00B77653">
        <w:rPr>
          <w:i/>
        </w:rPr>
        <w:t>r</w:t>
      </w:r>
      <w:r w:rsidRPr="00B77653">
        <w:t>) as our stat</w:t>
      </w:r>
      <w:r>
        <w:t xml:space="preserve">istic. Pearson’s </w:t>
      </w:r>
      <w:r>
        <w:rPr>
          <w:i/>
        </w:rPr>
        <w:t xml:space="preserve">r </w:t>
      </w:r>
      <w:r>
        <w:t>was appropriate for our data</w:t>
      </w:r>
      <w:r w:rsidRPr="00B77653">
        <w:t xml:space="preserve"> because we had multiple scores (factor weights) for each speaker, and because the Pearson statistic tests how well the data fit a linear model (values fall between minus one and positive one, with values near zero indicating no relationship). We were expecting positive values, since we </w:t>
      </w:r>
      <w:r>
        <w:t>hypothesized that</w:t>
      </w:r>
      <w:r w:rsidR="00EF1FB1">
        <w:t>, if there were a relationship between innovative forms,</w:t>
      </w:r>
      <w:r w:rsidRPr="00B77653">
        <w:t xml:space="preserve"> the use of one incoming variant to be positively correlated with another incoming variant</w:t>
      </w:r>
      <w:r w:rsidR="00EF1FB1">
        <w:t>. W</w:t>
      </w:r>
      <w:r w:rsidRPr="00B77653">
        <w:t xml:space="preserve">e </w:t>
      </w:r>
      <w:r w:rsidR="00EF1FB1">
        <w:t xml:space="preserve">therefore </w:t>
      </w:r>
      <w:r w:rsidRPr="00B77653">
        <w:t>used the one-tailed</w:t>
      </w:r>
      <w:r w:rsidRPr="00B77653">
        <w:rPr>
          <w:rStyle w:val="EndnoteReference"/>
        </w:rPr>
        <w:endnoteReference w:id="7"/>
      </w:r>
      <w:r w:rsidRPr="00B77653">
        <w:t xml:space="preserve"> significance test. Statistical tests were executed using the </w:t>
      </w:r>
      <w:r w:rsidRPr="00B77653">
        <w:rPr>
          <w:i/>
        </w:rPr>
        <w:t xml:space="preserve">cor.test </w:t>
      </w:r>
      <w:r w:rsidRPr="00B77653">
        <w:t xml:space="preserve">function in </w:t>
      </w:r>
      <w:r w:rsidRPr="00B77653">
        <w:rPr>
          <w:i/>
        </w:rPr>
        <w:t>R</w:t>
      </w:r>
      <w:r w:rsidRPr="00B77653">
        <w:t xml:space="preserve"> (</w:t>
      </w:r>
      <w:r w:rsidRPr="00B77653">
        <w:rPr>
          <w:bCs/>
        </w:rPr>
        <w:t>R Development Core Team 2010</w:t>
      </w:r>
      <w:r w:rsidRPr="00B77653">
        <w:t xml:space="preserve">). To </w:t>
      </w:r>
      <w:r>
        <w:t>allow a comparison of</w:t>
      </w:r>
      <w:r w:rsidRPr="00B77653">
        <w:t xml:space="preserve"> our results with </w:t>
      </w:r>
      <w:r>
        <w:t>previous studies</w:t>
      </w:r>
      <w:r w:rsidRPr="00B77653">
        <w:t>, we calculated correlations by pairs of variable</w:t>
      </w:r>
      <w:r w:rsidR="00EF1FB1">
        <w:t>s</w:t>
      </w:r>
      <w:r w:rsidRPr="00B77653">
        <w:t xml:space="preserve"> for all speakers first. We then </w:t>
      </w:r>
      <w:r>
        <w:t xml:space="preserve">performed </w:t>
      </w:r>
      <w:r w:rsidRPr="00B77653">
        <w:t xml:space="preserve">a second round of calculations looking only at the leaders. </w:t>
      </w:r>
    </w:p>
    <w:p w14:paraId="46E6A399" w14:textId="22390A61" w:rsidR="007F35EF" w:rsidRPr="00B77653" w:rsidRDefault="007F35EF" w:rsidP="00D165B7">
      <w:pPr>
        <w:ind w:firstLine="720"/>
      </w:pPr>
      <w:r w:rsidRPr="00B77653">
        <w:t xml:space="preserve">In any study of innovation, determining who to categorize as a leader is a non-trivial exercise, which can be further complicated by low token counts per individual (Nevalainen et al. 2011, 14). </w:t>
      </w:r>
      <w:r>
        <w:t>Those categoriz</w:t>
      </w:r>
      <w:r w:rsidRPr="00B77653">
        <w:t>ed as “innovators” in diffusion theory typically make up only 2.5 percent of any population (Rogers 2003, 281), making a statistical study of them problematic</w:t>
      </w:r>
      <w:r>
        <w:t xml:space="preserve"> given the usual size of sociolinguistic corpora</w:t>
      </w:r>
      <w:r w:rsidRPr="00B77653">
        <w:t xml:space="preserve">. Nevalainen et al. (2011, 7) cited “sparse” data as the motivation for not looking at the “incipient” stage of change in their historical data. </w:t>
      </w:r>
      <w:r w:rsidR="00C34088">
        <w:t>T</w:t>
      </w:r>
      <w:r w:rsidRPr="00B77653">
        <w:t xml:space="preserve">he group we examined as leaders </w:t>
      </w:r>
      <w:r w:rsidR="00C34088">
        <w:t xml:space="preserve">also </w:t>
      </w:r>
      <w:r w:rsidRPr="00B77653">
        <w:t xml:space="preserve">included not only the </w:t>
      </w:r>
      <w:r w:rsidR="00C34088">
        <w:t xml:space="preserve">2.5 percent who would be </w:t>
      </w:r>
      <w:r w:rsidRPr="00B77653">
        <w:t>innovators but also those who would be categorized as early adopters, and some of the early majority speakers. To do this, we set our criterion for leadership of a change as a factor weight</w:t>
      </w:r>
      <w:r>
        <w:t xml:space="preserve"> of </w:t>
      </w:r>
      <w:r w:rsidRPr="00B77653">
        <w:t xml:space="preserve">.70 or higher for the incoming variant. This gave us groups of leaders that ranged from 12 individuals </w:t>
      </w:r>
      <w:r>
        <w:t>(i</w:t>
      </w:r>
      <w:r w:rsidRPr="00B77653">
        <w:t xml:space="preserve">ntensifier </w:t>
      </w:r>
      <w:r w:rsidRPr="00B77653">
        <w:rPr>
          <w:i/>
        </w:rPr>
        <w:t>really</w:t>
      </w:r>
      <w:r>
        <w:t>) to 35 (d</w:t>
      </w:r>
      <w:r w:rsidRPr="00B77653">
        <w:t xml:space="preserve">eontic </w:t>
      </w:r>
      <w:r w:rsidRPr="00B77653">
        <w:rPr>
          <w:i/>
        </w:rPr>
        <w:t>have to</w:t>
      </w:r>
      <w:r w:rsidRPr="00B77653">
        <w:t xml:space="preserve">). </w:t>
      </w:r>
    </w:p>
    <w:p w14:paraId="191EF728" w14:textId="1352D482" w:rsidR="007F35EF" w:rsidRPr="00B77653" w:rsidRDefault="007F35EF" w:rsidP="00FE3A44">
      <w:pPr>
        <w:ind w:firstLine="720"/>
      </w:pPr>
      <w:r w:rsidRPr="00B77653">
        <w:t>As we identified the leaders for each variable, it was soon apparent that the population of leaders for one variable was not necessarily the population of leaders for the other variables.</w:t>
      </w:r>
      <w:r>
        <w:rPr>
          <w:rStyle w:val="EndnoteReference"/>
        </w:rPr>
        <w:endnoteReference w:id="8"/>
      </w:r>
      <w:r w:rsidRPr="00B77653">
        <w:t xml:space="preserve"> </w:t>
      </w:r>
      <w:r>
        <w:t>T</w:t>
      </w:r>
      <w:r w:rsidRPr="00B77653">
        <w:t xml:space="preserve">he lack of consistency in which individuals were leading across variables required a careful approach for calculating correlations for our </w:t>
      </w:r>
      <w:r>
        <w:t xml:space="preserve">identified </w:t>
      </w:r>
      <w:r w:rsidRPr="00B77653">
        <w:t xml:space="preserve">leaders. </w:t>
      </w:r>
      <w:r>
        <w:t>G</w:t>
      </w:r>
      <w:r w:rsidRPr="00B77653">
        <w:t xml:space="preserve">iven </w:t>
      </w:r>
      <w:r>
        <w:t xml:space="preserve">that the leaders </w:t>
      </w:r>
      <w:r w:rsidRPr="00B77653">
        <w:t xml:space="preserve">were not </w:t>
      </w:r>
      <w:r>
        <w:t xml:space="preserve">consistently the same individuals across variables, </w:t>
      </w:r>
      <w:r w:rsidRPr="00B77653">
        <w:t xml:space="preserve">we adopted a strategy for the analysis in which we undertook a </w:t>
      </w:r>
      <w:r w:rsidRPr="00B77653">
        <w:rPr>
          <w:i/>
        </w:rPr>
        <w:t>series</w:t>
      </w:r>
      <w:r w:rsidRPr="00B77653">
        <w:rPr>
          <w:rStyle w:val="EndnoteReference"/>
        </w:rPr>
        <w:endnoteReference w:id="9"/>
      </w:r>
      <w:r w:rsidRPr="00B77653">
        <w:t xml:space="preserve"> of correlation calculations rather than simultaneously examining everyone who was a leader of any of the changes. That is, we first identified the leaders of one variable, then calculated the correlation coefficients across the four other variables for the leader subset</w:t>
      </w:r>
      <w:r>
        <w:t xml:space="preserve"> of the first variable. We</w:t>
      </w:r>
      <w:r w:rsidRPr="00B77653">
        <w:t xml:space="preserve"> </w:t>
      </w:r>
      <w:r>
        <w:t xml:space="preserve">subsequently </w:t>
      </w:r>
      <w:r w:rsidRPr="00B77653">
        <w:t xml:space="preserve">repeated the process for </w:t>
      </w:r>
      <w:r>
        <w:t>the (different) subset of speakers who were leaders for each change</w:t>
      </w:r>
      <w:r w:rsidRPr="00B77653">
        <w:t xml:space="preserve">. For example, starting with </w:t>
      </w:r>
      <w:r>
        <w:t>q</w:t>
      </w:r>
      <w:r w:rsidRPr="00B77653">
        <w:t xml:space="preserve">uotative </w:t>
      </w:r>
      <w:r w:rsidRPr="00B77653">
        <w:rPr>
          <w:i/>
        </w:rPr>
        <w:t>be like</w:t>
      </w:r>
      <w:r w:rsidRPr="00B77653">
        <w:t>, we identified the i</w:t>
      </w:r>
      <w:r>
        <w:t xml:space="preserve">ndividual speakers who met the </w:t>
      </w:r>
      <w:r w:rsidRPr="00B77653">
        <w:t xml:space="preserve">.70 criterion (i.e., the leaders of </w:t>
      </w:r>
      <w:r w:rsidRPr="00B77653">
        <w:rPr>
          <w:i/>
        </w:rPr>
        <w:t>be like</w:t>
      </w:r>
      <w:r w:rsidRPr="00B77653">
        <w:t>)</w:t>
      </w:r>
      <w:r>
        <w:t xml:space="preserve">. Next, </w:t>
      </w:r>
      <w:r w:rsidRPr="00B77653">
        <w:t>we calculated the correlation values</w:t>
      </w:r>
      <w:r>
        <w:t xml:space="preserve"> for only those individuals (the leaders of </w:t>
      </w:r>
      <w:r>
        <w:rPr>
          <w:i/>
        </w:rPr>
        <w:t>be like</w:t>
      </w:r>
      <w:r>
        <w:t xml:space="preserve">) by looking at their use of </w:t>
      </w:r>
      <w:r>
        <w:rPr>
          <w:i/>
        </w:rPr>
        <w:t xml:space="preserve">be like </w:t>
      </w:r>
      <w:r>
        <w:t>with i</w:t>
      </w:r>
      <w:r w:rsidRPr="00B77653">
        <w:t xml:space="preserve">ntensifier </w:t>
      </w:r>
      <w:r w:rsidRPr="00B77653">
        <w:rPr>
          <w:i/>
        </w:rPr>
        <w:t>really</w:t>
      </w:r>
      <w:r w:rsidRPr="00B77653">
        <w:t xml:space="preserve">, </w:t>
      </w:r>
      <w:r>
        <w:t xml:space="preserve">GE </w:t>
      </w:r>
      <w:r w:rsidRPr="00B77653">
        <w:rPr>
          <w:i/>
        </w:rPr>
        <w:t>and stuff</w:t>
      </w:r>
      <w:r w:rsidRPr="00B77653">
        <w:t xml:space="preserve">, </w:t>
      </w:r>
      <w:r>
        <w:t>s</w:t>
      </w:r>
      <w:r w:rsidRPr="00B77653">
        <w:t xml:space="preserve">tative </w:t>
      </w:r>
      <w:r w:rsidRPr="00B77653">
        <w:rPr>
          <w:i/>
        </w:rPr>
        <w:t xml:space="preserve">have </w:t>
      </w:r>
      <w:r>
        <w:t>and d</w:t>
      </w:r>
      <w:r w:rsidRPr="00B77653">
        <w:t xml:space="preserve">eontic </w:t>
      </w:r>
      <w:r w:rsidRPr="00B77653">
        <w:rPr>
          <w:i/>
        </w:rPr>
        <w:t>have to</w:t>
      </w:r>
      <w:r>
        <w:t>, respectively.</w:t>
      </w:r>
      <w:r w:rsidRPr="00B77653">
        <w:t xml:space="preserve"> We then repeated the process for the </w:t>
      </w:r>
      <w:r>
        <w:t xml:space="preserve">leaders of the </w:t>
      </w:r>
      <w:r w:rsidRPr="00B77653">
        <w:t xml:space="preserve">other variables. </w:t>
      </w:r>
    </w:p>
    <w:p w14:paraId="53FC7373" w14:textId="3B7B1217" w:rsidR="007F35EF" w:rsidRPr="00B77653" w:rsidRDefault="007F35EF" w:rsidP="00FE3A44">
      <w:pPr>
        <w:ind w:firstLine="720"/>
        <w:rPr>
          <w:color w:val="FF0000"/>
        </w:rPr>
      </w:pPr>
      <w:r>
        <w:t>T</w:t>
      </w:r>
      <w:r w:rsidRPr="00B77653">
        <w:t xml:space="preserve">his </w:t>
      </w:r>
      <w:r>
        <w:t xml:space="preserve">leaders-by-variable </w:t>
      </w:r>
      <w:r w:rsidRPr="00B77653">
        <w:t xml:space="preserve">strategy </w:t>
      </w:r>
      <w:r>
        <w:t xml:space="preserve">also </w:t>
      </w:r>
      <w:r w:rsidRPr="00B77653">
        <w:t xml:space="preserve">allowed us to examine different criteria for leadership for different variables in our subsequent analyses. We were able to calculate correlations for leaders using a higher factor weight criterion with the two longer established changes, </w:t>
      </w:r>
      <w:r>
        <w:t>s</w:t>
      </w:r>
      <w:r w:rsidRPr="00B77653">
        <w:t xml:space="preserve">tative </w:t>
      </w:r>
      <w:r w:rsidRPr="00B77653">
        <w:rPr>
          <w:i/>
        </w:rPr>
        <w:t>have</w:t>
      </w:r>
      <w:r>
        <w:t xml:space="preserve"> and d</w:t>
      </w:r>
      <w:r w:rsidRPr="00B77653">
        <w:t xml:space="preserve">eontic </w:t>
      </w:r>
      <w:r w:rsidRPr="00B77653">
        <w:rPr>
          <w:i/>
        </w:rPr>
        <w:t>have to</w:t>
      </w:r>
      <w:r w:rsidRPr="00B77653">
        <w:t xml:space="preserve">, and </w:t>
      </w:r>
      <w:r w:rsidR="001D7207">
        <w:t xml:space="preserve">a </w:t>
      </w:r>
      <w:r w:rsidRPr="00B77653">
        <w:t xml:space="preserve">lower factor weight criterion </w:t>
      </w:r>
      <w:r>
        <w:t>with the newer changes such as quotatives and i</w:t>
      </w:r>
      <w:r w:rsidRPr="00B77653">
        <w:t>ntensifiers</w:t>
      </w:r>
      <w:r w:rsidR="006D075F">
        <w:t xml:space="preserve">, as </w:t>
      </w:r>
      <w:r w:rsidRPr="00B77653">
        <w:t>we discuss further below.</w:t>
      </w:r>
      <w:r w:rsidR="00EF1FB1">
        <w:t xml:space="preserve"> Having now described our methods, we turn to the results of the analysis. </w:t>
      </w:r>
    </w:p>
    <w:p w14:paraId="0DA6300B" w14:textId="77777777" w:rsidR="007F35EF" w:rsidRPr="00B77653" w:rsidRDefault="007F35EF" w:rsidP="00FE3A44">
      <w:pPr>
        <w:ind w:firstLine="720"/>
      </w:pPr>
    </w:p>
    <w:p w14:paraId="3B8DDE14" w14:textId="77777777" w:rsidR="007F35EF" w:rsidRDefault="007F35EF" w:rsidP="00486055">
      <w:pPr>
        <w:rPr>
          <w:b/>
        </w:rPr>
      </w:pPr>
      <w:r>
        <w:rPr>
          <w:b/>
        </w:rPr>
        <w:t>RESULTS AND DISCUSSION</w:t>
      </w:r>
    </w:p>
    <w:p w14:paraId="4C8D7510" w14:textId="014FEC6E" w:rsidR="007F35EF" w:rsidRDefault="007F35EF" w:rsidP="00607CE9">
      <w:r>
        <w:rPr>
          <w:b/>
        </w:rPr>
        <w:t xml:space="preserve">ALL SPEAKERS. </w:t>
      </w:r>
      <w:r w:rsidRPr="00B77653">
        <w:t xml:space="preserve">As a first line of enquiry, we calculated correlations in </w:t>
      </w:r>
      <w:r>
        <w:t xml:space="preserve">the </w:t>
      </w:r>
      <w:r w:rsidRPr="00B77653">
        <w:t>use of the incoming variants for all speakers for whom we had data</w:t>
      </w:r>
      <w:r>
        <w:t xml:space="preserve"> (</w:t>
      </w:r>
      <w:r w:rsidRPr="00B77653">
        <w:t xml:space="preserve">not </w:t>
      </w:r>
      <w:r>
        <w:t xml:space="preserve">only </w:t>
      </w:r>
      <w:r w:rsidRPr="00B77653">
        <w:t>the leaders</w:t>
      </w:r>
      <w:r>
        <w:t>)</w:t>
      </w:r>
      <w:r w:rsidRPr="00B77653">
        <w:t xml:space="preserve">. This information is displayed in </w:t>
      </w:r>
      <w:r w:rsidRPr="009C3DFC">
        <w:t>Table 1</w:t>
      </w:r>
      <w:r>
        <w:t xml:space="preserve"> (where</w:t>
      </w:r>
      <w:r w:rsidR="00EF1FB1">
        <w:t xml:space="preserve"> a correlation value of </w:t>
      </w:r>
      <w:r>
        <w:t xml:space="preserve">‘1’ represents the correlation of each variable with itself). </w:t>
      </w:r>
      <w:r w:rsidRPr="00B77653">
        <w:t xml:space="preserve">In some cases, </w:t>
      </w:r>
      <w:r>
        <w:t>for instance q</w:t>
      </w:r>
      <w:r w:rsidRPr="00B77653">
        <w:t xml:space="preserve">uotative </w:t>
      </w:r>
      <w:r w:rsidRPr="00B77653">
        <w:rPr>
          <w:i/>
        </w:rPr>
        <w:t>be like</w:t>
      </w:r>
      <w:r w:rsidRPr="00B77653">
        <w:t xml:space="preserve"> versus </w:t>
      </w:r>
      <w:r>
        <w:t>d</w:t>
      </w:r>
      <w:r w:rsidRPr="00B77653">
        <w:t xml:space="preserve">eontic </w:t>
      </w:r>
      <w:r w:rsidRPr="00B77653">
        <w:rPr>
          <w:i/>
        </w:rPr>
        <w:t>have</w:t>
      </w:r>
      <w:r w:rsidRPr="00B77653">
        <w:t>, we did not find a statistically significant relationship in the use of innovative forms at all</w:t>
      </w:r>
      <w:r>
        <w:t>; these are indicated with a dash in the table</w:t>
      </w:r>
      <w:r w:rsidRPr="00B77653">
        <w:t xml:space="preserve">. When we did have a significant correlation (p &lt; 0.01), we generally found low to moderate relationships, with the greatest correlation being between </w:t>
      </w:r>
      <w:r>
        <w:t>q</w:t>
      </w:r>
      <w:r w:rsidRPr="00B77653">
        <w:t xml:space="preserve">uotative </w:t>
      </w:r>
      <w:r w:rsidRPr="00B77653">
        <w:rPr>
          <w:i/>
        </w:rPr>
        <w:t xml:space="preserve">be like </w:t>
      </w:r>
      <w:r w:rsidRPr="00B77653">
        <w:t>and</w:t>
      </w:r>
      <w:r>
        <w:t xml:space="preserve"> i</w:t>
      </w:r>
      <w:r w:rsidRPr="00B77653">
        <w:t xml:space="preserve">ntensifier </w:t>
      </w:r>
      <w:r w:rsidRPr="00B77653">
        <w:rPr>
          <w:i/>
        </w:rPr>
        <w:t xml:space="preserve">really </w:t>
      </w:r>
      <w:r w:rsidRPr="00B77653">
        <w:t>(</w:t>
      </w:r>
      <w:r w:rsidRPr="00B77653">
        <w:rPr>
          <w:i/>
        </w:rPr>
        <w:t xml:space="preserve">r </w:t>
      </w:r>
      <w:r w:rsidRPr="00B77653">
        <w:t xml:space="preserve">= 0.47, df = 51). Other significant correlations (p &lt; 0.01) included the use of </w:t>
      </w:r>
      <w:r>
        <w:t>q</w:t>
      </w:r>
      <w:r w:rsidRPr="00B77653">
        <w:t xml:space="preserve">uotative </w:t>
      </w:r>
      <w:r w:rsidRPr="00B77653">
        <w:rPr>
          <w:i/>
        </w:rPr>
        <w:t>be like</w:t>
      </w:r>
      <w:r>
        <w:t xml:space="preserve"> and GE </w:t>
      </w:r>
      <w:r w:rsidRPr="00B77653">
        <w:rPr>
          <w:i/>
        </w:rPr>
        <w:t>and stuff</w:t>
      </w:r>
      <w:r w:rsidRPr="00B77653">
        <w:t xml:space="preserve"> (</w:t>
      </w:r>
      <w:r w:rsidRPr="00B77653">
        <w:rPr>
          <w:i/>
        </w:rPr>
        <w:t xml:space="preserve">r </w:t>
      </w:r>
      <w:r w:rsidRPr="00B77653">
        <w:t>= 0.36, df = 46</w:t>
      </w:r>
      <w:r>
        <w:t>), q</w:t>
      </w:r>
      <w:r w:rsidRPr="00B77653">
        <w:t xml:space="preserve">uotative </w:t>
      </w:r>
      <w:r w:rsidRPr="00B77653">
        <w:rPr>
          <w:i/>
        </w:rPr>
        <w:t>be like</w:t>
      </w:r>
      <w:r>
        <w:t xml:space="preserve"> and the use of s</w:t>
      </w:r>
      <w:r w:rsidRPr="00B77653">
        <w:t xml:space="preserve">tative </w:t>
      </w:r>
      <w:r w:rsidRPr="00B77653">
        <w:rPr>
          <w:i/>
        </w:rPr>
        <w:t xml:space="preserve">have </w:t>
      </w:r>
      <w:r w:rsidRPr="00B77653">
        <w:t>(</w:t>
      </w:r>
      <w:r w:rsidRPr="00B77653">
        <w:rPr>
          <w:i/>
        </w:rPr>
        <w:t xml:space="preserve">r </w:t>
      </w:r>
      <w:r w:rsidRPr="00B77653">
        <w:t xml:space="preserve">= 0.26, df = 82), and the use of </w:t>
      </w:r>
      <w:r>
        <w:t>s</w:t>
      </w:r>
      <w:r w:rsidRPr="00B77653">
        <w:t xml:space="preserve">tative </w:t>
      </w:r>
      <w:r w:rsidRPr="00B77653">
        <w:rPr>
          <w:i/>
        </w:rPr>
        <w:t>have</w:t>
      </w:r>
      <w:r>
        <w:t xml:space="preserve"> and d</w:t>
      </w:r>
      <w:r w:rsidRPr="00B77653">
        <w:t xml:space="preserve">eontic </w:t>
      </w:r>
      <w:r w:rsidRPr="00B77653">
        <w:rPr>
          <w:i/>
        </w:rPr>
        <w:t xml:space="preserve">have to </w:t>
      </w:r>
      <w:r w:rsidRPr="00B77653">
        <w:t>(</w:t>
      </w:r>
      <w:r w:rsidRPr="00B77653">
        <w:rPr>
          <w:i/>
        </w:rPr>
        <w:t xml:space="preserve">r </w:t>
      </w:r>
      <w:r w:rsidRPr="00B77653">
        <w:t xml:space="preserve">= 0.34, df = 75). </w:t>
      </w:r>
      <w:r>
        <w:t>Moreover, t</w:t>
      </w:r>
      <w:r w:rsidRPr="00B77653">
        <w:t xml:space="preserve">hese findings </w:t>
      </w:r>
      <w:r>
        <w:t>corroborate</w:t>
      </w:r>
      <w:r w:rsidRPr="00B77653">
        <w:t xml:space="preserve"> the results of previous similar studies</w:t>
      </w:r>
      <w:r>
        <w:t>:</w:t>
      </w:r>
      <w:r w:rsidRPr="00B77653">
        <w:t xml:space="preserve"> some correlations </w:t>
      </w:r>
      <w:r>
        <w:t xml:space="preserve">can be observed between </w:t>
      </w:r>
      <w:r w:rsidRPr="00B77653">
        <w:t xml:space="preserve">variables, </w:t>
      </w:r>
      <w:r w:rsidR="001D7207">
        <w:t xml:space="preserve">but </w:t>
      </w:r>
      <w:r>
        <w:t>most of the time there is none</w:t>
      </w:r>
      <w:r w:rsidRPr="00B77653">
        <w:t xml:space="preserve">. </w:t>
      </w:r>
    </w:p>
    <w:p w14:paraId="699D32AC" w14:textId="77777777" w:rsidR="00893888" w:rsidRPr="00B77653" w:rsidRDefault="00893888" w:rsidP="00607CE9"/>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76"/>
        <w:gridCol w:w="761"/>
        <w:gridCol w:w="708"/>
        <w:gridCol w:w="756"/>
        <w:gridCol w:w="724"/>
        <w:gridCol w:w="754"/>
        <w:gridCol w:w="754"/>
        <w:gridCol w:w="698"/>
        <w:gridCol w:w="648"/>
        <w:gridCol w:w="1033"/>
      </w:tblGrid>
      <w:tr w:rsidR="007F35EF" w:rsidRPr="00B77653" w14:paraId="2D8CD3F5" w14:textId="77777777" w:rsidTr="007965D9">
        <w:trPr>
          <w:jc w:val="center"/>
        </w:trPr>
        <w:tc>
          <w:tcPr>
            <w:tcW w:w="9312" w:type="dxa"/>
            <w:gridSpan w:val="10"/>
            <w:shd w:val="clear" w:color="auto" w:fill="FFFFFF"/>
          </w:tcPr>
          <w:p w14:paraId="69D0D1CF" w14:textId="77777777" w:rsidR="007F35EF" w:rsidRPr="00B77653" w:rsidRDefault="007F35EF" w:rsidP="00FE3A44">
            <w:pPr>
              <w:jc w:val="center"/>
            </w:pPr>
            <w:r w:rsidRPr="00B77653">
              <w:t xml:space="preserve">Table 1: Statistically significant correlations across incoming variants for ALL speakers </w:t>
            </w:r>
          </w:p>
          <w:p w14:paraId="0B0DDABA" w14:textId="77777777" w:rsidR="007F35EF" w:rsidRPr="00B77653" w:rsidRDefault="007F35EF" w:rsidP="00FE3A44">
            <w:pPr>
              <w:jc w:val="center"/>
            </w:pPr>
            <w:r w:rsidRPr="00B77653">
              <w:t>(p &lt; 0.01; n</w:t>
            </w:r>
            <w:r>
              <w:t xml:space="preserve"> = Number of s</w:t>
            </w:r>
            <w:r w:rsidRPr="00B77653">
              <w:t>peakers)</w:t>
            </w:r>
          </w:p>
        </w:tc>
      </w:tr>
      <w:tr w:rsidR="007F35EF" w:rsidRPr="00B77653" w14:paraId="4A260694" w14:textId="77777777" w:rsidTr="007965D9">
        <w:trPr>
          <w:jc w:val="center"/>
        </w:trPr>
        <w:tc>
          <w:tcPr>
            <w:tcW w:w="2476" w:type="dxa"/>
            <w:shd w:val="clear" w:color="auto" w:fill="FFFFFF"/>
            <w:vAlign w:val="center"/>
          </w:tcPr>
          <w:p w14:paraId="0EAC354C" w14:textId="77777777" w:rsidR="007F35EF" w:rsidRPr="00B77653" w:rsidRDefault="007F35EF" w:rsidP="00FE3A44">
            <w:pPr>
              <w:jc w:val="center"/>
              <w:rPr>
                <w:i/>
              </w:rPr>
            </w:pPr>
          </w:p>
        </w:tc>
        <w:tc>
          <w:tcPr>
            <w:tcW w:w="1469" w:type="dxa"/>
            <w:gridSpan w:val="2"/>
            <w:shd w:val="clear" w:color="auto" w:fill="FFFFFF"/>
            <w:vAlign w:val="center"/>
          </w:tcPr>
          <w:p w14:paraId="7F856F89" w14:textId="77777777" w:rsidR="007F35EF" w:rsidRPr="00B77653" w:rsidRDefault="007F35EF" w:rsidP="00FE3A44">
            <w:pPr>
              <w:jc w:val="center"/>
            </w:pPr>
            <w:r w:rsidRPr="00B77653">
              <w:t>Quotative</w:t>
            </w:r>
          </w:p>
          <w:p w14:paraId="3D14CD2F" w14:textId="77777777" w:rsidR="007F35EF" w:rsidRPr="00B77653" w:rsidRDefault="007F35EF" w:rsidP="00FE3A44">
            <w:pPr>
              <w:jc w:val="center"/>
            </w:pPr>
            <w:r w:rsidRPr="00B77653">
              <w:rPr>
                <w:i/>
              </w:rPr>
              <w:t>be like</w:t>
            </w:r>
          </w:p>
        </w:tc>
        <w:tc>
          <w:tcPr>
            <w:tcW w:w="1480" w:type="dxa"/>
            <w:gridSpan w:val="2"/>
            <w:shd w:val="clear" w:color="auto" w:fill="FFFFFF"/>
            <w:vAlign w:val="center"/>
          </w:tcPr>
          <w:p w14:paraId="62106BFF" w14:textId="77777777" w:rsidR="007F35EF" w:rsidRPr="00B77653" w:rsidRDefault="007F35EF" w:rsidP="00FE3A44">
            <w:pPr>
              <w:jc w:val="center"/>
            </w:pPr>
            <w:r w:rsidRPr="00B77653">
              <w:t>Intensifier</w:t>
            </w:r>
          </w:p>
          <w:p w14:paraId="2B0C135E" w14:textId="77777777" w:rsidR="007F35EF" w:rsidRPr="00B77653" w:rsidRDefault="007F35EF" w:rsidP="00FE3A44">
            <w:pPr>
              <w:jc w:val="center"/>
            </w:pPr>
            <w:r w:rsidRPr="00B77653">
              <w:rPr>
                <w:i/>
              </w:rPr>
              <w:t>really</w:t>
            </w:r>
          </w:p>
        </w:tc>
        <w:tc>
          <w:tcPr>
            <w:tcW w:w="1508" w:type="dxa"/>
            <w:gridSpan w:val="2"/>
            <w:shd w:val="clear" w:color="auto" w:fill="FFFFFF"/>
          </w:tcPr>
          <w:p w14:paraId="094FCF0C" w14:textId="77777777" w:rsidR="007F35EF" w:rsidRPr="00B77653" w:rsidRDefault="007F35EF" w:rsidP="00FE3A44">
            <w:pPr>
              <w:jc w:val="center"/>
            </w:pPr>
            <w:r>
              <w:t>GE</w:t>
            </w:r>
          </w:p>
          <w:p w14:paraId="55C6C74A" w14:textId="77777777" w:rsidR="007F35EF" w:rsidRPr="00B77653" w:rsidRDefault="007F35EF" w:rsidP="00FE3A44">
            <w:pPr>
              <w:jc w:val="center"/>
              <w:rPr>
                <w:i/>
              </w:rPr>
            </w:pPr>
            <w:r w:rsidRPr="00B77653">
              <w:rPr>
                <w:i/>
              </w:rPr>
              <w:t>and stuff</w:t>
            </w:r>
          </w:p>
        </w:tc>
        <w:tc>
          <w:tcPr>
            <w:tcW w:w="1346" w:type="dxa"/>
            <w:gridSpan w:val="2"/>
            <w:shd w:val="clear" w:color="auto" w:fill="FFFFFF"/>
            <w:vAlign w:val="center"/>
          </w:tcPr>
          <w:p w14:paraId="45D84A1C" w14:textId="77777777" w:rsidR="007F35EF" w:rsidRPr="00B77653" w:rsidRDefault="007F35EF" w:rsidP="00FE3A44">
            <w:pPr>
              <w:jc w:val="center"/>
            </w:pPr>
            <w:r w:rsidRPr="00B77653">
              <w:t>Stative</w:t>
            </w:r>
          </w:p>
          <w:p w14:paraId="159FE10D" w14:textId="77777777" w:rsidR="007F35EF" w:rsidRPr="00B77653" w:rsidRDefault="007F35EF" w:rsidP="00FE3A44">
            <w:pPr>
              <w:jc w:val="center"/>
            </w:pPr>
            <w:r w:rsidRPr="00B77653">
              <w:rPr>
                <w:i/>
              </w:rPr>
              <w:t>have</w:t>
            </w:r>
          </w:p>
        </w:tc>
        <w:tc>
          <w:tcPr>
            <w:tcW w:w="1033" w:type="dxa"/>
            <w:shd w:val="clear" w:color="auto" w:fill="FFFFFF"/>
            <w:vAlign w:val="center"/>
          </w:tcPr>
          <w:p w14:paraId="31897123" w14:textId="77777777" w:rsidR="007F35EF" w:rsidRPr="00B77653" w:rsidRDefault="007F35EF" w:rsidP="00FE3A44">
            <w:pPr>
              <w:jc w:val="center"/>
            </w:pPr>
            <w:r w:rsidRPr="00B77653">
              <w:t>Deontic</w:t>
            </w:r>
          </w:p>
          <w:p w14:paraId="00C61526" w14:textId="77777777" w:rsidR="007F35EF" w:rsidRPr="00B77653" w:rsidRDefault="007F35EF" w:rsidP="00FE3A44">
            <w:pPr>
              <w:jc w:val="center"/>
            </w:pPr>
            <w:r w:rsidRPr="00B77653">
              <w:rPr>
                <w:i/>
              </w:rPr>
              <w:t>have to</w:t>
            </w:r>
          </w:p>
        </w:tc>
      </w:tr>
      <w:tr w:rsidR="007F35EF" w:rsidRPr="00B77653" w14:paraId="63FFBAAF" w14:textId="77777777" w:rsidTr="007965D9">
        <w:trPr>
          <w:jc w:val="center"/>
        </w:trPr>
        <w:tc>
          <w:tcPr>
            <w:tcW w:w="2476" w:type="dxa"/>
            <w:shd w:val="clear" w:color="auto" w:fill="FFFFFF"/>
            <w:vAlign w:val="center"/>
          </w:tcPr>
          <w:p w14:paraId="2FD74950" w14:textId="77777777" w:rsidR="007F35EF" w:rsidRPr="00B77653" w:rsidRDefault="007F35EF" w:rsidP="00FE3A44">
            <w:pPr>
              <w:jc w:val="center"/>
              <w:rPr>
                <w:i/>
              </w:rPr>
            </w:pPr>
          </w:p>
        </w:tc>
        <w:tc>
          <w:tcPr>
            <w:tcW w:w="761" w:type="dxa"/>
            <w:shd w:val="clear" w:color="auto" w:fill="FFFFFF"/>
            <w:vAlign w:val="center"/>
          </w:tcPr>
          <w:p w14:paraId="7124566E" w14:textId="77777777" w:rsidR="007F35EF" w:rsidRPr="00B77653" w:rsidRDefault="007F35EF" w:rsidP="00FE3A44">
            <w:pPr>
              <w:jc w:val="center"/>
              <w:rPr>
                <w:i/>
              </w:rPr>
            </w:pPr>
            <w:r w:rsidRPr="00B77653">
              <w:rPr>
                <w:i/>
              </w:rPr>
              <w:t>r</w:t>
            </w:r>
          </w:p>
        </w:tc>
        <w:tc>
          <w:tcPr>
            <w:tcW w:w="708" w:type="dxa"/>
            <w:shd w:val="clear" w:color="auto" w:fill="FFFFFF"/>
            <w:vAlign w:val="center"/>
          </w:tcPr>
          <w:p w14:paraId="1A14A809" w14:textId="77777777" w:rsidR="007F35EF" w:rsidRPr="00B77653" w:rsidRDefault="007F35EF" w:rsidP="00FE3A44">
            <w:pPr>
              <w:jc w:val="center"/>
            </w:pPr>
            <w:r w:rsidRPr="00B77653">
              <w:t>n</w:t>
            </w:r>
          </w:p>
        </w:tc>
        <w:tc>
          <w:tcPr>
            <w:tcW w:w="756" w:type="dxa"/>
            <w:shd w:val="clear" w:color="auto" w:fill="FFFFFF"/>
            <w:vAlign w:val="center"/>
          </w:tcPr>
          <w:p w14:paraId="257F0E4E" w14:textId="77777777" w:rsidR="007F35EF" w:rsidRPr="00B77653" w:rsidRDefault="007F35EF" w:rsidP="00FE3A44">
            <w:pPr>
              <w:jc w:val="center"/>
              <w:rPr>
                <w:i/>
              </w:rPr>
            </w:pPr>
            <w:r w:rsidRPr="00B77653">
              <w:rPr>
                <w:i/>
              </w:rPr>
              <w:t>r</w:t>
            </w:r>
          </w:p>
        </w:tc>
        <w:tc>
          <w:tcPr>
            <w:tcW w:w="724" w:type="dxa"/>
            <w:shd w:val="clear" w:color="auto" w:fill="FFFFFF"/>
            <w:vAlign w:val="center"/>
          </w:tcPr>
          <w:p w14:paraId="1654802F" w14:textId="77777777" w:rsidR="007F35EF" w:rsidRPr="00B77653" w:rsidRDefault="007F35EF" w:rsidP="00FE3A44">
            <w:pPr>
              <w:jc w:val="center"/>
            </w:pPr>
            <w:r w:rsidRPr="00B77653">
              <w:t>n</w:t>
            </w:r>
          </w:p>
        </w:tc>
        <w:tc>
          <w:tcPr>
            <w:tcW w:w="754" w:type="dxa"/>
            <w:shd w:val="clear" w:color="auto" w:fill="FFFFFF"/>
          </w:tcPr>
          <w:p w14:paraId="42C6473E" w14:textId="77777777" w:rsidR="007F35EF" w:rsidRPr="00B77653" w:rsidRDefault="007F35EF" w:rsidP="00FE3A44">
            <w:pPr>
              <w:jc w:val="center"/>
              <w:rPr>
                <w:i/>
              </w:rPr>
            </w:pPr>
            <w:r w:rsidRPr="00B77653">
              <w:rPr>
                <w:i/>
              </w:rPr>
              <w:t>r</w:t>
            </w:r>
          </w:p>
        </w:tc>
        <w:tc>
          <w:tcPr>
            <w:tcW w:w="754" w:type="dxa"/>
            <w:shd w:val="clear" w:color="auto" w:fill="FFFFFF"/>
          </w:tcPr>
          <w:p w14:paraId="4BA7E9E4" w14:textId="77777777" w:rsidR="007F35EF" w:rsidRPr="00B77653" w:rsidRDefault="007F35EF" w:rsidP="00FE3A44">
            <w:pPr>
              <w:jc w:val="center"/>
            </w:pPr>
            <w:r w:rsidRPr="00B77653">
              <w:t>n</w:t>
            </w:r>
          </w:p>
        </w:tc>
        <w:tc>
          <w:tcPr>
            <w:tcW w:w="698" w:type="dxa"/>
            <w:shd w:val="clear" w:color="auto" w:fill="FFFFFF"/>
          </w:tcPr>
          <w:p w14:paraId="03C4BDE7" w14:textId="77777777" w:rsidR="007F35EF" w:rsidRPr="00B77653" w:rsidRDefault="007F35EF" w:rsidP="00FE3A44">
            <w:pPr>
              <w:jc w:val="center"/>
              <w:rPr>
                <w:i/>
              </w:rPr>
            </w:pPr>
            <w:r w:rsidRPr="00B77653">
              <w:rPr>
                <w:i/>
              </w:rPr>
              <w:t>r</w:t>
            </w:r>
          </w:p>
        </w:tc>
        <w:tc>
          <w:tcPr>
            <w:tcW w:w="648" w:type="dxa"/>
            <w:shd w:val="clear" w:color="auto" w:fill="FFFFFF"/>
          </w:tcPr>
          <w:p w14:paraId="2DB5F3E0" w14:textId="77777777" w:rsidR="007F35EF" w:rsidRPr="00B77653" w:rsidRDefault="007F35EF" w:rsidP="00FE3A44">
            <w:pPr>
              <w:jc w:val="center"/>
            </w:pPr>
            <w:r w:rsidRPr="00B77653">
              <w:t>n</w:t>
            </w:r>
          </w:p>
        </w:tc>
        <w:tc>
          <w:tcPr>
            <w:tcW w:w="1033" w:type="dxa"/>
            <w:shd w:val="clear" w:color="auto" w:fill="FFFFFF"/>
            <w:vAlign w:val="center"/>
          </w:tcPr>
          <w:p w14:paraId="3859B19E" w14:textId="77777777" w:rsidR="007F35EF" w:rsidRPr="00B77653" w:rsidRDefault="007F35EF" w:rsidP="00FE3A44">
            <w:pPr>
              <w:jc w:val="center"/>
              <w:rPr>
                <w:i/>
              </w:rPr>
            </w:pPr>
            <w:r w:rsidRPr="00B77653">
              <w:rPr>
                <w:i/>
              </w:rPr>
              <w:t>r</w:t>
            </w:r>
          </w:p>
        </w:tc>
      </w:tr>
      <w:tr w:rsidR="007F35EF" w:rsidRPr="00B77653" w14:paraId="3C763EAC" w14:textId="77777777" w:rsidTr="007965D9">
        <w:trPr>
          <w:jc w:val="center"/>
        </w:trPr>
        <w:tc>
          <w:tcPr>
            <w:tcW w:w="2476" w:type="dxa"/>
            <w:shd w:val="clear" w:color="auto" w:fill="FFFFFF"/>
            <w:vAlign w:val="center"/>
          </w:tcPr>
          <w:p w14:paraId="64A9C5EE" w14:textId="77777777" w:rsidR="007F35EF" w:rsidRPr="00B77653" w:rsidRDefault="007F35EF" w:rsidP="00FE3A44">
            <w:pPr>
              <w:jc w:val="center"/>
            </w:pPr>
            <w:r w:rsidRPr="00B77653">
              <w:t xml:space="preserve">Quotative </w:t>
            </w:r>
            <w:r w:rsidRPr="00B77653">
              <w:rPr>
                <w:i/>
              </w:rPr>
              <w:t>be like</w:t>
            </w:r>
          </w:p>
        </w:tc>
        <w:tc>
          <w:tcPr>
            <w:tcW w:w="1469" w:type="dxa"/>
            <w:gridSpan w:val="2"/>
            <w:shd w:val="clear" w:color="auto" w:fill="FFFFFF"/>
            <w:vAlign w:val="center"/>
          </w:tcPr>
          <w:p w14:paraId="601B2D0D" w14:textId="77777777" w:rsidR="007F35EF" w:rsidRPr="00B77653" w:rsidRDefault="007F35EF" w:rsidP="00FE3A44">
            <w:pPr>
              <w:jc w:val="center"/>
            </w:pPr>
            <w:r w:rsidRPr="00B77653">
              <w:t>1</w:t>
            </w:r>
          </w:p>
        </w:tc>
        <w:tc>
          <w:tcPr>
            <w:tcW w:w="5367" w:type="dxa"/>
            <w:gridSpan w:val="7"/>
            <w:shd w:val="clear" w:color="auto" w:fill="FFFFFF"/>
            <w:vAlign w:val="center"/>
          </w:tcPr>
          <w:p w14:paraId="0D9C33A7" w14:textId="77777777" w:rsidR="007F35EF" w:rsidRPr="00B77653" w:rsidRDefault="007F35EF" w:rsidP="00FE3A44">
            <w:pPr>
              <w:jc w:val="center"/>
              <w:rPr>
                <w:i/>
              </w:rPr>
            </w:pPr>
          </w:p>
        </w:tc>
      </w:tr>
      <w:tr w:rsidR="007F35EF" w:rsidRPr="00B77653" w14:paraId="1ED9AFC4" w14:textId="77777777" w:rsidTr="007965D9">
        <w:trPr>
          <w:jc w:val="center"/>
        </w:trPr>
        <w:tc>
          <w:tcPr>
            <w:tcW w:w="2476" w:type="dxa"/>
            <w:shd w:val="clear" w:color="auto" w:fill="FFFFFF"/>
            <w:vAlign w:val="center"/>
          </w:tcPr>
          <w:p w14:paraId="1F4F1E62" w14:textId="77777777" w:rsidR="007F35EF" w:rsidRPr="00B77653" w:rsidRDefault="007F35EF" w:rsidP="00FE3A44">
            <w:pPr>
              <w:jc w:val="center"/>
            </w:pPr>
            <w:r w:rsidRPr="00B77653">
              <w:t xml:space="preserve">Intensifier </w:t>
            </w:r>
            <w:r w:rsidRPr="00B77653">
              <w:rPr>
                <w:i/>
              </w:rPr>
              <w:t>really</w:t>
            </w:r>
          </w:p>
        </w:tc>
        <w:tc>
          <w:tcPr>
            <w:tcW w:w="761" w:type="dxa"/>
            <w:shd w:val="clear" w:color="auto" w:fill="FFFFFF"/>
            <w:vAlign w:val="center"/>
          </w:tcPr>
          <w:p w14:paraId="394D5D89" w14:textId="77777777" w:rsidR="007F35EF" w:rsidRPr="00B77653" w:rsidRDefault="007F35EF" w:rsidP="00FE3A44">
            <w:pPr>
              <w:jc w:val="center"/>
            </w:pPr>
            <w:r w:rsidRPr="00B77653">
              <w:t>.47</w:t>
            </w:r>
          </w:p>
        </w:tc>
        <w:tc>
          <w:tcPr>
            <w:tcW w:w="708" w:type="dxa"/>
            <w:shd w:val="clear" w:color="auto" w:fill="FFFFFF"/>
            <w:vAlign w:val="center"/>
          </w:tcPr>
          <w:p w14:paraId="680A12A1" w14:textId="77777777" w:rsidR="007F35EF" w:rsidRPr="00B77653" w:rsidRDefault="007F35EF" w:rsidP="00FE3A44">
            <w:pPr>
              <w:jc w:val="center"/>
            </w:pPr>
            <w:r w:rsidRPr="00B77653">
              <w:t>53</w:t>
            </w:r>
          </w:p>
        </w:tc>
        <w:tc>
          <w:tcPr>
            <w:tcW w:w="1480" w:type="dxa"/>
            <w:gridSpan w:val="2"/>
            <w:shd w:val="clear" w:color="auto" w:fill="FFFFFF"/>
            <w:vAlign w:val="center"/>
          </w:tcPr>
          <w:p w14:paraId="65799DBA" w14:textId="77777777" w:rsidR="007F35EF" w:rsidRPr="00B77653" w:rsidRDefault="007F35EF" w:rsidP="00FE3A44">
            <w:pPr>
              <w:jc w:val="center"/>
            </w:pPr>
            <w:r w:rsidRPr="00B77653">
              <w:t>1</w:t>
            </w:r>
          </w:p>
        </w:tc>
        <w:tc>
          <w:tcPr>
            <w:tcW w:w="3887" w:type="dxa"/>
            <w:gridSpan w:val="5"/>
            <w:shd w:val="clear" w:color="auto" w:fill="FFFFFF"/>
          </w:tcPr>
          <w:p w14:paraId="05A4D05A" w14:textId="77777777" w:rsidR="007F35EF" w:rsidRPr="00B77653" w:rsidRDefault="007F35EF" w:rsidP="00FE3A44">
            <w:pPr>
              <w:jc w:val="center"/>
              <w:rPr>
                <w:i/>
              </w:rPr>
            </w:pPr>
          </w:p>
        </w:tc>
      </w:tr>
      <w:tr w:rsidR="007F35EF" w:rsidRPr="00B77653" w14:paraId="493B9443" w14:textId="77777777" w:rsidTr="007965D9">
        <w:trPr>
          <w:jc w:val="center"/>
        </w:trPr>
        <w:tc>
          <w:tcPr>
            <w:tcW w:w="2476" w:type="dxa"/>
            <w:shd w:val="clear" w:color="auto" w:fill="FFFFFF"/>
            <w:vAlign w:val="center"/>
          </w:tcPr>
          <w:p w14:paraId="2038A5FB" w14:textId="77777777" w:rsidR="007F35EF" w:rsidRPr="00B77653" w:rsidRDefault="007F35EF" w:rsidP="00FE3A44">
            <w:pPr>
              <w:jc w:val="center"/>
              <w:rPr>
                <w:i/>
              </w:rPr>
            </w:pPr>
            <w:r w:rsidRPr="00B77653">
              <w:t xml:space="preserve">Extender </w:t>
            </w:r>
            <w:r w:rsidRPr="00B77653">
              <w:rPr>
                <w:i/>
              </w:rPr>
              <w:t>and stuff</w:t>
            </w:r>
          </w:p>
        </w:tc>
        <w:tc>
          <w:tcPr>
            <w:tcW w:w="761" w:type="dxa"/>
            <w:shd w:val="clear" w:color="auto" w:fill="FFFFFF"/>
            <w:vAlign w:val="center"/>
          </w:tcPr>
          <w:p w14:paraId="3844555E" w14:textId="77777777" w:rsidR="007F35EF" w:rsidRPr="00B77653" w:rsidRDefault="007F35EF" w:rsidP="00FE3A44">
            <w:pPr>
              <w:jc w:val="center"/>
            </w:pPr>
            <w:r w:rsidRPr="00B77653">
              <w:t>.36</w:t>
            </w:r>
          </w:p>
        </w:tc>
        <w:tc>
          <w:tcPr>
            <w:tcW w:w="708" w:type="dxa"/>
            <w:shd w:val="clear" w:color="auto" w:fill="FFFFFF"/>
            <w:vAlign w:val="center"/>
          </w:tcPr>
          <w:p w14:paraId="308BC00E" w14:textId="77777777" w:rsidR="007F35EF" w:rsidRPr="00B77653" w:rsidRDefault="007F35EF" w:rsidP="00FE3A44">
            <w:pPr>
              <w:jc w:val="center"/>
            </w:pPr>
            <w:r w:rsidRPr="00B77653">
              <w:t>48</w:t>
            </w:r>
          </w:p>
        </w:tc>
        <w:tc>
          <w:tcPr>
            <w:tcW w:w="756" w:type="dxa"/>
            <w:shd w:val="clear" w:color="auto" w:fill="FFFFFF"/>
            <w:vAlign w:val="center"/>
          </w:tcPr>
          <w:p w14:paraId="7C53A8CE" w14:textId="77777777" w:rsidR="007F35EF" w:rsidRPr="00B77653" w:rsidRDefault="007F35EF" w:rsidP="00FE3A44">
            <w:pPr>
              <w:jc w:val="center"/>
            </w:pPr>
            <w:r w:rsidRPr="00B77653">
              <w:t>-</w:t>
            </w:r>
          </w:p>
        </w:tc>
        <w:tc>
          <w:tcPr>
            <w:tcW w:w="724" w:type="dxa"/>
            <w:shd w:val="clear" w:color="auto" w:fill="FFFFFF"/>
            <w:vAlign w:val="center"/>
          </w:tcPr>
          <w:p w14:paraId="307FF13B" w14:textId="77777777" w:rsidR="007F35EF" w:rsidRPr="00B77653" w:rsidRDefault="007F35EF" w:rsidP="00FE3A44">
            <w:pPr>
              <w:jc w:val="center"/>
            </w:pPr>
            <w:r w:rsidRPr="00B77653">
              <w:t>31</w:t>
            </w:r>
          </w:p>
        </w:tc>
        <w:tc>
          <w:tcPr>
            <w:tcW w:w="1508" w:type="dxa"/>
            <w:gridSpan w:val="2"/>
            <w:shd w:val="clear" w:color="auto" w:fill="FFFFFF"/>
          </w:tcPr>
          <w:p w14:paraId="37562ACB" w14:textId="77777777" w:rsidR="007F35EF" w:rsidRPr="00B77653" w:rsidRDefault="007F35EF" w:rsidP="00FE3A44">
            <w:pPr>
              <w:jc w:val="center"/>
            </w:pPr>
            <w:r w:rsidRPr="00B77653">
              <w:t>1</w:t>
            </w:r>
          </w:p>
        </w:tc>
        <w:tc>
          <w:tcPr>
            <w:tcW w:w="2379" w:type="dxa"/>
            <w:gridSpan w:val="3"/>
            <w:shd w:val="clear" w:color="auto" w:fill="FFFFFF"/>
            <w:vAlign w:val="center"/>
          </w:tcPr>
          <w:p w14:paraId="7FB476B9" w14:textId="77777777" w:rsidR="007F35EF" w:rsidRPr="00B77653" w:rsidRDefault="007F35EF" w:rsidP="00FE3A44">
            <w:pPr>
              <w:jc w:val="center"/>
              <w:rPr>
                <w:i/>
              </w:rPr>
            </w:pPr>
          </w:p>
        </w:tc>
      </w:tr>
      <w:tr w:rsidR="007F35EF" w:rsidRPr="00B77653" w14:paraId="3260C802" w14:textId="77777777" w:rsidTr="007965D9">
        <w:trPr>
          <w:jc w:val="center"/>
        </w:trPr>
        <w:tc>
          <w:tcPr>
            <w:tcW w:w="2476" w:type="dxa"/>
            <w:shd w:val="clear" w:color="auto" w:fill="FFFFFF"/>
            <w:vAlign w:val="center"/>
          </w:tcPr>
          <w:p w14:paraId="0DB3AE54" w14:textId="77777777" w:rsidR="007F35EF" w:rsidRPr="00B77653" w:rsidRDefault="007F35EF" w:rsidP="00FE3A44">
            <w:pPr>
              <w:jc w:val="center"/>
              <w:rPr>
                <w:i/>
              </w:rPr>
            </w:pPr>
            <w:r w:rsidRPr="00B77653">
              <w:t xml:space="preserve">Stative </w:t>
            </w:r>
            <w:r w:rsidRPr="00B77653">
              <w:rPr>
                <w:i/>
              </w:rPr>
              <w:t>have</w:t>
            </w:r>
          </w:p>
        </w:tc>
        <w:tc>
          <w:tcPr>
            <w:tcW w:w="761" w:type="dxa"/>
            <w:tcBorders>
              <w:bottom w:val="single" w:sz="4" w:space="0" w:color="auto"/>
            </w:tcBorders>
            <w:shd w:val="clear" w:color="auto" w:fill="FFFFFF"/>
            <w:vAlign w:val="center"/>
          </w:tcPr>
          <w:p w14:paraId="413373C7" w14:textId="77777777" w:rsidR="007F35EF" w:rsidRPr="00B77653" w:rsidRDefault="007F35EF" w:rsidP="00FE3A44">
            <w:pPr>
              <w:jc w:val="center"/>
            </w:pPr>
            <w:r w:rsidRPr="00B77653">
              <w:t>.26</w:t>
            </w:r>
          </w:p>
        </w:tc>
        <w:tc>
          <w:tcPr>
            <w:tcW w:w="708" w:type="dxa"/>
            <w:tcBorders>
              <w:bottom w:val="single" w:sz="4" w:space="0" w:color="auto"/>
            </w:tcBorders>
            <w:shd w:val="clear" w:color="auto" w:fill="FFFFFF"/>
            <w:vAlign w:val="center"/>
          </w:tcPr>
          <w:p w14:paraId="6DED7A06" w14:textId="77777777" w:rsidR="007F35EF" w:rsidRPr="00B77653" w:rsidRDefault="007F35EF" w:rsidP="00FE3A44">
            <w:pPr>
              <w:jc w:val="center"/>
            </w:pPr>
            <w:r w:rsidRPr="00B77653">
              <w:t>84</w:t>
            </w:r>
          </w:p>
        </w:tc>
        <w:tc>
          <w:tcPr>
            <w:tcW w:w="756" w:type="dxa"/>
            <w:tcBorders>
              <w:bottom w:val="single" w:sz="4" w:space="0" w:color="auto"/>
            </w:tcBorders>
            <w:shd w:val="clear" w:color="auto" w:fill="FFFFFF"/>
            <w:vAlign w:val="center"/>
          </w:tcPr>
          <w:p w14:paraId="4A6F2520" w14:textId="77777777" w:rsidR="007F35EF" w:rsidRPr="00B77653" w:rsidRDefault="007F35EF" w:rsidP="00FE3A44">
            <w:pPr>
              <w:jc w:val="center"/>
            </w:pPr>
            <w:r w:rsidRPr="00B77653">
              <w:t>-</w:t>
            </w:r>
          </w:p>
        </w:tc>
        <w:tc>
          <w:tcPr>
            <w:tcW w:w="724" w:type="dxa"/>
            <w:tcBorders>
              <w:bottom w:val="single" w:sz="4" w:space="0" w:color="auto"/>
            </w:tcBorders>
            <w:shd w:val="clear" w:color="auto" w:fill="FFFFFF"/>
            <w:vAlign w:val="center"/>
          </w:tcPr>
          <w:p w14:paraId="24F01AA9" w14:textId="77777777" w:rsidR="007F35EF" w:rsidRPr="00B77653" w:rsidRDefault="007F35EF" w:rsidP="00FE3A44">
            <w:pPr>
              <w:jc w:val="center"/>
            </w:pPr>
            <w:r w:rsidRPr="00B77653">
              <w:t>49</w:t>
            </w:r>
          </w:p>
        </w:tc>
        <w:tc>
          <w:tcPr>
            <w:tcW w:w="754" w:type="dxa"/>
            <w:shd w:val="clear" w:color="auto" w:fill="FFFFFF"/>
          </w:tcPr>
          <w:p w14:paraId="2A3B9DA9" w14:textId="77777777" w:rsidR="007F35EF" w:rsidRPr="00B77653" w:rsidRDefault="007F35EF" w:rsidP="00FE3A44">
            <w:pPr>
              <w:jc w:val="center"/>
            </w:pPr>
            <w:r w:rsidRPr="00B77653">
              <w:t>-</w:t>
            </w:r>
          </w:p>
        </w:tc>
        <w:tc>
          <w:tcPr>
            <w:tcW w:w="754" w:type="dxa"/>
            <w:shd w:val="clear" w:color="auto" w:fill="FFFFFF"/>
          </w:tcPr>
          <w:p w14:paraId="4C1C352F" w14:textId="77777777" w:rsidR="007F35EF" w:rsidRPr="00B77653" w:rsidRDefault="007F35EF" w:rsidP="00FE3A44">
            <w:pPr>
              <w:jc w:val="center"/>
            </w:pPr>
            <w:r w:rsidRPr="00B77653">
              <w:t>54</w:t>
            </w:r>
          </w:p>
        </w:tc>
        <w:tc>
          <w:tcPr>
            <w:tcW w:w="1346" w:type="dxa"/>
            <w:gridSpan w:val="2"/>
            <w:shd w:val="clear" w:color="auto" w:fill="FFFFFF"/>
            <w:vAlign w:val="center"/>
          </w:tcPr>
          <w:p w14:paraId="71312F47" w14:textId="77777777" w:rsidR="007F35EF" w:rsidRPr="00B77653" w:rsidRDefault="007F35EF" w:rsidP="00FE3A44">
            <w:pPr>
              <w:jc w:val="center"/>
            </w:pPr>
            <w:r w:rsidRPr="00B77653">
              <w:t>1</w:t>
            </w:r>
          </w:p>
        </w:tc>
        <w:tc>
          <w:tcPr>
            <w:tcW w:w="1033" w:type="dxa"/>
            <w:shd w:val="clear" w:color="auto" w:fill="FFFFFF"/>
            <w:vAlign w:val="center"/>
          </w:tcPr>
          <w:p w14:paraId="06EFA385" w14:textId="77777777" w:rsidR="007F35EF" w:rsidRPr="00B77653" w:rsidRDefault="007F35EF" w:rsidP="00FE3A44">
            <w:pPr>
              <w:jc w:val="center"/>
            </w:pPr>
          </w:p>
        </w:tc>
      </w:tr>
      <w:tr w:rsidR="007F35EF" w:rsidRPr="00B77653" w14:paraId="5EB088D7" w14:textId="77777777" w:rsidTr="007965D9">
        <w:trPr>
          <w:jc w:val="center"/>
        </w:trPr>
        <w:tc>
          <w:tcPr>
            <w:tcW w:w="2476" w:type="dxa"/>
            <w:shd w:val="clear" w:color="auto" w:fill="FFFFFF"/>
            <w:vAlign w:val="center"/>
          </w:tcPr>
          <w:p w14:paraId="45E5D263" w14:textId="77777777" w:rsidR="007F35EF" w:rsidRPr="00B77653" w:rsidRDefault="007F35EF" w:rsidP="00FE3A44">
            <w:pPr>
              <w:jc w:val="center"/>
            </w:pPr>
            <w:r w:rsidRPr="00B77653">
              <w:t xml:space="preserve">Deontic </w:t>
            </w:r>
            <w:r w:rsidRPr="00B77653">
              <w:rPr>
                <w:i/>
              </w:rPr>
              <w:t>have to</w:t>
            </w:r>
          </w:p>
        </w:tc>
        <w:tc>
          <w:tcPr>
            <w:tcW w:w="761" w:type="dxa"/>
            <w:shd w:val="clear" w:color="auto" w:fill="FFFFFF"/>
            <w:vAlign w:val="center"/>
          </w:tcPr>
          <w:p w14:paraId="1CC4FBC1" w14:textId="77777777" w:rsidR="007F35EF" w:rsidRPr="00B77653" w:rsidRDefault="007F35EF" w:rsidP="00FE3A44">
            <w:pPr>
              <w:jc w:val="center"/>
            </w:pPr>
            <w:r w:rsidRPr="00B77653">
              <w:t>-</w:t>
            </w:r>
          </w:p>
        </w:tc>
        <w:tc>
          <w:tcPr>
            <w:tcW w:w="708" w:type="dxa"/>
            <w:shd w:val="clear" w:color="auto" w:fill="FFFFFF"/>
            <w:vAlign w:val="center"/>
          </w:tcPr>
          <w:p w14:paraId="4BFAE225" w14:textId="77777777" w:rsidR="007F35EF" w:rsidRPr="00B77653" w:rsidRDefault="007F35EF" w:rsidP="00FE3A44">
            <w:pPr>
              <w:jc w:val="center"/>
            </w:pPr>
            <w:r w:rsidRPr="00B77653">
              <w:t>70</w:t>
            </w:r>
          </w:p>
        </w:tc>
        <w:tc>
          <w:tcPr>
            <w:tcW w:w="756" w:type="dxa"/>
            <w:tcBorders>
              <w:bottom w:val="single" w:sz="4" w:space="0" w:color="auto"/>
            </w:tcBorders>
            <w:shd w:val="clear" w:color="auto" w:fill="FFFFFF"/>
            <w:vAlign w:val="center"/>
          </w:tcPr>
          <w:p w14:paraId="72C286C5" w14:textId="77777777" w:rsidR="007F35EF" w:rsidRPr="00B77653" w:rsidRDefault="007F35EF" w:rsidP="00FE3A44">
            <w:pPr>
              <w:jc w:val="center"/>
            </w:pPr>
            <w:r w:rsidRPr="00B77653">
              <w:t>-</w:t>
            </w:r>
          </w:p>
        </w:tc>
        <w:tc>
          <w:tcPr>
            <w:tcW w:w="724" w:type="dxa"/>
            <w:tcBorders>
              <w:bottom w:val="single" w:sz="4" w:space="0" w:color="auto"/>
            </w:tcBorders>
            <w:shd w:val="clear" w:color="auto" w:fill="FFFFFF"/>
            <w:vAlign w:val="center"/>
          </w:tcPr>
          <w:p w14:paraId="2BB931E6" w14:textId="77777777" w:rsidR="007F35EF" w:rsidRPr="00B77653" w:rsidRDefault="007F35EF" w:rsidP="00FE3A44">
            <w:pPr>
              <w:jc w:val="center"/>
            </w:pPr>
            <w:r w:rsidRPr="00B77653">
              <w:t>44</w:t>
            </w:r>
          </w:p>
        </w:tc>
        <w:tc>
          <w:tcPr>
            <w:tcW w:w="754" w:type="dxa"/>
            <w:tcBorders>
              <w:bottom w:val="single" w:sz="4" w:space="0" w:color="auto"/>
            </w:tcBorders>
            <w:shd w:val="clear" w:color="auto" w:fill="FFFFFF"/>
          </w:tcPr>
          <w:p w14:paraId="7ABC019E" w14:textId="77777777" w:rsidR="007F35EF" w:rsidRPr="00B77653" w:rsidRDefault="007F35EF" w:rsidP="00FE3A44">
            <w:pPr>
              <w:jc w:val="center"/>
            </w:pPr>
            <w:r w:rsidRPr="00B77653">
              <w:t>-</w:t>
            </w:r>
          </w:p>
        </w:tc>
        <w:tc>
          <w:tcPr>
            <w:tcW w:w="754" w:type="dxa"/>
            <w:tcBorders>
              <w:bottom w:val="single" w:sz="4" w:space="0" w:color="auto"/>
            </w:tcBorders>
            <w:shd w:val="clear" w:color="auto" w:fill="FFFFFF"/>
          </w:tcPr>
          <w:p w14:paraId="19970C07" w14:textId="77777777" w:rsidR="007F35EF" w:rsidRPr="00B77653" w:rsidRDefault="007F35EF" w:rsidP="00FE3A44">
            <w:pPr>
              <w:jc w:val="center"/>
            </w:pPr>
            <w:r w:rsidRPr="00B77653">
              <w:t>44</w:t>
            </w:r>
          </w:p>
        </w:tc>
        <w:tc>
          <w:tcPr>
            <w:tcW w:w="698" w:type="dxa"/>
            <w:tcBorders>
              <w:bottom w:val="single" w:sz="4" w:space="0" w:color="auto"/>
            </w:tcBorders>
            <w:shd w:val="clear" w:color="auto" w:fill="FFFFFF"/>
            <w:vAlign w:val="center"/>
          </w:tcPr>
          <w:p w14:paraId="52B5254F" w14:textId="77777777" w:rsidR="007F35EF" w:rsidRPr="00B77653" w:rsidRDefault="007F35EF" w:rsidP="00FE3A44">
            <w:pPr>
              <w:jc w:val="center"/>
            </w:pPr>
            <w:r w:rsidRPr="00B77653">
              <w:t>.34</w:t>
            </w:r>
          </w:p>
        </w:tc>
        <w:tc>
          <w:tcPr>
            <w:tcW w:w="648" w:type="dxa"/>
            <w:tcBorders>
              <w:bottom w:val="single" w:sz="4" w:space="0" w:color="auto"/>
            </w:tcBorders>
            <w:shd w:val="clear" w:color="auto" w:fill="FFFFFF"/>
            <w:vAlign w:val="center"/>
          </w:tcPr>
          <w:p w14:paraId="0A652D75" w14:textId="77777777" w:rsidR="007F35EF" w:rsidRPr="00B77653" w:rsidRDefault="007F35EF" w:rsidP="00FE3A44">
            <w:pPr>
              <w:jc w:val="center"/>
            </w:pPr>
            <w:r w:rsidRPr="00B77653">
              <w:t>77</w:t>
            </w:r>
          </w:p>
        </w:tc>
        <w:tc>
          <w:tcPr>
            <w:tcW w:w="1033" w:type="dxa"/>
            <w:tcBorders>
              <w:bottom w:val="single" w:sz="4" w:space="0" w:color="auto"/>
            </w:tcBorders>
            <w:shd w:val="clear" w:color="auto" w:fill="FFFFFF"/>
            <w:vAlign w:val="center"/>
          </w:tcPr>
          <w:p w14:paraId="668D883D" w14:textId="77777777" w:rsidR="007F35EF" w:rsidRPr="00B77653" w:rsidRDefault="007F35EF" w:rsidP="00FE3A44">
            <w:pPr>
              <w:jc w:val="center"/>
            </w:pPr>
            <w:r w:rsidRPr="00B77653">
              <w:t>1</w:t>
            </w:r>
          </w:p>
        </w:tc>
      </w:tr>
    </w:tbl>
    <w:p w14:paraId="357E8389" w14:textId="77777777" w:rsidR="007F35EF" w:rsidRDefault="007F35EF" w:rsidP="0014390F">
      <w:pPr>
        <w:ind w:firstLine="720"/>
      </w:pPr>
    </w:p>
    <w:p w14:paraId="739E9819" w14:textId="386CAD46" w:rsidR="00107515" w:rsidRDefault="007F35EF" w:rsidP="009642C3">
      <w:pPr>
        <w:ind w:firstLine="720"/>
      </w:pPr>
      <w:r w:rsidRPr="00B77653">
        <w:t xml:space="preserve">We will </w:t>
      </w:r>
      <w:r>
        <w:t xml:space="preserve">examine </w:t>
      </w:r>
      <w:r w:rsidRPr="00B77653">
        <w:t>the correlations for leaders in a moment, but the patterns of correlation for all speakers were intriguing, and we propose some possible explanations for those results first.</w:t>
      </w:r>
      <w:r w:rsidR="00770A00" w:rsidRPr="00770A00">
        <w:t xml:space="preserve"> </w:t>
      </w:r>
      <w:r w:rsidR="00770A00" w:rsidRPr="00F71941">
        <w:t xml:space="preserve">Stuart-Smith and Timmins </w:t>
      </w:r>
      <w:r w:rsidR="00770A00">
        <w:t>(</w:t>
      </w:r>
      <w:r w:rsidR="00770A00" w:rsidRPr="00F71941">
        <w:t>2010</w:t>
      </w:r>
      <w:r w:rsidR="00770A00">
        <w:t xml:space="preserve">, </w:t>
      </w:r>
      <w:r w:rsidR="00770A00" w:rsidRPr="00F71941">
        <w:t>53</w:t>
      </w:r>
      <w:r w:rsidR="00770A00">
        <w:t xml:space="preserve">) found that speakers were more consistent in their use of the more recent phonological changes they examined, so we hypothesized that the nonphonological variants that reached their leading status in our data more recently might also be correlated.  As noted earlier </w:t>
      </w:r>
      <w:r w:rsidR="009B629E">
        <w:t xml:space="preserve">in the </w:t>
      </w:r>
      <w:r w:rsidR="00770A00">
        <w:t xml:space="preserve">discussion of the variables, </w:t>
      </w:r>
      <w:r w:rsidR="00770A00">
        <w:rPr>
          <w:i/>
        </w:rPr>
        <w:t xml:space="preserve">really </w:t>
      </w:r>
      <w:r w:rsidR="00770A00">
        <w:t xml:space="preserve">and </w:t>
      </w:r>
      <w:r w:rsidR="00770A00">
        <w:rPr>
          <w:i/>
        </w:rPr>
        <w:t xml:space="preserve">and stuff </w:t>
      </w:r>
      <w:r w:rsidR="00770A00">
        <w:t xml:space="preserve">are more recent innovations </w:t>
      </w:r>
      <w:r w:rsidR="00770A00" w:rsidRPr="00B77653">
        <w:t>(Tagliamonte 2008; Tagliamonte and Denis 2010</w:t>
      </w:r>
      <w:r w:rsidR="00770A00">
        <w:t xml:space="preserve">) and thus might be expected to </w:t>
      </w:r>
      <w:r w:rsidR="009B629E">
        <w:t>pattern together</w:t>
      </w:r>
      <w:r w:rsidR="00770A00">
        <w:t>.</w:t>
      </w:r>
      <w:r w:rsidRPr="00B77653">
        <w:t xml:space="preserve"> However, the use of </w:t>
      </w:r>
      <w:r w:rsidRPr="00B77653">
        <w:rPr>
          <w:i/>
        </w:rPr>
        <w:t xml:space="preserve">really </w:t>
      </w:r>
      <w:r w:rsidRPr="00B77653">
        <w:t xml:space="preserve">is not correlated with the use of GE </w:t>
      </w:r>
      <w:r w:rsidRPr="00B77653">
        <w:rPr>
          <w:i/>
        </w:rPr>
        <w:t>and stuff</w:t>
      </w:r>
      <w:r w:rsidRPr="00B77653">
        <w:t xml:space="preserve">, </w:t>
      </w:r>
      <w:r>
        <w:t xml:space="preserve">yet </w:t>
      </w:r>
      <w:r w:rsidRPr="00B77653">
        <w:t xml:space="preserve">both of these are correlated with the </w:t>
      </w:r>
      <w:r w:rsidR="00EF1FB1">
        <w:t xml:space="preserve">recent </w:t>
      </w:r>
      <w:r>
        <w:t>quotative</w:t>
      </w:r>
      <w:r w:rsidR="00EF1FB1">
        <w:t xml:space="preserve"> variant</w:t>
      </w:r>
      <w:r w:rsidRPr="00B77653">
        <w:t xml:space="preserve">, </w:t>
      </w:r>
      <w:r w:rsidRPr="00B77653">
        <w:rPr>
          <w:i/>
        </w:rPr>
        <w:t>be like</w:t>
      </w:r>
      <w:r w:rsidRPr="00B77653">
        <w:t xml:space="preserve">. Similarly, we see inconsistent patterns across variants that have </w:t>
      </w:r>
      <w:r>
        <w:t>reached their leading status less</w:t>
      </w:r>
      <w:r w:rsidRPr="00B77653">
        <w:t xml:space="preserve"> </w:t>
      </w:r>
      <w:r w:rsidRPr="00F71941">
        <w:t>recently</w:t>
      </w:r>
      <w:r>
        <w:t>. Consider the correlation between st</w:t>
      </w:r>
      <w:r w:rsidRPr="00B77653">
        <w:t xml:space="preserve">ative </w:t>
      </w:r>
      <w:r w:rsidRPr="00B77653">
        <w:rPr>
          <w:i/>
        </w:rPr>
        <w:t xml:space="preserve">have </w:t>
      </w:r>
      <w:r w:rsidRPr="00B77653">
        <w:t xml:space="preserve">and </w:t>
      </w:r>
      <w:r>
        <w:t>deontic</w:t>
      </w:r>
      <w:r w:rsidRPr="00B77653">
        <w:t xml:space="preserve"> </w:t>
      </w:r>
      <w:r w:rsidRPr="00B77653">
        <w:rPr>
          <w:i/>
        </w:rPr>
        <w:t>have to</w:t>
      </w:r>
      <w:r w:rsidRPr="00B77653">
        <w:t>. A</w:t>
      </w:r>
      <w:r w:rsidR="00873C87">
        <w:t xml:space="preserve">s mentioned earlier, </w:t>
      </w:r>
      <w:r>
        <w:t>stative</w:t>
      </w:r>
      <w:r w:rsidRPr="00B77653">
        <w:t xml:space="preserve"> </w:t>
      </w:r>
      <w:r w:rsidRPr="00B77653">
        <w:rPr>
          <w:i/>
        </w:rPr>
        <w:t xml:space="preserve">have </w:t>
      </w:r>
      <w:r w:rsidRPr="00B77653">
        <w:t xml:space="preserve">and </w:t>
      </w:r>
      <w:r>
        <w:t>deontic</w:t>
      </w:r>
      <w:r w:rsidRPr="00B77653">
        <w:t xml:space="preserve"> </w:t>
      </w:r>
      <w:r w:rsidRPr="00B77653">
        <w:rPr>
          <w:i/>
        </w:rPr>
        <w:t>have to</w:t>
      </w:r>
      <w:r w:rsidRPr="00B77653">
        <w:t xml:space="preserve"> are the most commonly used variant</w:t>
      </w:r>
      <w:r w:rsidR="00107515">
        <w:t>s</w:t>
      </w:r>
      <w:r w:rsidRPr="00B77653">
        <w:t xml:space="preserve"> of speakers across all age groups in Toronto (Tagliamonte and D’Arcy 2007b, 71, Tagliamonte et al. 2010, 159).</w:t>
      </w:r>
      <w:r w:rsidRPr="00B77653">
        <w:rPr>
          <w:rStyle w:val="EndnoteReference"/>
        </w:rPr>
        <w:endnoteReference w:id="10"/>
      </w:r>
      <w:r w:rsidRPr="00B77653">
        <w:t xml:space="preserve"> While this</w:t>
      </w:r>
      <w:r w:rsidR="009B629E">
        <w:t xml:space="preserve"> correlation</w:t>
      </w:r>
      <w:r w:rsidRPr="00B77653">
        <w:t xml:space="preserve"> would seem to suggest a role </w:t>
      </w:r>
      <w:r>
        <w:t xml:space="preserve">for the time depth of </w:t>
      </w:r>
      <w:r w:rsidRPr="00B77653">
        <w:t xml:space="preserve">a variant in a community, other evidence indicates that </w:t>
      </w:r>
      <w:r>
        <w:t xml:space="preserve">age </w:t>
      </w:r>
      <w:r w:rsidRPr="00B77653">
        <w:t xml:space="preserve">of the change alone cannot explain the results. First, the use of </w:t>
      </w:r>
      <w:r>
        <w:t>stative</w:t>
      </w:r>
      <w:r w:rsidRPr="00B77653">
        <w:t xml:space="preserve"> </w:t>
      </w:r>
      <w:r w:rsidRPr="00B77653">
        <w:rPr>
          <w:i/>
        </w:rPr>
        <w:t xml:space="preserve">have </w:t>
      </w:r>
      <w:r w:rsidRPr="00B77653">
        <w:t xml:space="preserve">is correlated with use of </w:t>
      </w:r>
      <w:r>
        <w:t>quotative</w:t>
      </w:r>
      <w:r w:rsidRPr="00B77653">
        <w:t xml:space="preserve"> </w:t>
      </w:r>
      <w:r w:rsidRPr="00B77653">
        <w:rPr>
          <w:i/>
        </w:rPr>
        <w:t>be like</w:t>
      </w:r>
      <w:r w:rsidRPr="00B77653">
        <w:t>, a variant which has only superseded its predecessor (</w:t>
      </w:r>
      <w:r>
        <w:t>quotative</w:t>
      </w:r>
      <w:r w:rsidRPr="00B77653">
        <w:t xml:space="preserve"> </w:t>
      </w:r>
      <w:r w:rsidRPr="00B77653">
        <w:rPr>
          <w:i/>
        </w:rPr>
        <w:t>say</w:t>
      </w:r>
      <w:r w:rsidRPr="00B77653">
        <w:t xml:space="preserve">) among the under 30 year olds (Tagliamonte and D’Arcy 2007a, 205), </w:t>
      </w:r>
      <w:r>
        <w:t xml:space="preserve">therefore it cannot be </w:t>
      </w:r>
      <w:r w:rsidRPr="00B77653">
        <w:t xml:space="preserve">the case that older innovations are only correlated with each other. In addition, the use </w:t>
      </w:r>
      <w:r>
        <w:t>deontic</w:t>
      </w:r>
      <w:r w:rsidRPr="00B77653">
        <w:t xml:space="preserve"> </w:t>
      </w:r>
      <w:r w:rsidRPr="00B77653">
        <w:rPr>
          <w:i/>
        </w:rPr>
        <w:t xml:space="preserve">have to </w:t>
      </w:r>
      <w:r w:rsidRPr="00B77653">
        <w:t xml:space="preserve">is </w:t>
      </w:r>
      <w:r w:rsidRPr="00B77653">
        <w:rPr>
          <w:u w:val="single"/>
        </w:rPr>
        <w:t>not</w:t>
      </w:r>
      <w:r w:rsidRPr="00B77653">
        <w:rPr>
          <w:i/>
        </w:rPr>
        <w:t xml:space="preserve"> </w:t>
      </w:r>
      <w:r w:rsidRPr="00B77653">
        <w:t xml:space="preserve">correlated with </w:t>
      </w:r>
      <w:r>
        <w:t>quotative</w:t>
      </w:r>
      <w:r w:rsidRPr="00B77653">
        <w:t xml:space="preserve"> </w:t>
      </w:r>
      <w:r w:rsidRPr="00B77653">
        <w:rPr>
          <w:i/>
        </w:rPr>
        <w:t>be like</w:t>
      </w:r>
      <w:r w:rsidRPr="00B77653">
        <w:t xml:space="preserve">, so we see </w:t>
      </w:r>
      <w:r>
        <w:t xml:space="preserve">an asymmetrical </w:t>
      </w:r>
      <w:r w:rsidRPr="00B77653">
        <w:t xml:space="preserve">pattern of correlations for the two older changes. </w:t>
      </w:r>
      <w:r w:rsidR="001D7207">
        <w:t>Thus, the</w:t>
      </w:r>
      <w:r w:rsidRPr="00B77653">
        <w:t xml:space="preserve"> patterns of correlation defy any simple explanation</w:t>
      </w:r>
      <w:r>
        <w:t xml:space="preserve"> related to the age of the change or structural features of the variants</w:t>
      </w:r>
      <w:r w:rsidRPr="00B77653">
        <w:t>.</w:t>
      </w:r>
    </w:p>
    <w:p w14:paraId="3188C748" w14:textId="7C2830A3" w:rsidR="007F35EF" w:rsidRPr="00F57FC1" w:rsidRDefault="007F35EF" w:rsidP="00F57FC1">
      <w:pPr>
        <w:ind w:firstLine="720"/>
      </w:pPr>
      <w:r>
        <w:t>We note that, aside from the correlation between st</w:t>
      </w:r>
      <w:r w:rsidRPr="00B77653">
        <w:t xml:space="preserve">ative </w:t>
      </w:r>
      <w:r w:rsidRPr="00B77653">
        <w:rPr>
          <w:i/>
        </w:rPr>
        <w:t xml:space="preserve">have </w:t>
      </w:r>
      <w:r w:rsidRPr="00B77653">
        <w:t xml:space="preserve">and </w:t>
      </w:r>
      <w:r>
        <w:t>deontic</w:t>
      </w:r>
      <w:r w:rsidRPr="00B77653">
        <w:t xml:space="preserve"> </w:t>
      </w:r>
      <w:r w:rsidRPr="00B77653">
        <w:rPr>
          <w:i/>
        </w:rPr>
        <w:t>have to</w:t>
      </w:r>
      <w:r>
        <w:t xml:space="preserve">, all the statistically significant correlations involve quotative </w:t>
      </w:r>
      <w:r>
        <w:rPr>
          <w:i/>
        </w:rPr>
        <w:t>be like</w:t>
      </w:r>
      <w:r>
        <w:t>. Tagliamonte</w:t>
      </w:r>
      <w:r w:rsidR="00EC6708">
        <w:t>, D’Arcy and Rodríguez Louro</w:t>
      </w:r>
      <w:r>
        <w:t xml:space="preserve"> (2016, passim) have recently demonstrated, through cross-variety data, that </w:t>
      </w:r>
      <w:r>
        <w:rPr>
          <w:i/>
        </w:rPr>
        <w:t xml:space="preserve">be like </w:t>
      </w:r>
      <w:r>
        <w:t>is an exceptional linguistic form</w:t>
      </w:r>
      <w:r w:rsidR="00F32D0B">
        <w:t>. In studies of multiple variables, t</w:t>
      </w:r>
      <w:r w:rsidR="0045114C">
        <w:t xml:space="preserve">he rise of </w:t>
      </w:r>
      <w:r w:rsidR="00B86C8F">
        <w:rPr>
          <w:i/>
        </w:rPr>
        <w:t xml:space="preserve">be </w:t>
      </w:r>
      <w:r w:rsidR="00B86C8F" w:rsidRPr="00B86C8F">
        <w:rPr>
          <w:i/>
        </w:rPr>
        <w:t>like</w:t>
      </w:r>
      <w:r w:rsidR="00B86C8F">
        <w:t xml:space="preserve"> has also been </w:t>
      </w:r>
      <w:r w:rsidR="0045114C">
        <w:t>observed</w:t>
      </w:r>
      <w:r w:rsidR="00B86C8F">
        <w:t xml:space="preserve"> </w:t>
      </w:r>
      <w:r w:rsidR="00F32D0B">
        <w:t xml:space="preserve">to occur alongside changes in </w:t>
      </w:r>
      <w:r w:rsidR="0045114C">
        <w:t>more local variables (e.g.</w:t>
      </w:r>
      <w:r w:rsidR="00F32D0B">
        <w:t xml:space="preserve"> Cheshire, Kerswill, Fox and Torgersen 2011 for Multicultural London English</w:t>
      </w:r>
      <w:r w:rsidR="0045114C">
        <w:t xml:space="preserve">; Hazen, Butcher and King 2010 for </w:t>
      </w:r>
      <w:r w:rsidR="00F32D0B">
        <w:t xml:space="preserve">West Virginia </w:t>
      </w:r>
      <w:r w:rsidR="0045114C">
        <w:t>English)</w:t>
      </w:r>
      <w:r w:rsidR="00F32D0B">
        <w:t xml:space="preserve">, though the </w:t>
      </w:r>
      <w:r w:rsidR="001D7207">
        <w:t>social</w:t>
      </w:r>
      <w:r w:rsidR="00F32D0B">
        <w:t xml:space="preserve"> variables with which </w:t>
      </w:r>
      <w:r w:rsidR="00F32D0B">
        <w:rPr>
          <w:i/>
        </w:rPr>
        <w:t xml:space="preserve">be like </w:t>
      </w:r>
      <w:r w:rsidR="00F32D0B">
        <w:t>correlates may not be consistent across communities (Buchstaller and D’Arcy 2009)</w:t>
      </w:r>
      <w:r w:rsidR="0045114C">
        <w:t xml:space="preserve">. </w:t>
      </w:r>
      <w:r>
        <w:t xml:space="preserve">We </w:t>
      </w:r>
      <w:r w:rsidR="009642C3">
        <w:t xml:space="preserve">suggest </w:t>
      </w:r>
      <w:r>
        <w:t xml:space="preserve">that its tendency to be correlated with other innovative forms is an additional aspect of its </w:t>
      </w:r>
      <w:r w:rsidR="009642C3">
        <w:t xml:space="preserve">unique </w:t>
      </w:r>
      <w:r>
        <w:t xml:space="preserve">development.  </w:t>
      </w:r>
    </w:p>
    <w:p w14:paraId="6751EA7F" w14:textId="77777777" w:rsidR="007F35EF" w:rsidRDefault="007F35EF" w:rsidP="0014390F">
      <w:pPr>
        <w:rPr>
          <w:b/>
        </w:rPr>
      </w:pPr>
    </w:p>
    <w:p w14:paraId="4C9E0611" w14:textId="522B544E" w:rsidR="007F35EF" w:rsidRPr="00B77653" w:rsidRDefault="007F35EF" w:rsidP="00607CE9">
      <w:r w:rsidRPr="0014390F">
        <w:rPr>
          <w:b/>
        </w:rPr>
        <w:t>LEADERS</w:t>
      </w:r>
      <w:r>
        <w:rPr>
          <w:b/>
        </w:rPr>
        <w:t xml:space="preserve">. </w:t>
      </w:r>
      <w:r w:rsidRPr="00625790">
        <w:t>W</w:t>
      </w:r>
      <w:r>
        <w:rPr>
          <w:bCs/>
        </w:rPr>
        <w:t xml:space="preserve">e </w:t>
      </w:r>
      <w:r>
        <w:t xml:space="preserve">were </w:t>
      </w:r>
      <w:r w:rsidRPr="00B77653">
        <w:t xml:space="preserve">particularly </w:t>
      </w:r>
      <w:r>
        <w:t xml:space="preserve">interested in </w:t>
      </w:r>
      <w:r w:rsidR="00873C87">
        <w:t xml:space="preserve">using our </w:t>
      </w:r>
      <w:r w:rsidR="009642C3">
        <w:t>contemporary</w:t>
      </w:r>
      <w:r w:rsidR="00873C87">
        <w:t xml:space="preserve"> data to </w:t>
      </w:r>
      <w:r>
        <w:t>examin</w:t>
      </w:r>
      <w:r w:rsidR="00873C87">
        <w:t>e</w:t>
      </w:r>
      <w:r>
        <w:t xml:space="preserve"> potential covariation among the leaders of change</w:t>
      </w:r>
      <w:r w:rsidR="00873C87">
        <w:t>.</w:t>
      </w:r>
      <w:r>
        <w:t xml:space="preserve"> </w:t>
      </w:r>
      <w:r w:rsidRPr="00B77653">
        <w:t xml:space="preserve"> As described above, we used a factor weight value of .70 as the criterion for being a leader in our first analysis, and we looked at leaders of one change versus the other changes in a series of tests, as the leaders were not a uniform group across all the linguistic features. At the end of the first series of analyses, we did not have </w:t>
      </w:r>
      <w:r>
        <w:t xml:space="preserve">even one </w:t>
      </w:r>
      <w:r w:rsidRPr="00B77653">
        <w:t xml:space="preserve">significant correlation (at the 0.01 level) in the use of innovative forms by the leaders of </w:t>
      </w:r>
      <w:r w:rsidRPr="00B77653">
        <w:rPr>
          <w:i/>
        </w:rPr>
        <w:t>any</w:t>
      </w:r>
      <w:r w:rsidRPr="00B77653">
        <w:t xml:space="preserve"> of the changes we examined. That is, when looking at only the leaders of any one variable, </w:t>
      </w:r>
      <w:r>
        <w:t xml:space="preserve">there were no </w:t>
      </w:r>
      <w:r w:rsidRPr="00B77653">
        <w:t xml:space="preserve">significant correlations with other variables. The leaders of </w:t>
      </w:r>
      <w:r>
        <w:t xml:space="preserve">one </w:t>
      </w:r>
      <w:r w:rsidRPr="00B77653">
        <w:t xml:space="preserve">change were </w:t>
      </w:r>
      <w:r w:rsidRPr="007F35EF">
        <w:t xml:space="preserve">not </w:t>
      </w:r>
      <w:r w:rsidRPr="001E7747">
        <w:t xml:space="preserve">leaders of </w:t>
      </w:r>
      <w:r w:rsidRPr="007F35EF">
        <w:t>changes</w:t>
      </w:r>
      <w:r>
        <w:t xml:space="preserve"> more generally</w:t>
      </w:r>
      <w:r w:rsidRPr="001E7747">
        <w:t>.</w:t>
      </w:r>
      <w:r>
        <w:t xml:space="preserve"> Moreover</w:t>
      </w:r>
      <w:r w:rsidRPr="00B77653">
        <w:t>,</w:t>
      </w:r>
      <w:r>
        <w:t xml:space="preserve"> our </w:t>
      </w:r>
      <w:r w:rsidRPr="00B77653">
        <w:t xml:space="preserve">vernacular spoken data showed even less of a relationship across variables than Nevalainen et al. (2011) had found in their historical </w:t>
      </w:r>
      <w:r>
        <w:t xml:space="preserve">written data. </w:t>
      </w:r>
    </w:p>
    <w:p w14:paraId="655BA4A6" w14:textId="59CBBA78" w:rsidR="007F35EF" w:rsidRPr="00B77653" w:rsidRDefault="007F35EF" w:rsidP="00FB7573">
      <w:pPr>
        <w:ind w:firstLine="720"/>
      </w:pPr>
      <w:r>
        <w:t xml:space="preserve">Our means of identifying </w:t>
      </w:r>
      <w:r w:rsidRPr="00B77653">
        <w:t>leaders was in line with other studies (i.e., we included more than the putative 2.5 percent of speakers who are at the cutting-edge of change)</w:t>
      </w:r>
      <w:r>
        <w:t xml:space="preserve"> and </w:t>
      </w:r>
      <w:r w:rsidRPr="00B77653">
        <w:t xml:space="preserve">our results were generally in keeping with </w:t>
      </w:r>
      <w:r>
        <w:t xml:space="preserve">previous findings. Nevertheless, </w:t>
      </w:r>
      <w:r w:rsidRPr="00B77653">
        <w:t>Nevalainen et al. (2011,</w:t>
      </w:r>
      <w:r w:rsidR="00873C87">
        <w:t xml:space="preserve"> </w:t>
      </w:r>
      <w:r>
        <w:t>36) noted that</w:t>
      </w:r>
      <w:r w:rsidRPr="00B77653">
        <w:t xml:space="preserve"> in change over time, “the more protracted the process, the fewer individuals [who] can be labeled as progressive or conservative, whereas in rapid changes there are fewer in-betweens.” </w:t>
      </w:r>
      <w:r>
        <w:t xml:space="preserve">Therefore, it was possible that </w:t>
      </w:r>
      <w:r w:rsidRPr="00B77653">
        <w:t xml:space="preserve">the </w:t>
      </w:r>
      <w:r>
        <w:t xml:space="preserve">original </w:t>
      </w:r>
      <w:r w:rsidRPr="00B77653">
        <w:t xml:space="preserve">factor weight criterion of .70 had not correctly identified leaders across </w:t>
      </w:r>
      <w:r>
        <w:t xml:space="preserve">all the variables, and we established variable-specific </w:t>
      </w:r>
      <w:r w:rsidRPr="00B77653">
        <w:t xml:space="preserve">criteria for leadership. </w:t>
      </w:r>
      <w:r>
        <w:t xml:space="preserve">We </w:t>
      </w:r>
      <w:r w:rsidRPr="00B77653">
        <w:t>conducted a subsequent series of correlation calculations</w:t>
      </w:r>
      <w:r>
        <w:t xml:space="preserve"> for leaders</w:t>
      </w:r>
      <w:r w:rsidRPr="00B77653">
        <w:t xml:space="preserve">, using a leadership criterion of a factor weight of .80 for older changes (namely, </w:t>
      </w:r>
      <w:r>
        <w:t>s</w:t>
      </w:r>
      <w:r w:rsidRPr="00B77653">
        <w:t xml:space="preserve">tative </w:t>
      </w:r>
      <w:r w:rsidRPr="00B77653">
        <w:rPr>
          <w:i/>
        </w:rPr>
        <w:t xml:space="preserve">have </w:t>
      </w:r>
      <w:r>
        <w:t>and d</w:t>
      </w:r>
      <w:r w:rsidRPr="00B77653">
        <w:t xml:space="preserve">eontic </w:t>
      </w:r>
      <w:r w:rsidRPr="00B77653">
        <w:rPr>
          <w:i/>
        </w:rPr>
        <w:t>have to</w:t>
      </w:r>
      <w:r w:rsidRPr="00B77653">
        <w:t xml:space="preserve"> where we had also identified a large group of leaders in the first analysis) and a lower leadership criterion of .60 for the other three changes.</w:t>
      </w:r>
      <w:r w:rsidRPr="00B77653">
        <w:rPr>
          <w:rStyle w:val="EndnoteReference"/>
        </w:rPr>
        <w:endnoteReference w:id="11"/>
      </w:r>
      <w:r w:rsidRPr="00B77653">
        <w:rPr>
          <w:rStyle w:val="EndnoteReference"/>
        </w:rPr>
        <w:t xml:space="preserve"> </w:t>
      </w:r>
      <w:r w:rsidRPr="00B77653">
        <w:t xml:space="preserve">However, this strategy </w:t>
      </w:r>
      <w:r>
        <w:t xml:space="preserve">also showed no </w:t>
      </w:r>
      <w:r w:rsidRPr="00B77653">
        <w:t xml:space="preserve">correlations among the </w:t>
      </w:r>
      <w:r>
        <w:t xml:space="preserve">adjusted </w:t>
      </w:r>
      <w:r w:rsidRPr="00B77653">
        <w:t xml:space="preserve">groups of leaders. </w:t>
      </w:r>
    </w:p>
    <w:p w14:paraId="07C8526B" w14:textId="4329B58A" w:rsidR="00752982" w:rsidRDefault="007F35EF" w:rsidP="00FE3A44">
      <w:pPr>
        <w:ind w:firstLine="720"/>
      </w:pPr>
      <w:r>
        <w:t>To be thorough, we explored</w:t>
      </w:r>
      <w:r w:rsidRPr="00B77653">
        <w:t xml:space="preserve"> </w:t>
      </w:r>
      <w:r>
        <w:t xml:space="preserve">the possibility </w:t>
      </w:r>
      <w:r w:rsidRPr="00B77653">
        <w:t xml:space="preserve">that we had not </w:t>
      </w:r>
      <w:r>
        <w:t xml:space="preserve">targeted </w:t>
      </w:r>
      <w:r w:rsidRPr="00B77653">
        <w:t xml:space="preserve">an early enough stage of linguistic change. As described above, the strongest correlation we observed across all speakers was between </w:t>
      </w:r>
      <w:r>
        <w:t>quotative</w:t>
      </w:r>
      <w:r w:rsidRPr="00B77653">
        <w:t xml:space="preserve"> </w:t>
      </w:r>
      <w:r w:rsidRPr="00B77653">
        <w:rPr>
          <w:i/>
        </w:rPr>
        <w:t>be like</w:t>
      </w:r>
      <w:r w:rsidRPr="00B77653">
        <w:t xml:space="preserve"> and </w:t>
      </w:r>
      <w:r>
        <w:t>intensifier</w:t>
      </w:r>
      <w:r w:rsidRPr="00B77653">
        <w:t xml:space="preserve"> </w:t>
      </w:r>
      <w:r w:rsidRPr="00B77653">
        <w:rPr>
          <w:i/>
        </w:rPr>
        <w:t xml:space="preserve">really. </w:t>
      </w:r>
      <w:r w:rsidRPr="00B77653">
        <w:t xml:space="preserve">Given that the introduction of </w:t>
      </w:r>
      <w:r w:rsidR="00873C87">
        <w:t xml:space="preserve">a </w:t>
      </w:r>
      <w:r w:rsidRPr="00B77653">
        <w:t xml:space="preserve">new </w:t>
      </w:r>
      <w:r>
        <w:t xml:space="preserve">intensifier </w:t>
      </w:r>
      <w:r w:rsidRPr="00B77653">
        <w:t xml:space="preserve">form </w:t>
      </w:r>
      <w:r w:rsidR="009642C3">
        <w:t xml:space="preserve">may </w:t>
      </w:r>
      <w:r w:rsidRPr="00B77653">
        <w:t xml:space="preserve">proceed rapidly (Tagliamonte 2008, 362), we speculated that if we looked at an </w:t>
      </w:r>
      <w:r>
        <w:t>incipient</w:t>
      </w:r>
      <w:r w:rsidRPr="00B77653">
        <w:t xml:space="preserve"> intensifier, rather than </w:t>
      </w:r>
      <w:r w:rsidRPr="00B77653">
        <w:rPr>
          <w:i/>
        </w:rPr>
        <w:t>really</w:t>
      </w:r>
      <w:r w:rsidRPr="00B77653">
        <w:t xml:space="preserve">, we might catch linguistic change at an earlier stage. For speakers under 30, the second most commonly used intensifier in Toronto is </w:t>
      </w:r>
      <w:r w:rsidRPr="00B77653">
        <w:rPr>
          <w:i/>
        </w:rPr>
        <w:t xml:space="preserve">so </w:t>
      </w:r>
      <w:r w:rsidRPr="00B77653">
        <w:t xml:space="preserve">(Tagliamonte 2008, 372), exemplified in (2c). We therefore repeated our correlation calculations looking at i) the use of </w:t>
      </w:r>
      <w:r>
        <w:t>intensifier</w:t>
      </w:r>
      <w:r w:rsidRPr="00B77653">
        <w:t xml:space="preserve"> </w:t>
      </w:r>
      <w:r w:rsidRPr="00B77653">
        <w:rPr>
          <w:i/>
        </w:rPr>
        <w:t xml:space="preserve">so </w:t>
      </w:r>
      <w:r w:rsidRPr="00B77653">
        <w:t>and the other variables for all speakers</w:t>
      </w:r>
      <w:r>
        <w:t>, not only leaders</w:t>
      </w:r>
      <w:r w:rsidRPr="00B77653">
        <w:t xml:space="preserve">, ii) the use of the other variables by the leaders of </w:t>
      </w:r>
      <w:r>
        <w:t>intensifier</w:t>
      </w:r>
      <w:r w:rsidRPr="00B77653">
        <w:t xml:space="preserve"> </w:t>
      </w:r>
      <w:r w:rsidRPr="00B77653">
        <w:rPr>
          <w:i/>
        </w:rPr>
        <w:t>so</w:t>
      </w:r>
      <w:r w:rsidRPr="00B77653">
        <w:t>,</w:t>
      </w:r>
      <w:r w:rsidRPr="00B77653">
        <w:rPr>
          <w:i/>
        </w:rPr>
        <w:t xml:space="preserve"> </w:t>
      </w:r>
      <w:r w:rsidRPr="00B77653">
        <w:t xml:space="preserve">and, iii) the use of </w:t>
      </w:r>
      <w:r>
        <w:t>intensifier</w:t>
      </w:r>
      <w:r w:rsidRPr="00B77653">
        <w:t xml:space="preserve"> </w:t>
      </w:r>
      <w:r w:rsidRPr="00B77653">
        <w:rPr>
          <w:i/>
        </w:rPr>
        <w:t xml:space="preserve">so </w:t>
      </w:r>
      <w:r w:rsidRPr="00B77653">
        <w:t>by the leaders of the other variables.</w:t>
      </w:r>
      <w:r>
        <w:rPr>
          <w:rStyle w:val="EndnoteReference"/>
        </w:rPr>
        <w:endnoteReference w:id="12"/>
      </w:r>
      <w:r w:rsidRPr="00B77653">
        <w:t xml:space="preserve"> </w:t>
      </w:r>
      <w:r w:rsidR="002C19B2" w:rsidRPr="00B77653">
        <w:t xml:space="preserve"> </w:t>
      </w:r>
    </w:p>
    <w:p w14:paraId="2B0E8BBE" w14:textId="61416EC0" w:rsidR="002C19B2" w:rsidRPr="00B77653" w:rsidRDefault="00C45187" w:rsidP="00FE3A44">
      <w:pPr>
        <w:ind w:firstLine="720"/>
      </w:pPr>
      <w:r w:rsidRPr="00B77653">
        <w:t xml:space="preserve">For </w:t>
      </w:r>
      <w:r w:rsidRPr="00B77653">
        <w:rPr>
          <w:i/>
        </w:rPr>
        <w:t>all</w:t>
      </w:r>
      <w:r w:rsidRPr="00B77653">
        <w:t xml:space="preserve"> speakers, the only correlation tha</w:t>
      </w:r>
      <w:r w:rsidR="004174CF" w:rsidRPr="00B77653">
        <w:t>t is statistically significant was</w:t>
      </w:r>
      <w:r w:rsidRPr="00B77653">
        <w:t xml:space="preserve"> between </w:t>
      </w:r>
      <w:r w:rsidR="000F15BE">
        <w:t>quotative</w:t>
      </w:r>
      <w:r w:rsidRPr="00B77653">
        <w:rPr>
          <w:i/>
        </w:rPr>
        <w:t xml:space="preserve"> be like </w:t>
      </w:r>
      <w:r w:rsidRPr="00B77653">
        <w:t xml:space="preserve">and </w:t>
      </w:r>
      <w:r w:rsidR="000F15BE">
        <w:t>intensifier</w:t>
      </w:r>
      <w:r w:rsidRPr="00B77653">
        <w:t xml:space="preserve"> </w:t>
      </w:r>
      <w:r w:rsidRPr="00B77653">
        <w:rPr>
          <w:i/>
        </w:rPr>
        <w:t>so</w:t>
      </w:r>
      <w:r w:rsidRPr="00B77653">
        <w:t xml:space="preserve">, with a Pearson’s </w:t>
      </w:r>
      <w:r w:rsidRPr="00B77653">
        <w:rPr>
          <w:i/>
        </w:rPr>
        <w:t xml:space="preserve">r </w:t>
      </w:r>
      <w:r w:rsidRPr="00B77653">
        <w:t xml:space="preserve">value of </w:t>
      </w:r>
      <w:r w:rsidR="00F46793">
        <w:t>0</w:t>
      </w:r>
      <w:r w:rsidRPr="00B77653">
        <w:t xml:space="preserve">.35 (df = 51), and this value is lower than the correlation value for </w:t>
      </w:r>
      <w:r w:rsidR="000F15BE">
        <w:t>intensifier</w:t>
      </w:r>
      <w:r w:rsidRPr="00B77653">
        <w:t xml:space="preserve"> </w:t>
      </w:r>
      <w:r w:rsidRPr="00B77653">
        <w:rPr>
          <w:i/>
        </w:rPr>
        <w:t>really</w:t>
      </w:r>
      <w:r w:rsidR="00A826CF" w:rsidRPr="00B77653">
        <w:rPr>
          <w:i/>
        </w:rPr>
        <w:t xml:space="preserve"> </w:t>
      </w:r>
      <w:r w:rsidR="00A826CF" w:rsidRPr="00B77653">
        <w:t>(</w:t>
      </w:r>
      <w:r w:rsidR="00A826CF" w:rsidRPr="00B77653">
        <w:rPr>
          <w:i/>
        </w:rPr>
        <w:t xml:space="preserve">r </w:t>
      </w:r>
      <w:r w:rsidR="00A826CF" w:rsidRPr="00B77653">
        <w:t>=</w:t>
      </w:r>
      <w:r w:rsidR="00486055" w:rsidRPr="00B77653">
        <w:t xml:space="preserve"> </w:t>
      </w:r>
      <w:r w:rsidR="009C0230">
        <w:t>0</w:t>
      </w:r>
      <w:r w:rsidR="00A826CF" w:rsidRPr="00B77653">
        <w:t>.47)</w:t>
      </w:r>
      <w:r w:rsidR="00752982">
        <w:t xml:space="preserve"> displayed in Table 1</w:t>
      </w:r>
      <w:r w:rsidRPr="00B77653">
        <w:t xml:space="preserve">. </w:t>
      </w:r>
      <w:r w:rsidR="002C19B2" w:rsidRPr="007F35EF">
        <w:t>Table 2</w:t>
      </w:r>
      <w:r w:rsidR="002C19B2" w:rsidRPr="00B77653">
        <w:t xml:space="preserve"> shows the results </w:t>
      </w:r>
      <w:r w:rsidR="00A826CF" w:rsidRPr="00B77653">
        <w:t xml:space="preserve">of correlations for leaders in </w:t>
      </w:r>
      <w:r w:rsidR="000F15BE">
        <w:t>intensifier</w:t>
      </w:r>
      <w:r w:rsidR="002C19B2" w:rsidRPr="00B77653">
        <w:t xml:space="preserve"> </w:t>
      </w:r>
      <w:r w:rsidR="002C19B2" w:rsidRPr="00B77653">
        <w:rPr>
          <w:i/>
        </w:rPr>
        <w:t xml:space="preserve">so </w:t>
      </w:r>
      <w:r w:rsidR="002C19B2" w:rsidRPr="00B77653">
        <w:t>and the other variables we examined.</w:t>
      </w:r>
      <w:r w:rsidRPr="00B77653">
        <w:t xml:space="preserve"> We again see that </w:t>
      </w:r>
      <w:r w:rsidR="00260DB2" w:rsidRPr="00B77653">
        <w:t>the values are not statistically significant</w:t>
      </w:r>
      <w:r w:rsidR="00260DB2">
        <w:t xml:space="preserve">, except in one key pair: </w:t>
      </w:r>
      <w:r w:rsidR="00A826CF" w:rsidRPr="00B77653">
        <w:t xml:space="preserve">the use of </w:t>
      </w:r>
      <w:r w:rsidR="000F15BE">
        <w:t>quotative</w:t>
      </w:r>
      <w:r w:rsidR="00A826CF" w:rsidRPr="00B77653">
        <w:t xml:space="preserve"> </w:t>
      </w:r>
      <w:r w:rsidR="00A826CF" w:rsidRPr="00B77653">
        <w:rPr>
          <w:i/>
        </w:rPr>
        <w:t xml:space="preserve">be like </w:t>
      </w:r>
      <w:r w:rsidR="00A826CF" w:rsidRPr="00B77653">
        <w:t xml:space="preserve">and </w:t>
      </w:r>
      <w:r w:rsidR="000F15BE">
        <w:t>intensifier</w:t>
      </w:r>
      <w:r w:rsidR="00A826CF" w:rsidRPr="00B77653">
        <w:t xml:space="preserve"> </w:t>
      </w:r>
      <w:r w:rsidR="00A826CF" w:rsidRPr="00B77653">
        <w:rPr>
          <w:i/>
        </w:rPr>
        <w:t xml:space="preserve">so </w:t>
      </w:r>
      <w:r w:rsidR="00A826CF" w:rsidRPr="00B77653">
        <w:t xml:space="preserve">are highly correlated. </w:t>
      </w:r>
      <w:r w:rsidR="003A6DEC" w:rsidRPr="00B77653">
        <w:t xml:space="preserve">For the leaders of </w:t>
      </w:r>
      <w:r w:rsidR="000F15BE">
        <w:t>quotative</w:t>
      </w:r>
      <w:r w:rsidR="003A6DEC" w:rsidRPr="00B77653">
        <w:t xml:space="preserve"> </w:t>
      </w:r>
      <w:r w:rsidR="003A6DEC" w:rsidRPr="00B77653">
        <w:rPr>
          <w:i/>
        </w:rPr>
        <w:t>be like</w:t>
      </w:r>
      <w:r w:rsidR="00F41CFC" w:rsidRPr="00B77653">
        <w:t>,</w:t>
      </w:r>
      <w:r w:rsidR="003A6DEC" w:rsidRPr="00B77653">
        <w:t xml:space="preserve"> t</w:t>
      </w:r>
      <w:r w:rsidR="00E667DF" w:rsidRPr="00B77653">
        <w:t xml:space="preserve">he correlation between </w:t>
      </w:r>
      <w:r w:rsidR="000F15BE">
        <w:t>quotative</w:t>
      </w:r>
      <w:r w:rsidR="00E667DF" w:rsidRPr="00B77653">
        <w:t xml:space="preserve"> </w:t>
      </w:r>
      <w:r w:rsidR="00E667DF" w:rsidRPr="00B77653">
        <w:rPr>
          <w:i/>
        </w:rPr>
        <w:t>be like</w:t>
      </w:r>
      <w:r w:rsidR="00E667DF" w:rsidRPr="00B77653">
        <w:t xml:space="preserve"> and </w:t>
      </w:r>
      <w:r w:rsidR="000F15BE">
        <w:t>intensifier</w:t>
      </w:r>
      <w:r w:rsidR="00E667DF" w:rsidRPr="00B77653">
        <w:t xml:space="preserve"> </w:t>
      </w:r>
      <w:r w:rsidR="00E667DF" w:rsidRPr="00B77653">
        <w:rPr>
          <w:i/>
        </w:rPr>
        <w:t>so</w:t>
      </w:r>
      <w:r w:rsidR="003A6DEC" w:rsidRPr="00B77653">
        <w:t xml:space="preserve"> is </w:t>
      </w:r>
      <w:r w:rsidR="00F46793">
        <w:t>0</w:t>
      </w:r>
      <w:r w:rsidR="003A6DEC" w:rsidRPr="00B77653">
        <w:t xml:space="preserve">.63 (df = 9), much higher than any of the correlations across all speakers. For the leaders of </w:t>
      </w:r>
      <w:r w:rsidR="000F15BE">
        <w:t>intensifier</w:t>
      </w:r>
      <w:r w:rsidR="003A6DEC" w:rsidRPr="00B77653">
        <w:t xml:space="preserve"> </w:t>
      </w:r>
      <w:r w:rsidR="003A6DEC" w:rsidRPr="00B77653">
        <w:rPr>
          <w:i/>
        </w:rPr>
        <w:t>so</w:t>
      </w:r>
      <w:r w:rsidR="003A6DEC" w:rsidRPr="00B77653">
        <w:t xml:space="preserve">, the correlation between </w:t>
      </w:r>
      <w:r w:rsidR="000F15BE">
        <w:t>quotative</w:t>
      </w:r>
      <w:r w:rsidR="003A6DEC" w:rsidRPr="00B77653">
        <w:t xml:space="preserve"> </w:t>
      </w:r>
      <w:r w:rsidR="003A6DEC" w:rsidRPr="00B77653">
        <w:rPr>
          <w:i/>
        </w:rPr>
        <w:t>be like</w:t>
      </w:r>
      <w:r w:rsidR="003A6DEC" w:rsidRPr="00B77653">
        <w:t xml:space="preserve"> and </w:t>
      </w:r>
      <w:r w:rsidR="000F15BE">
        <w:t>intensifier</w:t>
      </w:r>
      <w:r w:rsidR="003A6DEC" w:rsidRPr="00B77653">
        <w:t xml:space="preserve"> </w:t>
      </w:r>
      <w:r w:rsidR="003A6DEC" w:rsidRPr="00B77653">
        <w:rPr>
          <w:i/>
        </w:rPr>
        <w:t>so</w:t>
      </w:r>
      <w:r w:rsidR="003A6DEC" w:rsidRPr="00B77653">
        <w:t xml:space="preserve"> is </w:t>
      </w:r>
      <w:r w:rsidR="001E7747">
        <w:t>a remarkable</w:t>
      </w:r>
      <w:r w:rsidR="001E7747" w:rsidRPr="00B77653">
        <w:t xml:space="preserve"> </w:t>
      </w:r>
      <w:r w:rsidR="00F46793">
        <w:t>0</w:t>
      </w:r>
      <w:r w:rsidR="003A6DEC" w:rsidRPr="00B77653">
        <w:t xml:space="preserve">.80 (df = 5), a very strong correlation by any measure. </w:t>
      </w:r>
    </w:p>
    <w:tbl>
      <w:tblPr>
        <w:tblW w:w="3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21"/>
        <w:gridCol w:w="846"/>
        <w:gridCol w:w="857"/>
      </w:tblGrid>
      <w:tr w:rsidR="002C19B2" w:rsidRPr="00B77653" w14:paraId="5B3CF1F0" w14:textId="77777777" w:rsidTr="002C19B2">
        <w:tc>
          <w:tcPr>
            <w:tcW w:w="5000" w:type="pct"/>
            <w:gridSpan w:val="4"/>
            <w:shd w:val="clear" w:color="auto" w:fill="auto"/>
            <w:vAlign w:val="center"/>
          </w:tcPr>
          <w:p w14:paraId="6813CCB1" w14:textId="77777777" w:rsidR="002C19B2" w:rsidRPr="00034749" w:rsidRDefault="002C19B2" w:rsidP="00FE3A44">
            <w:pPr>
              <w:jc w:val="center"/>
              <w:rPr>
                <w:i/>
              </w:rPr>
            </w:pPr>
            <w:r w:rsidRPr="00034749">
              <w:t xml:space="preserve">Table 2: Correlations with </w:t>
            </w:r>
            <w:r w:rsidR="000F15BE" w:rsidRPr="00034749">
              <w:t>intensifier</w:t>
            </w:r>
            <w:r w:rsidRPr="00034749">
              <w:t xml:space="preserve"> </w:t>
            </w:r>
            <w:r w:rsidRPr="00034749">
              <w:rPr>
                <w:i/>
              </w:rPr>
              <w:t>so</w:t>
            </w:r>
          </w:p>
          <w:p w14:paraId="5AA085E1" w14:textId="77777777" w:rsidR="002C19B2" w:rsidRPr="00B77653" w:rsidRDefault="002C19B2" w:rsidP="00FE3A44">
            <w:pPr>
              <w:jc w:val="center"/>
              <w:rPr>
                <w:b/>
              </w:rPr>
            </w:pPr>
            <w:r w:rsidRPr="00B77653">
              <w:t>(Values in brackets not significant at</w:t>
            </w:r>
            <w:r w:rsidRPr="00B77653">
              <w:rPr>
                <w:b/>
              </w:rPr>
              <w:t xml:space="preserve"> </w:t>
            </w:r>
            <w:r w:rsidRPr="00B77653">
              <w:t>p &lt; 0.05)</w:t>
            </w:r>
          </w:p>
        </w:tc>
      </w:tr>
      <w:tr w:rsidR="002C19B2" w:rsidRPr="00B77653" w14:paraId="1999FBD8" w14:textId="77777777" w:rsidTr="00FC7480">
        <w:tc>
          <w:tcPr>
            <w:tcW w:w="1837" w:type="pct"/>
            <w:shd w:val="clear" w:color="auto" w:fill="auto"/>
            <w:vAlign w:val="center"/>
          </w:tcPr>
          <w:p w14:paraId="4C1A5EED" w14:textId="77777777" w:rsidR="002C19B2" w:rsidRPr="00034749" w:rsidRDefault="002C19B2" w:rsidP="00FE3A44">
            <w:r w:rsidRPr="00034749">
              <w:t>Leading in</w:t>
            </w:r>
          </w:p>
        </w:tc>
        <w:tc>
          <w:tcPr>
            <w:tcW w:w="1857" w:type="pct"/>
            <w:shd w:val="clear" w:color="auto" w:fill="auto"/>
            <w:vAlign w:val="center"/>
          </w:tcPr>
          <w:p w14:paraId="2AB882AA" w14:textId="77777777" w:rsidR="002C19B2" w:rsidRPr="00034749" w:rsidRDefault="002C19B2" w:rsidP="00FE3A44">
            <w:r w:rsidRPr="00034749">
              <w:t>Correlated with</w:t>
            </w:r>
          </w:p>
        </w:tc>
        <w:tc>
          <w:tcPr>
            <w:tcW w:w="649" w:type="pct"/>
            <w:shd w:val="clear" w:color="auto" w:fill="auto"/>
            <w:vAlign w:val="center"/>
          </w:tcPr>
          <w:p w14:paraId="03798210" w14:textId="77777777" w:rsidR="002C19B2" w:rsidRPr="00034749" w:rsidRDefault="00A826CF" w:rsidP="00FE3A44">
            <w:pPr>
              <w:jc w:val="center"/>
              <w:rPr>
                <w:i/>
              </w:rPr>
            </w:pPr>
            <w:r w:rsidRPr="00034749">
              <w:rPr>
                <w:i/>
              </w:rPr>
              <w:t>r</w:t>
            </w:r>
          </w:p>
        </w:tc>
        <w:tc>
          <w:tcPr>
            <w:tcW w:w="657" w:type="pct"/>
            <w:shd w:val="clear" w:color="auto" w:fill="auto"/>
            <w:vAlign w:val="center"/>
          </w:tcPr>
          <w:p w14:paraId="677F4C2B" w14:textId="77777777" w:rsidR="002C19B2" w:rsidRPr="00034749" w:rsidRDefault="00F41CFC" w:rsidP="00FE3A44">
            <w:pPr>
              <w:jc w:val="center"/>
            </w:pPr>
            <w:r w:rsidRPr="00034749">
              <w:t>n</w:t>
            </w:r>
          </w:p>
        </w:tc>
      </w:tr>
      <w:tr w:rsidR="002C19B2" w:rsidRPr="00B77653" w14:paraId="4BACFBCC" w14:textId="77777777" w:rsidTr="00FC7480">
        <w:tc>
          <w:tcPr>
            <w:tcW w:w="1837" w:type="pct"/>
            <w:shd w:val="clear" w:color="auto" w:fill="auto"/>
            <w:vAlign w:val="center"/>
          </w:tcPr>
          <w:p w14:paraId="435F485D" w14:textId="77777777" w:rsidR="002C19B2" w:rsidRPr="00B77653" w:rsidRDefault="002C19B2" w:rsidP="00FE3A44">
            <w:r w:rsidRPr="00B77653">
              <w:t xml:space="preserve">Intensifier </w:t>
            </w:r>
            <w:r w:rsidRPr="00B77653">
              <w:rPr>
                <w:i/>
              </w:rPr>
              <w:t>so</w:t>
            </w:r>
          </w:p>
        </w:tc>
        <w:tc>
          <w:tcPr>
            <w:tcW w:w="1857" w:type="pct"/>
            <w:shd w:val="clear" w:color="auto" w:fill="auto"/>
            <w:vAlign w:val="center"/>
          </w:tcPr>
          <w:p w14:paraId="3967E8C9" w14:textId="77777777" w:rsidR="002C19B2" w:rsidRPr="00B77653" w:rsidRDefault="002C19B2" w:rsidP="00FE3A44">
            <w:r w:rsidRPr="00B77653">
              <w:t xml:space="preserve">Quotative </w:t>
            </w:r>
            <w:r w:rsidRPr="00B77653">
              <w:rPr>
                <w:i/>
              </w:rPr>
              <w:t>be like</w:t>
            </w:r>
          </w:p>
        </w:tc>
        <w:tc>
          <w:tcPr>
            <w:tcW w:w="649" w:type="pct"/>
            <w:shd w:val="clear" w:color="auto" w:fill="auto"/>
            <w:vAlign w:val="center"/>
          </w:tcPr>
          <w:p w14:paraId="625A280E" w14:textId="77777777" w:rsidR="002C19B2" w:rsidRPr="00B77653" w:rsidRDefault="002C19B2" w:rsidP="00FE3A44">
            <w:pPr>
              <w:jc w:val="center"/>
            </w:pPr>
            <w:r w:rsidRPr="00B77653">
              <w:t>.80</w:t>
            </w:r>
          </w:p>
        </w:tc>
        <w:tc>
          <w:tcPr>
            <w:tcW w:w="657" w:type="pct"/>
            <w:shd w:val="clear" w:color="auto" w:fill="auto"/>
            <w:vAlign w:val="center"/>
          </w:tcPr>
          <w:p w14:paraId="37BF9467" w14:textId="77777777" w:rsidR="002C19B2" w:rsidRPr="00B77653" w:rsidRDefault="002C19B2" w:rsidP="00FE3A44">
            <w:pPr>
              <w:jc w:val="center"/>
            </w:pPr>
            <w:r w:rsidRPr="00B77653">
              <w:t>7</w:t>
            </w:r>
          </w:p>
        </w:tc>
      </w:tr>
      <w:tr w:rsidR="002C19B2" w:rsidRPr="00B77653" w14:paraId="6216CDE7" w14:textId="77777777" w:rsidTr="00FC7480">
        <w:tc>
          <w:tcPr>
            <w:tcW w:w="1837" w:type="pct"/>
            <w:shd w:val="clear" w:color="auto" w:fill="auto"/>
            <w:vAlign w:val="center"/>
          </w:tcPr>
          <w:p w14:paraId="4644ACC8" w14:textId="77777777" w:rsidR="002C19B2" w:rsidRPr="00B77653" w:rsidRDefault="002C19B2" w:rsidP="00FE3A44">
            <w:pPr>
              <w:rPr>
                <w:i/>
              </w:rPr>
            </w:pPr>
            <w:r w:rsidRPr="00B77653">
              <w:t xml:space="preserve">Intensifier </w:t>
            </w:r>
            <w:r w:rsidRPr="00B77653">
              <w:rPr>
                <w:i/>
              </w:rPr>
              <w:t>so</w:t>
            </w:r>
          </w:p>
        </w:tc>
        <w:tc>
          <w:tcPr>
            <w:tcW w:w="1857" w:type="pct"/>
            <w:shd w:val="clear" w:color="auto" w:fill="auto"/>
            <w:vAlign w:val="center"/>
          </w:tcPr>
          <w:p w14:paraId="53A54F2B" w14:textId="77777777" w:rsidR="002C19B2" w:rsidRPr="00B77653" w:rsidRDefault="00347960" w:rsidP="00FE3A44">
            <w:pPr>
              <w:rPr>
                <w:i/>
              </w:rPr>
            </w:pPr>
            <w:r>
              <w:t>GE</w:t>
            </w:r>
            <w:r w:rsidR="002C19B2" w:rsidRPr="00B77653">
              <w:t xml:space="preserve"> </w:t>
            </w:r>
            <w:r w:rsidR="002C19B2" w:rsidRPr="00B77653">
              <w:rPr>
                <w:i/>
              </w:rPr>
              <w:t>and stuff</w:t>
            </w:r>
          </w:p>
        </w:tc>
        <w:tc>
          <w:tcPr>
            <w:tcW w:w="649" w:type="pct"/>
            <w:shd w:val="clear" w:color="auto" w:fill="auto"/>
            <w:vAlign w:val="center"/>
          </w:tcPr>
          <w:p w14:paraId="07DB0EA6" w14:textId="77777777" w:rsidR="002C19B2" w:rsidRPr="00B77653" w:rsidRDefault="002C19B2" w:rsidP="00FE3A44">
            <w:pPr>
              <w:jc w:val="center"/>
            </w:pPr>
            <w:r w:rsidRPr="00B77653">
              <w:t>[-.28]</w:t>
            </w:r>
          </w:p>
        </w:tc>
        <w:tc>
          <w:tcPr>
            <w:tcW w:w="657" w:type="pct"/>
            <w:shd w:val="clear" w:color="auto" w:fill="auto"/>
            <w:vAlign w:val="center"/>
          </w:tcPr>
          <w:p w14:paraId="79CDAA9A" w14:textId="77777777" w:rsidR="002C19B2" w:rsidRPr="00B77653" w:rsidRDefault="002C19B2" w:rsidP="00FE3A44">
            <w:pPr>
              <w:jc w:val="center"/>
            </w:pPr>
            <w:r w:rsidRPr="00B77653">
              <w:t>3</w:t>
            </w:r>
          </w:p>
        </w:tc>
      </w:tr>
      <w:tr w:rsidR="002C19B2" w:rsidRPr="00B77653" w14:paraId="104835D9" w14:textId="77777777" w:rsidTr="00FC7480">
        <w:tc>
          <w:tcPr>
            <w:tcW w:w="1837" w:type="pct"/>
            <w:shd w:val="clear" w:color="auto" w:fill="auto"/>
            <w:vAlign w:val="center"/>
          </w:tcPr>
          <w:p w14:paraId="1FE60FC8" w14:textId="77777777" w:rsidR="002C19B2" w:rsidRPr="00B77653" w:rsidRDefault="002C19B2" w:rsidP="00FE3A44">
            <w:pPr>
              <w:rPr>
                <w:i/>
              </w:rPr>
            </w:pPr>
            <w:r w:rsidRPr="00B77653">
              <w:t xml:space="preserve">Intensifier </w:t>
            </w:r>
            <w:r w:rsidRPr="00B77653">
              <w:rPr>
                <w:i/>
              </w:rPr>
              <w:t>so</w:t>
            </w:r>
          </w:p>
        </w:tc>
        <w:tc>
          <w:tcPr>
            <w:tcW w:w="1857" w:type="pct"/>
            <w:shd w:val="clear" w:color="auto" w:fill="auto"/>
            <w:vAlign w:val="center"/>
          </w:tcPr>
          <w:p w14:paraId="57F81E9B" w14:textId="77777777" w:rsidR="002C19B2" w:rsidRPr="00B77653" w:rsidRDefault="002C19B2" w:rsidP="00FE3A44">
            <w:pPr>
              <w:rPr>
                <w:i/>
              </w:rPr>
            </w:pPr>
            <w:r w:rsidRPr="00B77653">
              <w:t xml:space="preserve">Stative </w:t>
            </w:r>
            <w:r w:rsidRPr="00B77653">
              <w:rPr>
                <w:i/>
              </w:rPr>
              <w:t>have</w:t>
            </w:r>
          </w:p>
        </w:tc>
        <w:tc>
          <w:tcPr>
            <w:tcW w:w="649" w:type="pct"/>
            <w:shd w:val="clear" w:color="auto" w:fill="auto"/>
            <w:vAlign w:val="center"/>
          </w:tcPr>
          <w:p w14:paraId="64BB0DED" w14:textId="77777777" w:rsidR="002C19B2" w:rsidRPr="00B77653" w:rsidRDefault="002C19B2" w:rsidP="00FE3A44">
            <w:pPr>
              <w:jc w:val="center"/>
            </w:pPr>
            <w:r w:rsidRPr="00B77653">
              <w:t>[.26]</w:t>
            </w:r>
          </w:p>
        </w:tc>
        <w:tc>
          <w:tcPr>
            <w:tcW w:w="657" w:type="pct"/>
            <w:shd w:val="clear" w:color="auto" w:fill="auto"/>
            <w:vAlign w:val="center"/>
          </w:tcPr>
          <w:p w14:paraId="77123355" w14:textId="77777777" w:rsidR="002C19B2" w:rsidRPr="00B77653" w:rsidRDefault="002C19B2" w:rsidP="00FE3A44">
            <w:pPr>
              <w:jc w:val="center"/>
            </w:pPr>
            <w:r w:rsidRPr="00B77653">
              <w:t>6</w:t>
            </w:r>
          </w:p>
        </w:tc>
      </w:tr>
      <w:tr w:rsidR="002C19B2" w:rsidRPr="00B77653" w14:paraId="68439797" w14:textId="77777777" w:rsidTr="00FC7480">
        <w:tc>
          <w:tcPr>
            <w:tcW w:w="1837" w:type="pct"/>
            <w:shd w:val="clear" w:color="auto" w:fill="auto"/>
            <w:vAlign w:val="center"/>
          </w:tcPr>
          <w:p w14:paraId="3D4683F3" w14:textId="77777777" w:rsidR="002C19B2" w:rsidRPr="00B77653" w:rsidRDefault="002C19B2" w:rsidP="00FE3A44">
            <w:r w:rsidRPr="00B77653">
              <w:t xml:space="preserve">Intensifier </w:t>
            </w:r>
            <w:r w:rsidRPr="00B77653">
              <w:rPr>
                <w:i/>
              </w:rPr>
              <w:t>so</w:t>
            </w:r>
          </w:p>
        </w:tc>
        <w:tc>
          <w:tcPr>
            <w:tcW w:w="1857" w:type="pct"/>
            <w:shd w:val="clear" w:color="auto" w:fill="auto"/>
            <w:vAlign w:val="center"/>
          </w:tcPr>
          <w:p w14:paraId="5540CB01" w14:textId="77777777" w:rsidR="002C19B2" w:rsidRPr="00B77653" w:rsidRDefault="002C19B2" w:rsidP="00FE3A44">
            <w:r w:rsidRPr="00B77653">
              <w:t xml:space="preserve">Deontic </w:t>
            </w:r>
            <w:r w:rsidRPr="00B77653">
              <w:rPr>
                <w:i/>
              </w:rPr>
              <w:t>have to</w:t>
            </w:r>
          </w:p>
        </w:tc>
        <w:tc>
          <w:tcPr>
            <w:tcW w:w="649" w:type="pct"/>
            <w:shd w:val="clear" w:color="auto" w:fill="auto"/>
            <w:vAlign w:val="center"/>
          </w:tcPr>
          <w:p w14:paraId="31B8DB60" w14:textId="77777777" w:rsidR="002C19B2" w:rsidRPr="00B77653" w:rsidRDefault="002C19B2" w:rsidP="00FE3A44">
            <w:pPr>
              <w:jc w:val="center"/>
            </w:pPr>
            <w:r w:rsidRPr="00B77653">
              <w:t>[-.21]</w:t>
            </w:r>
          </w:p>
        </w:tc>
        <w:tc>
          <w:tcPr>
            <w:tcW w:w="657" w:type="pct"/>
            <w:shd w:val="clear" w:color="auto" w:fill="auto"/>
            <w:vAlign w:val="center"/>
          </w:tcPr>
          <w:p w14:paraId="1BC4CEF0" w14:textId="77777777" w:rsidR="002C19B2" w:rsidRPr="00B77653" w:rsidRDefault="002C19B2" w:rsidP="00FE3A44">
            <w:pPr>
              <w:jc w:val="center"/>
            </w:pPr>
            <w:r w:rsidRPr="00B77653">
              <w:t>5</w:t>
            </w:r>
          </w:p>
        </w:tc>
      </w:tr>
      <w:tr w:rsidR="002C19B2" w:rsidRPr="00B77653" w14:paraId="1E1EE3C3" w14:textId="77777777" w:rsidTr="00034749">
        <w:trPr>
          <w:trHeight w:val="242"/>
        </w:trPr>
        <w:tc>
          <w:tcPr>
            <w:tcW w:w="1837" w:type="pct"/>
            <w:shd w:val="clear" w:color="auto" w:fill="auto"/>
            <w:vAlign w:val="center"/>
          </w:tcPr>
          <w:p w14:paraId="041B63DC" w14:textId="77777777" w:rsidR="002C19B2" w:rsidRPr="00B77653" w:rsidRDefault="002C19B2" w:rsidP="00034749">
            <w:pPr>
              <w:spacing w:line="240" w:lineRule="auto"/>
            </w:pPr>
          </w:p>
        </w:tc>
        <w:tc>
          <w:tcPr>
            <w:tcW w:w="1857" w:type="pct"/>
            <w:shd w:val="clear" w:color="auto" w:fill="auto"/>
            <w:vAlign w:val="center"/>
          </w:tcPr>
          <w:p w14:paraId="29D2A6E5" w14:textId="77777777" w:rsidR="002C19B2" w:rsidRPr="00B77653" w:rsidRDefault="002C19B2" w:rsidP="00034749">
            <w:pPr>
              <w:spacing w:line="240" w:lineRule="auto"/>
            </w:pPr>
          </w:p>
        </w:tc>
        <w:tc>
          <w:tcPr>
            <w:tcW w:w="649" w:type="pct"/>
            <w:shd w:val="clear" w:color="auto" w:fill="auto"/>
            <w:vAlign w:val="center"/>
          </w:tcPr>
          <w:p w14:paraId="11596CF8" w14:textId="77777777" w:rsidR="002C19B2" w:rsidRPr="00B77653" w:rsidRDefault="002C19B2" w:rsidP="00034749">
            <w:pPr>
              <w:spacing w:line="240" w:lineRule="auto"/>
              <w:jc w:val="center"/>
            </w:pPr>
          </w:p>
        </w:tc>
        <w:tc>
          <w:tcPr>
            <w:tcW w:w="657" w:type="pct"/>
            <w:shd w:val="clear" w:color="auto" w:fill="auto"/>
            <w:vAlign w:val="center"/>
          </w:tcPr>
          <w:p w14:paraId="2EB62E67" w14:textId="77777777" w:rsidR="002C19B2" w:rsidRPr="00B77653" w:rsidRDefault="002C19B2" w:rsidP="00034749">
            <w:pPr>
              <w:spacing w:line="240" w:lineRule="auto"/>
              <w:jc w:val="center"/>
            </w:pPr>
          </w:p>
        </w:tc>
      </w:tr>
      <w:tr w:rsidR="002C19B2" w:rsidRPr="00B77653" w14:paraId="79C4D270" w14:textId="77777777" w:rsidTr="00FC7480">
        <w:tc>
          <w:tcPr>
            <w:tcW w:w="1837" w:type="pct"/>
            <w:shd w:val="clear" w:color="auto" w:fill="auto"/>
            <w:vAlign w:val="center"/>
          </w:tcPr>
          <w:p w14:paraId="2214681D" w14:textId="77777777" w:rsidR="002C19B2" w:rsidRPr="00B77653" w:rsidRDefault="002C19B2" w:rsidP="00FE3A44">
            <w:r w:rsidRPr="00B77653">
              <w:t xml:space="preserve">Quotative </w:t>
            </w:r>
            <w:r w:rsidRPr="00B77653">
              <w:rPr>
                <w:i/>
              </w:rPr>
              <w:t>be like</w:t>
            </w:r>
          </w:p>
        </w:tc>
        <w:tc>
          <w:tcPr>
            <w:tcW w:w="1857" w:type="pct"/>
            <w:shd w:val="clear" w:color="auto" w:fill="auto"/>
            <w:vAlign w:val="center"/>
          </w:tcPr>
          <w:p w14:paraId="03EAE3D3" w14:textId="77777777" w:rsidR="002C19B2" w:rsidRPr="00B77653" w:rsidRDefault="002C19B2" w:rsidP="00FE3A44">
            <w:r w:rsidRPr="00B77653">
              <w:t xml:space="preserve">Intensifier </w:t>
            </w:r>
            <w:r w:rsidRPr="00B77653">
              <w:rPr>
                <w:i/>
              </w:rPr>
              <w:t>so</w:t>
            </w:r>
          </w:p>
        </w:tc>
        <w:tc>
          <w:tcPr>
            <w:tcW w:w="649" w:type="pct"/>
            <w:shd w:val="clear" w:color="auto" w:fill="auto"/>
            <w:vAlign w:val="center"/>
          </w:tcPr>
          <w:p w14:paraId="6532CD79" w14:textId="77777777" w:rsidR="002C19B2" w:rsidRPr="00B77653" w:rsidRDefault="002C19B2" w:rsidP="00FE3A44">
            <w:pPr>
              <w:jc w:val="center"/>
            </w:pPr>
            <w:r w:rsidRPr="00B77653">
              <w:t>.63</w:t>
            </w:r>
          </w:p>
        </w:tc>
        <w:tc>
          <w:tcPr>
            <w:tcW w:w="657" w:type="pct"/>
            <w:shd w:val="clear" w:color="auto" w:fill="auto"/>
            <w:vAlign w:val="center"/>
          </w:tcPr>
          <w:p w14:paraId="69018128" w14:textId="77777777" w:rsidR="002C19B2" w:rsidRPr="00B77653" w:rsidRDefault="002C19B2" w:rsidP="00FE3A44">
            <w:pPr>
              <w:jc w:val="center"/>
            </w:pPr>
            <w:r w:rsidRPr="00B77653">
              <w:t>9</w:t>
            </w:r>
          </w:p>
        </w:tc>
      </w:tr>
      <w:tr w:rsidR="002C19B2" w:rsidRPr="00B77653" w14:paraId="34D769CD" w14:textId="77777777" w:rsidTr="00FC7480">
        <w:tc>
          <w:tcPr>
            <w:tcW w:w="1837" w:type="pct"/>
            <w:shd w:val="clear" w:color="auto" w:fill="auto"/>
            <w:vAlign w:val="center"/>
          </w:tcPr>
          <w:p w14:paraId="0ECA1D02" w14:textId="77777777" w:rsidR="002C19B2" w:rsidRPr="00B77653" w:rsidRDefault="00347960" w:rsidP="00FE3A44">
            <w:pPr>
              <w:rPr>
                <w:i/>
              </w:rPr>
            </w:pPr>
            <w:r>
              <w:t>GE</w:t>
            </w:r>
            <w:r w:rsidR="002C19B2" w:rsidRPr="00B77653">
              <w:t xml:space="preserve"> </w:t>
            </w:r>
            <w:r w:rsidR="002C19B2" w:rsidRPr="00B77653">
              <w:rPr>
                <w:i/>
              </w:rPr>
              <w:t>and stuff</w:t>
            </w:r>
          </w:p>
        </w:tc>
        <w:tc>
          <w:tcPr>
            <w:tcW w:w="1857" w:type="pct"/>
            <w:shd w:val="clear" w:color="auto" w:fill="auto"/>
            <w:vAlign w:val="center"/>
          </w:tcPr>
          <w:p w14:paraId="7AC79530" w14:textId="77777777" w:rsidR="002C19B2" w:rsidRPr="00B77653" w:rsidRDefault="002C19B2" w:rsidP="00FE3A44">
            <w:r w:rsidRPr="00B77653">
              <w:t xml:space="preserve">Intensifier </w:t>
            </w:r>
            <w:r w:rsidRPr="00B77653">
              <w:rPr>
                <w:i/>
              </w:rPr>
              <w:t>so</w:t>
            </w:r>
          </w:p>
        </w:tc>
        <w:tc>
          <w:tcPr>
            <w:tcW w:w="649" w:type="pct"/>
            <w:shd w:val="clear" w:color="auto" w:fill="auto"/>
            <w:vAlign w:val="center"/>
          </w:tcPr>
          <w:p w14:paraId="55B34CDF" w14:textId="77777777" w:rsidR="002C19B2" w:rsidRPr="00B77653" w:rsidRDefault="002C19B2" w:rsidP="00FE3A44">
            <w:pPr>
              <w:jc w:val="center"/>
            </w:pPr>
            <w:r w:rsidRPr="00B77653">
              <w:t>[-.52]</w:t>
            </w:r>
          </w:p>
        </w:tc>
        <w:tc>
          <w:tcPr>
            <w:tcW w:w="657" w:type="pct"/>
            <w:shd w:val="clear" w:color="auto" w:fill="auto"/>
            <w:vAlign w:val="center"/>
          </w:tcPr>
          <w:p w14:paraId="5A98D95B" w14:textId="77777777" w:rsidR="002C19B2" w:rsidRPr="00B77653" w:rsidRDefault="002C19B2" w:rsidP="00FE3A44">
            <w:pPr>
              <w:jc w:val="center"/>
            </w:pPr>
            <w:r w:rsidRPr="00B77653">
              <w:t>12</w:t>
            </w:r>
          </w:p>
        </w:tc>
      </w:tr>
      <w:tr w:rsidR="002C19B2" w:rsidRPr="00B77653" w14:paraId="30990E3D" w14:textId="77777777" w:rsidTr="00FC7480">
        <w:tc>
          <w:tcPr>
            <w:tcW w:w="1837" w:type="pct"/>
            <w:shd w:val="clear" w:color="auto" w:fill="auto"/>
            <w:vAlign w:val="center"/>
          </w:tcPr>
          <w:p w14:paraId="4702ACF9" w14:textId="77777777" w:rsidR="002C19B2" w:rsidRPr="00B77653" w:rsidRDefault="002C19B2" w:rsidP="00FE3A44">
            <w:pPr>
              <w:rPr>
                <w:i/>
              </w:rPr>
            </w:pPr>
            <w:r w:rsidRPr="00B77653">
              <w:t xml:space="preserve">Stative </w:t>
            </w:r>
            <w:r w:rsidRPr="00B77653">
              <w:rPr>
                <w:i/>
              </w:rPr>
              <w:t>have</w:t>
            </w:r>
          </w:p>
        </w:tc>
        <w:tc>
          <w:tcPr>
            <w:tcW w:w="1857" w:type="pct"/>
            <w:shd w:val="clear" w:color="auto" w:fill="auto"/>
            <w:vAlign w:val="center"/>
          </w:tcPr>
          <w:p w14:paraId="4CB29B95" w14:textId="77777777" w:rsidR="002C19B2" w:rsidRPr="00B77653" w:rsidRDefault="002C19B2" w:rsidP="00FE3A44">
            <w:r w:rsidRPr="00B77653">
              <w:t xml:space="preserve">Intensifier </w:t>
            </w:r>
            <w:r w:rsidRPr="00B77653">
              <w:rPr>
                <w:i/>
              </w:rPr>
              <w:t>so</w:t>
            </w:r>
          </w:p>
        </w:tc>
        <w:tc>
          <w:tcPr>
            <w:tcW w:w="649" w:type="pct"/>
            <w:shd w:val="clear" w:color="auto" w:fill="auto"/>
            <w:vAlign w:val="center"/>
          </w:tcPr>
          <w:p w14:paraId="7B0775C6" w14:textId="77777777" w:rsidR="002C19B2" w:rsidRPr="00B77653" w:rsidRDefault="002C19B2" w:rsidP="00FE3A44">
            <w:pPr>
              <w:jc w:val="center"/>
            </w:pPr>
            <w:r w:rsidRPr="00B77653">
              <w:t>[-.21]</w:t>
            </w:r>
          </w:p>
        </w:tc>
        <w:tc>
          <w:tcPr>
            <w:tcW w:w="657" w:type="pct"/>
            <w:shd w:val="clear" w:color="auto" w:fill="auto"/>
            <w:vAlign w:val="center"/>
          </w:tcPr>
          <w:p w14:paraId="683E142E" w14:textId="77777777" w:rsidR="002C19B2" w:rsidRPr="00B77653" w:rsidRDefault="002C19B2" w:rsidP="00FE3A44">
            <w:pPr>
              <w:jc w:val="center"/>
            </w:pPr>
            <w:r w:rsidRPr="00B77653">
              <w:t>19</w:t>
            </w:r>
          </w:p>
        </w:tc>
      </w:tr>
      <w:tr w:rsidR="002C19B2" w:rsidRPr="00B77653" w14:paraId="4E500CD6" w14:textId="77777777" w:rsidTr="00FC7480">
        <w:tc>
          <w:tcPr>
            <w:tcW w:w="1837" w:type="pct"/>
            <w:shd w:val="clear" w:color="auto" w:fill="auto"/>
            <w:vAlign w:val="center"/>
          </w:tcPr>
          <w:p w14:paraId="7AC418B7" w14:textId="77777777" w:rsidR="002C19B2" w:rsidRPr="00B77653" w:rsidRDefault="002C19B2" w:rsidP="00FE3A44">
            <w:pPr>
              <w:rPr>
                <w:i/>
              </w:rPr>
            </w:pPr>
            <w:r w:rsidRPr="00B77653">
              <w:t xml:space="preserve">Deontic </w:t>
            </w:r>
            <w:r w:rsidRPr="00B77653">
              <w:rPr>
                <w:i/>
              </w:rPr>
              <w:t>have to</w:t>
            </w:r>
          </w:p>
        </w:tc>
        <w:tc>
          <w:tcPr>
            <w:tcW w:w="1857" w:type="pct"/>
            <w:shd w:val="clear" w:color="auto" w:fill="auto"/>
            <w:vAlign w:val="center"/>
          </w:tcPr>
          <w:p w14:paraId="4FF52D86" w14:textId="77777777" w:rsidR="002C19B2" w:rsidRPr="00B77653" w:rsidRDefault="002C19B2" w:rsidP="00FE3A44">
            <w:r w:rsidRPr="00B77653">
              <w:t xml:space="preserve">Intensifier </w:t>
            </w:r>
            <w:r w:rsidRPr="00B77653">
              <w:rPr>
                <w:i/>
              </w:rPr>
              <w:t>so</w:t>
            </w:r>
          </w:p>
        </w:tc>
        <w:tc>
          <w:tcPr>
            <w:tcW w:w="649" w:type="pct"/>
            <w:shd w:val="clear" w:color="auto" w:fill="auto"/>
            <w:vAlign w:val="center"/>
          </w:tcPr>
          <w:p w14:paraId="0BE05010" w14:textId="77777777" w:rsidR="002C19B2" w:rsidRPr="00B77653" w:rsidRDefault="002C19B2" w:rsidP="00FE3A44">
            <w:pPr>
              <w:jc w:val="center"/>
            </w:pPr>
            <w:r w:rsidRPr="00B77653">
              <w:t>[.29]</w:t>
            </w:r>
          </w:p>
        </w:tc>
        <w:tc>
          <w:tcPr>
            <w:tcW w:w="657" w:type="pct"/>
            <w:shd w:val="clear" w:color="auto" w:fill="auto"/>
            <w:vAlign w:val="center"/>
          </w:tcPr>
          <w:p w14:paraId="376C3C3F" w14:textId="77777777" w:rsidR="002C19B2" w:rsidRPr="00B77653" w:rsidRDefault="002C19B2" w:rsidP="00FE3A44">
            <w:pPr>
              <w:jc w:val="center"/>
            </w:pPr>
            <w:r w:rsidRPr="00B77653">
              <w:t>27</w:t>
            </w:r>
          </w:p>
        </w:tc>
      </w:tr>
    </w:tbl>
    <w:p w14:paraId="70094050" w14:textId="77777777" w:rsidR="00486055" w:rsidRPr="00B77653" w:rsidRDefault="00486055" w:rsidP="00FE3A44">
      <w:pPr>
        <w:rPr>
          <w:b/>
        </w:rPr>
      </w:pPr>
    </w:p>
    <w:p w14:paraId="2DF51D59" w14:textId="137D0829" w:rsidR="00F753EB" w:rsidRPr="00B77653" w:rsidRDefault="0041498E" w:rsidP="00C15C9D">
      <w:pPr>
        <w:ind w:right="0" w:firstLine="720"/>
      </w:pPr>
      <w:r>
        <w:t>W</w:t>
      </w:r>
      <w:r w:rsidR="00C15C9D" w:rsidRPr="00B77653">
        <w:t xml:space="preserve">e now </w:t>
      </w:r>
      <w:r>
        <w:t xml:space="preserve">probe </w:t>
      </w:r>
      <w:r w:rsidR="001F1406" w:rsidRPr="00B77653">
        <w:t xml:space="preserve">the relationship between </w:t>
      </w:r>
      <w:r w:rsidR="000F15BE">
        <w:t>quotative</w:t>
      </w:r>
      <w:r w:rsidR="001F1406" w:rsidRPr="00B77653">
        <w:t xml:space="preserve"> </w:t>
      </w:r>
      <w:r w:rsidR="001F1406" w:rsidRPr="00B77653">
        <w:rPr>
          <w:i/>
        </w:rPr>
        <w:t>be like</w:t>
      </w:r>
      <w:r w:rsidR="001F1406" w:rsidRPr="00B77653">
        <w:t xml:space="preserve"> and </w:t>
      </w:r>
      <w:r w:rsidR="000F15BE">
        <w:t>intensifier</w:t>
      </w:r>
      <w:r w:rsidR="001F1406" w:rsidRPr="00B77653">
        <w:t xml:space="preserve"> </w:t>
      </w:r>
      <w:r w:rsidR="001F1406" w:rsidRPr="00B77653">
        <w:rPr>
          <w:i/>
        </w:rPr>
        <w:t>so</w:t>
      </w:r>
      <w:r w:rsidR="001F1406" w:rsidRPr="00B77653">
        <w:t xml:space="preserve"> </w:t>
      </w:r>
      <w:r w:rsidR="00C15C9D" w:rsidRPr="00B77653">
        <w:t>in detail</w:t>
      </w:r>
      <w:r w:rsidR="001F1406" w:rsidRPr="00B77653">
        <w:t xml:space="preserve">, including </w:t>
      </w:r>
      <w:r>
        <w:t xml:space="preserve">any </w:t>
      </w:r>
      <w:r w:rsidR="001F1406" w:rsidRPr="00B77653">
        <w:t xml:space="preserve">confounding </w:t>
      </w:r>
      <w:r>
        <w:t>effects</w:t>
      </w:r>
      <w:r w:rsidR="005F7341" w:rsidRPr="00B77653">
        <w:t xml:space="preserve">. </w:t>
      </w:r>
      <w:r w:rsidR="007F5548">
        <w:t>First,</w:t>
      </w:r>
      <w:r w:rsidR="001F1406" w:rsidRPr="00B77653">
        <w:t xml:space="preserve"> </w:t>
      </w:r>
      <w:r w:rsidR="000F15BE">
        <w:t>quotative</w:t>
      </w:r>
      <w:r w:rsidR="001F1406" w:rsidRPr="00B77653">
        <w:t xml:space="preserve"> </w:t>
      </w:r>
      <w:r w:rsidR="001F1406" w:rsidRPr="00B77653">
        <w:rPr>
          <w:i/>
        </w:rPr>
        <w:t>be like</w:t>
      </w:r>
      <w:r w:rsidR="001F1406" w:rsidRPr="00B77653">
        <w:t xml:space="preserve"> and </w:t>
      </w:r>
      <w:r w:rsidR="000F15BE">
        <w:t>intensifier</w:t>
      </w:r>
      <w:r w:rsidR="001F1406" w:rsidRPr="00B77653">
        <w:t xml:space="preserve"> </w:t>
      </w:r>
      <w:r w:rsidR="001F1406" w:rsidRPr="00B77653">
        <w:rPr>
          <w:i/>
        </w:rPr>
        <w:t>so</w:t>
      </w:r>
      <w:r w:rsidR="006F3C52" w:rsidRPr="00B77653">
        <w:t xml:space="preserve"> are</w:t>
      </w:r>
      <w:r w:rsidR="001E7747">
        <w:t xml:space="preserve"> strongly</w:t>
      </w:r>
      <w:r w:rsidR="006F3C52" w:rsidRPr="00B77653">
        <w:t xml:space="preserve"> female-led changes</w:t>
      </w:r>
      <w:r w:rsidR="001F1406" w:rsidRPr="00B77653">
        <w:t xml:space="preserve"> in Toronto (Tagliamonte </w:t>
      </w:r>
      <w:r w:rsidR="00FC7480" w:rsidRPr="00B77653">
        <w:t>and</w:t>
      </w:r>
      <w:r w:rsidR="001F1406" w:rsidRPr="00B77653">
        <w:t xml:space="preserve"> D’Arcy 2004</w:t>
      </w:r>
      <w:r w:rsidR="00BB7C05" w:rsidRPr="00B77653">
        <w:t>,</w:t>
      </w:r>
      <w:r w:rsidR="00FC7480" w:rsidRPr="00B77653">
        <w:t xml:space="preserve"> </w:t>
      </w:r>
      <w:r w:rsidR="001F1406" w:rsidRPr="00B77653">
        <w:t>504; Tagliamonte 2008</w:t>
      </w:r>
      <w:r w:rsidR="00BB7C05" w:rsidRPr="00B77653">
        <w:t>,</w:t>
      </w:r>
      <w:r w:rsidR="00FC7480" w:rsidRPr="00B77653">
        <w:t xml:space="preserve"> </w:t>
      </w:r>
      <w:r w:rsidR="001F1406" w:rsidRPr="00B77653">
        <w:t>384)</w:t>
      </w:r>
      <w:r w:rsidR="006F3C52" w:rsidRPr="00B77653">
        <w:t xml:space="preserve">, </w:t>
      </w:r>
      <w:r w:rsidR="007F5548">
        <w:t xml:space="preserve">therefore it would be reasonable to expect </w:t>
      </w:r>
      <w:r w:rsidR="009739BA" w:rsidRPr="00B77653">
        <w:t xml:space="preserve">that </w:t>
      </w:r>
      <w:r w:rsidR="006F3C52" w:rsidRPr="00B77653">
        <w:t xml:space="preserve">these two variables were correlated because they are both used </w:t>
      </w:r>
      <w:r w:rsidR="001B27EB" w:rsidRPr="00B77653">
        <w:t>by young women</w:t>
      </w:r>
      <w:r w:rsidR="006F3C52" w:rsidRPr="00B77653">
        <w:t>. In order to explore the role of speaker sex, we divided the leaders into male and female, and calculated the correlations for male and female leaders</w:t>
      </w:r>
      <w:r w:rsidR="00634847" w:rsidRPr="00B77653">
        <w:t xml:space="preserve"> separately</w:t>
      </w:r>
      <w:r w:rsidR="006F3C52" w:rsidRPr="00B77653">
        <w:t xml:space="preserve">. </w:t>
      </w:r>
      <w:r w:rsidR="00634847" w:rsidRPr="00B77653">
        <w:t>We did</w:t>
      </w:r>
      <w:r w:rsidR="001B27EB" w:rsidRPr="00B77653">
        <w:t xml:space="preserve"> not get statistically significant relations</w:t>
      </w:r>
      <w:r w:rsidR="007F5548">
        <w:t>hips; however,</w:t>
      </w:r>
      <w:r w:rsidR="00634847" w:rsidRPr="00B77653">
        <w:t xml:space="preserve"> </w:t>
      </w:r>
      <w:r w:rsidR="007F5548">
        <w:t xml:space="preserve">this partitioning of the data led to some </w:t>
      </w:r>
      <w:r w:rsidR="00634847" w:rsidRPr="00B77653">
        <w:t xml:space="preserve">very low </w:t>
      </w:r>
      <w:r w:rsidR="004A7795" w:rsidRPr="00B77653">
        <w:t>speaker numbers</w:t>
      </w:r>
      <w:r w:rsidR="001B27EB" w:rsidRPr="00B77653">
        <w:t xml:space="preserve"> </w:t>
      </w:r>
      <w:r w:rsidR="00634847" w:rsidRPr="00B77653">
        <w:t xml:space="preserve">(less than five) </w:t>
      </w:r>
      <w:r w:rsidR="001B27EB" w:rsidRPr="00B77653">
        <w:t>which may be the root cause</w:t>
      </w:r>
      <w:r w:rsidR="001E7747">
        <w:t xml:space="preserve"> for this result</w:t>
      </w:r>
      <w:r w:rsidR="001B27EB" w:rsidRPr="00B77653">
        <w:t>.</w:t>
      </w:r>
      <w:r w:rsidR="001F1406" w:rsidRPr="00B77653">
        <w:t xml:space="preserve"> </w:t>
      </w:r>
      <w:r w:rsidR="007F5548">
        <w:t>T</w:t>
      </w:r>
      <w:r w:rsidR="001B27EB" w:rsidRPr="00B77653">
        <w:t xml:space="preserve">here </w:t>
      </w:r>
      <w:r w:rsidR="001B27EB" w:rsidRPr="00B77653">
        <w:rPr>
          <w:i/>
        </w:rPr>
        <w:t>might</w:t>
      </w:r>
      <w:r w:rsidR="001B27EB" w:rsidRPr="00B77653">
        <w:t xml:space="preserve"> be </w:t>
      </w:r>
      <w:r w:rsidR="001E7747">
        <w:t>an explanation</w:t>
      </w:r>
      <w:r w:rsidR="001E7747" w:rsidRPr="00B77653">
        <w:t xml:space="preserve"> </w:t>
      </w:r>
      <w:r w:rsidR="001B27EB" w:rsidRPr="00B77653">
        <w:t xml:space="preserve">related to </w:t>
      </w:r>
      <w:r w:rsidR="0034772C">
        <w:t xml:space="preserve">innovative variants and </w:t>
      </w:r>
      <w:r w:rsidR="001B27EB" w:rsidRPr="00B77653">
        <w:t>speaker sex</w:t>
      </w:r>
      <w:r w:rsidR="001F1406" w:rsidRPr="00B77653">
        <w:t xml:space="preserve">, </w:t>
      </w:r>
      <w:r w:rsidR="001B27EB" w:rsidRPr="00B77653">
        <w:t xml:space="preserve">similar to </w:t>
      </w:r>
      <w:r w:rsidR="006D1BBD">
        <w:t xml:space="preserve">the observation in </w:t>
      </w:r>
      <w:r w:rsidR="004856FC">
        <w:t xml:space="preserve">previous studies </w:t>
      </w:r>
      <w:r w:rsidR="00873C87">
        <w:t xml:space="preserve">of stable variation </w:t>
      </w:r>
      <w:r w:rsidR="004856FC">
        <w:t>(</w:t>
      </w:r>
      <w:r w:rsidR="001B27EB" w:rsidRPr="00B77653">
        <w:t>Guy</w:t>
      </w:r>
      <w:r w:rsidR="004856FC">
        <w:t xml:space="preserve"> </w:t>
      </w:r>
      <w:r w:rsidR="001B27EB" w:rsidRPr="00B77653">
        <w:t>201</w:t>
      </w:r>
      <w:r w:rsidR="00847919">
        <w:t>3</w:t>
      </w:r>
      <w:r w:rsidR="00BB7C05" w:rsidRPr="00B77653">
        <w:t>,</w:t>
      </w:r>
      <w:r w:rsidR="00FC7480" w:rsidRPr="00B77653">
        <w:t xml:space="preserve"> </w:t>
      </w:r>
      <w:r w:rsidR="004856FC">
        <w:t>6</w:t>
      </w:r>
      <w:r w:rsidR="001F1406" w:rsidRPr="00B77653">
        <w:t>9</w:t>
      </w:r>
      <w:r w:rsidR="004856FC">
        <w:t>; Thorburn 2014, 261</w:t>
      </w:r>
      <w:r w:rsidR="001B27EB" w:rsidRPr="00B77653">
        <w:t xml:space="preserve">) </w:t>
      </w:r>
      <w:r w:rsidR="001F1406" w:rsidRPr="00B77653">
        <w:t xml:space="preserve">that </w:t>
      </w:r>
      <w:r w:rsidR="001B27EB" w:rsidRPr="00B77653">
        <w:t xml:space="preserve">women were slightly </w:t>
      </w:r>
      <w:r w:rsidR="006D1BBD" w:rsidRPr="00B77653">
        <w:t xml:space="preserve">more </w:t>
      </w:r>
      <w:r w:rsidR="006D1BBD">
        <w:t xml:space="preserve">consistent </w:t>
      </w:r>
      <w:r w:rsidR="001B27EB" w:rsidRPr="00B77653">
        <w:t>in their choices</w:t>
      </w:r>
      <w:r w:rsidR="001F1406" w:rsidRPr="00B77653">
        <w:t xml:space="preserve"> </w:t>
      </w:r>
      <w:r w:rsidR="001B27EB" w:rsidRPr="00B77653">
        <w:t>than men.</w:t>
      </w:r>
      <w:r w:rsidR="001F1406" w:rsidRPr="00B77653">
        <w:t xml:space="preserve"> </w:t>
      </w:r>
      <w:r w:rsidR="00F753EB" w:rsidRPr="00B77653">
        <w:t xml:space="preserve">However, </w:t>
      </w:r>
      <w:r w:rsidR="001F1406" w:rsidRPr="00B77653">
        <w:t xml:space="preserve">even if the correlations between </w:t>
      </w:r>
      <w:r w:rsidR="000F15BE">
        <w:t>quotative</w:t>
      </w:r>
      <w:r w:rsidR="001F1406" w:rsidRPr="00B77653">
        <w:t xml:space="preserve"> </w:t>
      </w:r>
      <w:r w:rsidR="001F1406" w:rsidRPr="00B77653">
        <w:rPr>
          <w:i/>
        </w:rPr>
        <w:t>be like</w:t>
      </w:r>
      <w:r w:rsidR="001F1406" w:rsidRPr="00B77653">
        <w:t xml:space="preserve"> and </w:t>
      </w:r>
      <w:r w:rsidR="000F15BE">
        <w:t>intensifier</w:t>
      </w:r>
      <w:r w:rsidR="001F1406" w:rsidRPr="00B77653">
        <w:t xml:space="preserve"> </w:t>
      </w:r>
      <w:r w:rsidR="001F1406" w:rsidRPr="00B77653">
        <w:rPr>
          <w:i/>
        </w:rPr>
        <w:t>so</w:t>
      </w:r>
      <w:r w:rsidR="001F1406" w:rsidRPr="00B77653">
        <w:t xml:space="preserve"> had been</w:t>
      </w:r>
      <w:r w:rsidR="001F1406" w:rsidRPr="00B77653">
        <w:rPr>
          <w:i/>
        </w:rPr>
        <w:t xml:space="preserve"> </w:t>
      </w:r>
      <w:r w:rsidR="00634847" w:rsidRPr="00B77653">
        <w:t>statistically significant when segregated by speaker sex,</w:t>
      </w:r>
      <w:r w:rsidR="00E32882" w:rsidRPr="00B77653">
        <w:t xml:space="preserve"> </w:t>
      </w:r>
      <w:r w:rsidR="001F1406" w:rsidRPr="00B77653">
        <w:t xml:space="preserve">the correlations </w:t>
      </w:r>
      <w:r w:rsidR="0034772C">
        <w:t xml:space="preserve">(not shown here) </w:t>
      </w:r>
      <w:r w:rsidR="001F1406" w:rsidRPr="00B77653">
        <w:t xml:space="preserve">would have been positive for </w:t>
      </w:r>
      <w:r w:rsidR="00E32882" w:rsidRPr="00B77653">
        <w:t xml:space="preserve">both male and female speakers. </w:t>
      </w:r>
      <w:r w:rsidR="001F1406" w:rsidRPr="00B77653">
        <w:t xml:space="preserve">That is, the higher use of one </w:t>
      </w:r>
      <w:r w:rsidR="0034772C">
        <w:t xml:space="preserve">incoming variant </w:t>
      </w:r>
      <w:r w:rsidR="001F1406" w:rsidRPr="00B77653">
        <w:t xml:space="preserve">would have been correlated with the higher use of the other </w:t>
      </w:r>
      <w:r w:rsidR="0034772C">
        <w:t xml:space="preserve">incoming variant </w:t>
      </w:r>
      <w:r w:rsidR="001F1406" w:rsidRPr="00B77653">
        <w:t>fo</w:t>
      </w:r>
      <w:r w:rsidR="0034772C">
        <w:t>r both male and female leaders. In addition</w:t>
      </w:r>
      <w:r w:rsidR="00C15C9D" w:rsidRPr="00B77653">
        <w:t>, examining correlations for other variables with the speakers separated by sex did not produce significant correlations</w:t>
      </w:r>
      <w:r w:rsidR="0034772C">
        <w:t>. Therefore, younger female speakers are not always consistent in their use of incoming variants</w:t>
      </w:r>
      <w:r w:rsidR="00C15C9D" w:rsidRPr="00B77653">
        <w:t xml:space="preserve">. </w:t>
      </w:r>
      <w:r w:rsidR="0034772C" w:rsidRPr="00B77653">
        <w:t>Moreover</w:t>
      </w:r>
      <w:r w:rsidR="0034772C">
        <w:t>, p</w:t>
      </w:r>
      <w:r w:rsidR="00F753EB" w:rsidRPr="00B77653">
        <w:t xml:space="preserve">revious work by Tagliamonte and D’Arcy </w:t>
      </w:r>
      <w:r w:rsidR="00E32882" w:rsidRPr="00B77653">
        <w:t>(2007</w:t>
      </w:r>
      <w:r w:rsidR="00D62D70" w:rsidRPr="00B77653">
        <w:t>b</w:t>
      </w:r>
      <w:r w:rsidR="00BB7C05" w:rsidRPr="00B77653">
        <w:t>,</w:t>
      </w:r>
      <w:r w:rsidR="00FC7480" w:rsidRPr="00B77653">
        <w:t xml:space="preserve"> </w:t>
      </w:r>
      <w:r w:rsidR="00634847" w:rsidRPr="00B77653">
        <w:t>78</w:t>
      </w:r>
      <w:r w:rsidR="00E32882" w:rsidRPr="00B77653">
        <w:t xml:space="preserve">) </w:t>
      </w:r>
      <w:r w:rsidR="00F753EB" w:rsidRPr="00B77653">
        <w:t xml:space="preserve">on deontic modality </w:t>
      </w:r>
      <w:r w:rsidR="00634847" w:rsidRPr="00B77653">
        <w:t xml:space="preserve">in Toronto English </w:t>
      </w:r>
      <w:r w:rsidR="00F753EB" w:rsidRPr="00B77653">
        <w:t xml:space="preserve">demonstrated </w:t>
      </w:r>
      <w:r w:rsidR="00634847" w:rsidRPr="00B77653">
        <w:t xml:space="preserve">a sex effect, with women between 17 and 30 using (statistically significantly) more </w:t>
      </w:r>
      <w:r w:rsidR="00634847" w:rsidRPr="00B77653">
        <w:rPr>
          <w:i/>
        </w:rPr>
        <w:t>have to</w:t>
      </w:r>
      <w:r w:rsidR="00634847" w:rsidRPr="00B77653">
        <w:t xml:space="preserve"> than their male counterparts</w:t>
      </w:r>
      <w:r w:rsidR="0034772C">
        <w:t xml:space="preserve">, but </w:t>
      </w:r>
      <w:r w:rsidR="00E32882" w:rsidRPr="00B77653">
        <w:t xml:space="preserve">we did not see statistically significant correlations for </w:t>
      </w:r>
      <w:r w:rsidR="000F15BE">
        <w:t>deontic</w:t>
      </w:r>
      <w:r w:rsidR="00634847" w:rsidRPr="00B77653">
        <w:t xml:space="preserve"> </w:t>
      </w:r>
      <w:r w:rsidR="00634847" w:rsidRPr="00B77653">
        <w:rPr>
          <w:i/>
        </w:rPr>
        <w:t xml:space="preserve">have to </w:t>
      </w:r>
      <w:r w:rsidR="00634847" w:rsidRPr="00B77653">
        <w:t xml:space="preserve">and </w:t>
      </w:r>
      <w:r w:rsidR="00B96E1E" w:rsidRPr="00B77653">
        <w:t>either</w:t>
      </w:r>
      <w:r w:rsidR="004A7795" w:rsidRPr="00B77653">
        <w:t xml:space="preserve"> </w:t>
      </w:r>
      <w:r w:rsidR="00634847" w:rsidRPr="00B77653">
        <w:rPr>
          <w:i/>
        </w:rPr>
        <w:t xml:space="preserve">be like </w:t>
      </w:r>
      <w:r w:rsidR="00634847" w:rsidRPr="00B77653">
        <w:t xml:space="preserve">or </w:t>
      </w:r>
      <w:r w:rsidR="00634847" w:rsidRPr="00B77653">
        <w:rPr>
          <w:i/>
        </w:rPr>
        <w:t>so.</w:t>
      </w:r>
      <w:r w:rsidR="00F753EB" w:rsidRPr="00B77653">
        <w:t xml:space="preserve"> </w:t>
      </w:r>
      <w:r w:rsidR="007F5548">
        <w:t xml:space="preserve">All this </w:t>
      </w:r>
      <w:r w:rsidR="007F5548" w:rsidRPr="00B77653">
        <w:t xml:space="preserve">evidence suggests that the correlation between </w:t>
      </w:r>
      <w:r w:rsidR="007F5548">
        <w:t>quotative</w:t>
      </w:r>
      <w:r w:rsidR="007F5548" w:rsidRPr="00B77653">
        <w:t xml:space="preserve"> </w:t>
      </w:r>
      <w:r w:rsidR="007F5548" w:rsidRPr="00B77653">
        <w:rPr>
          <w:i/>
        </w:rPr>
        <w:t>be like</w:t>
      </w:r>
      <w:r w:rsidR="007F5548" w:rsidRPr="00B77653">
        <w:t xml:space="preserve"> and </w:t>
      </w:r>
      <w:r w:rsidR="007F5548">
        <w:t>intensifier</w:t>
      </w:r>
      <w:r w:rsidR="007F5548" w:rsidRPr="00B77653">
        <w:t xml:space="preserve"> </w:t>
      </w:r>
      <w:r w:rsidR="007F5548" w:rsidRPr="00B77653">
        <w:rPr>
          <w:i/>
        </w:rPr>
        <w:t>so</w:t>
      </w:r>
      <w:r w:rsidR="007F5548" w:rsidRPr="00B77653">
        <w:t xml:space="preserve"> is not simply a confounding effect of speaker sex.</w:t>
      </w:r>
    </w:p>
    <w:p w14:paraId="2F73A28B" w14:textId="6E3963B5" w:rsidR="00F753EB" w:rsidRPr="00500363" w:rsidRDefault="00D16D96" w:rsidP="00FE3A44">
      <w:pPr>
        <w:ind w:right="0" w:firstLine="720"/>
        <w:rPr>
          <w:i/>
        </w:rPr>
      </w:pPr>
      <w:r>
        <w:t xml:space="preserve">Other similarities between </w:t>
      </w:r>
      <w:r>
        <w:rPr>
          <w:i/>
        </w:rPr>
        <w:t xml:space="preserve">be </w:t>
      </w:r>
      <w:r w:rsidRPr="00D16D96">
        <w:rPr>
          <w:i/>
        </w:rPr>
        <w:t>like</w:t>
      </w:r>
      <w:r>
        <w:t xml:space="preserve"> and </w:t>
      </w:r>
      <w:r>
        <w:rPr>
          <w:i/>
        </w:rPr>
        <w:t xml:space="preserve">so </w:t>
      </w:r>
      <w:r w:rsidR="004D4B7D">
        <w:t>also could not explain their relationship</w:t>
      </w:r>
      <w:r>
        <w:t xml:space="preserve">. </w:t>
      </w:r>
      <w:r w:rsidRPr="00D16D96">
        <w:t>First</w:t>
      </w:r>
      <w:r>
        <w:t xml:space="preserve">, we returned to the </w:t>
      </w:r>
      <w:r w:rsidR="001F1406" w:rsidRPr="00B77653">
        <w:t xml:space="preserve">possibility that the recentness of </w:t>
      </w:r>
      <w:r w:rsidR="00E84D16" w:rsidRPr="00B77653">
        <w:t>the variant</w:t>
      </w:r>
      <w:r w:rsidR="001F1406" w:rsidRPr="00B77653">
        <w:t xml:space="preserve"> </w:t>
      </w:r>
      <w:r w:rsidR="00E84D16" w:rsidRPr="00B77653">
        <w:t xml:space="preserve">might be </w:t>
      </w:r>
      <w:r w:rsidR="007F5548">
        <w:t>relevant</w:t>
      </w:r>
      <w:r w:rsidR="001E3167">
        <w:t>,</w:t>
      </w:r>
      <w:r w:rsidR="0034772C">
        <w:t xml:space="preserve"> as it was for </w:t>
      </w:r>
      <w:r w:rsidR="00712A7A">
        <w:t xml:space="preserve">the </w:t>
      </w:r>
      <w:r w:rsidR="0034772C">
        <w:t xml:space="preserve">phonological variables </w:t>
      </w:r>
      <w:r w:rsidR="00712A7A">
        <w:t xml:space="preserve">studied by </w:t>
      </w:r>
      <w:r w:rsidR="0034772C" w:rsidRPr="00F71941">
        <w:t xml:space="preserve">Stuart-Smith and Timmins </w:t>
      </w:r>
      <w:r w:rsidR="0034772C">
        <w:t>(</w:t>
      </w:r>
      <w:r w:rsidR="0034772C" w:rsidRPr="00F71941">
        <w:t>2010</w:t>
      </w:r>
      <w:r w:rsidR="0034772C">
        <w:t>). Q</w:t>
      </w:r>
      <w:r w:rsidR="000F15BE">
        <w:t>uotative</w:t>
      </w:r>
      <w:r w:rsidR="00E84D16" w:rsidRPr="00B77653">
        <w:t xml:space="preserve"> </w:t>
      </w:r>
      <w:r w:rsidR="00E84D16" w:rsidRPr="00B77653">
        <w:rPr>
          <w:i/>
        </w:rPr>
        <w:t>be like</w:t>
      </w:r>
      <w:r w:rsidR="00E84D16" w:rsidRPr="00B77653">
        <w:t xml:space="preserve"> </w:t>
      </w:r>
      <w:r w:rsidR="006C6176" w:rsidRPr="00B77653">
        <w:t>is def</w:t>
      </w:r>
      <w:r w:rsidR="00F753EB" w:rsidRPr="00B77653">
        <w:t>initely a</w:t>
      </w:r>
      <w:r w:rsidR="006C6176" w:rsidRPr="00B77653">
        <w:t>n</w:t>
      </w:r>
      <w:r w:rsidR="00F753EB" w:rsidRPr="00B77653">
        <w:t xml:space="preserve"> innovation</w:t>
      </w:r>
      <w:r w:rsidR="006C6176" w:rsidRPr="00B77653">
        <w:t xml:space="preserve"> of the past 30 years</w:t>
      </w:r>
      <w:r w:rsidR="002A4509">
        <w:t>,</w:t>
      </w:r>
      <w:r w:rsidR="0034772C">
        <w:t xml:space="preserve"> including in Toronto</w:t>
      </w:r>
      <w:r w:rsidR="00C90BB3" w:rsidRPr="00B77653">
        <w:t xml:space="preserve"> </w:t>
      </w:r>
      <w:r w:rsidR="00C90BB3" w:rsidRPr="0034772C">
        <w:t>(</w:t>
      </w:r>
      <w:r w:rsidR="0034772C" w:rsidRPr="0034772C">
        <w:t>Tagliamonte and D’Arcy 2004, 495</w:t>
      </w:r>
      <w:r w:rsidR="00C90BB3" w:rsidRPr="0034772C">
        <w:t>)</w:t>
      </w:r>
      <w:r w:rsidR="00E84D16" w:rsidRPr="00B77653">
        <w:t xml:space="preserve">. However, the </w:t>
      </w:r>
      <w:r w:rsidR="00F753EB" w:rsidRPr="00B77653">
        <w:t xml:space="preserve">use of </w:t>
      </w:r>
      <w:r w:rsidR="00E84D16" w:rsidRPr="00B77653">
        <w:rPr>
          <w:i/>
        </w:rPr>
        <w:t xml:space="preserve">so </w:t>
      </w:r>
      <w:r w:rsidR="00F753EB" w:rsidRPr="00B77653">
        <w:t xml:space="preserve">as an intensifier is </w:t>
      </w:r>
      <w:r w:rsidR="004A7795" w:rsidRPr="00B77653">
        <w:t xml:space="preserve">attested </w:t>
      </w:r>
      <w:r w:rsidR="00F753EB" w:rsidRPr="00B77653">
        <w:t xml:space="preserve">in the </w:t>
      </w:r>
      <w:r w:rsidR="00BA18F7" w:rsidRPr="00BA18F7">
        <w:rPr>
          <w:i/>
        </w:rPr>
        <w:t>TEA</w:t>
      </w:r>
      <w:r w:rsidR="00BA18F7">
        <w:t xml:space="preserve"> </w:t>
      </w:r>
      <w:r w:rsidR="002A4509">
        <w:t xml:space="preserve">data </w:t>
      </w:r>
      <w:r w:rsidR="00BA18F7">
        <w:t xml:space="preserve">even among the oldest speakers </w:t>
      </w:r>
      <w:r w:rsidR="00BA18F7" w:rsidRPr="0034772C">
        <w:t xml:space="preserve">(Tagliamonte </w:t>
      </w:r>
      <w:r w:rsidR="00BA18F7">
        <w:t>2008</w:t>
      </w:r>
      <w:r w:rsidR="00BA18F7" w:rsidRPr="0034772C">
        <w:t xml:space="preserve">, </w:t>
      </w:r>
      <w:r w:rsidR="00BA18F7">
        <w:t>372</w:t>
      </w:r>
      <w:r w:rsidR="00BA18F7" w:rsidRPr="0034772C">
        <w:t>)</w:t>
      </w:r>
      <w:r w:rsidR="00BA18F7">
        <w:t xml:space="preserve">. </w:t>
      </w:r>
      <w:r w:rsidR="006D1BBD">
        <w:t xml:space="preserve">Thus, </w:t>
      </w:r>
      <w:r w:rsidR="002D1AB9" w:rsidRPr="00B77653">
        <w:t xml:space="preserve">recentness </w:t>
      </w:r>
      <w:r w:rsidR="001E3167">
        <w:t xml:space="preserve">of the innovation </w:t>
      </w:r>
      <w:r w:rsidR="002D1AB9" w:rsidRPr="00B77653">
        <w:t>is</w:t>
      </w:r>
      <w:r w:rsidR="00660B0F">
        <w:t xml:space="preserve"> again </w:t>
      </w:r>
      <w:r w:rsidR="006C6176" w:rsidRPr="00B77653">
        <w:t>not what</w:t>
      </w:r>
      <w:r w:rsidR="00E84D16" w:rsidRPr="00B77653">
        <w:t xml:space="preserve"> is</w:t>
      </w:r>
      <w:r w:rsidR="006C6176" w:rsidRPr="00B77653">
        <w:t xml:space="preserve"> at work here</w:t>
      </w:r>
      <w:r w:rsidR="00902336" w:rsidRPr="00B77653">
        <w:t xml:space="preserve"> either</w:t>
      </w:r>
      <w:r w:rsidR="006C6176" w:rsidRPr="00B77653">
        <w:t>.</w:t>
      </w:r>
      <w:r>
        <w:t xml:space="preserve"> Second, we</w:t>
      </w:r>
      <w:r w:rsidRPr="00B77653">
        <w:t xml:space="preserve"> noted that</w:t>
      </w:r>
      <w:r>
        <w:rPr>
          <w:i/>
        </w:rPr>
        <w:t xml:space="preserve"> be like </w:t>
      </w:r>
      <w:r w:rsidRPr="00B77653">
        <w:t xml:space="preserve">and </w:t>
      </w:r>
      <w:r>
        <w:rPr>
          <w:i/>
        </w:rPr>
        <w:t>so</w:t>
      </w:r>
      <w:r w:rsidRPr="00B77653">
        <w:t xml:space="preserve">, despite the difference in when they originally arose, have both recently been adopted with vigor by younger speakers. That is, they </w:t>
      </w:r>
      <w:r w:rsidR="00753B10">
        <w:t xml:space="preserve">are both </w:t>
      </w:r>
      <w:r w:rsidRPr="00B77653">
        <w:t xml:space="preserve">seemingly trendy </w:t>
      </w:r>
      <w:r w:rsidR="00753B10">
        <w:t>variants</w:t>
      </w:r>
      <w:r w:rsidRPr="00B77653">
        <w:t>.</w:t>
      </w:r>
      <w:r w:rsidRPr="00B77653" w:rsidDel="00A66C1C">
        <w:t xml:space="preserve"> </w:t>
      </w:r>
      <w:r w:rsidRPr="00B77653">
        <w:t xml:space="preserve">We </w:t>
      </w:r>
      <w:r>
        <w:t xml:space="preserve">speculated that they </w:t>
      </w:r>
      <w:r w:rsidRPr="00B77653">
        <w:t xml:space="preserve">are correlated because they are both markers of young, innovative speech, particularly in contrast to the incoming variants in the </w:t>
      </w:r>
      <w:r>
        <w:t xml:space="preserve">stative </w:t>
      </w:r>
      <w:r w:rsidRPr="00B77653">
        <w:t xml:space="preserve">and </w:t>
      </w:r>
      <w:r>
        <w:t xml:space="preserve">deontic </w:t>
      </w:r>
      <w:r w:rsidRPr="00B77653">
        <w:t xml:space="preserve">systems. However, the use of the </w:t>
      </w:r>
      <w:r>
        <w:t>GE</w:t>
      </w:r>
      <w:r w:rsidRPr="00B77653">
        <w:t xml:space="preserve"> </w:t>
      </w:r>
      <w:r>
        <w:rPr>
          <w:i/>
        </w:rPr>
        <w:t xml:space="preserve">and stuff </w:t>
      </w:r>
      <w:r w:rsidRPr="00B77653">
        <w:t xml:space="preserve">and </w:t>
      </w:r>
      <w:r>
        <w:t xml:space="preserve">intensifier </w:t>
      </w:r>
      <w:r w:rsidRPr="007F5548">
        <w:rPr>
          <w:i/>
        </w:rPr>
        <w:t>really</w:t>
      </w:r>
      <w:r w:rsidRPr="00B77653">
        <w:t xml:space="preserve"> </w:t>
      </w:r>
      <w:r>
        <w:t xml:space="preserve">are </w:t>
      </w:r>
      <w:r w:rsidRPr="00B77653">
        <w:t xml:space="preserve">also associated with younger speakers (Tagliamonte and Denis 2010, 360) so the connection cannot be only the youthfulness of its users either. </w:t>
      </w:r>
      <w:r w:rsidR="00500363">
        <w:t>Third</w:t>
      </w:r>
      <w:r>
        <w:t xml:space="preserve">, in an examination of covariation in stable variables of Brazilian Portuguese, </w:t>
      </w:r>
      <w:r w:rsidRPr="003255CB">
        <w:t>Oushiro</w:t>
      </w:r>
      <w:r>
        <w:t xml:space="preserve"> and Guy (2015, 165) noted that unmarked forms “are subject to more automatic and consistent treatment” and are more likely to covary. However, the incoming variants examined here are likely to be more marked because they are innovations, and thus we would expect they would be less likely to be correlated.</w:t>
      </w:r>
      <w:r w:rsidR="00500363">
        <w:t xml:space="preserve"> Therefore, </w:t>
      </w:r>
      <w:r w:rsidR="009642C3">
        <w:t xml:space="preserve">we are inclined to come back to the idea that the </w:t>
      </w:r>
      <w:r w:rsidR="00500363">
        <w:t xml:space="preserve">relationship </w:t>
      </w:r>
      <w:r w:rsidR="00753B10">
        <w:t xml:space="preserve">between </w:t>
      </w:r>
      <w:r w:rsidR="00753B10">
        <w:rPr>
          <w:i/>
        </w:rPr>
        <w:t xml:space="preserve">be like </w:t>
      </w:r>
      <w:r w:rsidR="00753B10">
        <w:t xml:space="preserve">and </w:t>
      </w:r>
      <w:r w:rsidR="00753B10">
        <w:rPr>
          <w:i/>
        </w:rPr>
        <w:t xml:space="preserve">so </w:t>
      </w:r>
      <w:r w:rsidR="00500363">
        <w:t xml:space="preserve">may be </w:t>
      </w:r>
      <w:r w:rsidR="00753B10">
        <w:t>due to</w:t>
      </w:r>
      <w:r w:rsidR="00500363">
        <w:t xml:space="preserve"> the </w:t>
      </w:r>
      <w:r w:rsidR="009642C3" w:rsidRPr="009642C3">
        <w:t>distinctive</w:t>
      </w:r>
      <w:r w:rsidR="00500363">
        <w:t xml:space="preserve"> nature of </w:t>
      </w:r>
      <w:r w:rsidR="00500363">
        <w:rPr>
          <w:i/>
        </w:rPr>
        <w:t xml:space="preserve">be like. </w:t>
      </w:r>
    </w:p>
    <w:p w14:paraId="022F85B7" w14:textId="68B26BAB" w:rsidR="00D16D96" w:rsidRDefault="00D16D96" w:rsidP="00FE3A44">
      <w:r>
        <w:tab/>
      </w:r>
      <w:r w:rsidR="00CC0B37" w:rsidRPr="00B77653">
        <w:t>T</w:t>
      </w:r>
      <w:r w:rsidR="001E3167">
        <w:t xml:space="preserve">aken together, the </w:t>
      </w:r>
      <w:r w:rsidR="009642C3">
        <w:t xml:space="preserve">all the </w:t>
      </w:r>
      <w:r w:rsidR="001E3167">
        <w:t xml:space="preserve">evidence </w:t>
      </w:r>
      <w:r w:rsidR="009642C3">
        <w:t xml:space="preserve">we have presented </w:t>
      </w:r>
      <w:r w:rsidR="001E3167">
        <w:t xml:space="preserve">leads us to </w:t>
      </w:r>
      <w:r w:rsidR="00CC0B37" w:rsidRPr="00B77653">
        <w:t>conclude that i</w:t>
      </w:r>
      <w:r w:rsidR="004A769F" w:rsidRPr="00B77653">
        <w:t xml:space="preserve">ndividuals who lead in </w:t>
      </w:r>
      <w:r w:rsidR="00500363">
        <w:t>one</w:t>
      </w:r>
      <w:r w:rsidR="004A769F" w:rsidRPr="00B77653">
        <w:t xml:space="preserve"> </w:t>
      </w:r>
      <w:r w:rsidR="00753B10">
        <w:t>(</w:t>
      </w:r>
      <w:r w:rsidR="00343EA8">
        <w:t>nonphonological</w:t>
      </w:r>
      <w:r w:rsidR="00753B10">
        <w:t>)</w:t>
      </w:r>
      <w:r w:rsidR="00343EA8">
        <w:t xml:space="preserve"> </w:t>
      </w:r>
      <w:r w:rsidR="00753B10">
        <w:t>linguistic change</w:t>
      </w:r>
      <w:r w:rsidR="00753B10" w:rsidRPr="00B77653">
        <w:t xml:space="preserve"> </w:t>
      </w:r>
      <w:r w:rsidR="004A769F" w:rsidRPr="00B77653">
        <w:t xml:space="preserve">are </w:t>
      </w:r>
      <w:r w:rsidR="00343EA8">
        <w:t>unlikely to be leading in other(s)</w:t>
      </w:r>
      <w:r w:rsidR="00753B10">
        <w:t xml:space="preserve"> in progress at the same time</w:t>
      </w:r>
      <w:r w:rsidR="004A769F" w:rsidRPr="00B77653">
        <w:t xml:space="preserve">.  </w:t>
      </w:r>
      <w:r w:rsidR="006F3C52" w:rsidRPr="00B77653">
        <w:t>As a</w:t>
      </w:r>
      <w:r w:rsidR="00753B10">
        <w:t xml:space="preserve"> pra</w:t>
      </w:r>
      <w:r w:rsidR="007F35EF">
        <w:t>c</w:t>
      </w:r>
      <w:r w:rsidR="00753B10">
        <w:t>tical</w:t>
      </w:r>
      <w:r w:rsidR="006F3C52" w:rsidRPr="00B77653">
        <w:t xml:space="preserve"> example, </w:t>
      </w:r>
      <w:r w:rsidR="00753B10">
        <w:t>consider the</w:t>
      </w:r>
      <w:r w:rsidR="00C41C26" w:rsidRPr="00B77653">
        <w:t xml:space="preserve"> behavior (i.e., factor weights) of </w:t>
      </w:r>
      <w:r w:rsidR="006F3C52" w:rsidRPr="00B77653">
        <w:t xml:space="preserve">two </w:t>
      </w:r>
      <w:r w:rsidR="00C41C26" w:rsidRPr="00B77653">
        <w:t xml:space="preserve">individuals. The </w:t>
      </w:r>
      <w:r w:rsidR="00343EA8">
        <w:t xml:space="preserve">(pseudonymous) </w:t>
      </w:r>
      <w:r w:rsidR="00C41C26" w:rsidRPr="00B77653">
        <w:t xml:space="preserve">speakers shown in </w:t>
      </w:r>
      <w:r w:rsidR="00343EA8" w:rsidRPr="007F35EF">
        <w:t>Table 3</w:t>
      </w:r>
      <w:r w:rsidR="00343EA8">
        <w:t xml:space="preserve"> </w:t>
      </w:r>
      <w:r w:rsidR="004A769F" w:rsidRPr="00B77653">
        <w:t xml:space="preserve">are </w:t>
      </w:r>
      <w:r w:rsidR="00C41C26" w:rsidRPr="00B77653">
        <w:t xml:space="preserve">two </w:t>
      </w:r>
      <w:r w:rsidR="004A769F" w:rsidRPr="00B77653">
        <w:t xml:space="preserve">people </w:t>
      </w:r>
      <w:r w:rsidR="006F3C52" w:rsidRPr="00B77653">
        <w:t>who had high</w:t>
      </w:r>
      <w:r w:rsidR="00C41C26" w:rsidRPr="00B77653">
        <w:t xml:space="preserve"> factor weights for intensifier </w:t>
      </w:r>
      <w:r w:rsidR="00C41C26" w:rsidRPr="00B77653">
        <w:rPr>
          <w:i/>
        </w:rPr>
        <w:t>so</w:t>
      </w:r>
      <w:r w:rsidR="00C41C26" w:rsidRPr="00B77653">
        <w:t xml:space="preserve">. As you can see, they are </w:t>
      </w:r>
      <w:r w:rsidR="006F3C52" w:rsidRPr="00B77653">
        <w:t>both women, and very close in age</w:t>
      </w:r>
      <w:r w:rsidR="00C41C26" w:rsidRPr="00B77653">
        <w:t xml:space="preserve">. However, they do not display consistent behavior </w:t>
      </w:r>
      <w:r w:rsidR="003F1DCE">
        <w:t xml:space="preserve">with </w:t>
      </w:r>
      <w:r w:rsidR="003F1DCE">
        <w:rPr>
          <w:i/>
        </w:rPr>
        <w:t xml:space="preserve">be like, </w:t>
      </w:r>
      <w:r w:rsidR="003F1DCE" w:rsidRPr="00B77653">
        <w:t>with Mary being a higher user of it than Fiona</w:t>
      </w:r>
      <w:r w:rsidR="00C41C26" w:rsidRPr="00B7765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492"/>
        <w:gridCol w:w="1276"/>
        <w:gridCol w:w="1276"/>
        <w:gridCol w:w="1276"/>
      </w:tblGrid>
      <w:tr w:rsidR="00973D1D" w:rsidRPr="00B77653" w14:paraId="77579C39" w14:textId="441BBF55" w:rsidTr="00873C87">
        <w:trPr>
          <w:jc w:val="center"/>
        </w:trPr>
        <w:tc>
          <w:tcPr>
            <w:tcW w:w="8047" w:type="dxa"/>
            <w:gridSpan w:val="5"/>
          </w:tcPr>
          <w:p w14:paraId="7787F9CA" w14:textId="7DF20EEF" w:rsidR="00973D1D" w:rsidRDefault="00973D1D" w:rsidP="005D5549">
            <w:pPr>
              <w:jc w:val="center"/>
            </w:pPr>
            <w:r>
              <w:t>Table 3</w:t>
            </w:r>
            <w:r w:rsidRPr="00B77653">
              <w:t xml:space="preserve">: Comparison of factor weights for two leaders of </w:t>
            </w:r>
            <w:r>
              <w:t>intensifier</w:t>
            </w:r>
            <w:r w:rsidRPr="00B77653">
              <w:t xml:space="preserve"> </w:t>
            </w:r>
            <w:r w:rsidRPr="00B77653">
              <w:rPr>
                <w:i/>
              </w:rPr>
              <w:t>so</w:t>
            </w:r>
          </w:p>
        </w:tc>
      </w:tr>
      <w:tr w:rsidR="00B956F8" w:rsidRPr="00B77653" w14:paraId="702EBB73" w14:textId="3686B963" w:rsidTr="00784807">
        <w:trPr>
          <w:jc w:val="center"/>
        </w:trPr>
        <w:tc>
          <w:tcPr>
            <w:tcW w:w="2727" w:type="dxa"/>
            <w:vMerge w:val="restart"/>
            <w:shd w:val="clear" w:color="auto" w:fill="auto"/>
          </w:tcPr>
          <w:p w14:paraId="30AF26CE" w14:textId="1FD964CD" w:rsidR="00B956F8" w:rsidRPr="00B77653" w:rsidRDefault="00B956F8" w:rsidP="00FE3A44"/>
          <w:p w14:paraId="77113542" w14:textId="71FCD29A" w:rsidR="00B956F8" w:rsidRPr="00B77653" w:rsidRDefault="00B956F8" w:rsidP="00FE3A44"/>
        </w:tc>
        <w:tc>
          <w:tcPr>
            <w:tcW w:w="2768" w:type="dxa"/>
            <w:gridSpan w:val="2"/>
            <w:shd w:val="clear" w:color="auto" w:fill="auto"/>
          </w:tcPr>
          <w:p w14:paraId="274A9721" w14:textId="716ED8D5" w:rsidR="00B956F8" w:rsidRPr="00B77653" w:rsidRDefault="00B956F8" w:rsidP="00B956F8">
            <w:pPr>
              <w:jc w:val="center"/>
            </w:pPr>
            <w:r w:rsidRPr="00B77653">
              <w:t>Mary</w:t>
            </w:r>
            <w:r>
              <w:t xml:space="preserve"> (</w:t>
            </w:r>
            <w:r w:rsidRPr="00B77653">
              <w:t>19, female</w:t>
            </w:r>
            <w:r>
              <w:t>)</w:t>
            </w:r>
          </w:p>
        </w:tc>
        <w:tc>
          <w:tcPr>
            <w:tcW w:w="2552" w:type="dxa"/>
            <w:gridSpan w:val="2"/>
            <w:shd w:val="clear" w:color="auto" w:fill="auto"/>
          </w:tcPr>
          <w:p w14:paraId="6982E04E" w14:textId="0736BE86" w:rsidR="00B956F8" w:rsidRPr="00B77653" w:rsidRDefault="00B956F8" w:rsidP="00B956F8">
            <w:pPr>
              <w:jc w:val="center"/>
            </w:pPr>
            <w:r w:rsidRPr="00B77653">
              <w:t>Fiona</w:t>
            </w:r>
            <w:r>
              <w:t xml:space="preserve"> (</w:t>
            </w:r>
            <w:r w:rsidRPr="00B77653">
              <w:t>21, female</w:t>
            </w:r>
            <w:r>
              <w:t>)</w:t>
            </w:r>
          </w:p>
        </w:tc>
      </w:tr>
      <w:tr w:rsidR="00B956F8" w:rsidRPr="00B77653" w14:paraId="72342629" w14:textId="5CE40C44" w:rsidTr="00873C87">
        <w:trPr>
          <w:jc w:val="center"/>
        </w:trPr>
        <w:tc>
          <w:tcPr>
            <w:tcW w:w="2727" w:type="dxa"/>
            <w:vMerge/>
            <w:shd w:val="clear" w:color="auto" w:fill="auto"/>
          </w:tcPr>
          <w:p w14:paraId="4BDA19E5" w14:textId="37B187AF" w:rsidR="00B956F8" w:rsidRPr="00B77653" w:rsidRDefault="00B956F8" w:rsidP="00FE3A44"/>
        </w:tc>
        <w:tc>
          <w:tcPr>
            <w:tcW w:w="1492" w:type="dxa"/>
            <w:shd w:val="clear" w:color="auto" w:fill="auto"/>
          </w:tcPr>
          <w:p w14:paraId="09204E6C" w14:textId="0B285EC0" w:rsidR="00B956F8" w:rsidRPr="00B77653" w:rsidRDefault="00B956F8" w:rsidP="005D5549">
            <w:pPr>
              <w:jc w:val="center"/>
            </w:pPr>
            <w:r>
              <w:t>FW</w:t>
            </w:r>
          </w:p>
        </w:tc>
        <w:tc>
          <w:tcPr>
            <w:tcW w:w="1276" w:type="dxa"/>
          </w:tcPr>
          <w:p w14:paraId="279342FB" w14:textId="1D011087" w:rsidR="00B956F8" w:rsidRPr="00B77653" w:rsidRDefault="00B956F8" w:rsidP="005D5549">
            <w:pPr>
              <w:jc w:val="center"/>
            </w:pPr>
            <w:r>
              <w:t>n</w:t>
            </w:r>
          </w:p>
        </w:tc>
        <w:tc>
          <w:tcPr>
            <w:tcW w:w="1276" w:type="dxa"/>
            <w:shd w:val="clear" w:color="auto" w:fill="auto"/>
          </w:tcPr>
          <w:p w14:paraId="376D2BC0" w14:textId="620D6999" w:rsidR="00B956F8" w:rsidRPr="00B77653" w:rsidRDefault="00B956F8" w:rsidP="005D5549">
            <w:pPr>
              <w:jc w:val="center"/>
            </w:pPr>
            <w:r>
              <w:t>FW</w:t>
            </w:r>
          </w:p>
        </w:tc>
        <w:tc>
          <w:tcPr>
            <w:tcW w:w="1276" w:type="dxa"/>
          </w:tcPr>
          <w:p w14:paraId="33B7772D" w14:textId="4CE3D0F3" w:rsidR="00B956F8" w:rsidRPr="00B77653" w:rsidRDefault="00B956F8" w:rsidP="005D5549">
            <w:pPr>
              <w:jc w:val="center"/>
            </w:pPr>
            <w:r>
              <w:t>n</w:t>
            </w:r>
          </w:p>
        </w:tc>
      </w:tr>
      <w:tr w:rsidR="00973D1D" w:rsidRPr="00B77653" w14:paraId="37B7E6AF" w14:textId="2063D776" w:rsidTr="00873C87">
        <w:trPr>
          <w:jc w:val="center"/>
        </w:trPr>
        <w:tc>
          <w:tcPr>
            <w:tcW w:w="2727" w:type="dxa"/>
            <w:shd w:val="clear" w:color="auto" w:fill="auto"/>
          </w:tcPr>
          <w:p w14:paraId="55A8E2B0" w14:textId="77777777" w:rsidR="00973D1D" w:rsidRPr="00B77653" w:rsidRDefault="00973D1D" w:rsidP="00FC7480">
            <w:pPr>
              <w:rPr>
                <w:i/>
              </w:rPr>
            </w:pPr>
            <w:r w:rsidRPr="00B77653">
              <w:t xml:space="preserve">Intensifier </w:t>
            </w:r>
            <w:r w:rsidRPr="00B77653">
              <w:rPr>
                <w:i/>
              </w:rPr>
              <w:t>so</w:t>
            </w:r>
          </w:p>
        </w:tc>
        <w:tc>
          <w:tcPr>
            <w:tcW w:w="1492" w:type="dxa"/>
            <w:shd w:val="clear" w:color="auto" w:fill="auto"/>
          </w:tcPr>
          <w:p w14:paraId="4B0D5413" w14:textId="77777777" w:rsidR="00973D1D" w:rsidRPr="00B77653" w:rsidRDefault="00973D1D" w:rsidP="005D5549">
            <w:pPr>
              <w:jc w:val="center"/>
            </w:pPr>
            <w:r w:rsidRPr="00B77653">
              <w:t>.81</w:t>
            </w:r>
          </w:p>
        </w:tc>
        <w:tc>
          <w:tcPr>
            <w:tcW w:w="1276" w:type="dxa"/>
          </w:tcPr>
          <w:p w14:paraId="7EB6EF44" w14:textId="5AD3E62C" w:rsidR="00973D1D" w:rsidRPr="00B77653" w:rsidRDefault="00973D1D" w:rsidP="005D5549">
            <w:pPr>
              <w:jc w:val="center"/>
            </w:pPr>
            <w:r>
              <w:t>189</w:t>
            </w:r>
          </w:p>
        </w:tc>
        <w:tc>
          <w:tcPr>
            <w:tcW w:w="1276" w:type="dxa"/>
            <w:shd w:val="clear" w:color="auto" w:fill="auto"/>
          </w:tcPr>
          <w:p w14:paraId="595F4A72" w14:textId="577D5872" w:rsidR="00973D1D" w:rsidRPr="00B77653" w:rsidRDefault="00973D1D" w:rsidP="005D5549">
            <w:pPr>
              <w:jc w:val="center"/>
            </w:pPr>
            <w:r w:rsidRPr="00B77653">
              <w:t>.71</w:t>
            </w:r>
          </w:p>
        </w:tc>
        <w:tc>
          <w:tcPr>
            <w:tcW w:w="1276" w:type="dxa"/>
          </w:tcPr>
          <w:p w14:paraId="314D82BD" w14:textId="326BEE14" w:rsidR="00973D1D" w:rsidRPr="00B77653" w:rsidRDefault="00973D1D" w:rsidP="005D5549">
            <w:pPr>
              <w:jc w:val="center"/>
            </w:pPr>
            <w:r>
              <w:t>102</w:t>
            </w:r>
          </w:p>
        </w:tc>
      </w:tr>
      <w:tr w:rsidR="00973D1D" w:rsidRPr="00B77653" w14:paraId="5AE7E74C" w14:textId="059D6155" w:rsidTr="00873C87">
        <w:trPr>
          <w:jc w:val="center"/>
        </w:trPr>
        <w:tc>
          <w:tcPr>
            <w:tcW w:w="2727" w:type="dxa"/>
            <w:shd w:val="clear" w:color="auto" w:fill="auto"/>
          </w:tcPr>
          <w:p w14:paraId="2519974D" w14:textId="77777777" w:rsidR="00973D1D" w:rsidRPr="00B77653" w:rsidRDefault="00973D1D" w:rsidP="00FC7480">
            <w:r w:rsidRPr="00B77653">
              <w:t xml:space="preserve">Quotative </w:t>
            </w:r>
            <w:r w:rsidRPr="00B77653">
              <w:rPr>
                <w:i/>
              </w:rPr>
              <w:t>be like</w:t>
            </w:r>
          </w:p>
        </w:tc>
        <w:tc>
          <w:tcPr>
            <w:tcW w:w="1492" w:type="dxa"/>
            <w:shd w:val="clear" w:color="auto" w:fill="auto"/>
          </w:tcPr>
          <w:p w14:paraId="61CE22A3" w14:textId="77777777" w:rsidR="00973D1D" w:rsidRPr="00B77653" w:rsidRDefault="00973D1D" w:rsidP="005D5549">
            <w:pPr>
              <w:jc w:val="center"/>
            </w:pPr>
            <w:r w:rsidRPr="00B77653">
              <w:t>.63</w:t>
            </w:r>
          </w:p>
        </w:tc>
        <w:tc>
          <w:tcPr>
            <w:tcW w:w="1276" w:type="dxa"/>
          </w:tcPr>
          <w:p w14:paraId="42185E49" w14:textId="0E321568" w:rsidR="00973D1D" w:rsidRPr="00B77653" w:rsidRDefault="00973D1D" w:rsidP="005D5549">
            <w:pPr>
              <w:jc w:val="center"/>
            </w:pPr>
            <w:r>
              <w:t>192</w:t>
            </w:r>
          </w:p>
        </w:tc>
        <w:tc>
          <w:tcPr>
            <w:tcW w:w="1276" w:type="dxa"/>
            <w:shd w:val="clear" w:color="auto" w:fill="auto"/>
          </w:tcPr>
          <w:p w14:paraId="3C13B3DD" w14:textId="4B060C72" w:rsidR="00973D1D" w:rsidRPr="00B77653" w:rsidRDefault="00973D1D" w:rsidP="005D5549">
            <w:pPr>
              <w:jc w:val="center"/>
            </w:pPr>
            <w:r w:rsidRPr="00B77653">
              <w:t>.42</w:t>
            </w:r>
          </w:p>
        </w:tc>
        <w:tc>
          <w:tcPr>
            <w:tcW w:w="1276" w:type="dxa"/>
          </w:tcPr>
          <w:p w14:paraId="01ABB719" w14:textId="7199510D" w:rsidR="00973D1D" w:rsidRPr="00B77653" w:rsidRDefault="00973D1D" w:rsidP="005D5549">
            <w:pPr>
              <w:jc w:val="center"/>
            </w:pPr>
            <w:r>
              <w:t>21</w:t>
            </w:r>
          </w:p>
        </w:tc>
      </w:tr>
    </w:tbl>
    <w:p w14:paraId="69A9D22F" w14:textId="77777777" w:rsidR="00D62D70" w:rsidRPr="00B77653" w:rsidRDefault="00D62D70" w:rsidP="00FE3A44">
      <w:pPr>
        <w:rPr>
          <w:highlight w:val="green"/>
        </w:rPr>
      </w:pPr>
    </w:p>
    <w:p w14:paraId="32F13DE6" w14:textId="52DDDBDF" w:rsidR="00660B0F" w:rsidRPr="004D4B7D" w:rsidRDefault="00625790" w:rsidP="00FE3A44">
      <w:r>
        <w:t xml:space="preserve">Guy and Hinskens (2016, 5) noted that “on-going language change is a systemic disrupter for community coherence”, and it may be that the </w:t>
      </w:r>
      <w:r w:rsidR="00753B10">
        <w:t xml:space="preserve">disruptive nature </w:t>
      </w:r>
      <w:r>
        <w:t xml:space="preserve">of innovation makes it nearly impossible to </w:t>
      </w:r>
      <w:r w:rsidR="004D4B7D">
        <w:t xml:space="preserve">identify correlations </w:t>
      </w:r>
      <w:r w:rsidR="00753B10">
        <w:t xml:space="preserve">across individuals </w:t>
      </w:r>
      <w:r w:rsidR="004D4B7D" w:rsidRPr="004D4B7D">
        <w:t xml:space="preserve">synchronically. </w:t>
      </w:r>
    </w:p>
    <w:p w14:paraId="6BE07ED0" w14:textId="347E269D" w:rsidR="006977F0" w:rsidRDefault="004D4B7D" w:rsidP="006977F0">
      <w:pPr>
        <w:rPr>
          <w:bCs/>
        </w:rPr>
      </w:pPr>
      <w:r>
        <w:tab/>
      </w:r>
      <w:r w:rsidR="006D1BBD">
        <w:t>T</w:t>
      </w:r>
      <w:r w:rsidR="00C41C26" w:rsidRPr="00B77653">
        <w:t xml:space="preserve">o sum up, some individuals </w:t>
      </w:r>
      <w:r w:rsidR="008B261C" w:rsidRPr="00B77653">
        <w:t xml:space="preserve">do </w:t>
      </w:r>
      <w:r w:rsidR="00C41C26" w:rsidRPr="00B77653">
        <w:t xml:space="preserve">participate actively in more than one change, </w:t>
      </w:r>
      <w:r w:rsidR="006D1BBD">
        <w:t>b</w:t>
      </w:r>
      <w:r w:rsidR="00C41C26" w:rsidRPr="00B77653">
        <w:t xml:space="preserve">ut we do not see </w:t>
      </w:r>
      <w:r w:rsidR="00C41C26" w:rsidRPr="00F55A2F">
        <w:rPr>
          <w:i/>
        </w:rPr>
        <w:t>consistent</w:t>
      </w:r>
      <w:r w:rsidR="00C41C26" w:rsidRPr="00B77653">
        <w:t xml:space="preserve"> behavior across all of the leaders</w:t>
      </w:r>
      <w:r w:rsidR="004A7795" w:rsidRPr="00B77653">
        <w:t xml:space="preserve"> for </w:t>
      </w:r>
      <w:r w:rsidR="00660B0F">
        <w:t>most</w:t>
      </w:r>
      <w:r w:rsidR="004A7795" w:rsidRPr="00B77653">
        <w:t xml:space="preserve"> variables</w:t>
      </w:r>
      <w:r w:rsidR="00C41C26" w:rsidRPr="00B77653">
        <w:t>.</w:t>
      </w:r>
      <w:r>
        <w:t xml:space="preserve"> This result is in keeping with previous synchronic studies of phonological change (</w:t>
      </w:r>
      <w:r w:rsidRPr="004D4B7D">
        <w:t>Maclagan</w:t>
      </w:r>
      <w:r>
        <w:t xml:space="preserve"> et al. 1999; Stuart-Smith and Timmins </w:t>
      </w:r>
      <w:r w:rsidRPr="00B77653">
        <w:t>2010)</w:t>
      </w:r>
      <w:r>
        <w:t xml:space="preserve"> and diachronic study of nonphonological change (</w:t>
      </w:r>
      <w:r w:rsidRPr="00B77653">
        <w:t>Nevalainen et al. 2011</w:t>
      </w:r>
      <w:r>
        <w:t>)</w:t>
      </w:r>
      <w:r w:rsidR="00500363">
        <w:t xml:space="preserve">, and </w:t>
      </w:r>
      <w:r w:rsidR="00500363" w:rsidRPr="00B77653">
        <w:rPr>
          <w:bCs/>
        </w:rPr>
        <w:t xml:space="preserve">holds regardless of what </w:t>
      </w:r>
      <w:r w:rsidR="00500363">
        <w:rPr>
          <w:bCs/>
        </w:rPr>
        <w:t xml:space="preserve">methodological </w:t>
      </w:r>
      <w:r w:rsidR="00500363" w:rsidRPr="00B77653">
        <w:rPr>
          <w:bCs/>
        </w:rPr>
        <w:t xml:space="preserve">approach is used to examine the data. </w:t>
      </w:r>
      <w:r w:rsidR="00753B10">
        <w:t>This result corroborates the idea that</w:t>
      </w:r>
      <w:r w:rsidR="00500363">
        <w:t xml:space="preserve"> s</w:t>
      </w:r>
      <w:r w:rsidR="00FE3A44" w:rsidRPr="004D4B7D">
        <w:t>peakers are doing what sociolinguists have observed for decades: they are making use of the linguistic resources that are available</w:t>
      </w:r>
      <w:r>
        <w:t xml:space="preserve"> in context </w:t>
      </w:r>
      <w:r w:rsidRPr="004D4B7D">
        <w:t>(</w:t>
      </w:r>
      <w:r w:rsidR="009C0230" w:rsidRPr="004D4B7D">
        <w:t>Eckert</w:t>
      </w:r>
      <w:r w:rsidR="009C0230">
        <w:t xml:space="preserve"> 2008</w:t>
      </w:r>
      <w:r>
        <w:t xml:space="preserve">). </w:t>
      </w:r>
      <w:r>
        <w:rPr>
          <w:bCs/>
        </w:rPr>
        <w:t>N</w:t>
      </w:r>
      <w:r w:rsidR="00815329" w:rsidRPr="00B77653">
        <w:rPr>
          <w:bCs/>
        </w:rPr>
        <w:t>othing we have found contradicts previous claims about what social groups leaders may come from or what personal traits leaders may have (e.</w:t>
      </w:r>
      <w:r w:rsidR="00815329" w:rsidRPr="004D4B7D">
        <w:rPr>
          <w:bCs/>
        </w:rPr>
        <w:t>g., Chambers 2009</w:t>
      </w:r>
      <w:r w:rsidR="00BB7C05" w:rsidRPr="004D4B7D">
        <w:rPr>
          <w:bCs/>
        </w:rPr>
        <w:t>,</w:t>
      </w:r>
      <w:r w:rsidR="00FC7480" w:rsidRPr="004D4B7D">
        <w:rPr>
          <w:bCs/>
        </w:rPr>
        <w:t xml:space="preserve"> </w:t>
      </w:r>
      <w:r w:rsidR="00815329" w:rsidRPr="004D4B7D">
        <w:rPr>
          <w:bCs/>
        </w:rPr>
        <w:t>92-114; Labov 2001</w:t>
      </w:r>
      <w:r w:rsidR="00BB7C05" w:rsidRPr="004D4B7D">
        <w:rPr>
          <w:bCs/>
        </w:rPr>
        <w:t>,</w:t>
      </w:r>
      <w:r w:rsidR="00FC7480" w:rsidRPr="004D4B7D">
        <w:rPr>
          <w:bCs/>
        </w:rPr>
        <w:t xml:space="preserve"> </w:t>
      </w:r>
      <w:r w:rsidR="00815329" w:rsidRPr="004D4B7D">
        <w:rPr>
          <w:bCs/>
        </w:rPr>
        <w:t>409-411; Milroy 1992</w:t>
      </w:r>
      <w:r w:rsidR="00BB7C05" w:rsidRPr="004D4B7D">
        <w:rPr>
          <w:bCs/>
        </w:rPr>
        <w:t>,</w:t>
      </w:r>
      <w:r w:rsidR="00FC7480" w:rsidRPr="004D4B7D">
        <w:rPr>
          <w:bCs/>
        </w:rPr>
        <w:t xml:space="preserve"> </w:t>
      </w:r>
      <w:r w:rsidR="00815329" w:rsidRPr="004D4B7D">
        <w:rPr>
          <w:bCs/>
        </w:rPr>
        <w:t>164-205;</w:t>
      </w:r>
      <w:r w:rsidR="00815329" w:rsidRPr="00B77653">
        <w:rPr>
          <w:bCs/>
        </w:rPr>
        <w:t xml:space="preserve"> </w:t>
      </w:r>
      <w:r w:rsidR="00815329" w:rsidRPr="00B77653">
        <w:t>Nevalainen et al. 2011</w:t>
      </w:r>
      <w:r w:rsidR="00BB7C05" w:rsidRPr="00B77653">
        <w:t>,</w:t>
      </w:r>
      <w:r w:rsidR="00FC7480" w:rsidRPr="00B77653">
        <w:t xml:space="preserve"> </w:t>
      </w:r>
      <w:r w:rsidR="00815329" w:rsidRPr="00B77653">
        <w:rPr>
          <w:bCs/>
        </w:rPr>
        <w:t>27-34; Rogers 2003</w:t>
      </w:r>
      <w:r w:rsidR="00BB7C05" w:rsidRPr="00B77653">
        <w:rPr>
          <w:bCs/>
        </w:rPr>
        <w:t>,</w:t>
      </w:r>
      <w:r w:rsidR="00FC7480" w:rsidRPr="00B77653">
        <w:rPr>
          <w:bCs/>
        </w:rPr>
        <w:t xml:space="preserve"> </w:t>
      </w:r>
      <w:r w:rsidR="00815329" w:rsidRPr="00B77653">
        <w:rPr>
          <w:bCs/>
        </w:rPr>
        <w:t xml:space="preserve">282-285). What these findings reveal is that, </w:t>
      </w:r>
      <w:r w:rsidR="00753B10">
        <w:rPr>
          <w:bCs/>
        </w:rPr>
        <w:t xml:space="preserve">when there are changes in progress in a community, speakers who </w:t>
      </w:r>
      <w:r w:rsidR="00815329" w:rsidRPr="00B77653">
        <w:rPr>
          <w:bCs/>
        </w:rPr>
        <w:t>have similar social or personal characteristics</w:t>
      </w:r>
      <w:r w:rsidR="00753B10">
        <w:rPr>
          <w:bCs/>
        </w:rPr>
        <w:t xml:space="preserve"> may lead these changes, but </w:t>
      </w:r>
      <w:r w:rsidR="00815329" w:rsidRPr="00B77653">
        <w:rPr>
          <w:bCs/>
        </w:rPr>
        <w:t xml:space="preserve">the particular individuals within that group may well be on the forefront of </w:t>
      </w:r>
      <w:r w:rsidR="00815329" w:rsidRPr="007F35EF">
        <w:rPr>
          <w:bCs/>
          <w:i/>
        </w:rPr>
        <w:t>different</w:t>
      </w:r>
      <w:r w:rsidR="00815329" w:rsidRPr="00B77653">
        <w:rPr>
          <w:bCs/>
        </w:rPr>
        <w:t xml:space="preserve"> changes. </w:t>
      </w:r>
    </w:p>
    <w:p w14:paraId="1E6DDEBC" w14:textId="2781D179" w:rsidR="004D4B7D" w:rsidRDefault="004D4B7D" w:rsidP="004D4B7D">
      <w:pPr>
        <w:ind w:right="0" w:firstLine="720"/>
      </w:pPr>
      <w:r w:rsidRPr="004D4B7D">
        <w:t>Nevalainen et al. (2011, 27) explained some of the inconsistency in their results by appealing to “varying social trajectories of the changes.”</w:t>
      </w:r>
      <w:r w:rsidRPr="004D4B7D">
        <w:rPr>
          <w:color w:val="FF0000"/>
        </w:rPr>
        <w:t xml:space="preserve"> </w:t>
      </w:r>
      <w:r w:rsidRPr="004D4B7D">
        <w:t xml:space="preserve">Similarly, </w:t>
      </w:r>
      <w:r>
        <w:t>Oushiro (2016, 125) noted that variants were more likely to pattern together</w:t>
      </w:r>
      <w:r w:rsidR="00E84D6B">
        <w:t xml:space="preserve"> if there was community “agreement on their social meaning”</w:t>
      </w:r>
      <w:r>
        <w:t xml:space="preserve">. </w:t>
      </w:r>
      <w:r w:rsidR="00E84D6B">
        <w:t xml:space="preserve">While objectively </w:t>
      </w:r>
      <w:r>
        <w:t xml:space="preserve">determining community meaning for </w:t>
      </w:r>
      <w:r w:rsidR="00EA0569">
        <w:t xml:space="preserve">our </w:t>
      </w:r>
      <w:r>
        <w:t xml:space="preserve">variables retrospectively is not possible (Eckert 2008), </w:t>
      </w:r>
      <w:r w:rsidR="00E84D6B">
        <w:t>it may</w:t>
      </w:r>
      <w:r>
        <w:t xml:space="preserve"> be a fruitful avenue for future study of covariation of incoming change</w:t>
      </w:r>
      <w:r w:rsidR="00E84D6B">
        <w:t xml:space="preserve">s </w:t>
      </w:r>
      <w:r w:rsidR="000B60F9">
        <w:t xml:space="preserve">that </w:t>
      </w:r>
      <w:r w:rsidR="00F701F9">
        <w:t>can be predicted to</w:t>
      </w:r>
      <w:r w:rsidR="000B60F9">
        <w:t xml:space="preserve"> </w:t>
      </w:r>
      <w:r w:rsidR="00F701F9">
        <w:t xml:space="preserve">diffuse </w:t>
      </w:r>
      <w:r w:rsidR="00E84D6B">
        <w:t>in the speech community</w:t>
      </w:r>
      <w:r>
        <w:t xml:space="preserve">. </w:t>
      </w:r>
    </w:p>
    <w:p w14:paraId="0008F7DC" w14:textId="75EABA03" w:rsidR="00893888" w:rsidRDefault="00893888" w:rsidP="00FE3A44">
      <w:pPr>
        <w:rPr>
          <w:b/>
        </w:rPr>
      </w:pPr>
    </w:p>
    <w:p w14:paraId="3106E368" w14:textId="1A475014" w:rsidR="0027594A" w:rsidRDefault="008B261C" w:rsidP="00FE3A44">
      <w:pPr>
        <w:rPr>
          <w:b/>
        </w:rPr>
      </w:pPr>
      <w:r w:rsidRPr="00B77653">
        <w:rPr>
          <w:b/>
        </w:rPr>
        <w:t>CONCLUSION</w:t>
      </w:r>
    </w:p>
    <w:p w14:paraId="704EEAD0" w14:textId="2F16E73A" w:rsidR="00CD2BA6" w:rsidRPr="00B77653" w:rsidRDefault="00BA2DAF" w:rsidP="00FE3A44">
      <w:pPr>
        <w:rPr>
          <w:bCs/>
        </w:rPr>
      </w:pPr>
      <w:r>
        <w:t>We have now</w:t>
      </w:r>
      <w:r w:rsidR="00BB5F50">
        <w:t xml:space="preserve"> </w:t>
      </w:r>
      <w:r w:rsidR="00FD0913">
        <w:t xml:space="preserve">put </w:t>
      </w:r>
      <w:r>
        <w:t xml:space="preserve">the </w:t>
      </w:r>
      <w:r w:rsidR="00BB5F50">
        <w:t>covariation</w:t>
      </w:r>
      <w:r>
        <w:t xml:space="preserve"> hypotheses </w:t>
      </w:r>
      <w:r w:rsidR="00FD0913">
        <w:t xml:space="preserve">to the test </w:t>
      </w:r>
      <w:r w:rsidR="00EA0569">
        <w:t xml:space="preserve">using </w:t>
      </w:r>
      <w:r w:rsidR="00527550">
        <w:t>contemporary</w:t>
      </w:r>
      <w:r w:rsidR="00EA0569">
        <w:t xml:space="preserve">, spoken data </w:t>
      </w:r>
      <w:r w:rsidR="00167EEE">
        <w:t>by examining</w:t>
      </w:r>
      <w:r w:rsidR="00BB5F50">
        <w:t xml:space="preserve"> </w:t>
      </w:r>
      <w:r>
        <w:t xml:space="preserve">a series of changes in progress in </w:t>
      </w:r>
      <w:r w:rsidR="00BB5F50">
        <w:t xml:space="preserve">a </w:t>
      </w:r>
      <w:r>
        <w:t xml:space="preserve">cohesive speech community </w:t>
      </w:r>
      <w:r w:rsidR="00FD0913">
        <w:t xml:space="preserve">among a substantive data set of </w:t>
      </w:r>
      <w:r w:rsidR="00F069B2">
        <w:t xml:space="preserve">(non-phonological) </w:t>
      </w:r>
      <w:r w:rsidR="00FD0913">
        <w:t>variables</w:t>
      </w:r>
      <w:r w:rsidR="00167EEE">
        <w:t xml:space="preserve"> among</w:t>
      </w:r>
      <w:r w:rsidR="00FD0913">
        <w:t xml:space="preserve"> leaders and non-leaders.</w:t>
      </w:r>
      <w:r>
        <w:t xml:space="preserve"> </w:t>
      </w:r>
      <w:r w:rsidR="004F5E85">
        <w:t>While it might seem intuitive to think that the leaders of one change will also the leader</w:t>
      </w:r>
      <w:r w:rsidR="00167EEE">
        <w:t>s</w:t>
      </w:r>
      <w:r w:rsidR="004F5E85">
        <w:t xml:space="preserve"> in others, this is not the case. </w:t>
      </w:r>
      <w:r w:rsidR="00343EA8">
        <w:rPr>
          <w:bCs/>
        </w:rPr>
        <w:t>T</w:t>
      </w:r>
      <w:r w:rsidR="00AC5885">
        <w:rPr>
          <w:bCs/>
        </w:rPr>
        <w:t xml:space="preserve">he findings we have presented </w:t>
      </w:r>
      <w:r w:rsidR="00167EEE">
        <w:rPr>
          <w:bCs/>
        </w:rPr>
        <w:t>demonstrate</w:t>
      </w:r>
      <w:r w:rsidR="007F35EF">
        <w:rPr>
          <w:bCs/>
        </w:rPr>
        <w:t>,</w:t>
      </w:r>
      <w:r w:rsidR="0027594A" w:rsidRPr="00B77653">
        <w:rPr>
          <w:bCs/>
        </w:rPr>
        <w:t xml:space="preserve"> </w:t>
      </w:r>
      <w:r w:rsidR="00007C5A" w:rsidRPr="00B77653">
        <w:rPr>
          <w:bCs/>
        </w:rPr>
        <w:t>similar to</w:t>
      </w:r>
      <w:r w:rsidR="00780111" w:rsidRPr="00B77653">
        <w:rPr>
          <w:bCs/>
        </w:rPr>
        <w:t xml:space="preserve"> </w:t>
      </w:r>
      <w:r w:rsidR="00E80030">
        <w:rPr>
          <w:bCs/>
        </w:rPr>
        <w:t>previous studies that were more focused on phonological variables (</w:t>
      </w:r>
      <w:r w:rsidR="00E80030">
        <w:t>Guy 2013</w:t>
      </w:r>
      <w:r w:rsidR="00E80030" w:rsidRPr="00B77653">
        <w:t>,</w:t>
      </w:r>
      <w:r w:rsidR="00E80030">
        <w:t xml:space="preserve"> 70</w:t>
      </w:r>
      <w:r w:rsidR="00E80030" w:rsidRPr="00B77653">
        <w:t>; Maclagan</w:t>
      </w:r>
      <w:r w:rsidR="00E80030">
        <w:t xml:space="preserve"> et al. </w:t>
      </w:r>
      <w:r w:rsidR="00E80030" w:rsidRPr="00B77653">
        <w:t xml:space="preserve">1999, 33-34; </w:t>
      </w:r>
      <w:r w:rsidR="00E80030">
        <w:t xml:space="preserve">Oushiro and Guy 2015, 165; </w:t>
      </w:r>
      <w:r w:rsidR="00E80030" w:rsidRPr="00B77653">
        <w:t>Stuart-Smith and Timmins 2010, 49-50</w:t>
      </w:r>
      <w:r w:rsidR="00E80030">
        <w:t>; Thorburn 2014, 263</w:t>
      </w:r>
      <w:r w:rsidR="00E80030" w:rsidRPr="00B77653">
        <w:t>)</w:t>
      </w:r>
      <w:r w:rsidR="00E80030">
        <w:t xml:space="preserve">, </w:t>
      </w:r>
      <w:r w:rsidR="00E02BF7" w:rsidRPr="00B77653">
        <w:rPr>
          <w:bCs/>
        </w:rPr>
        <w:t xml:space="preserve">and </w:t>
      </w:r>
      <w:r w:rsidR="00E80030">
        <w:rPr>
          <w:bCs/>
        </w:rPr>
        <w:t xml:space="preserve">to </w:t>
      </w:r>
      <w:r w:rsidR="00E02BF7" w:rsidRPr="00B77653">
        <w:rPr>
          <w:bCs/>
        </w:rPr>
        <w:t>Nevalainen et al.</w:t>
      </w:r>
      <w:r w:rsidR="00E80030">
        <w:rPr>
          <w:bCs/>
        </w:rPr>
        <w:t>’s</w:t>
      </w:r>
      <w:r w:rsidR="00E02BF7" w:rsidRPr="00B77653">
        <w:rPr>
          <w:bCs/>
        </w:rPr>
        <w:t xml:space="preserve"> (2011) </w:t>
      </w:r>
      <w:r w:rsidR="00E80030">
        <w:rPr>
          <w:bCs/>
        </w:rPr>
        <w:t xml:space="preserve">examination of </w:t>
      </w:r>
      <w:r w:rsidR="00E02BF7" w:rsidRPr="00B77653">
        <w:rPr>
          <w:bCs/>
        </w:rPr>
        <w:t xml:space="preserve">historical </w:t>
      </w:r>
      <w:r w:rsidR="00E80030">
        <w:rPr>
          <w:bCs/>
        </w:rPr>
        <w:t xml:space="preserve">morphosyntactic </w:t>
      </w:r>
      <w:r w:rsidR="00E02BF7" w:rsidRPr="00B77653">
        <w:rPr>
          <w:bCs/>
        </w:rPr>
        <w:t xml:space="preserve">data, </w:t>
      </w:r>
      <w:r w:rsidR="0027594A" w:rsidRPr="00B77653">
        <w:rPr>
          <w:bCs/>
        </w:rPr>
        <w:t>that individuals who are leading one change in a speech community are</w:t>
      </w:r>
      <w:r w:rsidR="00AC5885">
        <w:rPr>
          <w:bCs/>
        </w:rPr>
        <w:t xml:space="preserve"> not</w:t>
      </w:r>
      <w:r w:rsidR="0027594A" w:rsidRPr="00B77653">
        <w:rPr>
          <w:bCs/>
        </w:rPr>
        <w:t xml:space="preserve"> </w:t>
      </w:r>
      <w:r w:rsidR="00780111" w:rsidRPr="00B77653">
        <w:rPr>
          <w:bCs/>
        </w:rPr>
        <w:t xml:space="preserve">necessarily </w:t>
      </w:r>
      <w:r w:rsidR="0027594A" w:rsidRPr="00B77653">
        <w:rPr>
          <w:bCs/>
        </w:rPr>
        <w:t xml:space="preserve">leading other, concurrent changes. </w:t>
      </w:r>
      <w:r w:rsidR="00F55A2F">
        <w:rPr>
          <w:bCs/>
        </w:rPr>
        <w:t xml:space="preserve">These </w:t>
      </w:r>
      <w:r w:rsidR="00167EEE">
        <w:rPr>
          <w:bCs/>
        </w:rPr>
        <w:t>building findings</w:t>
      </w:r>
      <w:r w:rsidR="00F069B2">
        <w:rPr>
          <w:bCs/>
        </w:rPr>
        <w:t xml:space="preserve"> </w:t>
      </w:r>
      <w:r w:rsidR="00167EEE">
        <w:rPr>
          <w:bCs/>
        </w:rPr>
        <w:t>lead us to speculate</w:t>
      </w:r>
      <w:r w:rsidR="00F069B2">
        <w:rPr>
          <w:bCs/>
        </w:rPr>
        <w:t xml:space="preserve"> that the definition of a “leader of linguistic change” may </w:t>
      </w:r>
      <w:r w:rsidR="00EA1485">
        <w:rPr>
          <w:bCs/>
        </w:rPr>
        <w:t>not rest with</w:t>
      </w:r>
      <w:r w:rsidR="00F069B2">
        <w:rPr>
          <w:bCs/>
        </w:rPr>
        <w:t xml:space="preserve"> linguistic criteria</w:t>
      </w:r>
      <w:r w:rsidR="00EA1485">
        <w:rPr>
          <w:bCs/>
        </w:rPr>
        <w:t xml:space="preserve">. Instead, </w:t>
      </w:r>
      <w:r w:rsidR="00527550">
        <w:rPr>
          <w:bCs/>
        </w:rPr>
        <w:t xml:space="preserve">a speaker’s use of </w:t>
      </w:r>
      <w:r w:rsidR="00EA1485">
        <w:rPr>
          <w:bCs/>
        </w:rPr>
        <w:t xml:space="preserve">one frequently used innovation may be enough </w:t>
      </w:r>
      <w:r w:rsidR="00F55A2F">
        <w:rPr>
          <w:bCs/>
        </w:rPr>
        <w:t xml:space="preserve">as </w:t>
      </w:r>
      <w:r w:rsidR="00EA1485">
        <w:rPr>
          <w:bCs/>
        </w:rPr>
        <w:t>long as it operates in tandem with other concordant social characteristics</w:t>
      </w:r>
      <w:r w:rsidR="00F069B2">
        <w:rPr>
          <w:bCs/>
        </w:rPr>
        <w:t xml:space="preserve">. </w:t>
      </w:r>
    </w:p>
    <w:p w14:paraId="5B3FCBFD" w14:textId="77777777" w:rsidR="00A35920" w:rsidRDefault="00A35920" w:rsidP="00FE3A44">
      <w:pPr>
        <w:rPr>
          <w:bCs/>
        </w:rPr>
      </w:pPr>
    </w:p>
    <w:p w14:paraId="62CE9179" w14:textId="77777777" w:rsidR="00A35920" w:rsidRDefault="00A35920" w:rsidP="00FE3A44">
      <w:pPr>
        <w:rPr>
          <w:bCs/>
        </w:rPr>
        <w:sectPr w:rsidR="00A35920" w:rsidSect="00FE3A44">
          <w:footerReference w:type="default" r:id="rId8"/>
          <w:pgSz w:w="12240" w:h="15840"/>
          <w:pgMar w:top="1440" w:right="2835" w:bottom="1440" w:left="1440" w:header="709" w:footer="709" w:gutter="0"/>
          <w:cols w:space="708"/>
          <w:docGrid w:linePitch="360"/>
        </w:sectPr>
      </w:pPr>
    </w:p>
    <w:p w14:paraId="1E932C32" w14:textId="05CE6D32" w:rsidR="0045122A" w:rsidRPr="00B77653" w:rsidRDefault="0045122A" w:rsidP="00FE3A44">
      <w:pPr>
        <w:rPr>
          <w:bCs/>
        </w:rPr>
      </w:pPr>
    </w:p>
    <w:p w14:paraId="0F132CBE" w14:textId="38D52DAC" w:rsidR="00AF02FB" w:rsidRPr="00B77653" w:rsidRDefault="00AF02FB" w:rsidP="00A35920">
      <w:pPr>
        <w:ind w:hanging="11"/>
        <w:rPr>
          <w:b/>
        </w:rPr>
      </w:pPr>
      <w:r w:rsidRPr="00B77653">
        <w:rPr>
          <w:b/>
        </w:rPr>
        <w:t>R</w:t>
      </w:r>
      <w:r w:rsidR="00E21FF7" w:rsidRPr="00B77653">
        <w:rPr>
          <w:b/>
        </w:rPr>
        <w:t>EFERENCES</w:t>
      </w:r>
    </w:p>
    <w:p w14:paraId="4DC2EA04" w14:textId="78F63865" w:rsidR="00F32D0B" w:rsidRDefault="00F32D0B" w:rsidP="00F32D0B">
      <w:pPr>
        <w:ind w:left="709" w:hanging="720"/>
      </w:pPr>
      <w:r>
        <w:t>Buchstaller, Isabelle and Alexandra D’Arcy. 2009. “</w:t>
      </w:r>
      <w:r w:rsidR="00B3680C">
        <w:t>Localized G</w:t>
      </w:r>
      <w:r>
        <w:t xml:space="preserve">lobalization: </w:t>
      </w:r>
      <w:r w:rsidR="00B3680C">
        <w:t>A Multi-local, Multivariate I</w:t>
      </w:r>
      <w:r>
        <w:t xml:space="preserve">nvestigation </w:t>
      </w:r>
      <w:r w:rsidR="00B3680C">
        <w:t>of Q</w:t>
      </w:r>
      <w:r>
        <w:t xml:space="preserve">uotative </w:t>
      </w:r>
      <w:r w:rsidRPr="00F32D0B">
        <w:rPr>
          <w:i/>
        </w:rPr>
        <w:t>be like</w:t>
      </w:r>
      <w:r>
        <w:t xml:space="preserve">.” </w:t>
      </w:r>
      <w:r w:rsidRPr="00F32D0B">
        <w:rPr>
          <w:i/>
        </w:rPr>
        <w:t>Journal of Sociolinguistics</w:t>
      </w:r>
      <w:r>
        <w:t xml:space="preserve"> 13: 291–331.</w:t>
      </w:r>
    </w:p>
    <w:p w14:paraId="6DA83FCD" w14:textId="77777777" w:rsidR="004C4733" w:rsidRPr="00B77653" w:rsidRDefault="00FC7480" w:rsidP="00FE3A44">
      <w:pPr>
        <w:ind w:left="709" w:hanging="720"/>
      </w:pPr>
      <w:r w:rsidRPr="00B77653">
        <w:t xml:space="preserve">Chambers, J.K. 2009. </w:t>
      </w:r>
      <w:r w:rsidRPr="00B77653">
        <w:rPr>
          <w:i/>
        </w:rPr>
        <w:t>S</w:t>
      </w:r>
      <w:r w:rsidR="004C4733" w:rsidRPr="00B77653">
        <w:rPr>
          <w:i/>
        </w:rPr>
        <w:t>ociolinguistic Theory.</w:t>
      </w:r>
      <w:r w:rsidR="004C4733" w:rsidRPr="00B77653">
        <w:t xml:space="preserve"> Revised Edition. Oxford: Blackwell. </w:t>
      </w:r>
    </w:p>
    <w:p w14:paraId="16842DEF" w14:textId="306D95DB" w:rsidR="0045114C" w:rsidRDefault="0045114C" w:rsidP="0045114C">
      <w:pPr>
        <w:autoSpaceDE w:val="0"/>
        <w:autoSpaceDN w:val="0"/>
        <w:adjustRightInd w:val="0"/>
        <w:ind w:left="720" w:right="0" w:hanging="720"/>
      </w:pPr>
      <w:r>
        <w:t>Cheshire, Jenny, Paul Kerswill, Sue Fox and Eivind Torgersen. 2011. “</w:t>
      </w:r>
      <w:r w:rsidR="00B3680C">
        <w:t>Contact, the Feature P</w:t>
      </w:r>
      <w:r>
        <w:t xml:space="preserve">ool </w:t>
      </w:r>
      <w:r w:rsidR="00B3680C">
        <w:t>and the Speech Community: The E</w:t>
      </w:r>
      <w:r>
        <w:t>mergence of Multicultural London English</w:t>
      </w:r>
      <w:r w:rsidR="00F32D0B">
        <w:t xml:space="preserve">.” </w:t>
      </w:r>
      <w:r w:rsidRPr="00F32D0B">
        <w:rPr>
          <w:i/>
        </w:rPr>
        <w:t>Journal of Sociolinguistics</w:t>
      </w:r>
      <w:r>
        <w:t xml:space="preserve"> 15: 151–196</w:t>
      </w:r>
      <w:r w:rsidR="00F32D0B">
        <w:t xml:space="preserve">. </w:t>
      </w:r>
    </w:p>
    <w:p w14:paraId="6AA47FF3" w14:textId="77777777" w:rsidR="0057621B" w:rsidRPr="0057621B" w:rsidRDefault="0057621B" w:rsidP="0057621B">
      <w:pPr>
        <w:autoSpaceDE w:val="0"/>
        <w:autoSpaceDN w:val="0"/>
        <w:adjustRightInd w:val="0"/>
        <w:ind w:left="720" w:right="0" w:hanging="720"/>
      </w:pPr>
      <w:r w:rsidRPr="0057621B">
        <w:t>Eckert, Penelope. 2008</w:t>
      </w:r>
      <w:r>
        <w:t xml:space="preserve">. </w:t>
      </w:r>
      <w:r w:rsidRPr="0057621B">
        <w:t>“Variation</w:t>
      </w:r>
      <w:r>
        <w:t xml:space="preserve"> and the Indexical Field.” </w:t>
      </w:r>
      <w:r w:rsidRPr="0057621B">
        <w:rPr>
          <w:i/>
        </w:rPr>
        <w:t xml:space="preserve">Journal of Sociolinguistics </w:t>
      </w:r>
      <w:r w:rsidRPr="0057621B">
        <w:t>12: 453–476</w:t>
      </w:r>
      <w:r>
        <w:t>.</w:t>
      </w:r>
    </w:p>
    <w:p w14:paraId="43CD7D72" w14:textId="77777777" w:rsidR="00E11A78" w:rsidRDefault="00E11A78" w:rsidP="00E11A78">
      <w:pPr>
        <w:autoSpaceDE w:val="0"/>
        <w:autoSpaceDN w:val="0"/>
        <w:adjustRightInd w:val="0"/>
        <w:ind w:left="720" w:right="0" w:hanging="720"/>
      </w:pPr>
      <w:r>
        <w:t>Guy, Gregory</w:t>
      </w:r>
      <w:r w:rsidR="003255CB">
        <w:t xml:space="preserve"> R</w:t>
      </w:r>
      <w:r>
        <w:t>. 2013</w:t>
      </w:r>
      <w:r w:rsidRPr="00B77653">
        <w:t xml:space="preserve">. </w:t>
      </w:r>
      <w:r w:rsidR="00DB597A">
        <w:t>“</w:t>
      </w:r>
      <w:r w:rsidR="003255CB">
        <w:t>The Cognitive Coherence of S</w:t>
      </w:r>
      <w:r w:rsidRPr="00E11A78">
        <w:t>ociolects:</w:t>
      </w:r>
      <w:r>
        <w:t xml:space="preserve"> </w:t>
      </w:r>
      <w:r w:rsidR="003255CB">
        <w:t>How Do Speakers Handle Multiple Sociolinguistic V</w:t>
      </w:r>
      <w:r w:rsidRPr="00E11A78">
        <w:t>ariables?</w:t>
      </w:r>
      <w:r w:rsidR="00DB597A">
        <w:t>”</w:t>
      </w:r>
      <w:r>
        <w:t xml:space="preserve"> </w:t>
      </w:r>
      <w:r w:rsidRPr="00E11A78">
        <w:rPr>
          <w:i/>
        </w:rPr>
        <w:t>Journal of Pragmatics</w:t>
      </w:r>
      <w:r w:rsidRPr="00E11A78">
        <w:t xml:space="preserve"> 52</w:t>
      </w:r>
      <w:r>
        <w:t xml:space="preserve">: </w:t>
      </w:r>
      <w:r w:rsidRPr="00E11A78">
        <w:t>63-71</w:t>
      </w:r>
      <w:r>
        <w:t>.</w:t>
      </w:r>
    </w:p>
    <w:p w14:paraId="3D525508" w14:textId="2E6C4E86" w:rsidR="00DB597A" w:rsidRDefault="00DB597A" w:rsidP="00DB597A">
      <w:pPr>
        <w:autoSpaceDE w:val="0"/>
        <w:autoSpaceDN w:val="0"/>
        <w:adjustRightInd w:val="0"/>
        <w:ind w:left="720" w:right="0" w:hanging="720"/>
      </w:pPr>
      <w:r>
        <w:t xml:space="preserve">Guy, Gregory R. and Frans Hinskens. 2016. </w:t>
      </w:r>
      <w:r w:rsidR="0057621B">
        <w:t>“</w:t>
      </w:r>
      <w:r w:rsidR="0057621B" w:rsidRPr="0057621B">
        <w:t xml:space="preserve">Linguistic </w:t>
      </w:r>
      <w:r w:rsidR="00B3680C">
        <w:t>C</w:t>
      </w:r>
      <w:r w:rsidR="0057621B" w:rsidRPr="0057621B">
        <w:t xml:space="preserve">oherence: Systems, </w:t>
      </w:r>
      <w:r w:rsidR="00B3680C">
        <w:t>R</w:t>
      </w:r>
      <w:r w:rsidR="0057621B" w:rsidRPr="0057621B">
        <w:t xml:space="preserve">epertoires and </w:t>
      </w:r>
      <w:r w:rsidR="00B3680C">
        <w:t>S</w:t>
      </w:r>
      <w:r w:rsidR="0057621B" w:rsidRPr="0057621B">
        <w:t xml:space="preserve">peech </w:t>
      </w:r>
      <w:r w:rsidR="00B3680C">
        <w:t>C</w:t>
      </w:r>
      <w:r w:rsidR="0057621B" w:rsidRPr="0057621B">
        <w:t>ommunities</w:t>
      </w:r>
      <w:r w:rsidR="0057621B">
        <w:t>.”</w:t>
      </w:r>
      <w:r w:rsidR="0057621B">
        <w:rPr>
          <w:sz w:val="32"/>
          <w:szCs w:val="32"/>
        </w:rPr>
        <w:t xml:space="preserve"> </w:t>
      </w:r>
      <w:r w:rsidRPr="00DB597A">
        <w:rPr>
          <w:i/>
        </w:rPr>
        <w:t>Lingua</w:t>
      </w:r>
      <w:r w:rsidRPr="00DB597A">
        <w:t xml:space="preserve"> 172-173</w:t>
      </w:r>
      <w:r>
        <w:t>:</w:t>
      </w:r>
      <w:r w:rsidRPr="00DB597A">
        <w:t xml:space="preserve"> 1-</w:t>
      </w:r>
      <w:r w:rsidR="0057621B">
        <w:t>9</w:t>
      </w:r>
      <w:r>
        <w:t xml:space="preserve">. </w:t>
      </w:r>
    </w:p>
    <w:p w14:paraId="1A94ECD9" w14:textId="3EA04978" w:rsidR="004D4A48" w:rsidRDefault="0045114C" w:rsidP="004D4A48">
      <w:pPr>
        <w:ind w:left="709" w:right="0" w:hanging="720"/>
      </w:pPr>
      <w:r>
        <w:t>Hazen, Kirk, Paige Butcher and Ashley King. 2010. “</w:t>
      </w:r>
      <w:r w:rsidR="00B3680C">
        <w:t>Unvernacular Appalachia: A</w:t>
      </w:r>
      <w:r>
        <w:t xml:space="preserve">n </w:t>
      </w:r>
      <w:r w:rsidR="00B3680C">
        <w:t>Empirical P</w:t>
      </w:r>
      <w:r>
        <w:t xml:space="preserve">erspective on West </w:t>
      </w:r>
      <w:r w:rsidR="00B3680C">
        <w:t>Virginia Dialect V</w:t>
      </w:r>
      <w:r>
        <w:t xml:space="preserve">ariation.” </w:t>
      </w:r>
      <w:r>
        <w:rPr>
          <w:i/>
        </w:rPr>
        <w:t xml:space="preserve">English Today </w:t>
      </w:r>
      <w:r>
        <w:t>104: 13-22.</w:t>
      </w:r>
      <w:r w:rsidR="004D4A48" w:rsidRPr="004D4A48">
        <w:t xml:space="preserve">Hinskens, Frans and Gregory R.Guy (eds). 2016. </w:t>
      </w:r>
      <w:r w:rsidR="004D4A48" w:rsidRPr="004D4A48">
        <w:rPr>
          <w:rFonts w:eastAsia="Times New Roman"/>
          <w:bCs/>
          <w:i/>
          <w:lang w:val="en-CA" w:eastAsia="en-CA"/>
        </w:rPr>
        <w:t xml:space="preserve">Coherence, </w:t>
      </w:r>
      <w:r w:rsidR="00B3680C">
        <w:rPr>
          <w:rFonts w:eastAsia="Times New Roman"/>
          <w:bCs/>
          <w:i/>
          <w:lang w:val="en-CA" w:eastAsia="en-CA"/>
        </w:rPr>
        <w:t>C</w:t>
      </w:r>
      <w:r w:rsidR="004D4A48" w:rsidRPr="004D4A48">
        <w:rPr>
          <w:rFonts w:eastAsia="Times New Roman"/>
          <w:bCs/>
          <w:i/>
          <w:lang w:val="en-CA" w:eastAsia="en-CA"/>
        </w:rPr>
        <w:t xml:space="preserve">ovariation and </w:t>
      </w:r>
      <w:r w:rsidR="00B3680C">
        <w:rPr>
          <w:rFonts w:eastAsia="Times New Roman"/>
          <w:bCs/>
          <w:i/>
          <w:lang w:val="en-CA" w:eastAsia="en-CA"/>
        </w:rPr>
        <w:t>B</w:t>
      </w:r>
      <w:r w:rsidR="004D4A48" w:rsidRPr="004D4A48">
        <w:rPr>
          <w:rFonts w:eastAsia="Times New Roman"/>
          <w:bCs/>
          <w:i/>
          <w:lang w:val="en-CA" w:eastAsia="en-CA"/>
        </w:rPr>
        <w:t xml:space="preserve">ricolage. Various </w:t>
      </w:r>
      <w:r w:rsidR="00B3680C">
        <w:rPr>
          <w:rFonts w:eastAsia="Times New Roman"/>
          <w:bCs/>
          <w:i/>
          <w:lang w:val="en-CA" w:eastAsia="en-CA"/>
        </w:rPr>
        <w:t>A</w:t>
      </w:r>
      <w:r w:rsidR="004D4A48" w:rsidRPr="004D4A48">
        <w:rPr>
          <w:rFonts w:eastAsia="Times New Roman"/>
          <w:bCs/>
          <w:i/>
          <w:lang w:val="en-CA" w:eastAsia="en-CA"/>
        </w:rPr>
        <w:t xml:space="preserve">pproaches to the </w:t>
      </w:r>
      <w:r w:rsidR="00B3680C">
        <w:rPr>
          <w:rFonts w:eastAsia="Times New Roman"/>
          <w:bCs/>
          <w:i/>
          <w:lang w:val="en-CA" w:eastAsia="en-CA"/>
        </w:rPr>
        <w:t>S</w:t>
      </w:r>
      <w:r w:rsidR="004D4A48" w:rsidRPr="004D4A48">
        <w:rPr>
          <w:rFonts w:eastAsia="Times New Roman"/>
          <w:bCs/>
          <w:i/>
          <w:lang w:val="en-CA" w:eastAsia="en-CA"/>
        </w:rPr>
        <w:t xml:space="preserve">ystematicity of </w:t>
      </w:r>
      <w:r w:rsidR="00B3680C">
        <w:rPr>
          <w:rFonts w:eastAsia="Times New Roman"/>
          <w:bCs/>
          <w:i/>
          <w:lang w:val="en-CA" w:eastAsia="en-CA"/>
        </w:rPr>
        <w:t>L</w:t>
      </w:r>
      <w:r w:rsidR="004D4A48" w:rsidRPr="004D4A48">
        <w:rPr>
          <w:rFonts w:eastAsia="Times New Roman"/>
          <w:bCs/>
          <w:i/>
          <w:lang w:val="en-CA" w:eastAsia="en-CA"/>
        </w:rPr>
        <w:t xml:space="preserve">anguage </w:t>
      </w:r>
      <w:r w:rsidR="00B3680C">
        <w:rPr>
          <w:rFonts w:eastAsia="Times New Roman"/>
          <w:bCs/>
          <w:i/>
          <w:lang w:val="en-CA" w:eastAsia="en-CA"/>
        </w:rPr>
        <w:t>V</w:t>
      </w:r>
      <w:r w:rsidR="004D4A48" w:rsidRPr="004D4A48">
        <w:rPr>
          <w:rFonts w:eastAsia="Times New Roman"/>
          <w:bCs/>
          <w:i/>
          <w:lang w:val="en-CA" w:eastAsia="en-CA"/>
        </w:rPr>
        <w:t>ariation</w:t>
      </w:r>
      <w:r w:rsidR="004D4A48" w:rsidRPr="004D4A48">
        <w:rPr>
          <w:rFonts w:eastAsia="Times New Roman"/>
          <w:b/>
          <w:bCs/>
          <w:lang w:val="en-CA" w:eastAsia="en-CA"/>
        </w:rPr>
        <w:t xml:space="preserve">. </w:t>
      </w:r>
      <w:r w:rsidR="004D4A48" w:rsidRPr="00074E36">
        <w:rPr>
          <w:rFonts w:eastAsia="Times New Roman"/>
          <w:bCs/>
          <w:i/>
          <w:lang w:val="en-CA" w:eastAsia="en-CA"/>
        </w:rPr>
        <w:t>Special Issue of</w:t>
      </w:r>
      <w:r w:rsidR="004D4A48">
        <w:rPr>
          <w:rFonts w:eastAsia="Times New Roman"/>
          <w:b/>
          <w:bCs/>
          <w:lang w:val="en-CA" w:eastAsia="en-CA"/>
        </w:rPr>
        <w:t xml:space="preserve"> </w:t>
      </w:r>
      <w:r w:rsidR="004D4A48" w:rsidRPr="00DB597A">
        <w:rPr>
          <w:i/>
        </w:rPr>
        <w:t>Lingua</w:t>
      </w:r>
      <w:r w:rsidR="004D4A48" w:rsidRPr="00DB597A">
        <w:t xml:space="preserve"> 172-173</w:t>
      </w:r>
      <w:r w:rsidR="004D4A48">
        <w:t>:</w:t>
      </w:r>
      <w:r w:rsidR="004D4A48" w:rsidRPr="00DB597A">
        <w:t xml:space="preserve"> 1-</w:t>
      </w:r>
      <w:r w:rsidR="004D4A48">
        <w:t xml:space="preserve">146. </w:t>
      </w:r>
    </w:p>
    <w:p w14:paraId="5E4F0B9C" w14:textId="2C88145E" w:rsidR="00947BA1" w:rsidRPr="005F2BC6" w:rsidRDefault="00947BA1" w:rsidP="00947BA1">
      <w:pPr>
        <w:autoSpaceDE w:val="0"/>
        <w:autoSpaceDN w:val="0"/>
        <w:adjustRightInd w:val="0"/>
        <w:ind w:left="720" w:hanging="720"/>
        <w:rPr>
          <w:lang w:val="en-CA"/>
        </w:rPr>
      </w:pPr>
      <w:r>
        <w:rPr>
          <w:lang w:val="en-CA"/>
        </w:rPr>
        <w:t xml:space="preserve">Hopper, Paul. 1991. </w:t>
      </w:r>
      <w:r w:rsidR="00B3680C">
        <w:rPr>
          <w:lang w:val="en-CA"/>
        </w:rPr>
        <w:t>“</w:t>
      </w:r>
      <w:r>
        <w:rPr>
          <w:lang w:val="en-CA"/>
        </w:rPr>
        <w:t xml:space="preserve">On </w:t>
      </w:r>
      <w:r w:rsidR="00B3680C">
        <w:rPr>
          <w:lang w:val="en-CA"/>
        </w:rPr>
        <w:t>S</w:t>
      </w:r>
      <w:r>
        <w:rPr>
          <w:lang w:val="en-CA"/>
        </w:rPr>
        <w:t xml:space="preserve">ome </w:t>
      </w:r>
      <w:r w:rsidR="00B3680C">
        <w:rPr>
          <w:lang w:val="en-CA"/>
        </w:rPr>
        <w:t>P</w:t>
      </w:r>
      <w:r>
        <w:rPr>
          <w:lang w:val="en-CA"/>
        </w:rPr>
        <w:t xml:space="preserve">rinciples of </w:t>
      </w:r>
      <w:r w:rsidR="00B3680C">
        <w:rPr>
          <w:lang w:val="en-CA"/>
        </w:rPr>
        <w:t>G</w:t>
      </w:r>
      <w:r w:rsidRPr="005F2BC6">
        <w:rPr>
          <w:lang w:val="en-CA"/>
        </w:rPr>
        <w:t>rammaticalization.</w:t>
      </w:r>
      <w:r w:rsidR="00B3680C">
        <w:rPr>
          <w:lang w:val="en-CA"/>
        </w:rPr>
        <w:t>”</w:t>
      </w:r>
      <w:r w:rsidRPr="005F2BC6">
        <w:rPr>
          <w:lang w:val="en-CA"/>
        </w:rPr>
        <w:t xml:space="preserve"> </w:t>
      </w:r>
      <w:r>
        <w:rPr>
          <w:lang w:val="en-CA"/>
        </w:rPr>
        <w:t xml:space="preserve">In Elizabeth Closs Traugott &amp; Bernd Heine (Eds.), </w:t>
      </w:r>
      <w:r>
        <w:rPr>
          <w:i/>
          <w:lang w:val="en-CA"/>
        </w:rPr>
        <w:t xml:space="preserve">Approaches to </w:t>
      </w:r>
      <w:r w:rsidR="00B3680C">
        <w:rPr>
          <w:i/>
          <w:lang w:val="en-CA"/>
        </w:rPr>
        <w:t>G</w:t>
      </w:r>
      <w:r>
        <w:rPr>
          <w:i/>
          <w:lang w:val="en-CA"/>
        </w:rPr>
        <w:t xml:space="preserve">rammaticalization, </w:t>
      </w:r>
      <w:r w:rsidR="00B3680C">
        <w:rPr>
          <w:i/>
          <w:lang w:val="en-CA"/>
        </w:rPr>
        <w:t>V</w:t>
      </w:r>
      <w:r>
        <w:rPr>
          <w:i/>
          <w:lang w:val="en-CA"/>
        </w:rPr>
        <w:t>olume I</w:t>
      </w:r>
      <w:r>
        <w:rPr>
          <w:lang w:val="en-CA"/>
        </w:rPr>
        <w:t xml:space="preserve">. </w:t>
      </w:r>
      <w:r>
        <w:rPr>
          <w:bCs/>
        </w:rPr>
        <w:t>Amsterdam: John Benjamins: 17</w:t>
      </w:r>
      <w:r>
        <w:t>-</w:t>
      </w:r>
      <w:r>
        <w:rPr>
          <w:bCs/>
        </w:rPr>
        <w:t xml:space="preserve">36. </w:t>
      </w:r>
    </w:p>
    <w:p w14:paraId="197D4427" w14:textId="77777777" w:rsidR="00FC7480" w:rsidRPr="00B77653" w:rsidRDefault="00FC7480" w:rsidP="00FC7480">
      <w:pPr>
        <w:ind w:left="709" w:hanging="720"/>
      </w:pPr>
      <w:r w:rsidRPr="00B77653">
        <w:t xml:space="preserve">Labov, William. 1994. </w:t>
      </w:r>
      <w:r w:rsidR="003255CB">
        <w:rPr>
          <w:i/>
          <w:iCs/>
        </w:rPr>
        <w:t>Principles of L</w:t>
      </w:r>
      <w:r w:rsidRPr="00B77653">
        <w:rPr>
          <w:i/>
          <w:iCs/>
        </w:rPr>
        <w:t>ingui</w:t>
      </w:r>
      <w:r w:rsidR="003255CB">
        <w:rPr>
          <w:i/>
          <w:iCs/>
        </w:rPr>
        <w:t>stic Change, Volume 1: Internal F</w:t>
      </w:r>
      <w:r w:rsidRPr="00B77653">
        <w:rPr>
          <w:i/>
          <w:iCs/>
        </w:rPr>
        <w:t>actors</w:t>
      </w:r>
      <w:r w:rsidRPr="00B77653">
        <w:t xml:space="preserve">. Malden: Blackwell. </w:t>
      </w:r>
    </w:p>
    <w:p w14:paraId="75AC55E5" w14:textId="77777777" w:rsidR="00AF02FB" w:rsidRDefault="00FD52D2" w:rsidP="00FE3A44">
      <w:pPr>
        <w:ind w:left="709" w:hanging="720"/>
      </w:pPr>
      <w:r>
        <w:t>-----</w:t>
      </w:r>
      <w:r w:rsidR="00AF02FB" w:rsidRPr="00B77653">
        <w:t xml:space="preserve">. 2001. </w:t>
      </w:r>
      <w:r w:rsidR="003255CB">
        <w:rPr>
          <w:i/>
          <w:iCs/>
        </w:rPr>
        <w:t>Principles of Linguistic Change, Volume 2: Social F</w:t>
      </w:r>
      <w:r w:rsidR="00AF02FB" w:rsidRPr="00B77653">
        <w:rPr>
          <w:i/>
          <w:iCs/>
        </w:rPr>
        <w:t>actors</w:t>
      </w:r>
      <w:r w:rsidR="00AF02FB" w:rsidRPr="00B77653">
        <w:t xml:space="preserve">. Malden: Blackwell. </w:t>
      </w:r>
    </w:p>
    <w:p w14:paraId="6F682833" w14:textId="4AD20E9B" w:rsidR="000620E1" w:rsidRPr="00B77653" w:rsidRDefault="00FD52D2" w:rsidP="00FE3A44">
      <w:pPr>
        <w:ind w:left="709" w:hanging="720"/>
      </w:pPr>
      <w:r>
        <w:t>-----</w:t>
      </w:r>
      <w:r w:rsidR="000620E1">
        <w:t>. 2007</w:t>
      </w:r>
      <w:r w:rsidR="000620E1" w:rsidRPr="00B77653">
        <w:t>.</w:t>
      </w:r>
      <w:r w:rsidR="000620E1">
        <w:t xml:space="preserve"> “Transmission and </w:t>
      </w:r>
      <w:r w:rsidR="00B3680C">
        <w:t>D</w:t>
      </w:r>
      <w:r w:rsidR="000620E1">
        <w:t>iffusion.”</w:t>
      </w:r>
      <w:r w:rsidR="000620E1" w:rsidRPr="00B77653">
        <w:t xml:space="preserve"> </w:t>
      </w:r>
      <w:r w:rsidR="000620E1">
        <w:rPr>
          <w:i/>
          <w:iCs/>
        </w:rPr>
        <w:t xml:space="preserve">Language </w:t>
      </w:r>
      <w:r w:rsidR="000620E1">
        <w:rPr>
          <w:iCs/>
        </w:rPr>
        <w:t>83: 344-387</w:t>
      </w:r>
      <w:r w:rsidR="000620E1" w:rsidRPr="00B77653">
        <w:t>.</w:t>
      </w:r>
    </w:p>
    <w:p w14:paraId="09DB3008" w14:textId="77777777" w:rsidR="003133D7" w:rsidRPr="00B77653" w:rsidRDefault="00FC7480" w:rsidP="00FE3A44">
      <w:pPr>
        <w:ind w:left="709" w:hanging="720"/>
      </w:pPr>
      <w:r w:rsidRPr="00B77653">
        <w:t>Maclagan, Margaret A., Elizabeth Gordon</w:t>
      </w:r>
      <w:r w:rsidR="003133D7" w:rsidRPr="00B77653">
        <w:t xml:space="preserve"> and </w:t>
      </w:r>
      <w:r w:rsidR="003255CB">
        <w:t xml:space="preserve">Gillian Lewis. 1999. </w:t>
      </w:r>
      <w:r w:rsidR="00DB597A">
        <w:t>“</w:t>
      </w:r>
      <w:r w:rsidR="003255CB">
        <w:t>Women and Sound C</w:t>
      </w:r>
      <w:r w:rsidR="003133D7" w:rsidRPr="00B77653">
        <w:t>hange: Conse</w:t>
      </w:r>
      <w:r w:rsidR="003255CB">
        <w:t>rvative and Innovative Behavior by the Same S</w:t>
      </w:r>
      <w:r w:rsidR="003133D7" w:rsidRPr="00B77653">
        <w:t>peakers.</w:t>
      </w:r>
      <w:r w:rsidR="00DB597A">
        <w:t>”</w:t>
      </w:r>
      <w:r w:rsidR="003133D7" w:rsidRPr="00B77653">
        <w:t xml:space="preserve"> </w:t>
      </w:r>
      <w:r w:rsidR="003133D7" w:rsidRPr="00B77653">
        <w:rPr>
          <w:i/>
        </w:rPr>
        <w:t>Language Variation and Change</w:t>
      </w:r>
      <w:r w:rsidR="003133D7" w:rsidRPr="00B77653">
        <w:t xml:space="preserve"> 11</w:t>
      </w:r>
      <w:r w:rsidRPr="00B77653">
        <w:t xml:space="preserve">: </w:t>
      </w:r>
      <w:r w:rsidR="004C4733" w:rsidRPr="00B77653">
        <w:t>19-</w:t>
      </w:r>
      <w:r w:rsidR="003133D7" w:rsidRPr="00B77653">
        <w:t xml:space="preserve">41. </w:t>
      </w:r>
    </w:p>
    <w:p w14:paraId="38CE4DFE" w14:textId="77777777" w:rsidR="004C4733" w:rsidRPr="00B77653" w:rsidRDefault="004C4733" w:rsidP="00FE3A44">
      <w:pPr>
        <w:ind w:left="709" w:hanging="720"/>
      </w:pPr>
      <w:r w:rsidRPr="00B77653">
        <w:t xml:space="preserve">Milroy, James. 1992. </w:t>
      </w:r>
      <w:r w:rsidRPr="00B77653">
        <w:rPr>
          <w:i/>
        </w:rPr>
        <w:t xml:space="preserve">Linguistic Variation and Change. </w:t>
      </w:r>
      <w:r w:rsidRPr="00B77653">
        <w:t>Oxford: Blackwell.</w:t>
      </w:r>
    </w:p>
    <w:p w14:paraId="5D92CDC2" w14:textId="77777777" w:rsidR="00AF02FB" w:rsidRPr="00B77653" w:rsidRDefault="00AF02FB" w:rsidP="00FE3A44">
      <w:pPr>
        <w:ind w:left="709" w:hanging="720"/>
      </w:pPr>
      <w:r w:rsidRPr="00B77653">
        <w:t xml:space="preserve">Nevalainen, Terttu, Helena Raumolin-Brunberg </w:t>
      </w:r>
      <w:r w:rsidR="00FC7480" w:rsidRPr="00B77653">
        <w:t>and</w:t>
      </w:r>
      <w:r w:rsidR="003255CB">
        <w:t xml:space="preserve"> Heikki Mannila. 2011. </w:t>
      </w:r>
      <w:r w:rsidR="00DB597A">
        <w:t>“</w:t>
      </w:r>
      <w:r w:rsidR="003255CB">
        <w:t>The D</w:t>
      </w:r>
      <w:r w:rsidRPr="00B77653">
        <w:t>iffusion of</w:t>
      </w:r>
      <w:r w:rsidR="003255CB">
        <w:t xml:space="preserve"> Language Change in Real Time: Progressive and Conservative Individuals and the Time Depth of C</w:t>
      </w:r>
      <w:r w:rsidRPr="00B77653">
        <w:t>hange.</w:t>
      </w:r>
      <w:r w:rsidR="00DB597A">
        <w:t>”</w:t>
      </w:r>
      <w:r w:rsidRPr="00B77653">
        <w:t xml:space="preserve"> </w:t>
      </w:r>
      <w:r w:rsidRPr="00B77653">
        <w:rPr>
          <w:i/>
          <w:iCs/>
        </w:rPr>
        <w:t>Language Variation and Change</w:t>
      </w:r>
      <w:r w:rsidRPr="00B77653">
        <w:t xml:space="preserve"> 23</w:t>
      </w:r>
      <w:r w:rsidR="00FC7480" w:rsidRPr="00B77653">
        <w:t>:</w:t>
      </w:r>
      <w:r w:rsidRPr="00B77653">
        <w:t xml:space="preserve"> 1</w:t>
      </w:r>
      <w:r w:rsidR="004C4733" w:rsidRPr="00B77653">
        <w:t>-</w:t>
      </w:r>
      <w:r w:rsidRPr="00B77653">
        <w:t>43.</w:t>
      </w:r>
    </w:p>
    <w:p w14:paraId="63EC6610" w14:textId="77777777" w:rsidR="00EE3A0B" w:rsidRDefault="00EE3A0B" w:rsidP="00FE3A44">
      <w:pPr>
        <w:ind w:left="709" w:hanging="720"/>
      </w:pPr>
      <w:r w:rsidRPr="00B77653">
        <w:t xml:space="preserve">Nevalainen, Terttu and Helena Raumolin-Brunberg. 2003. </w:t>
      </w:r>
      <w:r w:rsidRPr="00B77653">
        <w:rPr>
          <w:i/>
        </w:rPr>
        <w:t xml:space="preserve">Historical Sociolinguistics. </w:t>
      </w:r>
      <w:r w:rsidRPr="00B77653">
        <w:t xml:space="preserve">London: Longman. </w:t>
      </w:r>
    </w:p>
    <w:p w14:paraId="7F1464CD" w14:textId="7A31B881" w:rsidR="003255CB" w:rsidRDefault="003255CB" w:rsidP="003255CB">
      <w:pPr>
        <w:autoSpaceDE w:val="0"/>
        <w:autoSpaceDN w:val="0"/>
        <w:adjustRightInd w:val="0"/>
        <w:ind w:left="720" w:right="0" w:hanging="720"/>
      </w:pPr>
      <w:r w:rsidRPr="003255CB">
        <w:t>Oushiro, Livia</w:t>
      </w:r>
      <w:r>
        <w:t>. 2016.</w:t>
      </w:r>
      <w:r w:rsidR="00DB597A">
        <w:t xml:space="preserve"> “</w:t>
      </w:r>
      <w:r w:rsidR="00DB597A" w:rsidRPr="00DB597A">
        <w:t xml:space="preserve">Social and </w:t>
      </w:r>
      <w:r w:rsidR="00B3680C">
        <w:t>S</w:t>
      </w:r>
      <w:r w:rsidR="00DB597A" w:rsidRPr="00DB597A">
        <w:t xml:space="preserve">tructural </w:t>
      </w:r>
      <w:r w:rsidR="00B3680C">
        <w:t>C</w:t>
      </w:r>
      <w:r w:rsidR="00DB597A" w:rsidRPr="00DB597A">
        <w:t xml:space="preserve">onstraints in </w:t>
      </w:r>
      <w:r w:rsidR="00B3680C">
        <w:t>L</w:t>
      </w:r>
      <w:r w:rsidR="00DB597A" w:rsidRPr="00DB597A">
        <w:t xml:space="preserve">ectal </w:t>
      </w:r>
      <w:r w:rsidR="00B3680C">
        <w:t>C</w:t>
      </w:r>
      <w:r w:rsidR="00DB597A" w:rsidRPr="00DB597A">
        <w:t>ohesion</w:t>
      </w:r>
      <w:r w:rsidR="00DB597A">
        <w:t xml:space="preserve">.” </w:t>
      </w:r>
      <w:r w:rsidR="00DB597A" w:rsidRPr="00DB597A">
        <w:rPr>
          <w:i/>
        </w:rPr>
        <w:t>Lingua</w:t>
      </w:r>
      <w:r w:rsidR="00DB597A" w:rsidRPr="00DB597A">
        <w:t xml:space="preserve"> 172-173</w:t>
      </w:r>
      <w:r w:rsidR="00DB597A">
        <w:t>:</w:t>
      </w:r>
      <w:r w:rsidR="00DB597A" w:rsidRPr="00DB597A">
        <w:t xml:space="preserve"> 116-130</w:t>
      </w:r>
      <w:r w:rsidR="00DB597A">
        <w:t>.</w:t>
      </w:r>
      <w:r>
        <w:t xml:space="preserve"> </w:t>
      </w:r>
    </w:p>
    <w:p w14:paraId="4C6C0961" w14:textId="77777777" w:rsidR="003255CB" w:rsidRPr="003255CB" w:rsidRDefault="003255CB" w:rsidP="003255CB">
      <w:pPr>
        <w:autoSpaceDE w:val="0"/>
        <w:autoSpaceDN w:val="0"/>
        <w:adjustRightInd w:val="0"/>
        <w:ind w:left="720" w:right="0" w:hanging="720"/>
        <w:rPr>
          <w:bCs/>
        </w:rPr>
      </w:pPr>
      <w:r w:rsidRPr="003255CB">
        <w:t>Oushiro, Livia and Gregory R. Guy. 2015.</w:t>
      </w:r>
      <w:r w:rsidR="00DB597A">
        <w:t xml:space="preserve"> “</w:t>
      </w:r>
      <w:r w:rsidRPr="003255CB">
        <w:t>The Effect of Salience on Co-variation</w:t>
      </w:r>
      <w:r w:rsidRPr="003255CB">
        <w:rPr>
          <w:bCs/>
        </w:rPr>
        <w:t xml:space="preserve"> in Brazilian</w:t>
      </w:r>
      <w:r>
        <w:rPr>
          <w:bCs/>
        </w:rPr>
        <w:t xml:space="preserve"> </w:t>
      </w:r>
      <w:r w:rsidRPr="003255CB">
        <w:rPr>
          <w:bCs/>
        </w:rPr>
        <w:t>Portuguese</w:t>
      </w:r>
      <w:r>
        <w:rPr>
          <w:bCs/>
        </w:rPr>
        <w:t>.</w:t>
      </w:r>
      <w:r w:rsidR="00DB597A">
        <w:rPr>
          <w:bCs/>
        </w:rPr>
        <w:t>”</w:t>
      </w:r>
      <w:r>
        <w:rPr>
          <w:bCs/>
        </w:rPr>
        <w:t xml:space="preserve"> </w:t>
      </w:r>
      <w:r>
        <w:rPr>
          <w:bCs/>
          <w:i/>
        </w:rPr>
        <w:t xml:space="preserve">University of Pennsylvania Working Papers in Linguistics: Selected Papers from New Ways of Analyzing Variation (NWAW) 43, </w:t>
      </w:r>
      <w:r>
        <w:rPr>
          <w:bCs/>
        </w:rPr>
        <w:t>21: 157-166.</w:t>
      </w:r>
    </w:p>
    <w:p w14:paraId="67B0A048" w14:textId="77777777" w:rsidR="0070787B" w:rsidRPr="00B77653" w:rsidRDefault="0070787B" w:rsidP="00E21FF7">
      <w:pPr>
        <w:ind w:left="720" w:hanging="720"/>
        <w:rPr>
          <w:bCs/>
        </w:rPr>
      </w:pPr>
      <w:r w:rsidRPr="00B77653">
        <w:rPr>
          <w:bCs/>
        </w:rPr>
        <w:t>R Development</w:t>
      </w:r>
      <w:r w:rsidR="00EE3A0B" w:rsidRPr="00B77653">
        <w:rPr>
          <w:bCs/>
        </w:rPr>
        <w:t xml:space="preserve"> Core Team. 2010</w:t>
      </w:r>
      <w:r w:rsidRPr="00B77653">
        <w:rPr>
          <w:bCs/>
        </w:rPr>
        <w:t xml:space="preserve">. R: A </w:t>
      </w:r>
      <w:r w:rsidR="003255CB">
        <w:rPr>
          <w:bCs/>
        </w:rPr>
        <w:t>Language and Environment for Statistical C</w:t>
      </w:r>
      <w:r w:rsidRPr="00B77653">
        <w:rPr>
          <w:bCs/>
        </w:rPr>
        <w:t xml:space="preserve">omputing. R Foundation for Statistical Computing, Vienna, Austria. </w:t>
      </w:r>
      <w:hyperlink r:id="rId9" w:history="1">
        <w:r w:rsidRPr="00B77653">
          <w:rPr>
            <w:rStyle w:val="Hyperlink"/>
            <w:bCs/>
          </w:rPr>
          <w:t>http://www.R-project.org/</w:t>
        </w:r>
      </w:hyperlink>
    </w:p>
    <w:p w14:paraId="7E01E662" w14:textId="77777777" w:rsidR="00F9663A" w:rsidRPr="00B77653" w:rsidRDefault="00F9663A" w:rsidP="00F9663A">
      <w:pPr>
        <w:ind w:left="709" w:hanging="720"/>
      </w:pPr>
      <w:r w:rsidRPr="00B77653">
        <w:t xml:space="preserve">Rogers, Everett M. 2003. </w:t>
      </w:r>
      <w:r w:rsidRPr="00B77653">
        <w:rPr>
          <w:i/>
        </w:rPr>
        <w:t>Diffusion of Innovations</w:t>
      </w:r>
      <w:r w:rsidRPr="00B77653">
        <w:t xml:space="preserve">. Fifth edition. New York: Simon and Schuster. </w:t>
      </w:r>
    </w:p>
    <w:p w14:paraId="29F043F3" w14:textId="77777777" w:rsidR="00AF02FB" w:rsidRPr="00B77653" w:rsidRDefault="00AF02FB" w:rsidP="00FE3A44">
      <w:pPr>
        <w:ind w:left="709" w:hanging="720"/>
      </w:pPr>
      <w:r w:rsidRPr="00B77653">
        <w:t xml:space="preserve">Sankoff, David, </w:t>
      </w:r>
      <w:r w:rsidR="00FC7480" w:rsidRPr="00B77653">
        <w:t>Sali A.Tagliamonte and Eric</w:t>
      </w:r>
      <w:r w:rsidRPr="00B77653">
        <w:t xml:space="preserve"> Smith. 2005. Goldvarb X.  Department of Linguistics, University of Toronto, Toronto, Canada.  </w:t>
      </w:r>
      <w:hyperlink r:id="rId10" w:history="1">
        <w:r w:rsidR="00E21FF7" w:rsidRPr="00B77653">
          <w:rPr>
            <w:rStyle w:val="Hyperlink"/>
          </w:rPr>
          <w:t>http://individual.utoronto.ca/tagliamonte/goldvarb.htm</w:t>
        </w:r>
      </w:hyperlink>
    </w:p>
    <w:p w14:paraId="016B8EFB" w14:textId="2F6D3259" w:rsidR="00F9663A" w:rsidRPr="00B77653" w:rsidRDefault="00F9663A" w:rsidP="00F9663A">
      <w:pPr>
        <w:ind w:left="709" w:hanging="720"/>
      </w:pPr>
      <w:r w:rsidRPr="00B77653">
        <w:t xml:space="preserve">Stuart-Smith, Jane and Claire Timmins. 2010. </w:t>
      </w:r>
      <w:r>
        <w:t>“</w:t>
      </w:r>
      <w:r w:rsidRPr="00B77653">
        <w:t xml:space="preserve">The </w:t>
      </w:r>
      <w:r>
        <w:t>Role of the Individual in Language Variation and C</w:t>
      </w:r>
      <w:r w:rsidRPr="00B77653">
        <w:t>hange.</w:t>
      </w:r>
      <w:r>
        <w:t>”</w:t>
      </w:r>
      <w:r w:rsidRPr="00B77653">
        <w:t xml:space="preserve"> In Carmen Llamas and Dominic Watt (eds.) </w:t>
      </w:r>
      <w:r w:rsidRPr="00B77653">
        <w:rPr>
          <w:i/>
        </w:rPr>
        <w:t>Language and Identities</w:t>
      </w:r>
      <w:r w:rsidRPr="00B77653">
        <w:t>. Edinburgh University Press:</w:t>
      </w:r>
      <w:r w:rsidR="009B629E">
        <w:t xml:space="preserve"> </w:t>
      </w:r>
      <w:r w:rsidRPr="00B77653">
        <w:t>43-51.</w:t>
      </w:r>
    </w:p>
    <w:p w14:paraId="1658F486" w14:textId="77777777" w:rsidR="00F14FFC" w:rsidRDefault="00F14FFC" w:rsidP="00F14FFC">
      <w:pPr>
        <w:tabs>
          <w:tab w:val="left" w:pos="567"/>
        </w:tabs>
        <w:autoSpaceDE w:val="0"/>
        <w:autoSpaceDN w:val="0"/>
        <w:adjustRightInd w:val="0"/>
        <w:ind w:left="113" w:hanging="255"/>
        <w:contextualSpacing/>
      </w:pPr>
      <w:r w:rsidRPr="00B77653">
        <w:t>Tagliamonte, Sali A. 200</w:t>
      </w:r>
      <w:r>
        <w:t>3-</w:t>
      </w:r>
      <w:r w:rsidRPr="00B77653">
        <w:t xml:space="preserve">6. </w:t>
      </w:r>
      <w:r>
        <w:t>“Linguistic Changes in Canada Entering the 21</w:t>
      </w:r>
      <w:r>
        <w:rPr>
          <w:vertAlign w:val="superscript"/>
        </w:rPr>
        <w:t xml:space="preserve">st </w:t>
      </w:r>
      <w:r>
        <w:t>Century</w:t>
      </w:r>
      <w:r w:rsidR="006736C6">
        <w:t>.</w:t>
      </w:r>
      <w:r>
        <w:t>”</w:t>
      </w:r>
      <w:r w:rsidR="006736C6">
        <w:t xml:space="preserve"> Research grant, Social Sciences and Humanities Research Council of Canada (SSHRCC), #410-2003-005.</w:t>
      </w:r>
      <w:r>
        <w:t xml:space="preserve"> </w:t>
      </w:r>
    </w:p>
    <w:p w14:paraId="6DA97B24" w14:textId="77777777" w:rsidR="008D40D7" w:rsidRPr="00B77653" w:rsidRDefault="00FD52D2" w:rsidP="008D40D7">
      <w:pPr>
        <w:tabs>
          <w:tab w:val="left" w:pos="567"/>
        </w:tabs>
        <w:autoSpaceDE w:val="0"/>
        <w:autoSpaceDN w:val="0"/>
        <w:adjustRightInd w:val="0"/>
        <w:ind w:left="113" w:hanging="255"/>
        <w:contextualSpacing/>
      </w:pPr>
      <w:r>
        <w:t>-----</w:t>
      </w:r>
      <w:r w:rsidR="008D40D7" w:rsidRPr="00B77653">
        <w:t xml:space="preserve">. 2006. </w:t>
      </w:r>
      <w:r w:rsidR="00DB597A">
        <w:t>“</w:t>
      </w:r>
      <w:r w:rsidR="008D40D7" w:rsidRPr="00B77653">
        <w:t>So</w:t>
      </w:r>
      <w:r w:rsidR="003255CB">
        <w:t xml:space="preserve"> cool, right? Canadian English Entering the 21st C</w:t>
      </w:r>
      <w:r w:rsidR="008D40D7" w:rsidRPr="00B77653">
        <w:t>entury.</w:t>
      </w:r>
      <w:r w:rsidR="00DB597A">
        <w:t>”</w:t>
      </w:r>
      <w:r w:rsidR="008D40D7" w:rsidRPr="00B77653">
        <w:t xml:space="preserve"> </w:t>
      </w:r>
      <w:r w:rsidR="003255CB">
        <w:rPr>
          <w:i/>
        </w:rPr>
        <w:t>Canadian English in a Global Context: Theme I</w:t>
      </w:r>
      <w:r w:rsidR="008D40D7" w:rsidRPr="00B77653">
        <w:rPr>
          <w:i/>
        </w:rPr>
        <w:t xml:space="preserve">ssue of Canadian Journal of Linguistics </w:t>
      </w:r>
      <w:r w:rsidR="008D40D7" w:rsidRPr="00B77653">
        <w:t xml:space="preserve">51:309-331. </w:t>
      </w:r>
    </w:p>
    <w:p w14:paraId="19E5FDD8" w14:textId="77777777" w:rsidR="00FC7480" w:rsidRPr="00B77653" w:rsidRDefault="00FD52D2" w:rsidP="00FC7480">
      <w:pPr>
        <w:ind w:left="709" w:hanging="720"/>
      </w:pPr>
      <w:r>
        <w:t>-----</w:t>
      </w:r>
      <w:r w:rsidR="00FC7480" w:rsidRPr="00B77653">
        <w:t xml:space="preserve">. 2008. </w:t>
      </w:r>
      <w:r w:rsidR="00DB597A">
        <w:t>“</w:t>
      </w:r>
      <w:r w:rsidR="00FC7480" w:rsidRPr="00B77653">
        <w:rPr>
          <w:i/>
          <w:iCs/>
        </w:rPr>
        <w:t>So</w:t>
      </w:r>
      <w:r w:rsidR="003255CB">
        <w:t xml:space="preserve"> D</w:t>
      </w:r>
      <w:r w:rsidR="00DB597A">
        <w:t xml:space="preserve">ifferent and </w:t>
      </w:r>
      <w:r w:rsidR="00DB597A" w:rsidRPr="00DB597A">
        <w:rPr>
          <w:i/>
        </w:rPr>
        <w:t>P</w:t>
      </w:r>
      <w:r w:rsidR="00FC7480" w:rsidRPr="00B77653">
        <w:rPr>
          <w:i/>
          <w:iCs/>
        </w:rPr>
        <w:t>retty</w:t>
      </w:r>
      <w:r w:rsidR="00DB597A">
        <w:t xml:space="preserve"> C</w:t>
      </w:r>
      <w:r w:rsidR="003255CB">
        <w:t>ool! Recycling I</w:t>
      </w:r>
      <w:r w:rsidR="00FC7480" w:rsidRPr="00B77653">
        <w:t>ntensifiers in Canadian English.</w:t>
      </w:r>
      <w:r w:rsidR="00DB597A">
        <w:t>”</w:t>
      </w:r>
      <w:r w:rsidR="00FC7480" w:rsidRPr="00B77653">
        <w:t xml:space="preserve"> </w:t>
      </w:r>
      <w:r w:rsidR="00FC7480" w:rsidRPr="00B77653">
        <w:rPr>
          <w:i/>
          <w:iCs/>
        </w:rPr>
        <w:t xml:space="preserve">Special issue of English Language and Linguistics, Intensifiers </w:t>
      </w:r>
      <w:r w:rsidR="00FC7480" w:rsidRPr="00B77653">
        <w:t>12: 361-394.</w:t>
      </w:r>
    </w:p>
    <w:p w14:paraId="2747F69A" w14:textId="77777777" w:rsidR="00FC7480" w:rsidRPr="00B77653" w:rsidRDefault="00FD52D2" w:rsidP="00FC7480">
      <w:pPr>
        <w:ind w:left="709" w:hanging="720"/>
      </w:pPr>
      <w:r>
        <w:t>-----</w:t>
      </w:r>
      <w:r w:rsidR="00DB597A">
        <w:t>. 2009. “Historical Doublets in Synchronic Perspective: The English I</w:t>
      </w:r>
      <w:r w:rsidR="00FC7480" w:rsidRPr="00B77653">
        <w:t>ndefinit</w:t>
      </w:r>
      <w:r w:rsidR="00DB597A">
        <w:t>e P</w:t>
      </w:r>
      <w:r w:rsidR="00FC7480" w:rsidRPr="00B77653">
        <w:t>ronouns.</w:t>
      </w:r>
      <w:r w:rsidR="00DB597A">
        <w:t>”</w:t>
      </w:r>
      <w:r w:rsidR="00FC7480" w:rsidRPr="00B77653">
        <w:t xml:space="preserve"> Paper presented to SHEL6, Banff, Canada. </w:t>
      </w:r>
    </w:p>
    <w:p w14:paraId="0ECC2F17" w14:textId="77777777" w:rsidR="00FC7480" w:rsidRPr="00B77653" w:rsidRDefault="00FC7480" w:rsidP="00FC7480">
      <w:pPr>
        <w:ind w:left="709" w:hanging="720"/>
      </w:pPr>
      <w:r w:rsidRPr="00B77653">
        <w:t>Tagliamonte, Sali A. an</w:t>
      </w:r>
      <w:r w:rsidR="00DB597A">
        <w:t>d Alexandra D'Arcy. 2004. “He’s Like, She’s Like: The Quotative System in Canadian Y</w:t>
      </w:r>
      <w:r w:rsidRPr="00B77653">
        <w:t>outh.</w:t>
      </w:r>
      <w:r w:rsidR="00DB597A">
        <w:t>”</w:t>
      </w:r>
      <w:r w:rsidRPr="00B77653">
        <w:t xml:space="preserve"> </w:t>
      </w:r>
      <w:r w:rsidRPr="00B77653">
        <w:rPr>
          <w:i/>
        </w:rPr>
        <w:t>Journal of Sociolinguistics</w:t>
      </w:r>
      <w:r w:rsidRPr="00B77653">
        <w:t xml:space="preserve"> 8: 493-514.</w:t>
      </w:r>
    </w:p>
    <w:p w14:paraId="4A374139" w14:textId="77777777" w:rsidR="00FC7480" w:rsidRPr="00B77653" w:rsidRDefault="00FD52D2" w:rsidP="00FC7480">
      <w:pPr>
        <w:ind w:left="709" w:hanging="720"/>
      </w:pPr>
      <w:r>
        <w:t>-----</w:t>
      </w:r>
      <w:r w:rsidR="00FC7480" w:rsidRPr="00B77653">
        <w:t xml:space="preserve">. 2007a. </w:t>
      </w:r>
      <w:r w:rsidR="00DB597A">
        <w:t>“Frequency and Variation in the Community Grammar: Tracking a New Change Through the G</w:t>
      </w:r>
      <w:r w:rsidR="00FC7480" w:rsidRPr="00B77653">
        <w:t>enerations.</w:t>
      </w:r>
      <w:r w:rsidR="00DB597A">
        <w:t>”</w:t>
      </w:r>
      <w:r w:rsidR="00FC7480" w:rsidRPr="00B77653">
        <w:t xml:space="preserve"> </w:t>
      </w:r>
      <w:r w:rsidR="00FC7480" w:rsidRPr="00B77653">
        <w:rPr>
          <w:i/>
          <w:iCs/>
        </w:rPr>
        <w:t xml:space="preserve"> Language Variation and Change</w:t>
      </w:r>
      <w:r w:rsidR="00FC7480" w:rsidRPr="00B77653">
        <w:t xml:space="preserve"> 19: 1-19.</w:t>
      </w:r>
    </w:p>
    <w:p w14:paraId="44CE0691" w14:textId="77777777" w:rsidR="00FC7480" w:rsidRPr="00B77653" w:rsidRDefault="00FD52D2" w:rsidP="00FC7480">
      <w:pPr>
        <w:ind w:left="709" w:hanging="720"/>
      </w:pPr>
      <w:r>
        <w:t>-----</w:t>
      </w:r>
      <w:r w:rsidR="00DB597A">
        <w:t>. 2007b. “The Modals of Obligation/Necessity in Canadian P</w:t>
      </w:r>
      <w:r w:rsidR="00FC7480" w:rsidRPr="00B77653">
        <w:t>erspective.</w:t>
      </w:r>
      <w:r w:rsidR="00DB597A">
        <w:t>”</w:t>
      </w:r>
      <w:r w:rsidR="00FC7480" w:rsidRPr="00B77653">
        <w:t xml:space="preserve"> </w:t>
      </w:r>
      <w:r w:rsidR="00FC7480" w:rsidRPr="00B77653">
        <w:rPr>
          <w:i/>
          <w:iCs/>
        </w:rPr>
        <w:t>English World-Wide</w:t>
      </w:r>
      <w:r w:rsidR="00FC7480" w:rsidRPr="00B77653">
        <w:t xml:space="preserve"> 28: 47-87.</w:t>
      </w:r>
    </w:p>
    <w:p w14:paraId="2EDEC0DE" w14:textId="77777777" w:rsidR="00AF02FB" w:rsidRPr="00B77653" w:rsidRDefault="00F20547" w:rsidP="00FE3A44">
      <w:pPr>
        <w:ind w:left="709" w:hanging="720"/>
      </w:pPr>
      <w:r>
        <w:t>-----</w:t>
      </w:r>
      <w:r w:rsidR="00EE3A0B" w:rsidRPr="00B77653">
        <w:t>.</w:t>
      </w:r>
      <w:r w:rsidR="00DB597A">
        <w:t xml:space="preserve"> 2009. “Peaks Beyond Phonology: Adolescence, Incrementation, and Language C</w:t>
      </w:r>
      <w:r w:rsidR="00AF02FB" w:rsidRPr="00B77653">
        <w:t>hange.</w:t>
      </w:r>
      <w:r w:rsidR="00DB597A">
        <w:t>”</w:t>
      </w:r>
      <w:r w:rsidR="00AF02FB" w:rsidRPr="00B77653">
        <w:t xml:space="preserve"> </w:t>
      </w:r>
      <w:r w:rsidR="00AF02FB" w:rsidRPr="00B77653">
        <w:rPr>
          <w:i/>
          <w:iCs/>
        </w:rPr>
        <w:t xml:space="preserve"> Language</w:t>
      </w:r>
      <w:r w:rsidR="00FC7480" w:rsidRPr="00B77653">
        <w:t xml:space="preserve"> 85</w:t>
      </w:r>
      <w:r w:rsidR="00AF02FB" w:rsidRPr="00B77653">
        <w:t>: 58-108.</w:t>
      </w:r>
    </w:p>
    <w:p w14:paraId="3299D679" w14:textId="77777777" w:rsidR="00AF02FB" w:rsidRPr="00B77653" w:rsidRDefault="00AF02FB" w:rsidP="00FE3A44">
      <w:pPr>
        <w:ind w:left="709" w:hanging="720"/>
      </w:pPr>
      <w:r w:rsidRPr="00B77653">
        <w:t>Tagliamonte, Sali A., Alexandra D’Arcy and B</w:t>
      </w:r>
      <w:r w:rsidR="00DB597A">
        <w:t>ridget Jankowski. 2010. “Social Work and L</w:t>
      </w:r>
      <w:r w:rsidRPr="00B77653">
        <w:t>ingu</w:t>
      </w:r>
      <w:r w:rsidR="00DB597A">
        <w:t>istic Systems: Marking P</w:t>
      </w:r>
      <w:r w:rsidRPr="00B77653">
        <w:t>ossession in Canadian English.</w:t>
      </w:r>
      <w:r w:rsidR="00DB597A">
        <w:t>”</w:t>
      </w:r>
      <w:r w:rsidRPr="00B77653">
        <w:t xml:space="preserve"> </w:t>
      </w:r>
      <w:r w:rsidRPr="00B77653">
        <w:rPr>
          <w:i/>
          <w:iCs/>
        </w:rPr>
        <w:t xml:space="preserve">Language Variation and Change, </w:t>
      </w:r>
      <w:r w:rsidR="00FC7480" w:rsidRPr="00B77653">
        <w:t>22</w:t>
      </w:r>
      <w:r w:rsidRPr="00B77653">
        <w:t>: 1</w:t>
      </w:r>
      <w:r w:rsidR="0069735E" w:rsidRPr="00B77653">
        <w:t>49-173</w:t>
      </w:r>
      <w:r w:rsidRPr="00B77653">
        <w:t>.</w:t>
      </w:r>
    </w:p>
    <w:p w14:paraId="30DB7EF8" w14:textId="158F993C" w:rsidR="009B629E" w:rsidRDefault="009B629E" w:rsidP="009B629E">
      <w:pPr>
        <w:ind w:left="709" w:hanging="720"/>
      </w:pPr>
      <w:r>
        <w:t xml:space="preserve">Tagliamonte, Sali A., Alexandra D’Arcy and Celeste Rodríguez Louro. 2016. “Outliers, </w:t>
      </w:r>
      <w:r w:rsidR="00B3680C">
        <w:t>I</w:t>
      </w:r>
      <w:r>
        <w:t xml:space="preserve">mpact, and </w:t>
      </w:r>
      <w:r w:rsidR="00B3680C">
        <w:t>R</w:t>
      </w:r>
      <w:r>
        <w:t xml:space="preserve">ationalization in </w:t>
      </w:r>
      <w:r w:rsidR="00B3680C">
        <w:t>L</w:t>
      </w:r>
      <w:r>
        <w:t xml:space="preserve">inguistic </w:t>
      </w:r>
      <w:r w:rsidR="00B3680C">
        <w:t>C</w:t>
      </w:r>
      <w:r>
        <w:t xml:space="preserve">hange.” </w:t>
      </w:r>
      <w:r w:rsidRPr="009B629E">
        <w:rPr>
          <w:i/>
        </w:rPr>
        <w:t>Language</w:t>
      </w:r>
      <w:r>
        <w:t xml:space="preserve"> 92: 824-849.</w:t>
      </w:r>
    </w:p>
    <w:p w14:paraId="52C5A0EB" w14:textId="77777777" w:rsidR="00AF02FB" w:rsidRDefault="00AF02FB" w:rsidP="00FE3A44">
      <w:pPr>
        <w:ind w:left="709" w:hanging="720"/>
      </w:pPr>
      <w:r w:rsidRPr="00B77653">
        <w:t>Tagliamonte, Sali</w:t>
      </w:r>
      <w:r w:rsidR="00DB597A">
        <w:t xml:space="preserve"> A. and Derek Denis. 2010. “The Stuff of Change: General E</w:t>
      </w:r>
      <w:r w:rsidRPr="00B77653">
        <w:t>xtenders in Toronto, Canada.</w:t>
      </w:r>
      <w:r w:rsidR="00DB597A">
        <w:t>”</w:t>
      </w:r>
      <w:r w:rsidRPr="00B77653">
        <w:t xml:space="preserve"> </w:t>
      </w:r>
      <w:r w:rsidRPr="00B77653">
        <w:rPr>
          <w:i/>
          <w:iCs/>
        </w:rPr>
        <w:t>Journal of English Linguistics</w:t>
      </w:r>
      <w:r w:rsidR="00FC7480" w:rsidRPr="00B77653">
        <w:t>, 38:</w:t>
      </w:r>
      <w:r w:rsidRPr="00B77653">
        <w:t xml:space="preserve"> 335-368.</w:t>
      </w:r>
    </w:p>
    <w:p w14:paraId="04A9762D" w14:textId="77777777" w:rsidR="00C64C8C" w:rsidRDefault="0057621B" w:rsidP="0057621B">
      <w:pPr>
        <w:ind w:left="709" w:hanging="720"/>
      </w:pPr>
      <w:r>
        <w:t xml:space="preserve">Thorburn, Jennifer A. 2014. “Dialect Development in Nain, Nunatsiavut: Emerging English in a Canadian Aboriginal Community”. PhD diss., Memorial University. </w:t>
      </w:r>
    </w:p>
    <w:p w14:paraId="6C6035C1" w14:textId="77777777" w:rsidR="008645E2" w:rsidRDefault="008645E2" w:rsidP="0057621B">
      <w:pPr>
        <w:ind w:left="709" w:hanging="720"/>
      </w:pPr>
    </w:p>
    <w:p w14:paraId="49967F65" w14:textId="2646FFFA" w:rsidR="008645E2" w:rsidRDefault="008645E2" w:rsidP="0057621B">
      <w:pPr>
        <w:ind w:left="709" w:hanging="720"/>
      </w:pPr>
      <w:bookmarkStart w:id="0" w:name="_GoBack"/>
      <w:bookmarkEnd w:id="0"/>
    </w:p>
    <w:sectPr w:rsidR="008645E2" w:rsidSect="00FE3A44">
      <w:pgSz w:w="12240" w:h="15840"/>
      <w:pgMar w:top="1440" w:right="283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C853" w14:textId="77777777" w:rsidR="009642C3" w:rsidRDefault="009642C3" w:rsidP="0027594A">
      <w:pPr>
        <w:spacing w:line="240" w:lineRule="auto"/>
      </w:pPr>
      <w:r>
        <w:separator/>
      </w:r>
    </w:p>
  </w:endnote>
  <w:endnote w:type="continuationSeparator" w:id="0">
    <w:p w14:paraId="01770869" w14:textId="77777777" w:rsidR="009642C3" w:rsidRDefault="009642C3" w:rsidP="0027594A">
      <w:pPr>
        <w:spacing w:line="240" w:lineRule="auto"/>
      </w:pPr>
      <w:r>
        <w:continuationSeparator/>
      </w:r>
    </w:p>
  </w:endnote>
  <w:endnote w:id="1">
    <w:p w14:paraId="29AFBDED" w14:textId="77777777" w:rsidR="009642C3" w:rsidRDefault="009642C3" w:rsidP="00A35920">
      <w:pPr>
        <w:pStyle w:val="EndnoteText"/>
        <w:ind w:left="284" w:hanging="284"/>
        <w:rPr>
          <w:sz w:val="24"/>
          <w:szCs w:val="24"/>
        </w:rPr>
      </w:pPr>
      <w:r>
        <w:rPr>
          <w:sz w:val="24"/>
          <w:szCs w:val="24"/>
        </w:rPr>
        <w:t>ENDNOTES:</w:t>
      </w:r>
    </w:p>
    <w:p w14:paraId="0811DE3C" w14:textId="4D3783E3" w:rsidR="009642C3" w:rsidRDefault="009642C3" w:rsidP="0098508C">
      <w:pPr>
        <w:pStyle w:val="EndnoteText"/>
        <w:ind w:left="284" w:hanging="284"/>
      </w:pPr>
      <w:r w:rsidRPr="007F35EF">
        <w:rPr>
          <w:rStyle w:val="EndnoteReference"/>
          <w:sz w:val="32"/>
        </w:rPr>
        <w:sym w:font="Symbol" w:char="F02A"/>
      </w:r>
      <w:r w:rsidRPr="007F35EF">
        <w:rPr>
          <w:sz w:val="32"/>
        </w:rPr>
        <w:t xml:space="preserve"> </w:t>
      </w:r>
      <w:r>
        <w:t xml:space="preserve">The first author gratefully acknowledges the support of the University of Leicester. The second author gratefully acknowledges the support of the Social Sciences and Humanities Research Council of Canada for research grants from 2001 to the present. We would also like to thank the University of Toronto </w:t>
      </w:r>
      <w:r w:rsidRPr="0098508C">
        <w:t>Sociolinguistics Lab researc</w:t>
      </w:r>
      <w:r>
        <w:t>h assistants and managers (</w:t>
      </w:r>
      <w:r w:rsidRPr="0098508C">
        <w:t>past and present</w:t>
      </w:r>
      <w:r>
        <w:t xml:space="preserve">), as well as our many colleagues at various conferences and workshops, and the anonymous reviewers. </w:t>
      </w:r>
    </w:p>
  </w:endnote>
  <w:endnote w:id="2">
    <w:p w14:paraId="6D107BC2" w14:textId="77777777" w:rsidR="009642C3" w:rsidRDefault="009642C3" w:rsidP="00A35920">
      <w:pPr>
        <w:pStyle w:val="EndnoteText"/>
        <w:ind w:left="284" w:hanging="284"/>
      </w:pPr>
      <w:r>
        <w:rPr>
          <w:rStyle w:val="EndnoteReference"/>
        </w:rPr>
        <w:endnoteRef/>
      </w:r>
      <w:r>
        <w:t xml:space="preserve"> We refer here to the diffusion of innovations more generally and not the specific mechanisms of linguistic diffusion (e.g. Labov 2007). </w:t>
      </w:r>
    </w:p>
  </w:endnote>
  <w:endnote w:id="3">
    <w:p w14:paraId="2C68AA14" w14:textId="77777777" w:rsidR="009642C3" w:rsidRDefault="009642C3" w:rsidP="00A35920">
      <w:pPr>
        <w:pStyle w:val="EndnoteText"/>
        <w:ind w:left="284" w:hanging="284"/>
      </w:pPr>
      <w:r>
        <w:rPr>
          <w:rStyle w:val="EndnoteReference"/>
        </w:rPr>
        <w:endnoteRef/>
      </w:r>
      <w:r>
        <w:t xml:space="preserve"> See Guy and Hinskens (2016) for an overview of covariation with stable variation.</w:t>
      </w:r>
    </w:p>
  </w:endnote>
  <w:endnote w:id="4">
    <w:p w14:paraId="35B39DA4" w14:textId="262F5963" w:rsidR="009642C3" w:rsidRDefault="009642C3" w:rsidP="00A35920">
      <w:pPr>
        <w:pStyle w:val="EndnoteText"/>
        <w:ind w:left="284" w:hanging="284"/>
      </w:pPr>
      <w:r>
        <w:rPr>
          <w:rStyle w:val="EndnoteReference"/>
        </w:rPr>
        <w:endnoteRef/>
      </w:r>
      <w:r>
        <w:t xml:space="preserve"> </w:t>
      </w:r>
      <w:r w:rsidRPr="00153D23">
        <w:t>https://www.helsinki.fi/en/researchgroups/varieng/corpus-of-early-english-correspondence</w:t>
      </w:r>
    </w:p>
  </w:endnote>
  <w:endnote w:id="5">
    <w:p w14:paraId="46518A9F" w14:textId="0A641B8E" w:rsidR="009642C3" w:rsidRDefault="009642C3" w:rsidP="00A35920">
      <w:pPr>
        <w:pStyle w:val="EndnoteText"/>
        <w:ind w:left="284" w:hanging="284"/>
      </w:pPr>
      <w:r>
        <w:rPr>
          <w:rStyle w:val="EndnoteReference"/>
        </w:rPr>
        <w:endnoteRef/>
      </w:r>
      <w:r>
        <w:t xml:space="preserve">  S</w:t>
      </w:r>
      <w:r w:rsidRPr="00B77653">
        <w:t>peaker codes</w:t>
      </w:r>
      <w:r>
        <w:t xml:space="preserve"> from the TEA are given in brackets after each </w:t>
      </w:r>
      <w:r w:rsidRPr="00B77653">
        <w:t>example</w:t>
      </w:r>
      <w:r>
        <w:t>.</w:t>
      </w:r>
    </w:p>
  </w:endnote>
  <w:endnote w:id="6">
    <w:p w14:paraId="413FC8EF" w14:textId="77777777" w:rsidR="009642C3" w:rsidRDefault="009642C3" w:rsidP="00A35920">
      <w:pPr>
        <w:pStyle w:val="EndnoteText"/>
        <w:ind w:left="284" w:hanging="284"/>
      </w:pPr>
      <w:r>
        <w:rPr>
          <w:rStyle w:val="EndnoteReference"/>
        </w:rPr>
        <w:endnoteRef/>
      </w:r>
      <w:r>
        <w:t xml:space="preserve"> We considered the possibility that the inclusion of categorical users of incoming variants as leaders might interfere with the linearity of any relationship. However, recalculating the correlations for leaders of change with categorical users excluded from the analysis did not change our findings. We note that </w:t>
      </w:r>
      <w:r w:rsidRPr="006102D4">
        <w:rPr>
          <w:lang w:val="en-CA"/>
        </w:rPr>
        <w:t>Nevalainen et al</w:t>
      </w:r>
      <w:r>
        <w:rPr>
          <w:lang w:val="en-CA"/>
        </w:rPr>
        <w:t xml:space="preserve">. (2011, </w:t>
      </w:r>
      <w:r w:rsidRPr="00CD4695">
        <w:rPr>
          <w:lang w:val="en-CA"/>
        </w:rPr>
        <w:t>6)</w:t>
      </w:r>
      <w:r>
        <w:rPr>
          <w:lang w:val="en-CA"/>
        </w:rPr>
        <w:t xml:space="preserve"> also observed and included writers with categorical use and non-use of features</w:t>
      </w:r>
      <w:r w:rsidRPr="00CD4695">
        <w:rPr>
          <w:lang w:val="en-CA"/>
        </w:rPr>
        <w:t>.</w:t>
      </w:r>
    </w:p>
  </w:endnote>
  <w:endnote w:id="7">
    <w:p w14:paraId="470C4421" w14:textId="77777777" w:rsidR="009642C3" w:rsidRDefault="009642C3" w:rsidP="00A35920">
      <w:pPr>
        <w:pStyle w:val="EndnoteText"/>
        <w:ind w:left="284" w:hanging="284"/>
      </w:pPr>
      <w:r>
        <w:rPr>
          <w:rStyle w:val="EndnoteReference"/>
        </w:rPr>
        <w:endnoteRef/>
      </w:r>
      <w:r>
        <w:t xml:space="preserve"> W</w:t>
      </w:r>
      <w:r w:rsidRPr="006102D4">
        <w:rPr>
          <w:lang w:val="en-CA"/>
        </w:rPr>
        <w:t xml:space="preserve">e also examined the data with the two-tailed significance level and </w:t>
      </w:r>
      <w:r>
        <w:rPr>
          <w:lang w:val="en-CA"/>
        </w:rPr>
        <w:t>the results are the same</w:t>
      </w:r>
      <w:r w:rsidRPr="006102D4">
        <w:rPr>
          <w:lang w:val="en-CA"/>
        </w:rPr>
        <w:t>.</w:t>
      </w:r>
    </w:p>
  </w:endnote>
  <w:endnote w:id="8">
    <w:p w14:paraId="3C9E6E85" w14:textId="77777777" w:rsidR="009642C3" w:rsidRDefault="009642C3" w:rsidP="00A35920">
      <w:pPr>
        <w:pStyle w:val="EndnoteText"/>
        <w:ind w:left="284" w:hanging="284"/>
      </w:pPr>
      <w:r>
        <w:rPr>
          <w:rStyle w:val="EndnoteReference"/>
        </w:rPr>
        <w:endnoteRef/>
      </w:r>
      <w:r>
        <w:t xml:space="preserve"> </w:t>
      </w:r>
      <w:r w:rsidRPr="00B77653">
        <w:t xml:space="preserve">Although this suggested that we would not have strong correlations across variables, it did not rule out the possibility that we might </w:t>
      </w:r>
      <w:r>
        <w:t xml:space="preserve">discern some </w:t>
      </w:r>
      <w:r w:rsidRPr="00B77653">
        <w:t>consistency in behavior</w:t>
      </w:r>
      <w:r>
        <w:t xml:space="preserve"> using statistical methods</w:t>
      </w:r>
      <w:r w:rsidRPr="00B77653">
        <w:t>. It was still conceivable that the higher use of one incoming variant might be positively correlated with a higher use of another, even if only one of them was used often enough to meet the criterion for leadership.</w:t>
      </w:r>
    </w:p>
  </w:endnote>
  <w:endnote w:id="9">
    <w:p w14:paraId="2502B790" w14:textId="77777777" w:rsidR="009642C3" w:rsidRPr="002B160F" w:rsidRDefault="009642C3" w:rsidP="00A35920">
      <w:pPr>
        <w:pStyle w:val="EndnoteText"/>
        <w:ind w:left="284" w:hanging="284"/>
      </w:pPr>
      <w:r>
        <w:rPr>
          <w:rStyle w:val="EndnoteReference"/>
        </w:rPr>
        <w:endnoteRef/>
      </w:r>
      <w:r>
        <w:t xml:space="preserve"> For the sake of thoroughness, we also used </w:t>
      </w:r>
      <w:r w:rsidRPr="002B160F">
        <w:rPr>
          <w:i/>
        </w:rPr>
        <w:t>R</w:t>
      </w:r>
      <w:r>
        <w:t xml:space="preserve">’s </w:t>
      </w:r>
      <w:r w:rsidRPr="002B160F">
        <w:rPr>
          <w:i/>
        </w:rPr>
        <w:t>cor</w:t>
      </w:r>
      <w:r>
        <w:t xml:space="preserve"> function to execute a multiple correlation calculation where we considered, in a single analysis, correlations across variables for anyone who was a leader in anything; the results were even lower correlations than those shown in Table 1 for all users. </w:t>
      </w:r>
    </w:p>
  </w:endnote>
  <w:endnote w:id="10">
    <w:p w14:paraId="7448E195" w14:textId="77777777" w:rsidR="009642C3" w:rsidRPr="00DE2F13" w:rsidRDefault="009642C3" w:rsidP="00A35920">
      <w:pPr>
        <w:pStyle w:val="EndnoteText"/>
        <w:ind w:left="284" w:hanging="284"/>
        <w:rPr>
          <w:i/>
        </w:rPr>
      </w:pPr>
      <w:r>
        <w:rPr>
          <w:rStyle w:val="EndnoteReference"/>
        </w:rPr>
        <w:endnoteRef/>
      </w:r>
      <w:r>
        <w:t xml:space="preserve"> </w:t>
      </w:r>
      <w:r>
        <w:rPr>
          <w:lang w:val="en-CA"/>
        </w:rPr>
        <w:t>At the outset, w</w:t>
      </w:r>
      <w:r w:rsidRPr="006102D4">
        <w:rPr>
          <w:lang w:val="en-CA"/>
        </w:rPr>
        <w:t xml:space="preserve">e considered, as Guy </w:t>
      </w:r>
      <w:r>
        <w:rPr>
          <w:lang w:val="en-CA"/>
        </w:rPr>
        <w:t>(</w:t>
      </w:r>
      <w:r w:rsidRPr="006102D4">
        <w:rPr>
          <w:lang w:val="en-CA"/>
        </w:rPr>
        <w:t>2009</w:t>
      </w:r>
      <w:r>
        <w:rPr>
          <w:lang w:val="en-CA"/>
        </w:rPr>
        <w:t>: 8)</w:t>
      </w:r>
      <w:r w:rsidRPr="006102D4">
        <w:rPr>
          <w:lang w:val="en-CA"/>
        </w:rPr>
        <w:t xml:space="preserve"> did, the possibility that there might be some kind of </w:t>
      </w:r>
      <w:r>
        <w:rPr>
          <w:lang w:val="en-CA"/>
        </w:rPr>
        <w:t xml:space="preserve">language-internal </w:t>
      </w:r>
      <w:r w:rsidRPr="006102D4">
        <w:rPr>
          <w:lang w:val="en-CA"/>
        </w:rPr>
        <w:t>reason why we might get parallel beha</w:t>
      </w:r>
      <w:r w:rsidRPr="00DE2F13">
        <w:rPr>
          <w:lang w:val="en-CA"/>
        </w:rPr>
        <w:t xml:space="preserve">vior in the variables.  </w:t>
      </w:r>
      <w:r>
        <w:rPr>
          <w:lang w:val="en-CA"/>
        </w:rPr>
        <w:t>De</w:t>
      </w:r>
      <w:r w:rsidRPr="00DE2F13">
        <w:rPr>
          <w:lang w:val="en-CA"/>
        </w:rPr>
        <w:t xml:space="preserve">ontic </w:t>
      </w:r>
      <w:r w:rsidRPr="00DE2F13">
        <w:rPr>
          <w:i/>
          <w:lang w:val="en-CA"/>
        </w:rPr>
        <w:t xml:space="preserve">have to </w:t>
      </w:r>
      <w:r>
        <w:rPr>
          <w:lang w:val="en-CA"/>
        </w:rPr>
        <w:t>and s</w:t>
      </w:r>
      <w:r w:rsidRPr="00DE2F13">
        <w:rPr>
          <w:lang w:val="en-CA"/>
        </w:rPr>
        <w:t xml:space="preserve">tative </w:t>
      </w:r>
      <w:r w:rsidRPr="00DE2F13">
        <w:rPr>
          <w:i/>
          <w:lang w:val="en-CA"/>
        </w:rPr>
        <w:t xml:space="preserve">have </w:t>
      </w:r>
      <w:r w:rsidRPr="00DE2F13">
        <w:rPr>
          <w:lang w:val="en-CA"/>
        </w:rPr>
        <w:t xml:space="preserve">are similar in morphological form, but the correlation between </w:t>
      </w:r>
      <w:r>
        <w:rPr>
          <w:lang w:val="en-CA"/>
        </w:rPr>
        <w:t>the morphologically different s</w:t>
      </w:r>
      <w:r w:rsidRPr="00DE2F13">
        <w:rPr>
          <w:lang w:val="en-CA"/>
        </w:rPr>
        <w:t>tative</w:t>
      </w:r>
      <w:r w:rsidRPr="00DE2F13">
        <w:rPr>
          <w:i/>
          <w:lang w:val="en-CA"/>
        </w:rPr>
        <w:t xml:space="preserve"> have</w:t>
      </w:r>
      <w:r>
        <w:t xml:space="preserve"> and q</w:t>
      </w:r>
      <w:r w:rsidRPr="00DE2F13">
        <w:t xml:space="preserve">uotative </w:t>
      </w:r>
      <w:r w:rsidRPr="00DE2F13">
        <w:rPr>
          <w:i/>
        </w:rPr>
        <w:t>be like</w:t>
      </w:r>
      <w:r w:rsidRPr="00DE2F13">
        <w:t xml:space="preserve"> </w:t>
      </w:r>
      <w:r>
        <w:t xml:space="preserve">in Table </w:t>
      </w:r>
      <w:r w:rsidRPr="003C685D">
        <w:t>1</w:t>
      </w:r>
      <w:r>
        <w:t xml:space="preserve"> </w:t>
      </w:r>
      <w:r w:rsidRPr="00DE2F13">
        <w:t>argues against a morphological explanation</w:t>
      </w:r>
      <w:r w:rsidRPr="00DE2F13">
        <w:rPr>
          <w:i/>
        </w:rPr>
        <w:t>.</w:t>
      </w:r>
    </w:p>
  </w:endnote>
  <w:endnote w:id="11">
    <w:p w14:paraId="2B02FBE7" w14:textId="18E81BAA" w:rsidR="009642C3" w:rsidRPr="00091D8A" w:rsidRDefault="009642C3" w:rsidP="00A35920">
      <w:pPr>
        <w:pStyle w:val="EndnoteText"/>
        <w:ind w:left="284" w:hanging="284"/>
      </w:pPr>
      <w:r>
        <w:rPr>
          <w:rStyle w:val="EndnoteReference"/>
        </w:rPr>
        <w:endnoteRef/>
      </w:r>
      <w:r>
        <w:t xml:space="preserve"> We also examined the higher and lower cut-off points across </w:t>
      </w:r>
      <w:r w:rsidRPr="00091D8A">
        <w:rPr>
          <w:i/>
        </w:rPr>
        <w:t>all</w:t>
      </w:r>
      <w:r>
        <w:t xml:space="preserve"> variables. However, this approach yielded unreasonable groups of leaders.  For instance, a</w:t>
      </w:r>
      <w:r w:rsidRPr="00D55051">
        <w:t xml:space="preserve"> </w:t>
      </w:r>
      <w:r>
        <w:t xml:space="preserve">factor weight of .60 categorized over half of the speakers for whom we had data on deontic </w:t>
      </w:r>
      <w:r>
        <w:rPr>
          <w:i/>
        </w:rPr>
        <w:t>have to</w:t>
      </w:r>
      <w:r>
        <w:t xml:space="preserve"> as “leaders”.</w:t>
      </w:r>
    </w:p>
  </w:endnote>
  <w:endnote w:id="12">
    <w:p w14:paraId="2C86A09D" w14:textId="77777777" w:rsidR="009642C3" w:rsidRDefault="009642C3" w:rsidP="00A35920">
      <w:pPr>
        <w:pStyle w:val="EndnoteText"/>
        <w:ind w:left="284" w:hanging="284"/>
      </w:pPr>
      <w:r>
        <w:rPr>
          <w:rStyle w:val="EndnoteReference"/>
        </w:rPr>
        <w:endnoteRef/>
      </w:r>
      <w:r>
        <w:t xml:space="preserve"> </w:t>
      </w:r>
      <w:r w:rsidRPr="00B77653">
        <w:t>Given the</w:t>
      </w:r>
      <w:r>
        <w:t xml:space="preserve"> much</w:t>
      </w:r>
      <w:r w:rsidRPr="00B77653">
        <w:t xml:space="preserve"> lower number of individuals who used </w:t>
      </w:r>
      <w:r>
        <w:t>intensifier</w:t>
      </w:r>
      <w:r w:rsidRPr="00B77653">
        <w:t xml:space="preserve"> </w:t>
      </w:r>
      <w:r w:rsidRPr="00B77653">
        <w:rPr>
          <w:i/>
        </w:rPr>
        <w:t>so</w:t>
      </w:r>
      <w:r w:rsidRPr="00B77653">
        <w:t xml:space="preserve">, we also revised our significance level upward from 0.01 to 0.05, although we acknowledge that </w:t>
      </w:r>
      <w:r>
        <w:t xml:space="preserve">this </w:t>
      </w:r>
      <w:r w:rsidRPr="00B77653">
        <w:t>does allow greater scope for Type I error.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D873" w14:textId="77777777" w:rsidR="009642C3" w:rsidRDefault="009642C3">
    <w:pPr>
      <w:pStyle w:val="Footer"/>
      <w:jc w:val="right"/>
    </w:pPr>
    <w:r>
      <w:fldChar w:fldCharType="begin"/>
    </w:r>
    <w:r>
      <w:instrText xml:space="preserve"> PAGE   \* MERGEFORMAT </w:instrText>
    </w:r>
    <w:r>
      <w:fldChar w:fldCharType="separate"/>
    </w:r>
    <w:r w:rsidR="0039483F">
      <w:rPr>
        <w:noProof/>
      </w:rPr>
      <w:t>31</w:t>
    </w:r>
    <w:r>
      <w:rPr>
        <w:noProof/>
      </w:rPr>
      <w:fldChar w:fldCharType="end"/>
    </w:r>
  </w:p>
  <w:p w14:paraId="5E607484" w14:textId="77777777" w:rsidR="009642C3" w:rsidRDefault="00964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89E4" w14:textId="77777777" w:rsidR="009642C3" w:rsidRDefault="009642C3" w:rsidP="0027594A">
      <w:pPr>
        <w:spacing w:line="240" w:lineRule="auto"/>
      </w:pPr>
      <w:r>
        <w:separator/>
      </w:r>
    </w:p>
  </w:footnote>
  <w:footnote w:type="continuationSeparator" w:id="0">
    <w:p w14:paraId="495E6F94" w14:textId="77777777" w:rsidR="009642C3" w:rsidRDefault="009642C3" w:rsidP="002759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3CA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4BEA"/>
    <w:multiLevelType w:val="hybridMultilevel"/>
    <w:tmpl w:val="33D6F336"/>
    <w:lvl w:ilvl="0" w:tplc="02049E56">
      <w:start w:val="1"/>
      <w:numFmt w:val="bullet"/>
      <w:lvlText w:val=""/>
      <w:lvlJc w:val="left"/>
      <w:pPr>
        <w:tabs>
          <w:tab w:val="num" w:pos="720"/>
        </w:tabs>
        <w:ind w:left="720" w:hanging="360"/>
      </w:pPr>
      <w:rPr>
        <w:rFonts w:ascii="Wingdings" w:hAnsi="Wingdings" w:hint="default"/>
      </w:rPr>
    </w:lvl>
    <w:lvl w:ilvl="1" w:tplc="DD0493EA" w:tentative="1">
      <w:start w:val="1"/>
      <w:numFmt w:val="bullet"/>
      <w:lvlText w:val=""/>
      <w:lvlJc w:val="left"/>
      <w:pPr>
        <w:tabs>
          <w:tab w:val="num" w:pos="1440"/>
        </w:tabs>
        <w:ind w:left="1440" w:hanging="360"/>
      </w:pPr>
      <w:rPr>
        <w:rFonts w:ascii="Wingdings" w:hAnsi="Wingdings" w:hint="default"/>
      </w:rPr>
    </w:lvl>
    <w:lvl w:ilvl="2" w:tplc="007CD816" w:tentative="1">
      <w:start w:val="1"/>
      <w:numFmt w:val="bullet"/>
      <w:lvlText w:val=""/>
      <w:lvlJc w:val="left"/>
      <w:pPr>
        <w:tabs>
          <w:tab w:val="num" w:pos="2160"/>
        </w:tabs>
        <w:ind w:left="2160" w:hanging="360"/>
      </w:pPr>
      <w:rPr>
        <w:rFonts w:ascii="Wingdings" w:hAnsi="Wingdings" w:hint="default"/>
      </w:rPr>
    </w:lvl>
    <w:lvl w:ilvl="3" w:tplc="6794F744" w:tentative="1">
      <w:start w:val="1"/>
      <w:numFmt w:val="bullet"/>
      <w:lvlText w:val=""/>
      <w:lvlJc w:val="left"/>
      <w:pPr>
        <w:tabs>
          <w:tab w:val="num" w:pos="2880"/>
        </w:tabs>
        <w:ind w:left="2880" w:hanging="360"/>
      </w:pPr>
      <w:rPr>
        <w:rFonts w:ascii="Wingdings" w:hAnsi="Wingdings" w:hint="default"/>
      </w:rPr>
    </w:lvl>
    <w:lvl w:ilvl="4" w:tplc="8E224880" w:tentative="1">
      <w:start w:val="1"/>
      <w:numFmt w:val="bullet"/>
      <w:lvlText w:val=""/>
      <w:lvlJc w:val="left"/>
      <w:pPr>
        <w:tabs>
          <w:tab w:val="num" w:pos="3600"/>
        </w:tabs>
        <w:ind w:left="3600" w:hanging="360"/>
      </w:pPr>
      <w:rPr>
        <w:rFonts w:ascii="Wingdings" w:hAnsi="Wingdings" w:hint="default"/>
      </w:rPr>
    </w:lvl>
    <w:lvl w:ilvl="5" w:tplc="B99072E6" w:tentative="1">
      <w:start w:val="1"/>
      <w:numFmt w:val="bullet"/>
      <w:lvlText w:val=""/>
      <w:lvlJc w:val="left"/>
      <w:pPr>
        <w:tabs>
          <w:tab w:val="num" w:pos="4320"/>
        </w:tabs>
        <w:ind w:left="4320" w:hanging="360"/>
      </w:pPr>
      <w:rPr>
        <w:rFonts w:ascii="Wingdings" w:hAnsi="Wingdings" w:hint="default"/>
      </w:rPr>
    </w:lvl>
    <w:lvl w:ilvl="6" w:tplc="40D80FEA" w:tentative="1">
      <w:start w:val="1"/>
      <w:numFmt w:val="bullet"/>
      <w:lvlText w:val=""/>
      <w:lvlJc w:val="left"/>
      <w:pPr>
        <w:tabs>
          <w:tab w:val="num" w:pos="5040"/>
        </w:tabs>
        <w:ind w:left="5040" w:hanging="360"/>
      </w:pPr>
      <w:rPr>
        <w:rFonts w:ascii="Wingdings" w:hAnsi="Wingdings" w:hint="default"/>
      </w:rPr>
    </w:lvl>
    <w:lvl w:ilvl="7" w:tplc="C9E020B0" w:tentative="1">
      <w:start w:val="1"/>
      <w:numFmt w:val="bullet"/>
      <w:lvlText w:val=""/>
      <w:lvlJc w:val="left"/>
      <w:pPr>
        <w:tabs>
          <w:tab w:val="num" w:pos="5760"/>
        </w:tabs>
        <w:ind w:left="5760" w:hanging="360"/>
      </w:pPr>
      <w:rPr>
        <w:rFonts w:ascii="Wingdings" w:hAnsi="Wingdings" w:hint="default"/>
      </w:rPr>
    </w:lvl>
    <w:lvl w:ilvl="8" w:tplc="724084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25EA7"/>
    <w:multiLevelType w:val="hybridMultilevel"/>
    <w:tmpl w:val="4EA8E636"/>
    <w:lvl w:ilvl="0" w:tplc="51441EA6">
      <w:start w:val="1"/>
      <w:numFmt w:val="bullet"/>
      <w:lvlText w:val=""/>
      <w:lvlJc w:val="left"/>
      <w:pPr>
        <w:tabs>
          <w:tab w:val="num" w:pos="720"/>
        </w:tabs>
        <w:ind w:left="720" w:hanging="360"/>
      </w:pPr>
      <w:rPr>
        <w:rFonts w:ascii="Wingdings" w:hAnsi="Wingdings" w:hint="default"/>
      </w:rPr>
    </w:lvl>
    <w:lvl w:ilvl="1" w:tplc="0DFE33B4" w:tentative="1">
      <w:start w:val="1"/>
      <w:numFmt w:val="bullet"/>
      <w:lvlText w:val=""/>
      <w:lvlJc w:val="left"/>
      <w:pPr>
        <w:tabs>
          <w:tab w:val="num" w:pos="1440"/>
        </w:tabs>
        <w:ind w:left="1440" w:hanging="360"/>
      </w:pPr>
      <w:rPr>
        <w:rFonts w:ascii="Wingdings" w:hAnsi="Wingdings" w:hint="default"/>
      </w:rPr>
    </w:lvl>
    <w:lvl w:ilvl="2" w:tplc="D0F86726" w:tentative="1">
      <w:start w:val="1"/>
      <w:numFmt w:val="bullet"/>
      <w:lvlText w:val=""/>
      <w:lvlJc w:val="left"/>
      <w:pPr>
        <w:tabs>
          <w:tab w:val="num" w:pos="2160"/>
        </w:tabs>
        <w:ind w:left="2160" w:hanging="360"/>
      </w:pPr>
      <w:rPr>
        <w:rFonts w:ascii="Wingdings" w:hAnsi="Wingdings" w:hint="default"/>
      </w:rPr>
    </w:lvl>
    <w:lvl w:ilvl="3" w:tplc="72A6C4FE" w:tentative="1">
      <w:start w:val="1"/>
      <w:numFmt w:val="bullet"/>
      <w:lvlText w:val=""/>
      <w:lvlJc w:val="left"/>
      <w:pPr>
        <w:tabs>
          <w:tab w:val="num" w:pos="2880"/>
        </w:tabs>
        <w:ind w:left="2880" w:hanging="360"/>
      </w:pPr>
      <w:rPr>
        <w:rFonts w:ascii="Wingdings" w:hAnsi="Wingdings" w:hint="default"/>
      </w:rPr>
    </w:lvl>
    <w:lvl w:ilvl="4" w:tplc="C53E6B0E" w:tentative="1">
      <w:start w:val="1"/>
      <w:numFmt w:val="bullet"/>
      <w:lvlText w:val=""/>
      <w:lvlJc w:val="left"/>
      <w:pPr>
        <w:tabs>
          <w:tab w:val="num" w:pos="3600"/>
        </w:tabs>
        <w:ind w:left="3600" w:hanging="360"/>
      </w:pPr>
      <w:rPr>
        <w:rFonts w:ascii="Wingdings" w:hAnsi="Wingdings" w:hint="default"/>
      </w:rPr>
    </w:lvl>
    <w:lvl w:ilvl="5" w:tplc="68B6AA16" w:tentative="1">
      <w:start w:val="1"/>
      <w:numFmt w:val="bullet"/>
      <w:lvlText w:val=""/>
      <w:lvlJc w:val="left"/>
      <w:pPr>
        <w:tabs>
          <w:tab w:val="num" w:pos="4320"/>
        </w:tabs>
        <w:ind w:left="4320" w:hanging="360"/>
      </w:pPr>
      <w:rPr>
        <w:rFonts w:ascii="Wingdings" w:hAnsi="Wingdings" w:hint="default"/>
      </w:rPr>
    </w:lvl>
    <w:lvl w:ilvl="6" w:tplc="91FCE870" w:tentative="1">
      <w:start w:val="1"/>
      <w:numFmt w:val="bullet"/>
      <w:lvlText w:val=""/>
      <w:lvlJc w:val="left"/>
      <w:pPr>
        <w:tabs>
          <w:tab w:val="num" w:pos="5040"/>
        </w:tabs>
        <w:ind w:left="5040" w:hanging="360"/>
      </w:pPr>
      <w:rPr>
        <w:rFonts w:ascii="Wingdings" w:hAnsi="Wingdings" w:hint="default"/>
      </w:rPr>
    </w:lvl>
    <w:lvl w:ilvl="7" w:tplc="D3863240" w:tentative="1">
      <w:start w:val="1"/>
      <w:numFmt w:val="bullet"/>
      <w:lvlText w:val=""/>
      <w:lvlJc w:val="left"/>
      <w:pPr>
        <w:tabs>
          <w:tab w:val="num" w:pos="5760"/>
        </w:tabs>
        <w:ind w:left="5760" w:hanging="360"/>
      </w:pPr>
      <w:rPr>
        <w:rFonts w:ascii="Wingdings" w:hAnsi="Wingdings" w:hint="default"/>
      </w:rPr>
    </w:lvl>
    <w:lvl w:ilvl="8" w:tplc="2DB4D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16680"/>
    <w:multiLevelType w:val="hybridMultilevel"/>
    <w:tmpl w:val="220C7E8A"/>
    <w:lvl w:ilvl="0" w:tplc="E5D840B8">
      <w:start w:val="1"/>
      <w:numFmt w:val="bullet"/>
      <w:lvlText w:val=""/>
      <w:lvlJc w:val="left"/>
      <w:pPr>
        <w:tabs>
          <w:tab w:val="num" w:pos="720"/>
        </w:tabs>
        <w:ind w:left="720" w:hanging="360"/>
      </w:pPr>
      <w:rPr>
        <w:rFonts w:ascii="Wingdings" w:hAnsi="Wingdings" w:hint="default"/>
      </w:rPr>
    </w:lvl>
    <w:lvl w:ilvl="1" w:tplc="425AC648" w:tentative="1">
      <w:start w:val="1"/>
      <w:numFmt w:val="bullet"/>
      <w:lvlText w:val=""/>
      <w:lvlJc w:val="left"/>
      <w:pPr>
        <w:tabs>
          <w:tab w:val="num" w:pos="1440"/>
        </w:tabs>
        <w:ind w:left="1440" w:hanging="360"/>
      </w:pPr>
      <w:rPr>
        <w:rFonts w:ascii="Wingdings" w:hAnsi="Wingdings" w:hint="default"/>
      </w:rPr>
    </w:lvl>
    <w:lvl w:ilvl="2" w:tplc="5BA651EC" w:tentative="1">
      <w:start w:val="1"/>
      <w:numFmt w:val="bullet"/>
      <w:lvlText w:val=""/>
      <w:lvlJc w:val="left"/>
      <w:pPr>
        <w:tabs>
          <w:tab w:val="num" w:pos="2160"/>
        </w:tabs>
        <w:ind w:left="2160" w:hanging="360"/>
      </w:pPr>
      <w:rPr>
        <w:rFonts w:ascii="Wingdings" w:hAnsi="Wingdings" w:hint="default"/>
      </w:rPr>
    </w:lvl>
    <w:lvl w:ilvl="3" w:tplc="4BA2E8BE" w:tentative="1">
      <w:start w:val="1"/>
      <w:numFmt w:val="bullet"/>
      <w:lvlText w:val=""/>
      <w:lvlJc w:val="left"/>
      <w:pPr>
        <w:tabs>
          <w:tab w:val="num" w:pos="2880"/>
        </w:tabs>
        <w:ind w:left="2880" w:hanging="360"/>
      </w:pPr>
      <w:rPr>
        <w:rFonts w:ascii="Wingdings" w:hAnsi="Wingdings" w:hint="default"/>
      </w:rPr>
    </w:lvl>
    <w:lvl w:ilvl="4" w:tplc="6486F6AA" w:tentative="1">
      <w:start w:val="1"/>
      <w:numFmt w:val="bullet"/>
      <w:lvlText w:val=""/>
      <w:lvlJc w:val="left"/>
      <w:pPr>
        <w:tabs>
          <w:tab w:val="num" w:pos="3600"/>
        </w:tabs>
        <w:ind w:left="3600" w:hanging="360"/>
      </w:pPr>
      <w:rPr>
        <w:rFonts w:ascii="Wingdings" w:hAnsi="Wingdings" w:hint="default"/>
      </w:rPr>
    </w:lvl>
    <w:lvl w:ilvl="5" w:tplc="95EC2E1A" w:tentative="1">
      <w:start w:val="1"/>
      <w:numFmt w:val="bullet"/>
      <w:lvlText w:val=""/>
      <w:lvlJc w:val="left"/>
      <w:pPr>
        <w:tabs>
          <w:tab w:val="num" w:pos="4320"/>
        </w:tabs>
        <w:ind w:left="4320" w:hanging="360"/>
      </w:pPr>
      <w:rPr>
        <w:rFonts w:ascii="Wingdings" w:hAnsi="Wingdings" w:hint="default"/>
      </w:rPr>
    </w:lvl>
    <w:lvl w:ilvl="6" w:tplc="EA823210" w:tentative="1">
      <w:start w:val="1"/>
      <w:numFmt w:val="bullet"/>
      <w:lvlText w:val=""/>
      <w:lvlJc w:val="left"/>
      <w:pPr>
        <w:tabs>
          <w:tab w:val="num" w:pos="5040"/>
        </w:tabs>
        <w:ind w:left="5040" w:hanging="360"/>
      </w:pPr>
      <w:rPr>
        <w:rFonts w:ascii="Wingdings" w:hAnsi="Wingdings" w:hint="default"/>
      </w:rPr>
    </w:lvl>
    <w:lvl w:ilvl="7" w:tplc="DF5EAAE2" w:tentative="1">
      <w:start w:val="1"/>
      <w:numFmt w:val="bullet"/>
      <w:lvlText w:val=""/>
      <w:lvlJc w:val="left"/>
      <w:pPr>
        <w:tabs>
          <w:tab w:val="num" w:pos="5760"/>
        </w:tabs>
        <w:ind w:left="5760" w:hanging="360"/>
      </w:pPr>
      <w:rPr>
        <w:rFonts w:ascii="Wingdings" w:hAnsi="Wingdings" w:hint="default"/>
      </w:rPr>
    </w:lvl>
    <w:lvl w:ilvl="8" w:tplc="2396B7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B2920"/>
    <w:multiLevelType w:val="hybridMultilevel"/>
    <w:tmpl w:val="C41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27C4"/>
    <w:multiLevelType w:val="hybridMultilevel"/>
    <w:tmpl w:val="699E68BA"/>
    <w:lvl w:ilvl="0" w:tplc="FD1A9046">
      <w:start w:val="1"/>
      <w:numFmt w:val="bullet"/>
      <w:lvlText w:val=""/>
      <w:lvlJc w:val="left"/>
      <w:pPr>
        <w:tabs>
          <w:tab w:val="num" w:pos="720"/>
        </w:tabs>
        <w:ind w:left="720" w:hanging="360"/>
      </w:pPr>
      <w:rPr>
        <w:rFonts w:ascii="Wingdings" w:hAnsi="Wingdings" w:hint="default"/>
      </w:rPr>
    </w:lvl>
    <w:lvl w:ilvl="1" w:tplc="701E8AE8" w:tentative="1">
      <w:start w:val="1"/>
      <w:numFmt w:val="bullet"/>
      <w:lvlText w:val=""/>
      <w:lvlJc w:val="left"/>
      <w:pPr>
        <w:tabs>
          <w:tab w:val="num" w:pos="1440"/>
        </w:tabs>
        <w:ind w:left="1440" w:hanging="360"/>
      </w:pPr>
      <w:rPr>
        <w:rFonts w:ascii="Wingdings" w:hAnsi="Wingdings" w:hint="default"/>
      </w:rPr>
    </w:lvl>
    <w:lvl w:ilvl="2" w:tplc="87E0FBEE" w:tentative="1">
      <w:start w:val="1"/>
      <w:numFmt w:val="bullet"/>
      <w:lvlText w:val=""/>
      <w:lvlJc w:val="left"/>
      <w:pPr>
        <w:tabs>
          <w:tab w:val="num" w:pos="2160"/>
        </w:tabs>
        <w:ind w:left="2160" w:hanging="360"/>
      </w:pPr>
      <w:rPr>
        <w:rFonts w:ascii="Wingdings" w:hAnsi="Wingdings" w:hint="default"/>
      </w:rPr>
    </w:lvl>
    <w:lvl w:ilvl="3" w:tplc="92CC2AC6" w:tentative="1">
      <w:start w:val="1"/>
      <w:numFmt w:val="bullet"/>
      <w:lvlText w:val=""/>
      <w:lvlJc w:val="left"/>
      <w:pPr>
        <w:tabs>
          <w:tab w:val="num" w:pos="2880"/>
        </w:tabs>
        <w:ind w:left="2880" w:hanging="360"/>
      </w:pPr>
      <w:rPr>
        <w:rFonts w:ascii="Wingdings" w:hAnsi="Wingdings" w:hint="default"/>
      </w:rPr>
    </w:lvl>
    <w:lvl w:ilvl="4" w:tplc="78888248" w:tentative="1">
      <w:start w:val="1"/>
      <w:numFmt w:val="bullet"/>
      <w:lvlText w:val=""/>
      <w:lvlJc w:val="left"/>
      <w:pPr>
        <w:tabs>
          <w:tab w:val="num" w:pos="3600"/>
        </w:tabs>
        <w:ind w:left="3600" w:hanging="360"/>
      </w:pPr>
      <w:rPr>
        <w:rFonts w:ascii="Wingdings" w:hAnsi="Wingdings" w:hint="default"/>
      </w:rPr>
    </w:lvl>
    <w:lvl w:ilvl="5" w:tplc="9AF2E06A" w:tentative="1">
      <w:start w:val="1"/>
      <w:numFmt w:val="bullet"/>
      <w:lvlText w:val=""/>
      <w:lvlJc w:val="left"/>
      <w:pPr>
        <w:tabs>
          <w:tab w:val="num" w:pos="4320"/>
        </w:tabs>
        <w:ind w:left="4320" w:hanging="360"/>
      </w:pPr>
      <w:rPr>
        <w:rFonts w:ascii="Wingdings" w:hAnsi="Wingdings" w:hint="default"/>
      </w:rPr>
    </w:lvl>
    <w:lvl w:ilvl="6" w:tplc="FB1E6FD4" w:tentative="1">
      <w:start w:val="1"/>
      <w:numFmt w:val="bullet"/>
      <w:lvlText w:val=""/>
      <w:lvlJc w:val="left"/>
      <w:pPr>
        <w:tabs>
          <w:tab w:val="num" w:pos="5040"/>
        </w:tabs>
        <w:ind w:left="5040" w:hanging="360"/>
      </w:pPr>
      <w:rPr>
        <w:rFonts w:ascii="Wingdings" w:hAnsi="Wingdings" w:hint="default"/>
      </w:rPr>
    </w:lvl>
    <w:lvl w:ilvl="7" w:tplc="A1C6C7E6" w:tentative="1">
      <w:start w:val="1"/>
      <w:numFmt w:val="bullet"/>
      <w:lvlText w:val=""/>
      <w:lvlJc w:val="left"/>
      <w:pPr>
        <w:tabs>
          <w:tab w:val="num" w:pos="5760"/>
        </w:tabs>
        <w:ind w:left="5760" w:hanging="360"/>
      </w:pPr>
      <w:rPr>
        <w:rFonts w:ascii="Wingdings" w:hAnsi="Wingdings" w:hint="default"/>
      </w:rPr>
    </w:lvl>
    <w:lvl w:ilvl="8" w:tplc="5C129E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370F6"/>
    <w:multiLevelType w:val="hybridMultilevel"/>
    <w:tmpl w:val="29BC54A2"/>
    <w:lvl w:ilvl="0" w:tplc="43BAA818">
      <w:start w:val="1"/>
      <w:numFmt w:val="bullet"/>
      <w:lvlText w:val=""/>
      <w:lvlJc w:val="left"/>
      <w:pPr>
        <w:tabs>
          <w:tab w:val="num" w:pos="720"/>
        </w:tabs>
        <w:ind w:left="720" w:hanging="360"/>
      </w:pPr>
      <w:rPr>
        <w:rFonts w:ascii="Wingdings" w:hAnsi="Wingdings" w:hint="default"/>
      </w:rPr>
    </w:lvl>
    <w:lvl w:ilvl="1" w:tplc="3C04CEA4" w:tentative="1">
      <w:start w:val="1"/>
      <w:numFmt w:val="bullet"/>
      <w:lvlText w:val=""/>
      <w:lvlJc w:val="left"/>
      <w:pPr>
        <w:tabs>
          <w:tab w:val="num" w:pos="1440"/>
        </w:tabs>
        <w:ind w:left="1440" w:hanging="360"/>
      </w:pPr>
      <w:rPr>
        <w:rFonts w:ascii="Wingdings" w:hAnsi="Wingdings" w:hint="default"/>
      </w:rPr>
    </w:lvl>
    <w:lvl w:ilvl="2" w:tplc="14625FB8" w:tentative="1">
      <w:start w:val="1"/>
      <w:numFmt w:val="bullet"/>
      <w:lvlText w:val=""/>
      <w:lvlJc w:val="left"/>
      <w:pPr>
        <w:tabs>
          <w:tab w:val="num" w:pos="2160"/>
        </w:tabs>
        <w:ind w:left="2160" w:hanging="360"/>
      </w:pPr>
      <w:rPr>
        <w:rFonts w:ascii="Wingdings" w:hAnsi="Wingdings" w:hint="default"/>
      </w:rPr>
    </w:lvl>
    <w:lvl w:ilvl="3" w:tplc="A0B0FCFC" w:tentative="1">
      <w:start w:val="1"/>
      <w:numFmt w:val="bullet"/>
      <w:lvlText w:val=""/>
      <w:lvlJc w:val="left"/>
      <w:pPr>
        <w:tabs>
          <w:tab w:val="num" w:pos="2880"/>
        </w:tabs>
        <w:ind w:left="2880" w:hanging="360"/>
      </w:pPr>
      <w:rPr>
        <w:rFonts w:ascii="Wingdings" w:hAnsi="Wingdings" w:hint="default"/>
      </w:rPr>
    </w:lvl>
    <w:lvl w:ilvl="4" w:tplc="FA4CF00E" w:tentative="1">
      <w:start w:val="1"/>
      <w:numFmt w:val="bullet"/>
      <w:lvlText w:val=""/>
      <w:lvlJc w:val="left"/>
      <w:pPr>
        <w:tabs>
          <w:tab w:val="num" w:pos="3600"/>
        </w:tabs>
        <w:ind w:left="3600" w:hanging="360"/>
      </w:pPr>
      <w:rPr>
        <w:rFonts w:ascii="Wingdings" w:hAnsi="Wingdings" w:hint="default"/>
      </w:rPr>
    </w:lvl>
    <w:lvl w:ilvl="5" w:tplc="12E098D4" w:tentative="1">
      <w:start w:val="1"/>
      <w:numFmt w:val="bullet"/>
      <w:lvlText w:val=""/>
      <w:lvlJc w:val="left"/>
      <w:pPr>
        <w:tabs>
          <w:tab w:val="num" w:pos="4320"/>
        </w:tabs>
        <w:ind w:left="4320" w:hanging="360"/>
      </w:pPr>
      <w:rPr>
        <w:rFonts w:ascii="Wingdings" w:hAnsi="Wingdings" w:hint="default"/>
      </w:rPr>
    </w:lvl>
    <w:lvl w:ilvl="6" w:tplc="9646740A" w:tentative="1">
      <w:start w:val="1"/>
      <w:numFmt w:val="bullet"/>
      <w:lvlText w:val=""/>
      <w:lvlJc w:val="left"/>
      <w:pPr>
        <w:tabs>
          <w:tab w:val="num" w:pos="5040"/>
        </w:tabs>
        <w:ind w:left="5040" w:hanging="360"/>
      </w:pPr>
      <w:rPr>
        <w:rFonts w:ascii="Wingdings" w:hAnsi="Wingdings" w:hint="default"/>
      </w:rPr>
    </w:lvl>
    <w:lvl w:ilvl="7" w:tplc="45D681B8" w:tentative="1">
      <w:start w:val="1"/>
      <w:numFmt w:val="bullet"/>
      <w:lvlText w:val=""/>
      <w:lvlJc w:val="left"/>
      <w:pPr>
        <w:tabs>
          <w:tab w:val="num" w:pos="5760"/>
        </w:tabs>
        <w:ind w:left="5760" w:hanging="360"/>
      </w:pPr>
      <w:rPr>
        <w:rFonts w:ascii="Wingdings" w:hAnsi="Wingdings" w:hint="default"/>
      </w:rPr>
    </w:lvl>
    <w:lvl w:ilvl="8" w:tplc="16CE1F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E24DF"/>
    <w:multiLevelType w:val="hybridMultilevel"/>
    <w:tmpl w:val="208C0208"/>
    <w:lvl w:ilvl="0" w:tplc="396AEAEC">
      <w:start w:val="1"/>
      <w:numFmt w:val="bullet"/>
      <w:lvlText w:val=""/>
      <w:lvlJc w:val="left"/>
      <w:pPr>
        <w:tabs>
          <w:tab w:val="num" w:pos="720"/>
        </w:tabs>
        <w:ind w:left="720" w:hanging="360"/>
      </w:pPr>
      <w:rPr>
        <w:rFonts w:ascii="Wingdings" w:hAnsi="Wingdings" w:hint="default"/>
      </w:rPr>
    </w:lvl>
    <w:lvl w:ilvl="1" w:tplc="163EBEA8" w:tentative="1">
      <w:start w:val="1"/>
      <w:numFmt w:val="bullet"/>
      <w:lvlText w:val=""/>
      <w:lvlJc w:val="left"/>
      <w:pPr>
        <w:tabs>
          <w:tab w:val="num" w:pos="1440"/>
        </w:tabs>
        <w:ind w:left="1440" w:hanging="360"/>
      </w:pPr>
      <w:rPr>
        <w:rFonts w:ascii="Wingdings" w:hAnsi="Wingdings" w:hint="default"/>
      </w:rPr>
    </w:lvl>
    <w:lvl w:ilvl="2" w:tplc="E7C8A07A" w:tentative="1">
      <w:start w:val="1"/>
      <w:numFmt w:val="bullet"/>
      <w:lvlText w:val=""/>
      <w:lvlJc w:val="left"/>
      <w:pPr>
        <w:tabs>
          <w:tab w:val="num" w:pos="2160"/>
        </w:tabs>
        <w:ind w:left="2160" w:hanging="360"/>
      </w:pPr>
      <w:rPr>
        <w:rFonts w:ascii="Wingdings" w:hAnsi="Wingdings" w:hint="default"/>
      </w:rPr>
    </w:lvl>
    <w:lvl w:ilvl="3" w:tplc="05C6C448" w:tentative="1">
      <w:start w:val="1"/>
      <w:numFmt w:val="bullet"/>
      <w:lvlText w:val=""/>
      <w:lvlJc w:val="left"/>
      <w:pPr>
        <w:tabs>
          <w:tab w:val="num" w:pos="2880"/>
        </w:tabs>
        <w:ind w:left="2880" w:hanging="360"/>
      </w:pPr>
      <w:rPr>
        <w:rFonts w:ascii="Wingdings" w:hAnsi="Wingdings" w:hint="default"/>
      </w:rPr>
    </w:lvl>
    <w:lvl w:ilvl="4" w:tplc="A9D600DC" w:tentative="1">
      <w:start w:val="1"/>
      <w:numFmt w:val="bullet"/>
      <w:lvlText w:val=""/>
      <w:lvlJc w:val="left"/>
      <w:pPr>
        <w:tabs>
          <w:tab w:val="num" w:pos="3600"/>
        </w:tabs>
        <w:ind w:left="3600" w:hanging="360"/>
      </w:pPr>
      <w:rPr>
        <w:rFonts w:ascii="Wingdings" w:hAnsi="Wingdings" w:hint="default"/>
      </w:rPr>
    </w:lvl>
    <w:lvl w:ilvl="5" w:tplc="6DF02BA8" w:tentative="1">
      <w:start w:val="1"/>
      <w:numFmt w:val="bullet"/>
      <w:lvlText w:val=""/>
      <w:lvlJc w:val="left"/>
      <w:pPr>
        <w:tabs>
          <w:tab w:val="num" w:pos="4320"/>
        </w:tabs>
        <w:ind w:left="4320" w:hanging="360"/>
      </w:pPr>
      <w:rPr>
        <w:rFonts w:ascii="Wingdings" w:hAnsi="Wingdings" w:hint="default"/>
      </w:rPr>
    </w:lvl>
    <w:lvl w:ilvl="6" w:tplc="55BCA258" w:tentative="1">
      <w:start w:val="1"/>
      <w:numFmt w:val="bullet"/>
      <w:lvlText w:val=""/>
      <w:lvlJc w:val="left"/>
      <w:pPr>
        <w:tabs>
          <w:tab w:val="num" w:pos="5040"/>
        </w:tabs>
        <w:ind w:left="5040" w:hanging="360"/>
      </w:pPr>
      <w:rPr>
        <w:rFonts w:ascii="Wingdings" w:hAnsi="Wingdings" w:hint="default"/>
      </w:rPr>
    </w:lvl>
    <w:lvl w:ilvl="7" w:tplc="A7B6A4AA" w:tentative="1">
      <w:start w:val="1"/>
      <w:numFmt w:val="bullet"/>
      <w:lvlText w:val=""/>
      <w:lvlJc w:val="left"/>
      <w:pPr>
        <w:tabs>
          <w:tab w:val="num" w:pos="5760"/>
        </w:tabs>
        <w:ind w:left="5760" w:hanging="360"/>
      </w:pPr>
      <w:rPr>
        <w:rFonts w:ascii="Wingdings" w:hAnsi="Wingdings" w:hint="default"/>
      </w:rPr>
    </w:lvl>
    <w:lvl w:ilvl="8" w:tplc="A2C039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F46CA"/>
    <w:multiLevelType w:val="hybridMultilevel"/>
    <w:tmpl w:val="FFB8DE40"/>
    <w:lvl w:ilvl="0" w:tplc="E82A1BB0">
      <w:start w:val="1"/>
      <w:numFmt w:val="bullet"/>
      <w:lvlText w:val=""/>
      <w:lvlJc w:val="left"/>
      <w:pPr>
        <w:tabs>
          <w:tab w:val="num" w:pos="720"/>
        </w:tabs>
        <w:ind w:left="720" w:hanging="360"/>
      </w:pPr>
      <w:rPr>
        <w:rFonts w:ascii="Wingdings" w:hAnsi="Wingdings" w:hint="default"/>
      </w:rPr>
    </w:lvl>
    <w:lvl w:ilvl="1" w:tplc="99224F0C" w:tentative="1">
      <w:start w:val="1"/>
      <w:numFmt w:val="bullet"/>
      <w:lvlText w:val=""/>
      <w:lvlJc w:val="left"/>
      <w:pPr>
        <w:tabs>
          <w:tab w:val="num" w:pos="1440"/>
        </w:tabs>
        <w:ind w:left="1440" w:hanging="360"/>
      </w:pPr>
      <w:rPr>
        <w:rFonts w:ascii="Wingdings" w:hAnsi="Wingdings" w:hint="default"/>
      </w:rPr>
    </w:lvl>
    <w:lvl w:ilvl="2" w:tplc="15CA4F60" w:tentative="1">
      <w:start w:val="1"/>
      <w:numFmt w:val="bullet"/>
      <w:lvlText w:val=""/>
      <w:lvlJc w:val="left"/>
      <w:pPr>
        <w:tabs>
          <w:tab w:val="num" w:pos="2160"/>
        </w:tabs>
        <w:ind w:left="2160" w:hanging="360"/>
      </w:pPr>
      <w:rPr>
        <w:rFonts w:ascii="Wingdings" w:hAnsi="Wingdings" w:hint="default"/>
      </w:rPr>
    </w:lvl>
    <w:lvl w:ilvl="3" w:tplc="815AC1F0" w:tentative="1">
      <w:start w:val="1"/>
      <w:numFmt w:val="bullet"/>
      <w:lvlText w:val=""/>
      <w:lvlJc w:val="left"/>
      <w:pPr>
        <w:tabs>
          <w:tab w:val="num" w:pos="2880"/>
        </w:tabs>
        <w:ind w:left="2880" w:hanging="360"/>
      </w:pPr>
      <w:rPr>
        <w:rFonts w:ascii="Wingdings" w:hAnsi="Wingdings" w:hint="default"/>
      </w:rPr>
    </w:lvl>
    <w:lvl w:ilvl="4" w:tplc="95D8E39C" w:tentative="1">
      <w:start w:val="1"/>
      <w:numFmt w:val="bullet"/>
      <w:lvlText w:val=""/>
      <w:lvlJc w:val="left"/>
      <w:pPr>
        <w:tabs>
          <w:tab w:val="num" w:pos="3600"/>
        </w:tabs>
        <w:ind w:left="3600" w:hanging="360"/>
      </w:pPr>
      <w:rPr>
        <w:rFonts w:ascii="Wingdings" w:hAnsi="Wingdings" w:hint="default"/>
      </w:rPr>
    </w:lvl>
    <w:lvl w:ilvl="5" w:tplc="9236B52A" w:tentative="1">
      <w:start w:val="1"/>
      <w:numFmt w:val="bullet"/>
      <w:lvlText w:val=""/>
      <w:lvlJc w:val="left"/>
      <w:pPr>
        <w:tabs>
          <w:tab w:val="num" w:pos="4320"/>
        </w:tabs>
        <w:ind w:left="4320" w:hanging="360"/>
      </w:pPr>
      <w:rPr>
        <w:rFonts w:ascii="Wingdings" w:hAnsi="Wingdings" w:hint="default"/>
      </w:rPr>
    </w:lvl>
    <w:lvl w:ilvl="6" w:tplc="B0B46C40" w:tentative="1">
      <w:start w:val="1"/>
      <w:numFmt w:val="bullet"/>
      <w:lvlText w:val=""/>
      <w:lvlJc w:val="left"/>
      <w:pPr>
        <w:tabs>
          <w:tab w:val="num" w:pos="5040"/>
        </w:tabs>
        <w:ind w:left="5040" w:hanging="360"/>
      </w:pPr>
      <w:rPr>
        <w:rFonts w:ascii="Wingdings" w:hAnsi="Wingdings" w:hint="default"/>
      </w:rPr>
    </w:lvl>
    <w:lvl w:ilvl="7" w:tplc="5A26F174" w:tentative="1">
      <w:start w:val="1"/>
      <w:numFmt w:val="bullet"/>
      <w:lvlText w:val=""/>
      <w:lvlJc w:val="left"/>
      <w:pPr>
        <w:tabs>
          <w:tab w:val="num" w:pos="5760"/>
        </w:tabs>
        <w:ind w:left="5760" w:hanging="360"/>
      </w:pPr>
      <w:rPr>
        <w:rFonts w:ascii="Wingdings" w:hAnsi="Wingdings" w:hint="default"/>
      </w:rPr>
    </w:lvl>
    <w:lvl w:ilvl="8" w:tplc="870A06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65D88"/>
    <w:multiLevelType w:val="hybridMultilevel"/>
    <w:tmpl w:val="C4FEC288"/>
    <w:lvl w:ilvl="0" w:tplc="93300A36">
      <w:start w:val="1"/>
      <w:numFmt w:val="bullet"/>
      <w:lvlText w:val=""/>
      <w:lvlJc w:val="left"/>
      <w:pPr>
        <w:tabs>
          <w:tab w:val="num" w:pos="720"/>
        </w:tabs>
        <w:ind w:left="720" w:hanging="360"/>
      </w:pPr>
      <w:rPr>
        <w:rFonts w:ascii="Wingdings" w:hAnsi="Wingdings" w:hint="default"/>
      </w:rPr>
    </w:lvl>
    <w:lvl w:ilvl="1" w:tplc="3A74EF9E" w:tentative="1">
      <w:start w:val="1"/>
      <w:numFmt w:val="bullet"/>
      <w:lvlText w:val=""/>
      <w:lvlJc w:val="left"/>
      <w:pPr>
        <w:tabs>
          <w:tab w:val="num" w:pos="1440"/>
        </w:tabs>
        <w:ind w:left="1440" w:hanging="360"/>
      </w:pPr>
      <w:rPr>
        <w:rFonts w:ascii="Wingdings" w:hAnsi="Wingdings" w:hint="default"/>
      </w:rPr>
    </w:lvl>
    <w:lvl w:ilvl="2" w:tplc="2448220E" w:tentative="1">
      <w:start w:val="1"/>
      <w:numFmt w:val="bullet"/>
      <w:lvlText w:val=""/>
      <w:lvlJc w:val="left"/>
      <w:pPr>
        <w:tabs>
          <w:tab w:val="num" w:pos="2160"/>
        </w:tabs>
        <w:ind w:left="2160" w:hanging="360"/>
      </w:pPr>
      <w:rPr>
        <w:rFonts w:ascii="Wingdings" w:hAnsi="Wingdings" w:hint="default"/>
      </w:rPr>
    </w:lvl>
    <w:lvl w:ilvl="3" w:tplc="D87C8B58" w:tentative="1">
      <w:start w:val="1"/>
      <w:numFmt w:val="bullet"/>
      <w:lvlText w:val=""/>
      <w:lvlJc w:val="left"/>
      <w:pPr>
        <w:tabs>
          <w:tab w:val="num" w:pos="2880"/>
        </w:tabs>
        <w:ind w:left="2880" w:hanging="360"/>
      </w:pPr>
      <w:rPr>
        <w:rFonts w:ascii="Wingdings" w:hAnsi="Wingdings" w:hint="default"/>
      </w:rPr>
    </w:lvl>
    <w:lvl w:ilvl="4" w:tplc="2D0A2764" w:tentative="1">
      <w:start w:val="1"/>
      <w:numFmt w:val="bullet"/>
      <w:lvlText w:val=""/>
      <w:lvlJc w:val="left"/>
      <w:pPr>
        <w:tabs>
          <w:tab w:val="num" w:pos="3600"/>
        </w:tabs>
        <w:ind w:left="3600" w:hanging="360"/>
      </w:pPr>
      <w:rPr>
        <w:rFonts w:ascii="Wingdings" w:hAnsi="Wingdings" w:hint="default"/>
      </w:rPr>
    </w:lvl>
    <w:lvl w:ilvl="5" w:tplc="A57C1282" w:tentative="1">
      <w:start w:val="1"/>
      <w:numFmt w:val="bullet"/>
      <w:lvlText w:val=""/>
      <w:lvlJc w:val="left"/>
      <w:pPr>
        <w:tabs>
          <w:tab w:val="num" w:pos="4320"/>
        </w:tabs>
        <w:ind w:left="4320" w:hanging="360"/>
      </w:pPr>
      <w:rPr>
        <w:rFonts w:ascii="Wingdings" w:hAnsi="Wingdings" w:hint="default"/>
      </w:rPr>
    </w:lvl>
    <w:lvl w:ilvl="6" w:tplc="538474F2" w:tentative="1">
      <w:start w:val="1"/>
      <w:numFmt w:val="bullet"/>
      <w:lvlText w:val=""/>
      <w:lvlJc w:val="left"/>
      <w:pPr>
        <w:tabs>
          <w:tab w:val="num" w:pos="5040"/>
        </w:tabs>
        <w:ind w:left="5040" w:hanging="360"/>
      </w:pPr>
      <w:rPr>
        <w:rFonts w:ascii="Wingdings" w:hAnsi="Wingdings" w:hint="default"/>
      </w:rPr>
    </w:lvl>
    <w:lvl w:ilvl="7" w:tplc="0834EE6E" w:tentative="1">
      <w:start w:val="1"/>
      <w:numFmt w:val="bullet"/>
      <w:lvlText w:val=""/>
      <w:lvlJc w:val="left"/>
      <w:pPr>
        <w:tabs>
          <w:tab w:val="num" w:pos="5760"/>
        </w:tabs>
        <w:ind w:left="5760" w:hanging="360"/>
      </w:pPr>
      <w:rPr>
        <w:rFonts w:ascii="Wingdings" w:hAnsi="Wingdings" w:hint="default"/>
      </w:rPr>
    </w:lvl>
    <w:lvl w:ilvl="8" w:tplc="AF3E58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A28F6"/>
    <w:multiLevelType w:val="hybridMultilevel"/>
    <w:tmpl w:val="A8E006C6"/>
    <w:lvl w:ilvl="0" w:tplc="2A8E065E">
      <w:start w:val="1"/>
      <w:numFmt w:val="bullet"/>
      <w:lvlText w:val=""/>
      <w:lvlJc w:val="left"/>
      <w:pPr>
        <w:tabs>
          <w:tab w:val="num" w:pos="720"/>
        </w:tabs>
        <w:ind w:left="720" w:hanging="360"/>
      </w:pPr>
      <w:rPr>
        <w:rFonts w:ascii="Wingdings" w:hAnsi="Wingdings" w:hint="default"/>
      </w:rPr>
    </w:lvl>
    <w:lvl w:ilvl="1" w:tplc="987424EA">
      <w:start w:val="1508"/>
      <w:numFmt w:val="bullet"/>
      <w:lvlText w:val="E"/>
      <w:lvlJc w:val="left"/>
      <w:pPr>
        <w:tabs>
          <w:tab w:val="num" w:pos="1440"/>
        </w:tabs>
        <w:ind w:left="1440" w:hanging="360"/>
      </w:pPr>
      <w:rPr>
        <w:rFonts w:ascii="Monotype Sorts" w:hAnsi="Monotype Sorts" w:hint="default"/>
      </w:rPr>
    </w:lvl>
    <w:lvl w:ilvl="2" w:tplc="9F04D2D4" w:tentative="1">
      <w:start w:val="1"/>
      <w:numFmt w:val="bullet"/>
      <w:lvlText w:val=""/>
      <w:lvlJc w:val="left"/>
      <w:pPr>
        <w:tabs>
          <w:tab w:val="num" w:pos="2160"/>
        </w:tabs>
        <w:ind w:left="2160" w:hanging="360"/>
      </w:pPr>
      <w:rPr>
        <w:rFonts w:ascii="Wingdings" w:hAnsi="Wingdings" w:hint="default"/>
      </w:rPr>
    </w:lvl>
    <w:lvl w:ilvl="3" w:tplc="96DE3CAC" w:tentative="1">
      <w:start w:val="1"/>
      <w:numFmt w:val="bullet"/>
      <w:lvlText w:val=""/>
      <w:lvlJc w:val="left"/>
      <w:pPr>
        <w:tabs>
          <w:tab w:val="num" w:pos="2880"/>
        </w:tabs>
        <w:ind w:left="2880" w:hanging="360"/>
      </w:pPr>
      <w:rPr>
        <w:rFonts w:ascii="Wingdings" w:hAnsi="Wingdings" w:hint="default"/>
      </w:rPr>
    </w:lvl>
    <w:lvl w:ilvl="4" w:tplc="DD4AE04C" w:tentative="1">
      <w:start w:val="1"/>
      <w:numFmt w:val="bullet"/>
      <w:lvlText w:val=""/>
      <w:lvlJc w:val="left"/>
      <w:pPr>
        <w:tabs>
          <w:tab w:val="num" w:pos="3600"/>
        </w:tabs>
        <w:ind w:left="3600" w:hanging="360"/>
      </w:pPr>
      <w:rPr>
        <w:rFonts w:ascii="Wingdings" w:hAnsi="Wingdings" w:hint="default"/>
      </w:rPr>
    </w:lvl>
    <w:lvl w:ilvl="5" w:tplc="8410EC96" w:tentative="1">
      <w:start w:val="1"/>
      <w:numFmt w:val="bullet"/>
      <w:lvlText w:val=""/>
      <w:lvlJc w:val="left"/>
      <w:pPr>
        <w:tabs>
          <w:tab w:val="num" w:pos="4320"/>
        </w:tabs>
        <w:ind w:left="4320" w:hanging="360"/>
      </w:pPr>
      <w:rPr>
        <w:rFonts w:ascii="Wingdings" w:hAnsi="Wingdings" w:hint="default"/>
      </w:rPr>
    </w:lvl>
    <w:lvl w:ilvl="6" w:tplc="D640FCDA" w:tentative="1">
      <w:start w:val="1"/>
      <w:numFmt w:val="bullet"/>
      <w:lvlText w:val=""/>
      <w:lvlJc w:val="left"/>
      <w:pPr>
        <w:tabs>
          <w:tab w:val="num" w:pos="5040"/>
        </w:tabs>
        <w:ind w:left="5040" w:hanging="360"/>
      </w:pPr>
      <w:rPr>
        <w:rFonts w:ascii="Wingdings" w:hAnsi="Wingdings" w:hint="default"/>
      </w:rPr>
    </w:lvl>
    <w:lvl w:ilvl="7" w:tplc="D2E66FE8" w:tentative="1">
      <w:start w:val="1"/>
      <w:numFmt w:val="bullet"/>
      <w:lvlText w:val=""/>
      <w:lvlJc w:val="left"/>
      <w:pPr>
        <w:tabs>
          <w:tab w:val="num" w:pos="5760"/>
        </w:tabs>
        <w:ind w:left="5760" w:hanging="360"/>
      </w:pPr>
      <w:rPr>
        <w:rFonts w:ascii="Wingdings" w:hAnsi="Wingdings" w:hint="default"/>
      </w:rPr>
    </w:lvl>
    <w:lvl w:ilvl="8" w:tplc="B41895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759C6"/>
    <w:multiLevelType w:val="hybridMultilevel"/>
    <w:tmpl w:val="8A380474"/>
    <w:lvl w:ilvl="0" w:tplc="281C3C00">
      <w:start w:val="1"/>
      <w:numFmt w:val="bullet"/>
      <w:lvlText w:val=""/>
      <w:lvlJc w:val="left"/>
      <w:pPr>
        <w:tabs>
          <w:tab w:val="num" w:pos="720"/>
        </w:tabs>
        <w:ind w:left="720" w:hanging="360"/>
      </w:pPr>
      <w:rPr>
        <w:rFonts w:ascii="Wingdings" w:hAnsi="Wingdings" w:hint="default"/>
      </w:rPr>
    </w:lvl>
    <w:lvl w:ilvl="1" w:tplc="217CD580" w:tentative="1">
      <w:start w:val="1"/>
      <w:numFmt w:val="bullet"/>
      <w:lvlText w:val=""/>
      <w:lvlJc w:val="left"/>
      <w:pPr>
        <w:tabs>
          <w:tab w:val="num" w:pos="1440"/>
        </w:tabs>
        <w:ind w:left="1440" w:hanging="360"/>
      </w:pPr>
      <w:rPr>
        <w:rFonts w:ascii="Wingdings" w:hAnsi="Wingdings" w:hint="default"/>
      </w:rPr>
    </w:lvl>
    <w:lvl w:ilvl="2" w:tplc="37DAFE2E" w:tentative="1">
      <w:start w:val="1"/>
      <w:numFmt w:val="bullet"/>
      <w:lvlText w:val=""/>
      <w:lvlJc w:val="left"/>
      <w:pPr>
        <w:tabs>
          <w:tab w:val="num" w:pos="2160"/>
        </w:tabs>
        <w:ind w:left="2160" w:hanging="360"/>
      </w:pPr>
      <w:rPr>
        <w:rFonts w:ascii="Wingdings" w:hAnsi="Wingdings" w:hint="default"/>
      </w:rPr>
    </w:lvl>
    <w:lvl w:ilvl="3" w:tplc="B8A87DE0" w:tentative="1">
      <w:start w:val="1"/>
      <w:numFmt w:val="bullet"/>
      <w:lvlText w:val=""/>
      <w:lvlJc w:val="left"/>
      <w:pPr>
        <w:tabs>
          <w:tab w:val="num" w:pos="2880"/>
        </w:tabs>
        <w:ind w:left="2880" w:hanging="360"/>
      </w:pPr>
      <w:rPr>
        <w:rFonts w:ascii="Wingdings" w:hAnsi="Wingdings" w:hint="default"/>
      </w:rPr>
    </w:lvl>
    <w:lvl w:ilvl="4" w:tplc="7EC01BEA" w:tentative="1">
      <w:start w:val="1"/>
      <w:numFmt w:val="bullet"/>
      <w:lvlText w:val=""/>
      <w:lvlJc w:val="left"/>
      <w:pPr>
        <w:tabs>
          <w:tab w:val="num" w:pos="3600"/>
        </w:tabs>
        <w:ind w:left="3600" w:hanging="360"/>
      </w:pPr>
      <w:rPr>
        <w:rFonts w:ascii="Wingdings" w:hAnsi="Wingdings" w:hint="default"/>
      </w:rPr>
    </w:lvl>
    <w:lvl w:ilvl="5" w:tplc="601EDBE0" w:tentative="1">
      <w:start w:val="1"/>
      <w:numFmt w:val="bullet"/>
      <w:lvlText w:val=""/>
      <w:lvlJc w:val="left"/>
      <w:pPr>
        <w:tabs>
          <w:tab w:val="num" w:pos="4320"/>
        </w:tabs>
        <w:ind w:left="4320" w:hanging="360"/>
      </w:pPr>
      <w:rPr>
        <w:rFonts w:ascii="Wingdings" w:hAnsi="Wingdings" w:hint="default"/>
      </w:rPr>
    </w:lvl>
    <w:lvl w:ilvl="6" w:tplc="CC989DBE" w:tentative="1">
      <w:start w:val="1"/>
      <w:numFmt w:val="bullet"/>
      <w:lvlText w:val=""/>
      <w:lvlJc w:val="left"/>
      <w:pPr>
        <w:tabs>
          <w:tab w:val="num" w:pos="5040"/>
        </w:tabs>
        <w:ind w:left="5040" w:hanging="360"/>
      </w:pPr>
      <w:rPr>
        <w:rFonts w:ascii="Wingdings" w:hAnsi="Wingdings" w:hint="default"/>
      </w:rPr>
    </w:lvl>
    <w:lvl w:ilvl="7" w:tplc="FFF2ACF8" w:tentative="1">
      <w:start w:val="1"/>
      <w:numFmt w:val="bullet"/>
      <w:lvlText w:val=""/>
      <w:lvlJc w:val="left"/>
      <w:pPr>
        <w:tabs>
          <w:tab w:val="num" w:pos="5760"/>
        </w:tabs>
        <w:ind w:left="5760" w:hanging="360"/>
      </w:pPr>
      <w:rPr>
        <w:rFonts w:ascii="Wingdings" w:hAnsi="Wingdings" w:hint="default"/>
      </w:rPr>
    </w:lvl>
    <w:lvl w:ilvl="8" w:tplc="497A60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8363D"/>
    <w:multiLevelType w:val="multilevel"/>
    <w:tmpl w:val="839C9750"/>
    <w:lvl w:ilvl="0">
      <w:start w:val="1"/>
      <w:numFmt w:val="decimal"/>
      <w:pStyle w:val="Examples"/>
      <w:lvlText w:val="%1."/>
      <w:lvlJc w:val="left"/>
      <w:pPr>
        <w:tabs>
          <w:tab w:val="num" w:pos="1620"/>
        </w:tabs>
        <w:ind w:left="1620" w:hanging="360"/>
      </w:pPr>
      <w:rPr>
        <w:rFonts w:hint="default"/>
      </w:rPr>
    </w:lvl>
    <w:lvl w:ilvl="1">
      <w:start w:val="2"/>
      <w:numFmt w:val="lowerLetter"/>
      <w:lvlText w:val="%2."/>
      <w:lvlJc w:val="left"/>
      <w:pPr>
        <w:tabs>
          <w:tab w:val="num" w:pos="1860"/>
        </w:tabs>
        <w:ind w:left="1860" w:hanging="480"/>
      </w:pPr>
      <w:rPr>
        <w:rFonts w:hint="default"/>
      </w:rPr>
    </w:lvl>
    <w:lvl w:ilvl="2">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3" w15:restartNumberingAfterBreak="0">
    <w:nsid w:val="43AB3DE0"/>
    <w:multiLevelType w:val="hybridMultilevel"/>
    <w:tmpl w:val="FA5C45A4"/>
    <w:lvl w:ilvl="0" w:tplc="17C66E84">
      <w:start w:val="1"/>
      <w:numFmt w:val="bullet"/>
      <w:lvlText w:val="E"/>
      <w:lvlJc w:val="left"/>
      <w:pPr>
        <w:tabs>
          <w:tab w:val="num" w:pos="720"/>
        </w:tabs>
        <w:ind w:left="720" w:hanging="360"/>
      </w:pPr>
      <w:rPr>
        <w:rFonts w:ascii="Monotype Sorts" w:hAnsi="Monotype Sorts" w:hint="default"/>
      </w:rPr>
    </w:lvl>
    <w:lvl w:ilvl="1" w:tplc="515CA108">
      <w:start w:val="1"/>
      <w:numFmt w:val="bullet"/>
      <w:lvlText w:val="E"/>
      <w:lvlJc w:val="left"/>
      <w:pPr>
        <w:tabs>
          <w:tab w:val="num" w:pos="1440"/>
        </w:tabs>
        <w:ind w:left="1440" w:hanging="360"/>
      </w:pPr>
      <w:rPr>
        <w:rFonts w:ascii="Monotype Sorts" w:hAnsi="Monotype Sorts" w:hint="default"/>
      </w:rPr>
    </w:lvl>
    <w:lvl w:ilvl="2" w:tplc="6240A310" w:tentative="1">
      <w:start w:val="1"/>
      <w:numFmt w:val="bullet"/>
      <w:lvlText w:val="E"/>
      <w:lvlJc w:val="left"/>
      <w:pPr>
        <w:tabs>
          <w:tab w:val="num" w:pos="2160"/>
        </w:tabs>
        <w:ind w:left="2160" w:hanging="360"/>
      </w:pPr>
      <w:rPr>
        <w:rFonts w:ascii="Monotype Sorts" w:hAnsi="Monotype Sorts" w:hint="default"/>
      </w:rPr>
    </w:lvl>
    <w:lvl w:ilvl="3" w:tplc="340AD4DC" w:tentative="1">
      <w:start w:val="1"/>
      <w:numFmt w:val="bullet"/>
      <w:lvlText w:val="E"/>
      <w:lvlJc w:val="left"/>
      <w:pPr>
        <w:tabs>
          <w:tab w:val="num" w:pos="2880"/>
        </w:tabs>
        <w:ind w:left="2880" w:hanging="360"/>
      </w:pPr>
      <w:rPr>
        <w:rFonts w:ascii="Monotype Sorts" w:hAnsi="Monotype Sorts" w:hint="default"/>
      </w:rPr>
    </w:lvl>
    <w:lvl w:ilvl="4" w:tplc="7B98D2B2" w:tentative="1">
      <w:start w:val="1"/>
      <w:numFmt w:val="bullet"/>
      <w:lvlText w:val="E"/>
      <w:lvlJc w:val="left"/>
      <w:pPr>
        <w:tabs>
          <w:tab w:val="num" w:pos="3600"/>
        </w:tabs>
        <w:ind w:left="3600" w:hanging="360"/>
      </w:pPr>
      <w:rPr>
        <w:rFonts w:ascii="Monotype Sorts" w:hAnsi="Monotype Sorts" w:hint="default"/>
      </w:rPr>
    </w:lvl>
    <w:lvl w:ilvl="5" w:tplc="7D70CE20" w:tentative="1">
      <w:start w:val="1"/>
      <w:numFmt w:val="bullet"/>
      <w:lvlText w:val="E"/>
      <w:lvlJc w:val="left"/>
      <w:pPr>
        <w:tabs>
          <w:tab w:val="num" w:pos="4320"/>
        </w:tabs>
        <w:ind w:left="4320" w:hanging="360"/>
      </w:pPr>
      <w:rPr>
        <w:rFonts w:ascii="Monotype Sorts" w:hAnsi="Monotype Sorts" w:hint="default"/>
      </w:rPr>
    </w:lvl>
    <w:lvl w:ilvl="6" w:tplc="45AAF6B6" w:tentative="1">
      <w:start w:val="1"/>
      <w:numFmt w:val="bullet"/>
      <w:lvlText w:val="E"/>
      <w:lvlJc w:val="left"/>
      <w:pPr>
        <w:tabs>
          <w:tab w:val="num" w:pos="5040"/>
        </w:tabs>
        <w:ind w:left="5040" w:hanging="360"/>
      </w:pPr>
      <w:rPr>
        <w:rFonts w:ascii="Monotype Sorts" w:hAnsi="Monotype Sorts" w:hint="default"/>
      </w:rPr>
    </w:lvl>
    <w:lvl w:ilvl="7" w:tplc="5C4647EC" w:tentative="1">
      <w:start w:val="1"/>
      <w:numFmt w:val="bullet"/>
      <w:lvlText w:val="E"/>
      <w:lvlJc w:val="left"/>
      <w:pPr>
        <w:tabs>
          <w:tab w:val="num" w:pos="5760"/>
        </w:tabs>
        <w:ind w:left="5760" w:hanging="360"/>
      </w:pPr>
      <w:rPr>
        <w:rFonts w:ascii="Monotype Sorts" w:hAnsi="Monotype Sorts" w:hint="default"/>
      </w:rPr>
    </w:lvl>
    <w:lvl w:ilvl="8" w:tplc="76A66236" w:tentative="1">
      <w:start w:val="1"/>
      <w:numFmt w:val="bullet"/>
      <w:lvlText w:val="E"/>
      <w:lvlJc w:val="left"/>
      <w:pPr>
        <w:tabs>
          <w:tab w:val="num" w:pos="6480"/>
        </w:tabs>
        <w:ind w:left="6480" w:hanging="360"/>
      </w:pPr>
      <w:rPr>
        <w:rFonts w:ascii="Monotype Sorts" w:hAnsi="Monotype Sorts" w:hint="default"/>
      </w:rPr>
    </w:lvl>
  </w:abstractNum>
  <w:abstractNum w:abstractNumId="14" w15:restartNumberingAfterBreak="0">
    <w:nsid w:val="4B775465"/>
    <w:multiLevelType w:val="hybridMultilevel"/>
    <w:tmpl w:val="D0E0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30C9"/>
    <w:multiLevelType w:val="hybridMultilevel"/>
    <w:tmpl w:val="4A4CCFE4"/>
    <w:lvl w:ilvl="0" w:tplc="1D56DF80">
      <w:start w:val="1"/>
      <w:numFmt w:val="bullet"/>
      <w:lvlText w:val=""/>
      <w:lvlJc w:val="left"/>
      <w:pPr>
        <w:tabs>
          <w:tab w:val="num" w:pos="720"/>
        </w:tabs>
        <w:ind w:left="720" w:hanging="360"/>
      </w:pPr>
      <w:rPr>
        <w:rFonts w:ascii="Wingdings" w:hAnsi="Wingdings" w:hint="default"/>
      </w:rPr>
    </w:lvl>
    <w:lvl w:ilvl="1" w:tplc="D568AD7A">
      <w:start w:val="1501"/>
      <w:numFmt w:val="bullet"/>
      <w:lvlText w:val=""/>
      <w:lvlJc w:val="left"/>
      <w:pPr>
        <w:tabs>
          <w:tab w:val="num" w:pos="1440"/>
        </w:tabs>
        <w:ind w:left="1440" w:hanging="360"/>
      </w:pPr>
      <w:rPr>
        <w:rFonts w:ascii="Wingdings 2" w:hAnsi="Wingdings 2" w:hint="default"/>
      </w:rPr>
    </w:lvl>
    <w:lvl w:ilvl="2" w:tplc="D2A223A4" w:tentative="1">
      <w:start w:val="1"/>
      <w:numFmt w:val="bullet"/>
      <w:lvlText w:val=""/>
      <w:lvlJc w:val="left"/>
      <w:pPr>
        <w:tabs>
          <w:tab w:val="num" w:pos="2160"/>
        </w:tabs>
        <w:ind w:left="2160" w:hanging="360"/>
      </w:pPr>
      <w:rPr>
        <w:rFonts w:ascii="Wingdings" w:hAnsi="Wingdings" w:hint="default"/>
      </w:rPr>
    </w:lvl>
    <w:lvl w:ilvl="3" w:tplc="B8BA4566" w:tentative="1">
      <w:start w:val="1"/>
      <w:numFmt w:val="bullet"/>
      <w:lvlText w:val=""/>
      <w:lvlJc w:val="left"/>
      <w:pPr>
        <w:tabs>
          <w:tab w:val="num" w:pos="2880"/>
        </w:tabs>
        <w:ind w:left="2880" w:hanging="360"/>
      </w:pPr>
      <w:rPr>
        <w:rFonts w:ascii="Wingdings" w:hAnsi="Wingdings" w:hint="default"/>
      </w:rPr>
    </w:lvl>
    <w:lvl w:ilvl="4" w:tplc="DADE1E58" w:tentative="1">
      <w:start w:val="1"/>
      <w:numFmt w:val="bullet"/>
      <w:lvlText w:val=""/>
      <w:lvlJc w:val="left"/>
      <w:pPr>
        <w:tabs>
          <w:tab w:val="num" w:pos="3600"/>
        </w:tabs>
        <w:ind w:left="3600" w:hanging="360"/>
      </w:pPr>
      <w:rPr>
        <w:rFonts w:ascii="Wingdings" w:hAnsi="Wingdings" w:hint="default"/>
      </w:rPr>
    </w:lvl>
    <w:lvl w:ilvl="5" w:tplc="84C86526" w:tentative="1">
      <w:start w:val="1"/>
      <w:numFmt w:val="bullet"/>
      <w:lvlText w:val=""/>
      <w:lvlJc w:val="left"/>
      <w:pPr>
        <w:tabs>
          <w:tab w:val="num" w:pos="4320"/>
        </w:tabs>
        <w:ind w:left="4320" w:hanging="360"/>
      </w:pPr>
      <w:rPr>
        <w:rFonts w:ascii="Wingdings" w:hAnsi="Wingdings" w:hint="default"/>
      </w:rPr>
    </w:lvl>
    <w:lvl w:ilvl="6" w:tplc="EEC4953E" w:tentative="1">
      <w:start w:val="1"/>
      <w:numFmt w:val="bullet"/>
      <w:lvlText w:val=""/>
      <w:lvlJc w:val="left"/>
      <w:pPr>
        <w:tabs>
          <w:tab w:val="num" w:pos="5040"/>
        </w:tabs>
        <w:ind w:left="5040" w:hanging="360"/>
      </w:pPr>
      <w:rPr>
        <w:rFonts w:ascii="Wingdings" w:hAnsi="Wingdings" w:hint="default"/>
      </w:rPr>
    </w:lvl>
    <w:lvl w:ilvl="7" w:tplc="1A2C47F8" w:tentative="1">
      <w:start w:val="1"/>
      <w:numFmt w:val="bullet"/>
      <w:lvlText w:val=""/>
      <w:lvlJc w:val="left"/>
      <w:pPr>
        <w:tabs>
          <w:tab w:val="num" w:pos="5760"/>
        </w:tabs>
        <w:ind w:left="5760" w:hanging="360"/>
      </w:pPr>
      <w:rPr>
        <w:rFonts w:ascii="Wingdings" w:hAnsi="Wingdings" w:hint="default"/>
      </w:rPr>
    </w:lvl>
    <w:lvl w:ilvl="8" w:tplc="6AB2A0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F6818"/>
    <w:multiLevelType w:val="hybridMultilevel"/>
    <w:tmpl w:val="5A6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E33FB"/>
    <w:multiLevelType w:val="hybridMultilevel"/>
    <w:tmpl w:val="AEEC1D32"/>
    <w:lvl w:ilvl="0" w:tplc="892E5592">
      <w:start w:val="1"/>
      <w:numFmt w:val="bullet"/>
      <w:lvlText w:val=""/>
      <w:lvlJc w:val="left"/>
      <w:pPr>
        <w:tabs>
          <w:tab w:val="num" w:pos="720"/>
        </w:tabs>
        <w:ind w:left="720" w:hanging="360"/>
      </w:pPr>
      <w:rPr>
        <w:rFonts w:ascii="Wingdings" w:hAnsi="Wingdings" w:hint="default"/>
      </w:rPr>
    </w:lvl>
    <w:lvl w:ilvl="1" w:tplc="4BF09682">
      <w:start w:val="1504"/>
      <w:numFmt w:val="bullet"/>
      <w:lvlText w:val=""/>
      <w:lvlJc w:val="left"/>
      <w:pPr>
        <w:tabs>
          <w:tab w:val="num" w:pos="1440"/>
        </w:tabs>
        <w:ind w:left="1440" w:hanging="360"/>
      </w:pPr>
      <w:rPr>
        <w:rFonts w:ascii="Wingdings 2" w:hAnsi="Wingdings 2" w:hint="default"/>
      </w:rPr>
    </w:lvl>
    <w:lvl w:ilvl="2" w:tplc="7CFC590E" w:tentative="1">
      <w:start w:val="1"/>
      <w:numFmt w:val="bullet"/>
      <w:lvlText w:val=""/>
      <w:lvlJc w:val="left"/>
      <w:pPr>
        <w:tabs>
          <w:tab w:val="num" w:pos="2160"/>
        </w:tabs>
        <w:ind w:left="2160" w:hanging="360"/>
      </w:pPr>
      <w:rPr>
        <w:rFonts w:ascii="Wingdings" w:hAnsi="Wingdings" w:hint="default"/>
      </w:rPr>
    </w:lvl>
    <w:lvl w:ilvl="3" w:tplc="C818DCC6" w:tentative="1">
      <w:start w:val="1"/>
      <w:numFmt w:val="bullet"/>
      <w:lvlText w:val=""/>
      <w:lvlJc w:val="left"/>
      <w:pPr>
        <w:tabs>
          <w:tab w:val="num" w:pos="2880"/>
        </w:tabs>
        <w:ind w:left="2880" w:hanging="360"/>
      </w:pPr>
      <w:rPr>
        <w:rFonts w:ascii="Wingdings" w:hAnsi="Wingdings" w:hint="default"/>
      </w:rPr>
    </w:lvl>
    <w:lvl w:ilvl="4" w:tplc="42A063D8" w:tentative="1">
      <w:start w:val="1"/>
      <w:numFmt w:val="bullet"/>
      <w:lvlText w:val=""/>
      <w:lvlJc w:val="left"/>
      <w:pPr>
        <w:tabs>
          <w:tab w:val="num" w:pos="3600"/>
        </w:tabs>
        <w:ind w:left="3600" w:hanging="360"/>
      </w:pPr>
      <w:rPr>
        <w:rFonts w:ascii="Wingdings" w:hAnsi="Wingdings" w:hint="default"/>
      </w:rPr>
    </w:lvl>
    <w:lvl w:ilvl="5" w:tplc="E6B697EA" w:tentative="1">
      <w:start w:val="1"/>
      <w:numFmt w:val="bullet"/>
      <w:lvlText w:val=""/>
      <w:lvlJc w:val="left"/>
      <w:pPr>
        <w:tabs>
          <w:tab w:val="num" w:pos="4320"/>
        </w:tabs>
        <w:ind w:left="4320" w:hanging="360"/>
      </w:pPr>
      <w:rPr>
        <w:rFonts w:ascii="Wingdings" w:hAnsi="Wingdings" w:hint="default"/>
      </w:rPr>
    </w:lvl>
    <w:lvl w:ilvl="6" w:tplc="75A6C5F4" w:tentative="1">
      <w:start w:val="1"/>
      <w:numFmt w:val="bullet"/>
      <w:lvlText w:val=""/>
      <w:lvlJc w:val="left"/>
      <w:pPr>
        <w:tabs>
          <w:tab w:val="num" w:pos="5040"/>
        </w:tabs>
        <w:ind w:left="5040" w:hanging="360"/>
      </w:pPr>
      <w:rPr>
        <w:rFonts w:ascii="Wingdings" w:hAnsi="Wingdings" w:hint="default"/>
      </w:rPr>
    </w:lvl>
    <w:lvl w:ilvl="7" w:tplc="B776C7E0" w:tentative="1">
      <w:start w:val="1"/>
      <w:numFmt w:val="bullet"/>
      <w:lvlText w:val=""/>
      <w:lvlJc w:val="left"/>
      <w:pPr>
        <w:tabs>
          <w:tab w:val="num" w:pos="5760"/>
        </w:tabs>
        <w:ind w:left="5760" w:hanging="360"/>
      </w:pPr>
      <w:rPr>
        <w:rFonts w:ascii="Wingdings" w:hAnsi="Wingdings" w:hint="default"/>
      </w:rPr>
    </w:lvl>
    <w:lvl w:ilvl="8" w:tplc="560C65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61ACD"/>
    <w:multiLevelType w:val="hybridMultilevel"/>
    <w:tmpl w:val="9EB403B0"/>
    <w:lvl w:ilvl="0" w:tplc="DF429574">
      <w:start w:val="1"/>
      <w:numFmt w:val="bullet"/>
      <w:lvlText w:val=""/>
      <w:lvlJc w:val="left"/>
      <w:pPr>
        <w:tabs>
          <w:tab w:val="num" w:pos="720"/>
        </w:tabs>
        <w:ind w:left="720" w:hanging="360"/>
      </w:pPr>
      <w:rPr>
        <w:rFonts w:ascii="Wingdings" w:hAnsi="Wingdings" w:hint="default"/>
      </w:rPr>
    </w:lvl>
    <w:lvl w:ilvl="1" w:tplc="0C405F04" w:tentative="1">
      <w:start w:val="1"/>
      <w:numFmt w:val="bullet"/>
      <w:lvlText w:val=""/>
      <w:lvlJc w:val="left"/>
      <w:pPr>
        <w:tabs>
          <w:tab w:val="num" w:pos="1440"/>
        </w:tabs>
        <w:ind w:left="1440" w:hanging="360"/>
      </w:pPr>
      <w:rPr>
        <w:rFonts w:ascii="Wingdings" w:hAnsi="Wingdings" w:hint="default"/>
      </w:rPr>
    </w:lvl>
    <w:lvl w:ilvl="2" w:tplc="9BD82E8C" w:tentative="1">
      <w:start w:val="1"/>
      <w:numFmt w:val="bullet"/>
      <w:lvlText w:val=""/>
      <w:lvlJc w:val="left"/>
      <w:pPr>
        <w:tabs>
          <w:tab w:val="num" w:pos="2160"/>
        </w:tabs>
        <w:ind w:left="2160" w:hanging="360"/>
      </w:pPr>
      <w:rPr>
        <w:rFonts w:ascii="Wingdings" w:hAnsi="Wingdings" w:hint="default"/>
      </w:rPr>
    </w:lvl>
    <w:lvl w:ilvl="3" w:tplc="02E6797A" w:tentative="1">
      <w:start w:val="1"/>
      <w:numFmt w:val="bullet"/>
      <w:lvlText w:val=""/>
      <w:lvlJc w:val="left"/>
      <w:pPr>
        <w:tabs>
          <w:tab w:val="num" w:pos="2880"/>
        </w:tabs>
        <w:ind w:left="2880" w:hanging="360"/>
      </w:pPr>
      <w:rPr>
        <w:rFonts w:ascii="Wingdings" w:hAnsi="Wingdings" w:hint="default"/>
      </w:rPr>
    </w:lvl>
    <w:lvl w:ilvl="4" w:tplc="B0FEB1B0" w:tentative="1">
      <w:start w:val="1"/>
      <w:numFmt w:val="bullet"/>
      <w:lvlText w:val=""/>
      <w:lvlJc w:val="left"/>
      <w:pPr>
        <w:tabs>
          <w:tab w:val="num" w:pos="3600"/>
        </w:tabs>
        <w:ind w:left="3600" w:hanging="360"/>
      </w:pPr>
      <w:rPr>
        <w:rFonts w:ascii="Wingdings" w:hAnsi="Wingdings" w:hint="default"/>
      </w:rPr>
    </w:lvl>
    <w:lvl w:ilvl="5" w:tplc="21869BF2" w:tentative="1">
      <w:start w:val="1"/>
      <w:numFmt w:val="bullet"/>
      <w:lvlText w:val=""/>
      <w:lvlJc w:val="left"/>
      <w:pPr>
        <w:tabs>
          <w:tab w:val="num" w:pos="4320"/>
        </w:tabs>
        <w:ind w:left="4320" w:hanging="360"/>
      </w:pPr>
      <w:rPr>
        <w:rFonts w:ascii="Wingdings" w:hAnsi="Wingdings" w:hint="default"/>
      </w:rPr>
    </w:lvl>
    <w:lvl w:ilvl="6" w:tplc="08FE69EA" w:tentative="1">
      <w:start w:val="1"/>
      <w:numFmt w:val="bullet"/>
      <w:lvlText w:val=""/>
      <w:lvlJc w:val="left"/>
      <w:pPr>
        <w:tabs>
          <w:tab w:val="num" w:pos="5040"/>
        </w:tabs>
        <w:ind w:left="5040" w:hanging="360"/>
      </w:pPr>
      <w:rPr>
        <w:rFonts w:ascii="Wingdings" w:hAnsi="Wingdings" w:hint="default"/>
      </w:rPr>
    </w:lvl>
    <w:lvl w:ilvl="7" w:tplc="90605B06" w:tentative="1">
      <w:start w:val="1"/>
      <w:numFmt w:val="bullet"/>
      <w:lvlText w:val=""/>
      <w:lvlJc w:val="left"/>
      <w:pPr>
        <w:tabs>
          <w:tab w:val="num" w:pos="5760"/>
        </w:tabs>
        <w:ind w:left="5760" w:hanging="360"/>
      </w:pPr>
      <w:rPr>
        <w:rFonts w:ascii="Wingdings" w:hAnsi="Wingdings" w:hint="default"/>
      </w:rPr>
    </w:lvl>
    <w:lvl w:ilvl="8" w:tplc="7FD215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00FC8"/>
    <w:multiLevelType w:val="hybridMultilevel"/>
    <w:tmpl w:val="2CF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D59C9"/>
    <w:multiLevelType w:val="hybridMultilevel"/>
    <w:tmpl w:val="88164506"/>
    <w:lvl w:ilvl="0" w:tplc="6E16E510">
      <w:start w:val="1"/>
      <w:numFmt w:val="bullet"/>
      <w:lvlText w:val=""/>
      <w:lvlJc w:val="left"/>
      <w:pPr>
        <w:tabs>
          <w:tab w:val="num" w:pos="720"/>
        </w:tabs>
        <w:ind w:left="720" w:hanging="360"/>
      </w:pPr>
      <w:rPr>
        <w:rFonts w:ascii="Wingdings" w:hAnsi="Wingdings" w:hint="default"/>
      </w:rPr>
    </w:lvl>
    <w:lvl w:ilvl="1" w:tplc="2F22B580" w:tentative="1">
      <w:start w:val="1"/>
      <w:numFmt w:val="bullet"/>
      <w:lvlText w:val=""/>
      <w:lvlJc w:val="left"/>
      <w:pPr>
        <w:tabs>
          <w:tab w:val="num" w:pos="1440"/>
        </w:tabs>
        <w:ind w:left="1440" w:hanging="360"/>
      </w:pPr>
      <w:rPr>
        <w:rFonts w:ascii="Wingdings" w:hAnsi="Wingdings" w:hint="default"/>
      </w:rPr>
    </w:lvl>
    <w:lvl w:ilvl="2" w:tplc="9962DAA4" w:tentative="1">
      <w:start w:val="1"/>
      <w:numFmt w:val="bullet"/>
      <w:lvlText w:val=""/>
      <w:lvlJc w:val="left"/>
      <w:pPr>
        <w:tabs>
          <w:tab w:val="num" w:pos="2160"/>
        </w:tabs>
        <w:ind w:left="2160" w:hanging="360"/>
      </w:pPr>
      <w:rPr>
        <w:rFonts w:ascii="Wingdings" w:hAnsi="Wingdings" w:hint="default"/>
      </w:rPr>
    </w:lvl>
    <w:lvl w:ilvl="3" w:tplc="61A22146" w:tentative="1">
      <w:start w:val="1"/>
      <w:numFmt w:val="bullet"/>
      <w:lvlText w:val=""/>
      <w:lvlJc w:val="left"/>
      <w:pPr>
        <w:tabs>
          <w:tab w:val="num" w:pos="2880"/>
        </w:tabs>
        <w:ind w:left="2880" w:hanging="360"/>
      </w:pPr>
      <w:rPr>
        <w:rFonts w:ascii="Wingdings" w:hAnsi="Wingdings" w:hint="default"/>
      </w:rPr>
    </w:lvl>
    <w:lvl w:ilvl="4" w:tplc="F776249E" w:tentative="1">
      <w:start w:val="1"/>
      <w:numFmt w:val="bullet"/>
      <w:lvlText w:val=""/>
      <w:lvlJc w:val="left"/>
      <w:pPr>
        <w:tabs>
          <w:tab w:val="num" w:pos="3600"/>
        </w:tabs>
        <w:ind w:left="3600" w:hanging="360"/>
      </w:pPr>
      <w:rPr>
        <w:rFonts w:ascii="Wingdings" w:hAnsi="Wingdings" w:hint="default"/>
      </w:rPr>
    </w:lvl>
    <w:lvl w:ilvl="5" w:tplc="3FCAAFFC" w:tentative="1">
      <w:start w:val="1"/>
      <w:numFmt w:val="bullet"/>
      <w:lvlText w:val=""/>
      <w:lvlJc w:val="left"/>
      <w:pPr>
        <w:tabs>
          <w:tab w:val="num" w:pos="4320"/>
        </w:tabs>
        <w:ind w:left="4320" w:hanging="360"/>
      </w:pPr>
      <w:rPr>
        <w:rFonts w:ascii="Wingdings" w:hAnsi="Wingdings" w:hint="default"/>
      </w:rPr>
    </w:lvl>
    <w:lvl w:ilvl="6" w:tplc="F7A4F794" w:tentative="1">
      <w:start w:val="1"/>
      <w:numFmt w:val="bullet"/>
      <w:lvlText w:val=""/>
      <w:lvlJc w:val="left"/>
      <w:pPr>
        <w:tabs>
          <w:tab w:val="num" w:pos="5040"/>
        </w:tabs>
        <w:ind w:left="5040" w:hanging="360"/>
      </w:pPr>
      <w:rPr>
        <w:rFonts w:ascii="Wingdings" w:hAnsi="Wingdings" w:hint="default"/>
      </w:rPr>
    </w:lvl>
    <w:lvl w:ilvl="7" w:tplc="93A49BF4" w:tentative="1">
      <w:start w:val="1"/>
      <w:numFmt w:val="bullet"/>
      <w:lvlText w:val=""/>
      <w:lvlJc w:val="left"/>
      <w:pPr>
        <w:tabs>
          <w:tab w:val="num" w:pos="5760"/>
        </w:tabs>
        <w:ind w:left="5760" w:hanging="360"/>
      </w:pPr>
      <w:rPr>
        <w:rFonts w:ascii="Wingdings" w:hAnsi="Wingdings" w:hint="default"/>
      </w:rPr>
    </w:lvl>
    <w:lvl w:ilvl="8" w:tplc="757A3E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91165"/>
    <w:multiLevelType w:val="hybridMultilevel"/>
    <w:tmpl w:val="0FD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0"/>
  </w:num>
  <w:num w:numId="4">
    <w:abstractNumId w:val="19"/>
  </w:num>
  <w:num w:numId="5">
    <w:abstractNumId w:val="13"/>
  </w:num>
  <w:num w:numId="6">
    <w:abstractNumId w:val="1"/>
  </w:num>
  <w:num w:numId="7">
    <w:abstractNumId w:val="21"/>
  </w:num>
  <w:num w:numId="8">
    <w:abstractNumId w:val="6"/>
  </w:num>
  <w:num w:numId="9">
    <w:abstractNumId w:val="7"/>
  </w:num>
  <w:num w:numId="10">
    <w:abstractNumId w:val="3"/>
  </w:num>
  <w:num w:numId="11">
    <w:abstractNumId w:val="11"/>
  </w:num>
  <w:num w:numId="12">
    <w:abstractNumId w:val="4"/>
  </w:num>
  <w:num w:numId="13">
    <w:abstractNumId w:val="2"/>
  </w:num>
  <w:num w:numId="14">
    <w:abstractNumId w:val="9"/>
  </w:num>
  <w:num w:numId="15">
    <w:abstractNumId w:val="16"/>
  </w:num>
  <w:num w:numId="16">
    <w:abstractNumId w:val="8"/>
  </w:num>
  <w:num w:numId="17">
    <w:abstractNumId w:val="17"/>
  </w:num>
  <w:num w:numId="18">
    <w:abstractNumId w:val="14"/>
  </w:num>
  <w:num w:numId="19">
    <w:abstractNumId w:val="15"/>
  </w:num>
  <w:num w:numId="20">
    <w:abstractNumId w:val="18"/>
  </w:num>
  <w:num w:numId="21">
    <w:abstractNumId w:val="12"/>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guage Var Chang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dzfp2r7dd2a9ept28v0ze1e9v5eft95sve&quot;&gt;SLX-LIB_1-27-15&lt;record-ids&gt;&lt;item&gt;4920&lt;/item&gt;&lt;/record-ids&gt;&lt;/item&gt;&lt;/Libraries&gt;"/>
  </w:docVars>
  <w:rsids>
    <w:rsidRoot w:val="00912B69"/>
    <w:rsid w:val="00002E5F"/>
    <w:rsid w:val="000061C4"/>
    <w:rsid w:val="00007C5A"/>
    <w:rsid w:val="0002255F"/>
    <w:rsid w:val="00034749"/>
    <w:rsid w:val="00040475"/>
    <w:rsid w:val="00043D64"/>
    <w:rsid w:val="00044916"/>
    <w:rsid w:val="0005187C"/>
    <w:rsid w:val="000545C8"/>
    <w:rsid w:val="00056266"/>
    <w:rsid w:val="00057AE8"/>
    <w:rsid w:val="000620E1"/>
    <w:rsid w:val="00063082"/>
    <w:rsid w:val="00074834"/>
    <w:rsid w:val="00074E36"/>
    <w:rsid w:val="00084EC4"/>
    <w:rsid w:val="00091811"/>
    <w:rsid w:val="00091D8A"/>
    <w:rsid w:val="000922BD"/>
    <w:rsid w:val="000935B6"/>
    <w:rsid w:val="00095E18"/>
    <w:rsid w:val="000A0C04"/>
    <w:rsid w:val="000A1482"/>
    <w:rsid w:val="000A16D0"/>
    <w:rsid w:val="000A4BD4"/>
    <w:rsid w:val="000A5EAD"/>
    <w:rsid w:val="000A7004"/>
    <w:rsid w:val="000B1C29"/>
    <w:rsid w:val="000B60F9"/>
    <w:rsid w:val="000C3782"/>
    <w:rsid w:val="000C4EF5"/>
    <w:rsid w:val="000C5C4E"/>
    <w:rsid w:val="000D30B8"/>
    <w:rsid w:val="000D39C6"/>
    <w:rsid w:val="000D568C"/>
    <w:rsid w:val="000E19D9"/>
    <w:rsid w:val="000E19E9"/>
    <w:rsid w:val="000E1D65"/>
    <w:rsid w:val="000E2ED2"/>
    <w:rsid w:val="000E5F9A"/>
    <w:rsid w:val="000F15BE"/>
    <w:rsid w:val="000F2EE8"/>
    <w:rsid w:val="000F357D"/>
    <w:rsid w:val="000F389B"/>
    <w:rsid w:val="00104C8A"/>
    <w:rsid w:val="00107515"/>
    <w:rsid w:val="00116AF3"/>
    <w:rsid w:val="00117FCF"/>
    <w:rsid w:val="00120098"/>
    <w:rsid w:val="00120978"/>
    <w:rsid w:val="00120E54"/>
    <w:rsid w:val="00125191"/>
    <w:rsid w:val="00126F6A"/>
    <w:rsid w:val="00142E5D"/>
    <w:rsid w:val="0014390F"/>
    <w:rsid w:val="00147493"/>
    <w:rsid w:val="00147917"/>
    <w:rsid w:val="00150620"/>
    <w:rsid w:val="00153D23"/>
    <w:rsid w:val="00162073"/>
    <w:rsid w:val="00163FC4"/>
    <w:rsid w:val="001676BD"/>
    <w:rsid w:val="00167CAC"/>
    <w:rsid w:val="00167EEE"/>
    <w:rsid w:val="00180750"/>
    <w:rsid w:val="001875FD"/>
    <w:rsid w:val="001901AA"/>
    <w:rsid w:val="001A246A"/>
    <w:rsid w:val="001A5DD1"/>
    <w:rsid w:val="001B04AF"/>
    <w:rsid w:val="001B0C4B"/>
    <w:rsid w:val="001B0F52"/>
    <w:rsid w:val="001B27EB"/>
    <w:rsid w:val="001B6FFC"/>
    <w:rsid w:val="001C02E7"/>
    <w:rsid w:val="001C05C2"/>
    <w:rsid w:val="001C54A6"/>
    <w:rsid w:val="001C6CF1"/>
    <w:rsid w:val="001D7207"/>
    <w:rsid w:val="001E14BB"/>
    <w:rsid w:val="001E3167"/>
    <w:rsid w:val="001E6880"/>
    <w:rsid w:val="001E6B16"/>
    <w:rsid w:val="001E7095"/>
    <w:rsid w:val="001E7747"/>
    <w:rsid w:val="001F0465"/>
    <w:rsid w:val="001F1406"/>
    <w:rsid w:val="00200B0F"/>
    <w:rsid w:val="00202805"/>
    <w:rsid w:val="00207873"/>
    <w:rsid w:val="00212FB0"/>
    <w:rsid w:val="00222032"/>
    <w:rsid w:val="002254EC"/>
    <w:rsid w:val="002346A4"/>
    <w:rsid w:val="00247EA8"/>
    <w:rsid w:val="00257A4B"/>
    <w:rsid w:val="00257A7C"/>
    <w:rsid w:val="00260DB2"/>
    <w:rsid w:val="00264F39"/>
    <w:rsid w:val="00265D18"/>
    <w:rsid w:val="00272C67"/>
    <w:rsid w:val="002739C3"/>
    <w:rsid w:val="0027594A"/>
    <w:rsid w:val="002801B5"/>
    <w:rsid w:val="00280B95"/>
    <w:rsid w:val="00282854"/>
    <w:rsid w:val="002869D9"/>
    <w:rsid w:val="00292E26"/>
    <w:rsid w:val="002A13C4"/>
    <w:rsid w:val="002A2B5E"/>
    <w:rsid w:val="002A4509"/>
    <w:rsid w:val="002A4D6D"/>
    <w:rsid w:val="002B160F"/>
    <w:rsid w:val="002B1849"/>
    <w:rsid w:val="002B25B5"/>
    <w:rsid w:val="002B25CA"/>
    <w:rsid w:val="002B2EA4"/>
    <w:rsid w:val="002B3C71"/>
    <w:rsid w:val="002B601F"/>
    <w:rsid w:val="002B6A18"/>
    <w:rsid w:val="002B72B6"/>
    <w:rsid w:val="002C19B2"/>
    <w:rsid w:val="002C67AE"/>
    <w:rsid w:val="002D18F4"/>
    <w:rsid w:val="002D1AB9"/>
    <w:rsid w:val="002D293D"/>
    <w:rsid w:val="002D4BDC"/>
    <w:rsid w:val="002D7569"/>
    <w:rsid w:val="002E0DB6"/>
    <w:rsid w:val="002E156F"/>
    <w:rsid w:val="002F1A6B"/>
    <w:rsid w:val="002F3A17"/>
    <w:rsid w:val="003012C5"/>
    <w:rsid w:val="00306BF2"/>
    <w:rsid w:val="00310105"/>
    <w:rsid w:val="003133D7"/>
    <w:rsid w:val="0031411D"/>
    <w:rsid w:val="003160FD"/>
    <w:rsid w:val="00320636"/>
    <w:rsid w:val="0032086F"/>
    <w:rsid w:val="003255CB"/>
    <w:rsid w:val="003301A2"/>
    <w:rsid w:val="00332289"/>
    <w:rsid w:val="00333493"/>
    <w:rsid w:val="003346E4"/>
    <w:rsid w:val="00337A33"/>
    <w:rsid w:val="0034052F"/>
    <w:rsid w:val="00342DCA"/>
    <w:rsid w:val="00343B42"/>
    <w:rsid w:val="00343EA8"/>
    <w:rsid w:val="0034772C"/>
    <w:rsid w:val="00347960"/>
    <w:rsid w:val="00354FA5"/>
    <w:rsid w:val="00363351"/>
    <w:rsid w:val="00363CA7"/>
    <w:rsid w:val="0037241C"/>
    <w:rsid w:val="003730C7"/>
    <w:rsid w:val="0039483F"/>
    <w:rsid w:val="00394958"/>
    <w:rsid w:val="003956D3"/>
    <w:rsid w:val="00396DDF"/>
    <w:rsid w:val="003978A2"/>
    <w:rsid w:val="003A2776"/>
    <w:rsid w:val="003A3261"/>
    <w:rsid w:val="003A6DEC"/>
    <w:rsid w:val="003B4072"/>
    <w:rsid w:val="003B5A22"/>
    <w:rsid w:val="003B65E4"/>
    <w:rsid w:val="003C2924"/>
    <w:rsid w:val="003C3648"/>
    <w:rsid w:val="003C4F88"/>
    <w:rsid w:val="003C685D"/>
    <w:rsid w:val="003D2EC6"/>
    <w:rsid w:val="003D5C69"/>
    <w:rsid w:val="003E0400"/>
    <w:rsid w:val="003E537B"/>
    <w:rsid w:val="003F1C1B"/>
    <w:rsid w:val="003F1DCE"/>
    <w:rsid w:val="003F584F"/>
    <w:rsid w:val="004023A1"/>
    <w:rsid w:val="0040259D"/>
    <w:rsid w:val="0040324B"/>
    <w:rsid w:val="00403CEC"/>
    <w:rsid w:val="00410139"/>
    <w:rsid w:val="00411C4E"/>
    <w:rsid w:val="0041498E"/>
    <w:rsid w:val="00415DDA"/>
    <w:rsid w:val="004174CF"/>
    <w:rsid w:val="00421B54"/>
    <w:rsid w:val="00422178"/>
    <w:rsid w:val="00440350"/>
    <w:rsid w:val="00443D1C"/>
    <w:rsid w:val="00445163"/>
    <w:rsid w:val="00446855"/>
    <w:rsid w:val="0045036F"/>
    <w:rsid w:val="0045114C"/>
    <w:rsid w:val="0045122A"/>
    <w:rsid w:val="00451FE8"/>
    <w:rsid w:val="0045358F"/>
    <w:rsid w:val="00460824"/>
    <w:rsid w:val="00464287"/>
    <w:rsid w:val="00464F07"/>
    <w:rsid w:val="004651CB"/>
    <w:rsid w:val="00467FC6"/>
    <w:rsid w:val="00473C5B"/>
    <w:rsid w:val="004856FC"/>
    <w:rsid w:val="00486055"/>
    <w:rsid w:val="00487767"/>
    <w:rsid w:val="00490D92"/>
    <w:rsid w:val="00494A31"/>
    <w:rsid w:val="00495A87"/>
    <w:rsid w:val="00496B2E"/>
    <w:rsid w:val="004A1AAF"/>
    <w:rsid w:val="004A32EB"/>
    <w:rsid w:val="004A769F"/>
    <w:rsid w:val="004A7795"/>
    <w:rsid w:val="004A7D88"/>
    <w:rsid w:val="004B174C"/>
    <w:rsid w:val="004B1E26"/>
    <w:rsid w:val="004B2C98"/>
    <w:rsid w:val="004B5A4A"/>
    <w:rsid w:val="004C152F"/>
    <w:rsid w:val="004C4733"/>
    <w:rsid w:val="004C6344"/>
    <w:rsid w:val="004D161F"/>
    <w:rsid w:val="004D2575"/>
    <w:rsid w:val="004D3DE3"/>
    <w:rsid w:val="004D4A48"/>
    <w:rsid w:val="004D4B7D"/>
    <w:rsid w:val="004D6A64"/>
    <w:rsid w:val="004D78B8"/>
    <w:rsid w:val="004E0BFD"/>
    <w:rsid w:val="004E6A9B"/>
    <w:rsid w:val="004F088A"/>
    <w:rsid w:val="004F1A07"/>
    <w:rsid w:val="004F5E85"/>
    <w:rsid w:val="004F6BF8"/>
    <w:rsid w:val="004F7EB5"/>
    <w:rsid w:val="00500363"/>
    <w:rsid w:val="0050203D"/>
    <w:rsid w:val="0050555F"/>
    <w:rsid w:val="00515C0A"/>
    <w:rsid w:val="00527550"/>
    <w:rsid w:val="00530693"/>
    <w:rsid w:val="005313BB"/>
    <w:rsid w:val="00533F7E"/>
    <w:rsid w:val="00535AA8"/>
    <w:rsid w:val="00542BF4"/>
    <w:rsid w:val="00546235"/>
    <w:rsid w:val="00550BA7"/>
    <w:rsid w:val="00551A30"/>
    <w:rsid w:val="00555BAA"/>
    <w:rsid w:val="00556790"/>
    <w:rsid w:val="005613DF"/>
    <w:rsid w:val="005714EA"/>
    <w:rsid w:val="00572605"/>
    <w:rsid w:val="005734FE"/>
    <w:rsid w:val="0057621B"/>
    <w:rsid w:val="00582061"/>
    <w:rsid w:val="00582102"/>
    <w:rsid w:val="00582B58"/>
    <w:rsid w:val="00592060"/>
    <w:rsid w:val="005923BE"/>
    <w:rsid w:val="00597BAF"/>
    <w:rsid w:val="005A0CD0"/>
    <w:rsid w:val="005A6096"/>
    <w:rsid w:val="005B1A2E"/>
    <w:rsid w:val="005B2D15"/>
    <w:rsid w:val="005B4243"/>
    <w:rsid w:val="005B4558"/>
    <w:rsid w:val="005B5C31"/>
    <w:rsid w:val="005C01A5"/>
    <w:rsid w:val="005C2C9C"/>
    <w:rsid w:val="005C5C19"/>
    <w:rsid w:val="005C7883"/>
    <w:rsid w:val="005D2199"/>
    <w:rsid w:val="005D4F29"/>
    <w:rsid w:val="005D5549"/>
    <w:rsid w:val="005D6C1A"/>
    <w:rsid w:val="005E5FCE"/>
    <w:rsid w:val="005F058F"/>
    <w:rsid w:val="005F36F1"/>
    <w:rsid w:val="005F5C63"/>
    <w:rsid w:val="005F7341"/>
    <w:rsid w:val="0060376A"/>
    <w:rsid w:val="00607CE9"/>
    <w:rsid w:val="006102D4"/>
    <w:rsid w:val="0061201A"/>
    <w:rsid w:val="00616DBF"/>
    <w:rsid w:val="00620B4C"/>
    <w:rsid w:val="00625790"/>
    <w:rsid w:val="0062684E"/>
    <w:rsid w:val="0063168B"/>
    <w:rsid w:val="00634847"/>
    <w:rsid w:val="00640E2A"/>
    <w:rsid w:val="006501DD"/>
    <w:rsid w:val="00651D66"/>
    <w:rsid w:val="00660B0F"/>
    <w:rsid w:val="00660C2F"/>
    <w:rsid w:val="00663C5F"/>
    <w:rsid w:val="006646F8"/>
    <w:rsid w:val="0066707A"/>
    <w:rsid w:val="006736C6"/>
    <w:rsid w:val="0067473B"/>
    <w:rsid w:val="00675DFC"/>
    <w:rsid w:val="0068016E"/>
    <w:rsid w:val="006843A0"/>
    <w:rsid w:val="0068584B"/>
    <w:rsid w:val="00686290"/>
    <w:rsid w:val="00690939"/>
    <w:rsid w:val="00695418"/>
    <w:rsid w:val="0069735E"/>
    <w:rsid w:val="006977F0"/>
    <w:rsid w:val="006A20ED"/>
    <w:rsid w:val="006A25AD"/>
    <w:rsid w:val="006A25D8"/>
    <w:rsid w:val="006A3445"/>
    <w:rsid w:val="006A43FE"/>
    <w:rsid w:val="006A45FD"/>
    <w:rsid w:val="006A74A4"/>
    <w:rsid w:val="006B2F46"/>
    <w:rsid w:val="006B3095"/>
    <w:rsid w:val="006B4F2B"/>
    <w:rsid w:val="006B5507"/>
    <w:rsid w:val="006B5871"/>
    <w:rsid w:val="006C004E"/>
    <w:rsid w:val="006C6176"/>
    <w:rsid w:val="006C63C9"/>
    <w:rsid w:val="006C6494"/>
    <w:rsid w:val="006D0720"/>
    <w:rsid w:val="006D075F"/>
    <w:rsid w:val="006D1BBD"/>
    <w:rsid w:val="006D1F2E"/>
    <w:rsid w:val="006D6780"/>
    <w:rsid w:val="006D69FE"/>
    <w:rsid w:val="006E2563"/>
    <w:rsid w:val="006E3383"/>
    <w:rsid w:val="006E3B1E"/>
    <w:rsid w:val="006E78BF"/>
    <w:rsid w:val="006E7E47"/>
    <w:rsid w:val="006F141E"/>
    <w:rsid w:val="006F1AE0"/>
    <w:rsid w:val="006F3C52"/>
    <w:rsid w:val="00700A87"/>
    <w:rsid w:val="00701B1A"/>
    <w:rsid w:val="0070392E"/>
    <w:rsid w:val="007055DD"/>
    <w:rsid w:val="0070787B"/>
    <w:rsid w:val="00712A7A"/>
    <w:rsid w:val="0072110F"/>
    <w:rsid w:val="007319F4"/>
    <w:rsid w:val="0073337E"/>
    <w:rsid w:val="00734D8A"/>
    <w:rsid w:val="0073727F"/>
    <w:rsid w:val="00742001"/>
    <w:rsid w:val="00744765"/>
    <w:rsid w:val="0074483F"/>
    <w:rsid w:val="00752982"/>
    <w:rsid w:val="00753B10"/>
    <w:rsid w:val="00753C98"/>
    <w:rsid w:val="007542E2"/>
    <w:rsid w:val="00755058"/>
    <w:rsid w:val="0075790E"/>
    <w:rsid w:val="00757C39"/>
    <w:rsid w:val="007660B7"/>
    <w:rsid w:val="00770A00"/>
    <w:rsid w:val="00773450"/>
    <w:rsid w:val="00780111"/>
    <w:rsid w:val="00782EAD"/>
    <w:rsid w:val="00783552"/>
    <w:rsid w:val="0078462B"/>
    <w:rsid w:val="00784807"/>
    <w:rsid w:val="0078584E"/>
    <w:rsid w:val="00785EC7"/>
    <w:rsid w:val="007965D9"/>
    <w:rsid w:val="00797643"/>
    <w:rsid w:val="007A2D8C"/>
    <w:rsid w:val="007A74A7"/>
    <w:rsid w:val="007B1C2A"/>
    <w:rsid w:val="007B6497"/>
    <w:rsid w:val="007C5FD2"/>
    <w:rsid w:val="007E2DDA"/>
    <w:rsid w:val="007E3081"/>
    <w:rsid w:val="007E4611"/>
    <w:rsid w:val="007E57CC"/>
    <w:rsid w:val="007F180E"/>
    <w:rsid w:val="007F35EF"/>
    <w:rsid w:val="007F5548"/>
    <w:rsid w:val="00815329"/>
    <w:rsid w:val="00816639"/>
    <w:rsid w:val="00817903"/>
    <w:rsid w:val="008213CD"/>
    <w:rsid w:val="00821712"/>
    <w:rsid w:val="008230A2"/>
    <w:rsid w:val="008245BF"/>
    <w:rsid w:val="00824EA5"/>
    <w:rsid w:val="00826898"/>
    <w:rsid w:val="008341A7"/>
    <w:rsid w:val="008361C1"/>
    <w:rsid w:val="00844EC7"/>
    <w:rsid w:val="0084684E"/>
    <w:rsid w:val="00847052"/>
    <w:rsid w:val="00847919"/>
    <w:rsid w:val="00851F18"/>
    <w:rsid w:val="00864262"/>
    <w:rsid w:val="008645E2"/>
    <w:rsid w:val="008650FF"/>
    <w:rsid w:val="008706CE"/>
    <w:rsid w:val="00873C87"/>
    <w:rsid w:val="00875494"/>
    <w:rsid w:val="008768ED"/>
    <w:rsid w:val="0087757D"/>
    <w:rsid w:val="00877E1F"/>
    <w:rsid w:val="00890E61"/>
    <w:rsid w:val="00892DCB"/>
    <w:rsid w:val="00893888"/>
    <w:rsid w:val="008A0F5E"/>
    <w:rsid w:val="008A11E6"/>
    <w:rsid w:val="008A2CC8"/>
    <w:rsid w:val="008A5293"/>
    <w:rsid w:val="008B0386"/>
    <w:rsid w:val="008B07CB"/>
    <w:rsid w:val="008B261C"/>
    <w:rsid w:val="008B37CF"/>
    <w:rsid w:val="008B453C"/>
    <w:rsid w:val="008C2AD2"/>
    <w:rsid w:val="008C3BDC"/>
    <w:rsid w:val="008C62AF"/>
    <w:rsid w:val="008C6D30"/>
    <w:rsid w:val="008C7D67"/>
    <w:rsid w:val="008C7E77"/>
    <w:rsid w:val="008C7F0A"/>
    <w:rsid w:val="008D2AB1"/>
    <w:rsid w:val="008D3D37"/>
    <w:rsid w:val="008D40D7"/>
    <w:rsid w:val="008D428B"/>
    <w:rsid w:val="008F0061"/>
    <w:rsid w:val="008F3BE1"/>
    <w:rsid w:val="00901BAB"/>
    <w:rsid w:val="00902336"/>
    <w:rsid w:val="00912B69"/>
    <w:rsid w:val="0091621B"/>
    <w:rsid w:val="00916729"/>
    <w:rsid w:val="009244EE"/>
    <w:rsid w:val="00926524"/>
    <w:rsid w:val="009265CA"/>
    <w:rsid w:val="00926E78"/>
    <w:rsid w:val="009302BD"/>
    <w:rsid w:val="00930D65"/>
    <w:rsid w:val="009339BA"/>
    <w:rsid w:val="00934F35"/>
    <w:rsid w:val="0094505F"/>
    <w:rsid w:val="0094799B"/>
    <w:rsid w:val="00947BA1"/>
    <w:rsid w:val="0096212B"/>
    <w:rsid w:val="009642C3"/>
    <w:rsid w:val="00964695"/>
    <w:rsid w:val="009675EE"/>
    <w:rsid w:val="009726F1"/>
    <w:rsid w:val="009739BA"/>
    <w:rsid w:val="00973D1D"/>
    <w:rsid w:val="0098209D"/>
    <w:rsid w:val="0098508C"/>
    <w:rsid w:val="00992E8A"/>
    <w:rsid w:val="00993F90"/>
    <w:rsid w:val="009A1170"/>
    <w:rsid w:val="009A2786"/>
    <w:rsid w:val="009A6A7F"/>
    <w:rsid w:val="009A6D0B"/>
    <w:rsid w:val="009A766B"/>
    <w:rsid w:val="009A7FA5"/>
    <w:rsid w:val="009B1017"/>
    <w:rsid w:val="009B120A"/>
    <w:rsid w:val="009B4BFC"/>
    <w:rsid w:val="009B5CE6"/>
    <w:rsid w:val="009B629E"/>
    <w:rsid w:val="009C0230"/>
    <w:rsid w:val="009C0D9C"/>
    <w:rsid w:val="009C3DFC"/>
    <w:rsid w:val="009C6355"/>
    <w:rsid w:val="009D1B75"/>
    <w:rsid w:val="009D68DF"/>
    <w:rsid w:val="009E177D"/>
    <w:rsid w:val="009E6BA0"/>
    <w:rsid w:val="009F042C"/>
    <w:rsid w:val="009F0472"/>
    <w:rsid w:val="009F0C95"/>
    <w:rsid w:val="00A00093"/>
    <w:rsid w:val="00A006DD"/>
    <w:rsid w:val="00A008CA"/>
    <w:rsid w:val="00A075D6"/>
    <w:rsid w:val="00A10F79"/>
    <w:rsid w:val="00A14467"/>
    <w:rsid w:val="00A25502"/>
    <w:rsid w:val="00A262C5"/>
    <w:rsid w:val="00A3298F"/>
    <w:rsid w:val="00A35920"/>
    <w:rsid w:val="00A41B96"/>
    <w:rsid w:val="00A41DCB"/>
    <w:rsid w:val="00A42A70"/>
    <w:rsid w:val="00A4578D"/>
    <w:rsid w:val="00A466D4"/>
    <w:rsid w:val="00A46BF1"/>
    <w:rsid w:val="00A50C78"/>
    <w:rsid w:val="00A55C98"/>
    <w:rsid w:val="00A56CCB"/>
    <w:rsid w:val="00A66C1C"/>
    <w:rsid w:val="00A66D52"/>
    <w:rsid w:val="00A71782"/>
    <w:rsid w:val="00A71ED5"/>
    <w:rsid w:val="00A72A9F"/>
    <w:rsid w:val="00A77BE4"/>
    <w:rsid w:val="00A80586"/>
    <w:rsid w:val="00A826CF"/>
    <w:rsid w:val="00A87285"/>
    <w:rsid w:val="00A87F97"/>
    <w:rsid w:val="00A90A8C"/>
    <w:rsid w:val="00A94190"/>
    <w:rsid w:val="00A94C30"/>
    <w:rsid w:val="00A95C86"/>
    <w:rsid w:val="00A97EED"/>
    <w:rsid w:val="00AA0AA3"/>
    <w:rsid w:val="00AA2D8E"/>
    <w:rsid w:val="00AA3CE0"/>
    <w:rsid w:val="00AA4B7E"/>
    <w:rsid w:val="00AB1225"/>
    <w:rsid w:val="00AB17CE"/>
    <w:rsid w:val="00AB5B05"/>
    <w:rsid w:val="00AC45E6"/>
    <w:rsid w:val="00AC5885"/>
    <w:rsid w:val="00AC6797"/>
    <w:rsid w:val="00AD2434"/>
    <w:rsid w:val="00AD372D"/>
    <w:rsid w:val="00AE16F3"/>
    <w:rsid w:val="00AE6F7C"/>
    <w:rsid w:val="00AF02FB"/>
    <w:rsid w:val="00AF52E3"/>
    <w:rsid w:val="00AF6A69"/>
    <w:rsid w:val="00AF6EBF"/>
    <w:rsid w:val="00B04B58"/>
    <w:rsid w:val="00B06259"/>
    <w:rsid w:val="00B068A3"/>
    <w:rsid w:val="00B11C57"/>
    <w:rsid w:val="00B22624"/>
    <w:rsid w:val="00B33D9C"/>
    <w:rsid w:val="00B34F15"/>
    <w:rsid w:val="00B3680C"/>
    <w:rsid w:val="00B40DC3"/>
    <w:rsid w:val="00B424B2"/>
    <w:rsid w:val="00B44FFE"/>
    <w:rsid w:val="00B45031"/>
    <w:rsid w:val="00B452E6"/>
    <w:rsid w:val="00B45E5E"/>
    <w:rsid w:val="00B469C0"/>
    <w:rsid w:val="00B524B4"/>
    <w:rsid w:val="00B530FA"/>
    <w:rsid w:val="00B54236"/>
    <w:rsid w:val="00B54493"/>
    <w:rsid w:val="00B57E44"/>
    <w:rsid w:val="00B62052"/>
    <w:rsid w:val="00B7172E"/>
    <w:rsid w:val="00B73862"/>
    <w:rsid w:val="00B76435"/>
    <w:rsid w:val="00B76E93"/>
    <w:rsid w:val="00B76F5D"/>
    <w:rsid w:val="00B77653"/>
    <w:rsid w:val="00B80CFD"/>
    <w:rsid w:val="00B825F9"/>
    <w:rsid w:val="00B8264A"/>
    <w:rsid w:val="00B84917"/>
    <w:rsid w:val="00B86C8F"/>
    <w:rsid w:val="00B90FF6"/>
    <w:rsid w:val="00B918A0"/>
    <w:rsid w:val="00B956F8"/>
    <w:rsid w:val="00B96E1E"/>
    <w:rsid w:val="00BA158A"/>
    <w:rsid w:val="00BA18F7"/>
    <w:rsid w:val="00BA2DAF"/>
    <w:rsid w:val="00BB1BD8"/>
    <w:rsid w:val="00BB3231"/>
    <w:rsid w:val="00BB5E4A"/>
    <w:rsid w:val="00BB5F50"/>
    <w:rsid w:val="00BB60FE"/>
    <w:rsid w:val="00BB7C05"/>
    <w:rsid w:val="00BD1ADD"/>
    <w:rsid w:val="00BD6021"/>
    <w:rsid w:val="00BE69D7"/>
    <w:rsid w:val="00BF00CE"/>
    <w:rsid w:val="00BF1A95"/>
    <w:rsid w:val="00BF4048"/>
    <w:rsid w:val="00BF4A46"/>
    <w:rsid w:val="00BF5EF8"/>
    <w:rsid w:val="00C022E6"/>
    <w:rsid w:val="00C02ED2"/>
    <w:rsid w:val="00C03422"/>
    <w:rsid w:val="00C05A61"/>
    <w:rsid w:val="00C103D6"/>
    <w:rsid w:val="00C10B15"/>
    <w:rsid w:val="00C15C9D"/>
    <w:rsid w:val="00C21F59"/>
    <w:rsid w:val="00C2480A"/>
    <w:rsid w:val="00C258A4"/>
    <w:rsid w:val="00C301FC"/>
    <w:rsid w:val="00C317DE"/>
    <w:rsid w:val="00C324EE"/>
    <w:rsid w:val="00C34088"/>
    <w:rsid w:val="00C34118"/>
    <w:rsid w:val="00C40E7D"/>
    <w:rsid w:val="00C41C26"/>
    <w:rsid w:val="00C41E12"/>
    <w:rsid w:val="00C45187"/>
    <w:rsid w:val="00C4647A"/>
    <w:rsid w:val="00C50EE8"/>
    <w:rsid w:val="00C542B1"/>
    <w:rsid w:val="00C603ED"/>
    <w:rsid w:val="00C62349"/>
    <w:rsid w:val="00C64C8C"/>
    <w:rsid w:val="00C65D1B"/>
    <w:rsid w:val="00C67436"/>
    <w:rsid w:val="00C700E4"/>
    <w:rsid w:val="00C705CB"/>
    <w:rsid w:val="00C71A5B"/>
    <w:rsid w:val="00C812D6"/>
    <w:rsid w:val="00C82F5F"/>
    <w:rsid w:val="00C8479D"/>
    <w:rsid w:val="00C85183"/>
    <w:rsid w:val="00C871F3"/>
    <w:rsid w:val="00C90BB3"/>
    <w:rsid w:val="00C91393"/>
    <w:rsid w:val="00CA47E6"/>
    <w:rsid w:val="00CA4982"/>
    <w:rsid w:val="00CB17FF"/>
    <w:rsid w:val="00CB2718"/>
    <w:rsid w:val="00CB3874"/>
    <w:rsid w:val="00CB3CC6"/>
    <w:rsid w:val="00CC03A4"/>
    <w:rsid w:val="00CC0B37"/>
    <w:rsid w:val="00CC0D5C"/>
    <w:rsid w:val="00CC140B"/>
    <w:rsid w:val="00CC5098"/>
    <w:rsid w:val="00CC76A5"/>
    <w:rsid w:val="00CD2BA4"/>
    <w:rsid w:val="00CD2BA6"/>
    <w:rsid w:val="00CD4695"/>
    <w:rsid w:val="00CE3190"/>
    <w:rsid w:val="00CE5757"/>
    <w:rsid w:val="00CF042B"/>
    <w:rsid w:val="00D10EE7"/>
    <w:rsid w:val="00D14B1B"/>
    <w:rsid w:val="00D1534C"/>
    <w:rsid w:val="00D1560F"/>
    <w:rsid w:val="00D165B7"/>
    <w:rsid w:val="00D16D96"/>
    <w:rsid w:val="00D26A67"/>
    <w:rsid w:val="00D272E5"/>
    <w:rsid w:val="00D3494F"/>
    <w:rsid w:val="00D364AF"/>
    <w:rsid w:val="00D41EFE"/>
    <w:rsid w:val="00D43DF9"/>
    <w:rsid w:val="00D5331F"/>
    <w:rsid w:val="00D55051"/>
    <w:rsid w:val="00D55B11"/>
    <w:rsid w:val="00D62D70"/>
    <w:rsid w:val="00D73F4B"/>
    <w:rsid w:val="00D77ED3"/>
    <w:rsid w:val="00D8513D"/>
    <w:rsid w:val="00D85453"/>
    <w:rsid w:val="00D86DE6"/>
    <w:rsid w:val="00DA2658"/>
    <w:rsid w:val="00DB0E68"/>
    <w:rsid w:val="00DB1A4D"/>
    <w:rsid w:val="00DB1F52"/>
    <w:rsid w:val="00DB36AD"/>
    <w:rsid w:val="00DB597A"/>
    <w:rsid w:val="00DC1ABE"/>
    <w:rsid w:val="00DC4ACB"/>
    <w:rsid w:val="00DC5E9C"/>
    <w:rsid w:val="00DC6453"/>
    <w:rsid w:val="00DD099F"/>
    <w:rsid w:val="00DD31F3"/>
    <w:rsid w:val="00DD3451"/>
    <w:rsid w:val="00DD3CC0"/>
    <w:rsid w:val="00DD40D9"/>
    <w:rsid w:val="00DD456D"/>
    <w:rsid w:val="00DD7AF7"/>
    <w:rsid w:val="00DE014D"/>
    <w:rsid w:val="00DE0AD7"/>
    <w:rsid w:val="00DE2F13"/>
    <w:rsid w:val="00DE7666"/>
    <w:rsid w:val="00DE7E12"/>
    <w:rsid w:val="00DF08D8"/>
    <w:rsid w:val="00DF09C4"/>
    <w:rsid w:val="00DF386B"/>
    <w:rsid w:val="00DF4F09"/>
    <w:rsid w:val="00E00240"/>
    <w:rsid w:val="00E011BB"/>
    <w:rsid w:val="00E02BF7"/>
    <w:rsid w:val="00E044A9"/>
    <w:rsid w:val="00E05205"/>
    <w:rsid w:val="00E063D2"/>
    <w:rsid w:val="00E11A78"/>
    <w:rsid w:val="00E142FB"/>
    <w:rsid w:val="00E2000E"/>
    <w:rsid w:val="00E21FF7"/>
    <w:rsid w:val="00E238A5"/>
    <w:rsid w:val="00E32882"/>
    <w:rsid w:val="00E4244A"/>
    <w:rsid w:val="00E54058"/>
    <w:rsid w:val="00E55C77"/>
    <w:rsid w:val="00E5627E"/>
    <w:rsid w:val="00E641F2"/>
    <w:rsid w:val="00E667DF"/>
    <w:rsid w:val="00E734E7"/>
    <w:rsid w:val="00E76230"/>
    <w:rsid w:val="00E76B41"/>
    <w:rsid w:val="00E80030"/>
    <w:rsid w:val="00E82133"/>
    <w:rsid w:val="00E83EA3"/>
    <w:rsid w:val="00E84D16"/>
    <w:rsid w:val="00E84D6B"/>
    <w:rsid w:val="00E851C4"/>
    <w:rsid w:val="00E856E5"/>
    <w:rsid w:val="00E85AFF"/>
    <w:rsid w:val="00E86BC1"/>
    <w:rsid w:val="00E91066"/>
    <w:rsid w:val="00E9200C"/>
    <w:rsid w:val="00E92F32"/>
    <w:rsid w:val="00EA0569"/>
    <w:rsid w:val="00EA1485"/>
    <w:rsid w:val="00EA18C1"/>
    <w:rsid w:val="00EA40C6"/>
    <w:rsid w:val="00EC0BA0"/>
    <w:rsid w:val="00EC6708"/>
    <w:rsid w:val="00ED3F5C"/>
    <w:rsid w:val="00EE1FC8"/>
    <w:rsid w:val="00EE3135"/>
    <w:rsid w:val="00EE3A0B"/>
    <w:rsid w:val="00EE3C54"/>
    <w:rsid w:val="00EF1FB1"/>
    <w:rsid w:val="00EF248B"/>
    <w:rsid w:val="00F004A7"/>
    <w:rsid w:val="00F02A50"/>
    <w:rsid w:val="00F069B2"/>
    <w:rsid w:val="00F06BAC"/>
    <w:rsid w:val="00F07028"/>
    <w:rsid w:val="00F10CCF"/>
    <w:rsid w:val="00F14FFC"/>
    <w:rsid w:val="00F20547"/>
    <w:rsid w:val="00F32C4A"/>
    <w:rsid w:val="00F32D0B"/>
    <w:rsid w:val="00F33459"/>
    <w:rsid w:val="00F3507C"/>
    <w:rsid w:val="00F41287"/>
    <w:rsid w:val="00F41CFC"/>
    <w:rsid w:val="00F422D5"/>
    <w:rsid w:val="00F42609"/>
    <w:rsid w:val="00F433D4"/>
    <w:rsid w:val="00F45166"/>
    <w:rsid w:val="00F46793"/>
    <w:rsid w:val="00F47AE5"/>
    <w:rsid w:val="00F50413"/>
    <w:rsid w:val="00F50423"/>
    <w:rsid w:val="00F51719"/>
    <w:rsid w:val="00F52211"/>
    <w:rsid w:val="00F544A9"/>
    <w:rsid w:val="00F54C74"/>
    <w:rsid w:val="00F55A2F"/>
    <w:rsid w:val="00F57FC1"/>
    <w:rsid w:val="00F60D61"/>
    <w:rsid w:val="00F61FE1"/>
    <w:rsid w:val="00F6584D"/>
    <w:rsid w:val="00F701F9"/>
    <w:rsid w:val="00F71941"/>
    <w:rsid w:val="00F753EB"/>
    <w:rsid w:val="00F770DF"/>
    <w:rsid w:val="00F82789"/>
    <w:rsid w:val="00F86791"/>
    <w:rsid w:val="00F94F73"/>
    <w:rsid w:val="00F9663A"/>
    <w:rsid w:val="00FA43F7"/>
    <w:rsid w:val="00FA45BE"/>
    <w:rsid w:val="00FA6A26"/>
    <w:rsid w:val="00FA7A75"/>
    <w:rsid w:val="00FA7D25"/>
    <w:rsid w:val="00FB2A29"/>
    <w:rsid w:val="00FB3423"/>
    <w:rsid w:val="00FB4AD0"/>
    <w:rsid w:val="00FB64AD"/>
    <w:rsid w:val="00FB7573"/>
    <w:rsid w:val="00FC2B3F"/>
    <w:rsid w:val="00FC3234"/>
    <w:rsid w:val="00FC7480"/>
    <w:rsid w:val="00FD0913"/>
    <w:rsid w:val="00FD52D2"/>
    <w:rsid w:val="00FE1266"/>
    <w:rsid w:val="00FE3A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5CC3"/>
  <w15:docId w15:val="{48428125-0914-4293-B501-F91A768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08"/>
    <w:pPr>
      <w:spacing w:line="480" w:lineRule="auto"/>
      <w:ind w:right="6"/>
    </w:pPr>
    <w:rPr>
      <w:sz w:val="24"/>
      <w:szCs w:val="24"/>
      <w:lang w:val="en-US"/>
    </w:rPr>
  </w:style>
  <w:style w:type="paragraph" w:styleId="Heading2">
    <w:name w:val="heading 2"/>
    <w:basedOn w:val="Normal"/>
    <w:link w:val="Heading2Char"/>
    <w:uiPriority w:val="9"/>
    <w:qFormat/>
    <w:rsid w:val="004D4A48"/>
    <w:pPr>
      <w:spacing w:before="100" w:beforeAutospacing="1" w:after="100" w:afterAutospacing="1" w:line="240" w:lineRule="auto"/>
      <w:ind w:right="0"/>
      <w:outlineLvl w:val="1"/>
    </w:pPr>
    <w:rPr>
      <w:rFonts w:eastAsia="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FE71AC"/>
    <w:pPr>
      <w:spacing w:after="200" w:line="240" w:lineRule="auto"/>
    </w:pPr>
    <w:rPr>
      <w:b/>
      <w:bCs/>
      <w:szCs w:val="18"/>
    </w:rPr>
  </w:style>
  <w:style w:type="paragraph" w:styleId="ListParagraph">
    <w:name w:val="List Paragraph"/>
    <w:basedOn w:val="Normal"/>
    <w:uiPriority w:val="34"/>
    <w:qFormat/>
    <w:rsid w:val="006B226B"/>
    <w:pPr>
      <w:spacing w:line="240" w:lineRule="auto"/>
      <w:ind w:left="720" w:right="0"/>
      <w:contextualSpacing/>
    </w:pPr>
    <w:rPr>
      <w:rFonts w:eastAsia="Times New Roman"/>
    </w:rPr>
  </w:style>
  <w:style w:type="paragraph" w:styleId="Header">
    <w:name w:val="header"/>
    <w:basedOn w:val="Normal"/>
    <w:link w:val="HeaderChar"/>
    <w:uiPriority w:val="99"/>
    <w:unhideWhenUsed/>
    <w:rsid w:val="00E158C3"/>
    <w:pPr>
      <w:tabs>
        <w:tab w:val="center" w:pos="4680"/>
        <w:tab w:val="right" w:pos="9360"/>
      </w:tabs>
      <w:spacing w:line="240" w:lineRule="auto"/>
    </w:pPr>
  </w:style>
  <w:style w:type="character" w:customStyle="1" w:styleId="HeaderChar">
    <w:name w:val="Header Char"/>
    <w:basedOn w:val="DefaultParagraphFont"/>
    <w:link w:val="Header"/>
    <w:uiPriority w:val="99"/>
    <w:rsid w:val="00E158C3"/>
  </w:style>
  <w:style w:type="paragraph" w:styleId="Footer">
    <w:name w:val="footer"/>
    <w:basedOn w:val="Normal"/>
    <w:link w:val="FooterChar"/>
    <w:uiPriority w:val="99"/>
    <w:unhideWhenUsed/>
    <w:rsid w:val="00E158C3"/>
    <w:pPr>
      <w:tabs>
        <w:tab w:val="center" w:pos="4680"/>
        <w:tab w:val="right" w:pos="9360"/>
      </w:tabs>
      <w:spacing w:line="240" w:lineRule="auto"/>
    </w:pPr>
  </w:style>
  <w:style w:type="character" w:customStyle="1" w:styleId="FooterChar">
    <w:name w:val="Footer Char"/>
    <w:basedOn w:val="DefaultParagraphFont"/>
    <w:link w:val="Footer"/>
    <w:uiPriority w:val="99"/>
    <w:rsid w:val="00E158C3"/>
  </w:style>
  <w:style w:type="paragraph" w:styleId="BalloonText">
    <w:name w:val="Balloon Text"/>
    <w:basedOn w:val="Normal"/>
    <w:semiHidden/>
    <w:rsid w:val="00CE6BF7"/>
    <w:rPr>
      <w:rFonts w:ascii="Lucida Grande" w:hAnsi="Lucida Grande"/>
      <w:sz w:val="18"/>
      <w:szCs w:val="18"/>
    </w:rPr>
  </w:style>
  <w:style w:type="character" w:styleId="Hyperlink">
    <w:name w:val="Hyperlink"/>
    <w:uiPriority w:val="99"/>
    <w:unhideWhenUsed/>
    <w:rsid w:val="00F82789"/>
    <w:rPr>
      <w:color w:val="0000FF"/>
      <w:u w:val="single"/>
    </w:rPr>
  </w:style>
  <w:style w:type="character" w:styleId="CommentReference">
    <w:name w:val="annotation reference"/>
    <w:uiPriority w:val="99"/>
    <w:semiHidden/>
    <w:unhideWhenUsed/>
    <w:rsid w:val="003160FD"/>
    <w:rPr>
      <w:sz w:val="16"/>
      <w:szCs w:val="16"/>
    </w:rPr>
  </w:style>
  <w:style w:type="paragraph" w:styleId="CommentText">
    <w:name w:val="annotation text"/>
    <w:basedOn w:val="Normal"/>
    <w:link w:val="CommentTextChar"/>
    <w:uiPriority w:val="99"/>
    <w:semiHidden/>
    <w:unhideWhenUsed/>
    <w:rsid w:val="003160FD"/>
    <w:rPr>
      <w:sz w:val="20"/>
      <w:szCs w:val="20"/>
    </w:rPr>
  </w:style>
  <w:style w:type="character" w:customStyle="1" w:styleId="CommentTextChar">
    <w:name w:val="Comment Text Char"/>
    <w:link w:val="CommentText"/>
    <w:uiPriority w:val="99"/>
    <w:semiHidden/>
    <w:rsid w:val="003160FD"/>
    <w:rPr>
      <w:lang w:val="en-US" w:eastAsia="en-US"/>
    </w:rPr>
  </w:style>
  <w:style w:type="paragraph" w:styleId="CommentSubject">
    <w:name w:val="annotation subject"/>
    <w:basedOn w:val="CommentText"/>
    <w:next w:val="CommentText"/>
    <w:link w:val="CommentSubjectChar"/>
    <w:uiPriority w:val="99"/>
    <w:semiHidden/>
    <w:unhideWhenUsed/>
    <w:rsid w:val="003160FD"/>
    <w:rPr>
      <w:b/>
      <w:bCs/>
    </w:rPr>
  </w:style>
  <w:style w:type="character" w:customStyle="1" w:styleId="CommentSubjectChar">
    <w:name w:val="Comment Subject Char"/>
    <w:link w:val="CommentSubject"/>
    <w:uiPriority w:val="99"/>
    <w:semiHidden/>
    <w:rsid w:val="003160FD"/>
    <w:rPr>
      <w:b/>
      <w:bCs/>
      <w:lang w:val="en-US" w:eastAsia="en-US"/>
    </w:rPr>
  </w:style>
  <w:style w:type="paragraph" w:styleId="FootnoteText">
    <w:name w:val="footnote text"/>
    <w:basedOn w:val="Normal"/>
    <w:link w:val="FootnoteTextChar"/>
    <w:uiPriority w:val="99"/>
    <w:unhideWhenUsed/>
    <w:rsid w:val="003B4072"/>
    <w:rPr>
      <w:sz w:val="20"/>
      <w:szCs w:val="20"/>
    </w:rPr>
  </w:style>
  <w:style w:type="character" w:customStyle="1" w:styleId="FootnoteTextChar">
    <w:name w:val="Footnote Text Char"/>
    <w:link w:val="FootnoteText"/>
    <w:uiPriority w:val="99"/>
    <w:rsid w:val="003B4072"/>
    <w:rPr>
      <w:lang w:val="en-US" w:eastAsia="en-US"/>
    </w:rPr>
  </w:style>
  <w:style w:type="character" w:styleId="FootnoteReference">
    <w:name w:val="footnote reference"/>
    <w:uiPriority w:val="99"/>
    <w:unhideWhenUsed/>
    <w:rsid w:val="003B4072"/>
    <w:rPr>
      <w:vertAlign w:val="superscript"/>
    </w:rPr>
  </w:style>
  <w:style w:type="paragraph" w:styleId="EndnoteText">
    <w:name w:val="endnote text"/>
    <w:basedOn w:val="Normal"/>
    <w:link w:val="EndnoteTextChar"/>
    <w:semiHidden/>
    <w:rsid w:val="00A35920"/>
    <w:pPr>
      <w:ind w:right="0"/>
    </w:pPr>
    <w:rPr>
      <w:rFonts w:eastAsia="Times New Roman"/>
      <w:sz w:val="20"/>
      <w:szCs w:val="20"/>
    </w:rPr>
  </w:style>
  <w:style w:type="character" w:customStyle="1" w:styleId="EndnoteTextChar">
    <w:name w:val="Endnote Text Char"/>
    <w:link w:val="EndnoteText"/>
    <w:semiHidden/>
    <w:rsid w:val="00A35920"/>
    <w:rPr>
      <w:rFonts w:eastAsia="Times New Roman"/>
      <w:lang w:val="en-US"/>
    </w:rPr>
  </w:style>
  <w:style w:type="character" w:styleId="EndnoteReference">
    <w:name w:val="endnote reference"/>
    <w:semiHidden/>
    <w:rsid w:val="006A25D8"/>
    <w:rPr>
      <w:vertAlign w:val="superscript"/>
    </w:rPr>
  </w:style>
  <w:style w:type="paragraph" w:customStyle="1" w:styleId="Examples">
    <w:name w:val="Examples"/>
    <w:basedOn w:val="Normal"/>
    <w:rsid w:val="006A25D8"/>
    <w:pPr>
      <w:numPr>
        <w:numId w:val="21"/>
      </w:numPr>
      <w:tabs>
        <w:tab w:val="left" w:pos="980"/>
        <w:tab w:val="left" w:pos="1400"/>
      </w:tabs>
      <w:spacing w:line="240" w:lineRule="auto"/>
      <w:ind w:right="0"/>
      <w:jc w:val="both"/>
    </w:pPr>
    <w:rPr>
      <w:rFonts w:ascii="Times" w:eastAsia="Times New Roman" w:hAnsi="Times"/>
      <w:szCs w:val="20"/>
    </w:rPr>
  </w:style>
  <w:style w:type="table" w:styleId="TableGrid">
    <w:name w:val="Table Grid"/>
    <w:basedOn w:val="TableNormal"/>
    <w:uiPriority w:val="59"/>
    <w:rsid w:val="0041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26F1"/>
    <w:pPr>
      <w:ind w:right="6"/>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D4A48"/>
    <w:rPr>
      <w:rFonts w:eastAsia="Times New Roman"/>
      <w:b/>
      <w:bCs/>
      <w:sz w:val="36"/>
      <w:szCs w:val="36"/>
    </w:rPr>
  </w:style>
  <w:style w:type="paragraph" w:customStyle="1" w:styleId="EndNoteBibliographyTitle">
    <w:name w:val="EndNote Bibliography Title"/>
    <w:basedOn w:val="Normal"/>
    <w:rsid w:val="00C64C8C"/>
    <w:pPr>
      <w:jc w:val="center"/>
    </w:pPr>
  </w:style>
  <w:style w:type="paragraph" w:customStyle="1" w:styleId="EndNoteBibliography">
    <w:name w:val="EndNote Bibliography"/>
    <w:basedOn w:val="Normal"/>
    <w:rsid w:val="00C64C8C"/>
    <w:pPr>
      <w:spacing w:line="240" w:lineRule="auto"/>
    </w:pPr>
  </w:style>
  <w:style w:type="paragraph" w:styleId="Revision">
    <w:name w:val="Revision"/>
    <w:hidden/>
    <w:uiPriority w:val="71"/>
    <w:rsid w:val="001875F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06">
      <w:bodyDiv w:val="1"/>
      <w:marLeft w:val="0"/>
      <w:marRight w:val="0"/>
      <w:marTop w:val="0"/>
      <w:marBottom w:val="0"/>
      <w:divBdr>
        <w:top w:val="none" w:sz="0" w:space="0" w:color="auto"/>
        <w:left w:val="none" w:sz="0" w:space="0" w:color="auto"/>
        <w:bottom w:val="none" w:sz="0" w:space="0" w:color="auto"/>
        <w:right w:val="none" w:sz="0" w:space="0" w:color="auto"/>
      </w:divBdr>
      <w:divsChild>
        <w:div w:id="172234296">
          <w:marLeft w:val="0"/>
          <w:marRight w:val="0"/>
          <w:marTop w:val="0"/>
          <w:marBottom w:val="0"/>
          <w:divBdr>
            <w:top w:val="none" w:sz="0" w:space="0" w:color="auto"/>
            <w:left w:val="none" w:sz="0" w:space="0" w:color="auto"/>
            <w:bottom w:val="none" w:sz="0" w:space="0" w:color="auto"/>
            <w:right w:val="none" w:sz="0" w:space="0" w:color="auto"/>
          </w:divBdr>
          <w:divsChild>
            <w:div w:id="6994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918">
      <w:bodyDiv w:val="1"/>
      <w:marLeft w:val="0"/>
      <w:marRight w:val="0"/>
      <w:marTop w:val="0"/>
      <w:marBottom w:val="0"/>
      <w:divBdr>
        <w:top w:val="none" w:sz="0" w:space="0" w:color="auto"/>
        <w:left w:val="none" w:sz="0" w:space="0" w:color="auto"/>
        <w:bottom w:val="none" w:sz="0" w:space="0" w:color="auto"/>
        <w:right w:val="none" w:sz="0" w:space="0" w:color="auto"/>
      </w:divBdr>
      <w:divsChild>
        <w:div w:id="1662930516">
          <w:marLeft w:val="547"/>
          <w:marRight w:val="0"/>
          <w:marTop w:val="134"/>
          <w:marBottom w:val="0"/>
          <w:divBdr>
            <w:top w:val="none" w:sz="0" w:space="0" w:color="auto"/>
            <w:left w:val="none" w:sz="0" w:space="0" w:color="auto"/>
            <w:bottom w:val="none" w:sz="0" w:space="0" w:color="auto"/>
            <w:right w:val="none" w:sz="0" w:space="0" w:color="auto"/>
          </w:divBdr>
        </w:div>
      </w:divsChild>
    </w:div>
    <w:div w:id="317657311">
      <w:bodyDiv w:val="1"/>
      <w:marLeft w:val="0"/>
      <w:marRight w:val="0"/>
      <w:marTop w:val="0"/>
      <w:marBottom w:val="0"/>
      <w:divBdr>
        <w:top w:val="none" w:sz="0" w:space="0" w:color="auto"/>
        <w:left w:val="none" w:sz="0" w:space="0" w:color="auto"/>
        <w:bottom w:val="none" w:sz="0" w:space="0" w:color="auto"/>
        <w:right w:val="none" w:sz="0" w:space="0" w:color="auto"/>
      </w:divBdr>
      <w:divsChild>
        <w:div w:id="150610590">
          <w:marLeft w:val="432"/>
          <w:marRight w:val="0"/>
          <w:marTop w:val="120"/>
          <w:marBottom w:val="0"/>
          <w:divBdr>
            <w:top w:val="none" w:sz="0" w:space="0" w:color="auto"/>
            <w:left w:val="none" w:sz="0" w:space="0" w:color="auto"/>
            <w:bottom w:val="none" w:sz="0" w:space="0" w:color="auto"/>
            <w:right w:val="none" w:sz="0" w:space="0" w:color="auto"/>
          </w:divBdr>
        </w:div>
        <w:div w:id="385758382">
          <w:marLeft w:val="432"/>
          <w:marRight w:val="0"/>
          <w:marTop w:val="120"/>
          <w:marBottom w:val="0"/>
          <w:divBdr>
            <w:top w:val="none" w:sz="0" w:space="0" w:color="auto"/>
            <w:left w:val="none" w:sz="0" w:space="0" w:color="auto"/>
            <w:bottom w:val="none" w:sz="0" w:space="0" w:color="auto"/>
            <w:right w:val="none" w:sz="0" w:space="0" w:color="auto"/>
          </w:divBdr>
        </w:div>
        <w:div w:id="462581278">
          <w:marLeft w:val="432"/>
          <w:marRight w:val="0"/>
          <w:marTop w:val="120"/>
          <w:marBottom w:val="0"/>
          <w:divBdr>
            <w:top w:val="none" w:sz="0" w:space="0" w:color="auto"/>
            <w:left w:val="none" w:sz="0" w:space="0" w:color="auto"/>
            <w:bottom w:val="none" w:sz="0" w:space="0" w:color="auto"/>
            <w:right w:val="none" w:sz="0" w:space="0" w:color="auto"/>
          </w:divBdr>
        </w:div>
      </w:divsChild>
    </w:div>
    <w:div w:id="508445846">
      <w:bodyDiv w:val="1"/>
      <w:marLeft w:val="0"/>
      <w:marRight w:val="0"/>
      <w:marTop w:val="0"/>
      <w:marBottom w:val="0"/>
      <w:divBdr>
        <w:top w:val="none" w:sz="0" w:space="0" w:color="auto"/>
        <w:left w:val="none" w:sz="0" w:space="0" w:color="auto"/>
        <w:bottom w:val="none" w:sz="0" w:space="0" w:color="auto"/>
        <w:right w:val="none" w:sz="0" w:space="0" w:color="auto"/>
      </w:divBdr>
    </w:div>
    <w:div w:id="528220450">
      <w:bodyDiv w:val="1"/>
      <w:marLeft w:val="0"/>
      <w:marRight w:val="0"/>
      <w:marTop w:val="0"/>
      <w:marBottom w:val="0"/>
      <w:divBdr>
        <w:top w:val="none" w:sz="0" w:space="0" w:color="auto"/>
        <w:left w:val="none" w:sz="0" w:space="0" w:color="auto"/>
        <w:bottom w:val="none" w:sz="0" w:space="0" w:color="auto"/>
        <w:right w:val="none" w:sz="0" w:space="0" w:color="auto"/>
      </w:divBdr>
      <w:divsChild>
        <w:div w:id="1457796334">
          <w:marLeft w:val="547"/>
          <w:marRight w:val="0"/>
          <w:marTop w:val="134"/>
          <w:marBottom w:val="0"/>
          <w:divBdr>
            <w:top w:val="none" w:sz="0" w:space="0" w:color="auto"/>
            <w:left w:val="none" w:sz="0" w:space="0" w:color="auto"/>
            <w:bottom w:val="none" w:sz="0" w:space="0" w:color="auto"/>
            <w:right w:val="none" w:sz="0" w:space="0" w:color="auto"/>
          </w:divBdr>
        </w:div>
        <w:div w:id="2068723792">
          <w:marLeft w:val="547"/>
          <w:marRight w:val="0"/>
          <w:marTop w:val="134"/>
          <w:marBottom w:val="0"/>
          <w:divBdr>
            <w:top w:val="none" w:sz="0" w:space="0" w:color="auto"/>
            <w:left w:val="none" w:sz="0" w:space="0" w:color="auto"/>
            <w:bottom w:val="none" w:sz="0" w:space="0" w:color="auto"/>
            <w:right w:val="none" w:sz="0" w:space="0" w:color="auto"/>
          </w:divBdr>
        </w:div>
        <w:div w:id="2135057487">
          <w:marLeft w:val="547"/>
          <w:marRight w:val="0"/>
          <w:marTop w:val="134"/>
          <w:marBottom w:val="0"/>
          <w:divBdr>
            <w:top w:val="none" w:sz="0" w:space="0" w:color="auto"/>
            <w:left w:val="none" w:sz="0" w:space="0" w:color="auto"/>
            <w:bottom w:val="none" w:sz="0" w:space="0" w:color="auto"/>
            <w:right w:val="none" w:sz="0" w:space="0" w:color="auto"/>
          </w:divBdr>
        </w:div>
      </w:divsChild>
    </w:div>
    <w:div w:id="552231193">
      <w:bodyDiv w:val="1"/>
      <w:marLeft w:val="0"/>
      <w:marRight w:val="0"/>
      <w:marTop w:val="0"/>
      <w:marBottom w:val="0"/>
      <w:divBdr>
        <w:top w:val="none" w:sz="0" w:space="0" w:color="auto"/>
        <w:left w:val="none" w:sz="0" w:space="0" w:color="auto"/>
        <w:bottom w:val="none" w:sz="0" w:space="0" w:color="auto"/>
        <w:right w:val="none" w:sz="0" w:space="0" w:color="auto"/>
      </w:divBdr>
      <w:divsChild>
        <w:div w:id="941911780">
          <w:marLeft w:val="432"/>
          <w:marRight w:val="0"/>
          <w:marTop w:val="120"/>
          <w:marBottom w:val="0"/>
          <w:divBdr>
            <w:top w:val="none" w:sz="0" w:space="0" w:color="auto"/>
            <w:left w:val="none" w:sz="0" w:space="0" w:color="auto"/>
            <w:bottom w:val="none" w:sz="0" w:space="0" w:color="auto"/>
            <w:right w:val="none" w:sz="0" w:space="0" w:color="auto"/>
          </w:divBdr>
        </w:div>
        <w:div w:id="1313176829">
          <w:marLeft w:val="432"/>
          <w:marRight w:val="0"/>
          <w:marTop w:val="120"/>
          <w:marBottom w:val="0"/>
          <w:divBdr>
            <w:top w:val="none" w:sz="0" w:space="0" w:color="auto"/>
            <w:left w:val="none" w:sz="0" w:space="0" w:color="auto"/>
            <w:bottom w:val="none" w:sz="0" w:space="0" w:color="auto"/>
            <w:right w:val="none" w:sz="0" w:space="0" w:color="auto"/>
          </w:divBdr>
        </w:div>
        <w:div w:id="1523082810">
          <w:marLeft w:val="432"/>
          <w:marRight w:val="0"/>
          <w:marTop w:val="120"/>
          <w:marBottom w:val="0"/>
          <w:divBdr>
            <w:top w:val="none" w:sz="0" w:space="0" w:color="auto"/>
            <w:left w:val="none" w:sz="0" w:space="0" w:color="auto"/>
            <w:bottom w:val="none" w:sz="0" w:space="0" w:color="auto"/>
            <w:right w:val="none" w:sz="0" w:space="0" w:color="auto"/>
          </w:divBdr>
        </w:div>
        <w:div w:id="1786345279">
          <w:marLeft w:val="432"/>
          <w:marRight w:val="0"/>
          <w:marTop w:val="120"/>
          <w:marBottom w:val="0"/>
          <w:divBdr>
            <w:top w:val="none" w:sz="0" w:space="0" w:color="auto"/>
            <w:left w:val="none" w:sz="0" w:space="0" w:color="auto"/>
            <w:bottom w:val="none" w:sz="0" w:space="0" w:color="auto"/>
            <w:right w:val="none" w:sz="0" w:space="0" w:color="auto"/>
          </w:divBdr>
        </w:div>
      </w:divsChild>
    </w:div>
    <w:div w:id="592667774">
      <w:bodyDiv w:val="1"/>
      <w:marLeft w:val="0"/>
      <w:marRight w:val="0"/>
      <w:marTop w:val="0"/>
      <w:marBottom w:val="0"/>
      <w:divBdr>
        <w:top w:val="none" w:sz="0" w:space="0" w:color="auto"/>
        <w:left w:val="none" w:sz="0" w:space="0" w:color="auto"/>
        <w:bottom w:val="none" w:sz="0" w:space="0" w:color="auto"/>
        <w:right w:val="none" w:sz="0" w:space="0" w:color="auto"/>
      </w:divBdr>
      <w:divsChild>
        <w:div w:id="1175657103">
          <w:marLeft w:val="432"/>
          <w:marRight w:val="0"/>
          <w:marTop w:val="120"/>
          <w:marBottom w:val="0"/>
          <w:divBdr>
            <w:top w:val="none" w:sz="0" w:space="0" w:color="auto"/>
            <w:left w:val="none" w:sz="0" w:space="0" w:color="auto"/>
            <w:bottom w:val="none" w:sz="0" w:space="0" w:color="auto"/>
            <w:right w:val="none" w:sz="0" w:space="0" w:color="auto"/>
          </w:divBdr>
        </w:div>
        <w:div w:id="211698667">
          <w:marLeft w:val="432"/>
          <w:marRight w:val="0"/>
          <w:marTop w:val="120"/>
          <w:marBottom w:val="0"/>
          <w:divBdr>
            <w:top w:val="none" w:sz="0" w:space="0" w:color="auto"/>
            <w:left w:val="none" w:sz="0" w:space="0" w:color="auto"/>
            <w:bottom w:val="none" w:sz="0" w:space="0" w:color="auto"/>
            <w:right w:val="none" w:sz="0" w:space="0" w:color="auto"/>
          </w:divBdr>
        </w:div>
      </w:divsChild>
    </w:div>
    <w:div w:id="695618853">
      <w:bodyDiv w:val="1"/>
      <w:marLeft w:val="0"/>
      <w:marRight w:val="0"/>
      <w:marTop w:val="0"/>
      <w:marBottom w:val="0"/>
      <w:divBdr>
        <w:top w:val="none" w:sz="0" w:space="0" w:color="auto"/>
        <w:left w:val="none" w:sz="0" w:space="0" w:color="auto"/>
        <w:bottom w:val="none" w:sz="0" w:space="0" w:color="auto"/>
        <w:right w:val="none" w:sz="0" w:space="0" w:color="auto"/>
      </w:divBdr>
    </w:div>
    <w:div w:id="855273327">
      <w:bodyDiv w:val="1"/>
      <w:marLeft w:val="0"/>
      <w:marRight w:val="0"/>
      <w:marTop w:val="0"/>
      <w:marBottom w:val="0"/>
      <w:divBdr>
        <w:top w:val="none" w:sz="0" w:space="0" w:color="auto"/>
        <w:left w:val="none" w:sz="0" w:space="0" w:color="auto"/>
        <w:bottom w:val="none" w:sz="0" w:space="0" w:color="auto"/>
        <w:right w:val="none" w:sz="0" w:space="0" w:color="auto"/>
      </w:divBdr>
    </w:div>
    <w:div w:id="860899441">
      <w:bodyDiv w:val="1"/>
      <w:marLeft w:val="0"/>
      <w:marRight w:val="0"/>
      <w:marTop w:val="0"/>
      <w:marBottom w:val="0"/>
      <w:divBdr>
        <w:top w:val="none" w:sz="0" w:space="0" w:color="auto"/>
        <w:left w:val="none" w:sz="0" w:space="0" w:color="auto"/>
        <w:bottom w:val="none" w:sz="0" w:space="0" w:color="auto"/>
        <w:right w:val="none" w:sz="0" w:space="0" w:color="auto"/>
      </w:divBdr>
      <w:divsChild>
        <w:div w:id="779422580">
          <w:marLeft w:val="432"/>
          <w:marRight w:val="0"/>
          <w:marTop w:val="120"/>
          <w:marBottom w:val="0"/>
          <w:divBdr>
            <w:top w:val="none" w:sz="0" w:space="0" w:color="auto"/>
            <w:left w:val="none" w:sz="0" w:space="0" w:color="auto"/>
            <w:bottom w:val="none" w:sz="0" w:space="0" w:color="auto"/>
            <w:right w:val="none" w:sz="0" w:space="0" w:color="auto"/>
          </w:divBdr>
        </w:div>
        <w:div w:id="1619489835">
          <w:marLeft w:val="432"/>
          <w:marRight w:val="0"/>
          <w:marTop w:val="120"/>
          <w:marBottom w:val="0"/>
          <w:divBdr>
            <w:top w:val="none" w:sz="0" w:space="0" w:color="auto"/>
            <w:left w:val="none" w:sz="0" w:space="0" w:color="auto"/>
            <w:bottom w:val="none" w:sz="0" w:space="0" w:color="auto"/>
            <w:right w:val="none" w:sz="0" w:space="0" w:color="auto"/>
          </w:divBdr>
        </w:div>
        <w:div w:id="1828470703">
          <w:marLeft w:val="432"/>
          <w:marRight w:val="0"/>
          <w:marTop w:val="120"/>
          <w:marBottom w:val="0"/>
          <w:divBdr>
            <w:top w:val="none" w:sz="0" w:space="0" w:color="auto"/>
            <w:left w:val="none" w:sz="0" w:space="0" w:color="auto"/>
            <w:bottom w:val="none" w:sz="0" w:space="0" w:color="auto"/>
            <w:right w:val="none" w:sz="0" w:space="0" w:color="auto"/>
          </w:divBdr>
        </w:div>
      </w:divsChild>
    </w:div>
    <w:div w:id="1163856333">
      <w:bodyDiv w:val="1"/>
      <w:marLeft w:val="0"/>
      <w:marRight w:val="0"/>
      <w:marTop w:val="0"/>
      <w:marBottom w:val="0"/>
      <w:divBdr>
        <w:top w:val="none" w:sz="0" w:space="0" w:color="auto"/>
        <w:left w:val="none" w:sz="0" w:space="0" w:color="auto"/>
        <w:bottom w:val="none" w:sz="0" w:space="0" w:color="auto"/>
        <w:right w:val="none" w:sz="0" w:space="0" w:color="auto"/>
      </w:divBdr>
      <w:divsChild>
        <w:div w:id="750128798">
          <w:marLeft w:val="432"/>
          <w:marRight w:val="0"/>
          <w:marTop w:val="120"/>
          <w:marBottom w:val="0"/>
          <w:divBdr>
            <w:top w:val="none" w:sz="0" w:space="0" w:color="auto"/>
            <w:left w:val="none" w:sz="0" w:space="0" w:color="auto"/>
            <w:bottom w:val="none" w:sz="0" w:space="0" w:color="auto"/>
            <w:right w:val="none" w:sz="0" w:space="0" w:color="auto"/>
          </w:divBdr>
        </w:div>
        <w:div w:id="1148549655">
          <w:marLeft w:val="432"/>
          <w:marRight w:val="0"/>
          <w:marTop w:val="120"/>
          <w:marBottom w:val="0"/>
          <w:divBdr>
            <w:top w:val="none" w:sz="0" w:space="0" w:color="auto"/>
            <w:left w:val="none" w:sz="0" w:space="0" w:color="auto"/>
            <w:bottom w:val="none" w:sz="0" w:space="0" w:color="auto"/>
            <w:right w:val="none" w:sz="0" w:space="0" w:color="auto"/>
          </w:divBdr>
        </w:div>
        <w:div w:id="1573080644">
          <w:marLeft w:val="1008"/>
          <w:marRight w:val="0"/>
          <w:marTop w:val="101"/>
          <w:marBottom w:val="0"/>
          <w:divBdr>
            <w:top w:val="none" w:sz="0" w:space="0" w:color="auto"/>
            <w:left w:val="none" w:sz="0" w:space="0" w:color="auto"/>
            <w:bottom w:val="none" w:sz="0" w:space="0" w:color="auto"/>
            <w:right w:val="none" w:sz="0" w:space="0" w:color="auto"/>
          </w:divBdr>
        </w:div>
        <w:div w:id="1936474745">
          <w:marLeft w:val="432"/>
          <w:marRight w:val="0"/>
          <w:marTop w:val="120"/>
          <w:marBottom w:val="0"/>
          <w:divBdr>
            <w:top w:val="none" w:sz="0" w:space="0" w:color="auto"/>
            <w:left w:val="none" w:sz="0" w:space="0" w:color="auto"/>
            <w:bottom w:val="none" w:sz="0" w:space="0" w:color="auto"/>
            <w:right w:val="none" w:sz="0" w:space="0" w:color="auto"/>
          </w:divBdr>
        </w:div>
      </w:divsChild>
    </w:div>
    <w:div w:id="1230115117">
      <w:bodyDiv w:val="1"/>
      <w:marLeft w:val="0"/>
      <w:marRight w:val="0"/>
      <w:marTop w:val="0"/>
      <w:marBottom w:val="0"/>
      <w:divBdr>
        <w:top w:val="none" w:sz="0" w:space="0" w:color="auto"/>
        <w:left w:val="none" w:sz="0" w:space="0" w:color="auto"/>
        <w:bottom w:val="none" w:sz="0" w:space="0" w:color="auto"/>
        <w:right w:val="none" w:sz="0" w:space="0" w:color="auto"/>
      </w:divBdr>
      <w:divsChild>
        <w:div w:id="1219198480">
          <w:marLeft w:val="432"/>
          <w:marRight w:val="0"/>
          <w:marTop w:val="120"/>
          <w:marBottom w:val="0"/>
          <w:divBdr>
            <w:top w:val="none" w:sz="0" w:space="0" w:color="auto"/>
            <w:left w:val="none" w:sz="0" w:space="0" w:color="auto"/>
            <w:bottom w:val="none" w:sz="0" w:space="0" w:color="auto"/>
            <w:right w:val="none" w:sz="0" w:space="0" w:color="auto"/>
          </w:divBdr>
        </w:div>
        <w:div w:id="1405642497">
          <w:marLeft w:val="432"/>
          <w:marRight w:val="0"/>
          <w:marTop w:val="120"/>
          <w:marBottom w:val="0"/>
          <w:divBdr>
            <w:top w:val="none" w:sz="0" w:space="0" w:color="auto"/>
            <w:left w:val="none" w:sz="0" w:space="0" w:color="auto"/>
            <w:bottom w:val="none" w:sz="0" w:space="0" w:color="auto"/>
            <w:right w:val="none" w:sz="0" w:space="0" w:color="auto"/>
          </w:divBdr>
        </w:div>
        <w:div w:id="1451244246">
          <w:marLeft w:val="432"/>
          <w:marRight w:val="0"/>
          <w:marTop w:val="120"/>
          <w:marBottom w:val="0"/>
          <w:divBdr>
            <w:top w:val="none" w:sz="0" w:space="0" w:color="auto"/>
            <w:left w:val="none" w:sz="0" w:space="0" w:color="auto"/>
            <w:bottom w:val="none" w:sz="0" w:space="0" w:color="auto"/>
            <w:right w:val="none" w:sz="0" w:space="0" w:color="auto"/>
          </w:divBdr>
        </w:div>
      </w:divsChild>
    </w:div>
    <w:div w:id="1508247413">
      <w:bodyDiv w:val="1"/>
      <w:marLeft w:val="0"/>
      <w:marRight w:val="0"/>
      <w:marTop w:val="0"/>
      <w:marBottom w:val="0"/>
      <w:divBdr>
        <w:top w:val="none" w:sz="0" w:space="0" w:color="auto"/>
        <w:left w:val="none" w:sz="0" w:space="0" w:color="auto"/>
        <w:bottom w:val="none" w:sz="0" w:space="0" w:color="auto"/>
        <w:right w:val="none" w:sz="0" w:space="0" w:color="auto"/>
      </w:divBdr>
    </w:div>
    <w:div w:id="1598058262">
      <w:bodyDiv w:val="1"/>
      <w:marLeft w:val="0"/>
      <w:marRight w:val="0"/>
      <w:marTop w:val="0"/>
      <w:marBottom w:val="0"/>
      <w:divBdr>
        <w:top w:val="none" w:sz="0" w:space="0" w:color="auto"/>
        <w:left w:val="none" w:sz="0" w:space="0" w:color="auto"/>
        <w:bottom w:val="none" w:sz="0" w:space="0" w:color="auto"/>
        <w:right w:val="none" w:sz="0" w:space="0" w:color="auto"/>
      </w:divBdr>
      <w:divsChild>
        <w:div w:id="341515405">
          <w:marLeft w:val="432"/>
          <w:marRight w:val="0"/>
          <w:marTop w:val="120"/>
          <w:marBottom w:val="0"/>
          <w:divBdr>
            <w:top w:val="none" w:sz="0" w:space="0" w:color="auto"/>
            <w:left w:val="none" w:sz="0" w:space="0" w:color="auto"/>
            <w:bottom w:val="none" w:sz="0" w:space="0" w:color="auto"/>
            <w:right w:val="none" w:sz="0" w:space="0" w:color="auto"/>
          </w:divBdr>
        </w:div>
        <w:div w:id="594557399">
          <w:marLeft w:val="432"/>
          <w:marRight w:val="0"/>
          <w:marTop w:val="120"/>
          <w:marBottom w:val="0"/>
          <w:divBdr>
            <w:top w:val="none" w:sz="0" w:space="0" w:color="auto"/>
            <w:left w:val="none" w:sz="0" w:space="0" w:color="auto"/>
            <w:bottom w:val="none" w:sz="0" w:space="0" w:color="auto"/>
            <w:right w:val="none" w:sz="0" w:space="0" w:color="auto"/>
          </w:divBdr>
        </w:div>
        <w:div w:id="1745642613">
          <w:marLeft w:val="432"/>
          <w:marRight w:val="0"/>
          <w:marTop w:val="120"/>
          <w:marBottom w:val="0"/>
          <w:divBdr>
            <w:top w:val="none" w:sz="0" w:space="0" w:color="auto"/>
            <w:left w:val="none" w:sz="0" w:space="0" w:color="auto"/>
            <w:bottom w:val="none" w:sz="0" w:space="0" w:color="auto"/>
            <w:right w:val="none" w:sz="0" w:space="0" w:color="auto"/>
          </w:divBdr>
        </w:div>
        <w:div w:id="2017222279">
          <w:marLeft w:val="432"/>
          <w:marRight w:val="0"/>
          <w:marTop w:val="120"/>
          <w:marBottom w:val="0"/>
          <w:divBdr>
            <w:top w:val="none" w:sz="0" w:space="0" w:color="auto"/>
            <w:left w:val="none" w:sz="0" w:space="0" w:color="auto"/>
            <w:bottom w:val="none" w:sz="0" w:space="0" w:color="auto"/>
            <w:right w:val="none" w:sz="0" w:space="0" w:color="auto"/>
          </w:divBdr>
        </w:div>
        <w:div w:id="2031711428">
          <w:marLeft w:val="432"/>
          <w:marRight w:val="0"/>
          <w:marTop w:val="120"/>
          <w:marBottom w:val="0"/>
          <w:divBdr>
            <w:top w:val="none" w:sz="0" w:space="0" w:color="auto"/>
            <w:left w:val="none" w:sz="0" w:space="0" w:color="auto"/>
            <w:bottom w:val="none" w:sz="0" w:space="0" w:color="auto"/>
            <w:right w:val="none" w:sz="0" w:space="0" w:color="auto"/>
          </w:divBdr>
        </w:div>
        <w:div w:id="2071920947">
          <w:marLeft w:val="432"/>
          <w:marRight w:val="0"/>
          <w:marTop w:val="120"/>
          <w:marBottom w:val="0"/>
          <w:divBdr>
            <w:top w:val="none" w:sz="0" w:space="0" w:color="auto"/>
            <w:left w:val="none" w:sz="0" w:space="0" w:color="auto"/>
            <w:bottom w:val="none" w:sz="0" w:space="0" w:color="auto"/>
            <w:right w:val="none" w:sz="0" w:space="0" w:color="auto"/>
          </w:divBdr>
        </w:div>
      </w:divsChild>
    </w:div>
    <w:div w:id="1702823109">
      <w:bodyDiv w:val="1"/>
      <w:marLeft w:val="0"/>
      <w:marRight w:val="0"/>
      <w:marTop w:val="0"/>
      <w:marBottom w:val="0"/>
      <w:divBdr>
        <w:top w:val="none" w:sz="0" w:space="0" w:color="auto"/>
        <w:left w:val="none" w:sz="0" w:space="0" w:color="auto"/>
        <w:bottom w:val="none" w:sz="0" w:space="0" w:color="auto"/>
        <w:right w:val="none" w:sz="0" w:space="0" w:color="auto"/>
      </w:divBdr>
      <w:divsChild>
        <w:div w:id="672951643">
          <w:marLeft w:val="432"/>
          <w:marRight w:val="0"/>
          <w:marTop w:val="120"/>
          <w:marBottom w:val="0"/>
          <w:divBdr>
            <w:top w:val="none" w:sz="0" w:space="0" w:color="auto"/>
            <w:left w:val="none" w:sz="0" w:space="0" w:color="auto"/>
            <w:bottom w:val="none" w:sz="0" w:space="0" w:color="auto"/>
            <w:right w:val="none" w:sz="0" w:space="0" w:color="auto"/>
          </w:divBdr>
        </w:div>
        <w:div w:id="925721995">
          <w:marLeft w:val="432"/>
          <w:marRight w:val="0"/>
          <w:marTop w:val="120"/>
          <w:marBottom w:val="0"/>
          <w:divBdr>
            <w:top w:val="none" w:sz="0" w:space="0" w:color="auto"/>
            <w:left w:val="none" w:sz="0" w:space="0" w:color="auto"/>
            <w:bottom w:val="none" w:sz="0" w:space="0" w:color="auto"/>
            <w:right w:val="none" w:sz="0" w:space="0" w:color="auto"/>
          </w:divBdr>
        </w:div>
      </w:divsChild>
    </w:div>
    <w:div w:id="1842430733">
      <w:bodyDiv w:val="1"/>
      <w:marLeft w:val="0"/>
      <w:marRight w:val="0"/>
      <w:marTop w:val="0"/>
      <w:marBottom w:val="0"/>
      <w:divBdr>
        <w:top w:val="none" w:sz="0" w:space="0" w:color="auto"/>
        <w:left w:val="none" w:sz="0" w:space="0" w:color="auto"/>
        <w:bottom w:val="none" w:sz="0" w:space="0" w:color="auto"/>
        <w:right w:val="none" w:sz="0" w:space="0" w:color="auto"/>
      </w:divBdr>
    </w:div>
    <w:div w:id="1892884264">
      <w:bodyDiv w:val="1"/>
      <w:marLeft w:val="0"/>
      <w:marRight w:val="0"/>
      <w:marTop w:val="0"/>
      <w:marBottom w:val="0"/>
      <w:divBdr>
        <w:top w:val="none" w:sz="0" w:space="0" w:color="auto"/>
        <w:left w:val="none" w:sz="0" w:space="0" w:color="auto"/>
        <w:bottom w:val="none" w:sz="0" w:space="0" w:color="auto"/>
        <w:right w:val="none" w:sz="0" w:space="0" w:color="auto"/>
      </w:divBdr>
    </w:div>
    <w:div w:id="1916353024">
      <w:bodyDiv w:val="1"/>
      <w:marLeft w:val="0"/>
      <w:marRight w:val="0"/>
      <w:marTop w:val="0"/>
      <w:marBottom w:val="0"/>
      <w:divBdr>
        <w:top w:val="none" w:sz="0" w:space="0" w:color="auto"/>
        <w:left w:val="none" w:sz="0" w:space="0" w:color="auto"/>
        <w:bottom w:val="none" w:sz="0" w:space="0" w:color="auto"/>
        <w:right w:val="none" w:sz="0" w:space="0" w:color="auto"/>
      </w:divBdr>
      <w:divsChild>
        <w:div w:id="895094401">
          <w:marLeft w:val="432"/>
          <w:marRight w:val="0"/>
          <w:marTop w:val="120"/>
          <w:marBottom w:val="0"/>
          <w:divBdr>
            <w:top w:val="none" w:sz="0" w:space="0" w:color="auto"/>
            <w:left w:val="none" w:sz="0" w:space="0" w:color="auto"/>
            <w:bottom w:val="none" w:sz="0" w:space="0" w:color="auto"/>
            <w:right w:val="none" w:sz="0" w:space="0" w:color="auto"/>
          </w:divBdr>
        </w:div>
        <w:div w:id="1010789759">
          <w:marLeft w:val="432"/>
          <w:marRight w:val="0"/>
          <w:marTop w:val="120"/>
          <w:marBottom w:val="0"/>
          <w:divBdr>
            <w:top w:val="none" w:sz="0" w:space="0" w:color="auto"/>
            <w:left w:val="none" w:sz="0" w:space="0" w:color="auto"/>
            <w:bottom w:val="none" w:sz="0" w:space="0" w:color="auto"/>
            <w:right w:val="none" w:sz="0" w:space="0" w:color="auto"/>
          </w:divBdr>
        </w:div>
        <w:div w:id="1038240938">
          <w:marLeft w:val="432"/>
          <w:marRight w:val="0"/>
          <w:marTop w:val="120"/>
          <w:marBottom w:val="0"/>
          <w:divBdr>
            <w:top w:val="none" w:sz="0" w:space="0" w:color="auto"/>
            <w:left w:val="none" w:sz="0" w:space="0" w:color="auto"/>
            <w:bottom w:val="none" w:sz="0" w:space="0" w:color="auto"/>
            <w:right w:val="none" w:sz="0" w:space="0" w:color="auto"/>
          </w:divBdr>
        </w:div>
      </w:divsChild>
    </w:div>
    <w:div w:id="2022470960">
      <w:bodyDiv w:val="1"/>
      <w:marLeft w:val="0"/>
      <w:marRight w:val="0"/>
      <w:marTop w:val="0"/>
      <w:marBottom w:val="0"/>
      <w:divBdr>
        <w:top w:val="none" w:sz="0" w:space="0" w:color="auto"/>
        <w:left w:val="none" w:sz="0" w:space="0" w:color="auto"/>
        <w:bottom w:val="none" w:sz="0" w:space="0" w:color="auto"/>
        <w:right w:val="none" w:sz="0" w:space="0" w:color="auto"/>
      </w:divBdr>
      <w:divsChild>
        <w:div w:id="6446840">
          <w:marLeft w:val="1008"/>
          <w:marRight w:val="0"/>
          <w:marTop w:val="101"/>
          <w:marBottom w:val="0"/>
          <w:divBdr>
            <w:top w:val="none" w:sz="0" w:space="0" w:color="auto"/>
            <w:left w:val="none" w:sz="0" w:space="0" w:color="auto"/>
            <w:bottom w:val="none" w:sz="0" w:space="0" w:color="auto"/>
            <w:right w:val="none" w:sz="0" w:space="0" w:color="auto"/>
          </w:divBdr>
        </w:div>
        <w:div w:id="562833816">
          <w:marLeft w:val="432"/>
          <w:marRight w:val="0"/>
          <w:marTop w:val="120"/>
          <w:marBottom w:val="0"/>
          <w:divBdr>
            <w:top w:val="none" w:sz="0" w:space="0" w:color="auto"/>
            <w:left w:val="none" w:sz="0" w:space="0" w:color="auto"/>
            <w:bottom w:val="none" w:sz="0" w:space="0" w:color="auto"/>
            <w:right w:val="none" w:sz="0" w:space="0" w:color="auto"/>
          </w:divBdr>
        </w:div>
        <w:div w:id="833842943">
          <w:marLeft w:val="432"/>
          <w:marRight w:val="0"/>
          <w:marTop w:val="120"/>
          <w:marBottom w:val="0"/>
          <w:divBdr>
            <w:top w:val="none" w:sz="0" w:space="0" w:color="auto"/>
            <w:left w:val="none" w:sz="0" w:space="0" w:color="auto"/>
            <w:bottom w:val="none" w:sz="0" w:space="0" w:color="auto"/>
            <w:right w:val="none" w:sz="0" w:space="0" w:color="auto"/>
          </w:divBdr>
        </w:div>
        <w:div w:id="1185437168">
          <w:marLeft w:val="1008"/>
          <w:marRight w:val="0"/>
          <w:marTop w:val="1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dividual.utoronto.ca/tagliamonte/goldvarb.htm" TargetMode="External"/><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EC7E05-822E-46E1-AB0A-583BDF28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CF1CE8AE.dotm</Template>
  <TotalTime>0</TotalTime>
  <Pages>31</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TITLE SLIDE</vt:lpstr>
    </vt:vector>
  </TitlesOfParts>
  <Company> </Company>
  <LinksUpToDate>false</LinksUpToDate>
  <CharactersWithSpaces>44493</CharactersWithSpaces>
  <SharedDoc>false</SharedDoc>
  <HLinks>
    <vt:vector size="12" baseType="variant">
      <vt:variant>
        <vt:i4>6619257</vt:i4>
      </vt:variant>
      <vt:variant>
        <vt:i4>3</vt:i4>
      </vt:variant>
      <vt:variant>
        <vt:i4>0</vt:i4>
      </vt:variant>
      <vt:variant>
        <vt:i4>5</vt:i4>
      </vt:variant>
      <vt:variant>
        <vt:lpwstr>http://individual.utoronto.ca/tagliamonte/goldvarb.htm</vt:lpwstr>
      </vt:variant>
      <vt:variant>
        <vt:lpwstr/>
      </vt:variant>
      <vt:variant>
        <vt:i4>6226010</vt:i4>
      </vt:variant>
      <vt:variant>
        <vt:i4>0</vt:i4>
      </vt:variant>
      <vt:variant>
        <vt:i4>0</vt:i4>
      </vt:variant>
      <vt:variant>
        <vt:i4>5</vt:i4>
      </vt:variant>
      <vt:variant>
        <vt:lpwstr>http://www.r-project.org/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SLIDE</dc:title>
  <dc:creator>Cathleen</dc:creator>
  <cp:lastModifiedBy>Waters, Cathleen M. (Dr.)</cp:lastModifiedBy>
  <cp:revision>2</cp:revision>
  <dcterms:created xsi:type="dcterms:W3CDTF">2017-03-31T16:00:00Z</dcterms:created>
  <dcterms:modified xsi:type="dcterms:W3CDTF">2017-03-31T16:00:00Z</dcterms:modified>
</cp:coreProperties>
</file>