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8DC1" w14:textId="77777777" w:rsidR="000839FD" w:rsidRPr="004D032E" w:rsidRDefault="000839FD" w:rsidP="007C50C6">
      <w:pPr>
        <w:widowControl w:val="0"/>
        <w:autoSpaceDE w:val="0"/>
        <w:autoSpaceDN w:val="0"/>
        <w:adjustRightInd w:val="0"/>
        <w:rPr>
          <w:rFonts w:ascii="Arial" w:eastAsia="?????? Pro W3" w:hAnsi="Arial"/>
          <w:color w:val="000000"/>
          <w:sz w:val="22"/>
          <w:szCs w:val="22"/>
          <w:lang w:val="en-GB"/>
        </w:rPr>
      </w:pPr>
    </w:p>
    <w:p w14:paraId="151B51A9" w14:textId="77777777" w:rsidR="005800CF" w:rsidRPr="00B33F3F" w:rsidRDefault="005800CF" w:rsidP="008B7BB5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color w:val="00B050"/>
          <w:sz w:val="22"/>
          <w:szCs w:val="22"/>
          <w:lang w:val="en-GB" w:eastAsia="zh-CN"/>
        </w:rPr>
      </w:pPr>
      <w:r w:rsidRPr="00B33F3F">
        <w:rPr>
          <w:rFonts w:ascii="Arial" w:eastAsia="Times New Roman" w:hAnsi="Arial"/>
          <w:color w:val="00B050"/>
          <w:sz w:val="22"/>
          <w:szCs w:val="22"/>
          <w:lang w:val="en-GB" w:eastAsia="zh-CN"/>
        </w:rPr>
        <w:t>The </w:t>
      </w:r>
      <w:r w:rsidRPr="00B33F3F">
        <w:rPr>
          <w:rFonts w:ascii="Arial" w:eastAsia="Times New Roman" w:hAnsi="Arial"/>
          <w:b/>
          <w:bCs/>
          <w:color w:val="00B050"/>
          <w:sz w:val="22"/>
          <w:szCs w:val="22"/>
          <w:lang w:val="en-GB" w:eastAsia="zh-CN"/>
        </w:rPr>
        <w:t>maximum number of characters</w:t>
      </w:r>
      <w:r w:rsidRPr="00B33F3F">
        <w:rPr>
          <w:rFonts w:ascii="Arial" w:eastAsia="Times New Roman" w:hAnsi="Arial"/>
          <w:color w:val="00B050"/>
          <w:sz w:val="22"/>
          <w:szCs w:val="22"/>
          <w:lang w:val="en-GB" w:eastAsia="zh-CN"/>
        </w:rPr>
        <w:t> is 3,200 (excl. spaces) including the title and the author block. The </w:t>
      </w:r>
      <w:r w:rsidRPr="00B33F3F">
        <w:rPr>
          <w:rFonts w:ascii="Arial" w:eastAsia="Times New Roman" w:hAnsi="Arial"/>
          <w:b/>
          <w:bCs/>
          <w:color w:val="00B050"/>
          <w:sz w:val="22"/>
          <w:szCs w:val="22"/>
          <w:lang w:val="en-GB" w:eastAsia="zh-CN"/>
        </w:rPr>
        <w:t>title</w:t>
      </w:r>
      <w:r w:rsidRPr="00B33F3F">
        <w:rPr>
          <w:rFonts w:ascii="Arial" w:eastAsia="Times New Roman" w:hAnsi="Arial"/>
          <w:color w:val="00B050"/>
          <w:sz w:val="22"/>
          <w:szCs w:val="22"/>
          <w:lang w:val="en-GB" w:eastAsia="zh-CN"/>
        </w:rPr>
        <w:t> should be short (maximum 150 characters).</w:t>
      </w:r>
    </w:p>
    <w:p w14:paraId="5E17BACC" w14:textId="77777777" w:rsidR="005800CF" w:rsidRPr="00B33F3F" w:rsidRDefault="005800CF" w:rsidP="005800CF">
      <w:pPr>
        <w:rPr>
          <w:rFonts w:ascii="Arial" w:eastAsia="Times New Roman" w:hAnsi="Arial"/>
          <w:color w:val="00B050"/>
          <w:sz w:val="22"/>
          <w:szCs w:val="22"/>
          <w:lang w:val="en-GB" w:eastAsia="zh-CN"/>
        </w:rPr>
      </w:pPr>
      <w:r w:rsidRPr="00B33F3F">
        <w:rPr>
          <w:rFonts w:ascii="Arial" w:eastAsia="Times New Roman" w:hAnsi="Arial"/>
          <w:color w:val="00B050"/>
          <w:sz w:val="22"/>
          <w:szCs w:val="22"/>
          <w:shd w:val="clear" w:color="auto" w:fill="FFFFFF"/>
          <w:lang w:val="en-GB" w:eastAsia="zh-CN"/>
        </w:rPr>
        <w:t>It is allowed to include only </w:t>
      </w:r>
      <w:r w:rsidRPr="00B33F3F">
        <w:rPr>
          <w:rFonts w:ascii="Arial" w:eastAsia="Times New Roman" w:hAnsi="Arial"/>
          <w:b/>
          <w:bCs/>
          <w:color w:val="00B050"/>
          <w:sz w:val="22"/>
          <w:szCs w:val="22"/>
          <w:shd w:val="clear" w:color="auto" w:fill="FFFFFF"/>
          <w:lang w:val="en-GB" w:eastAsia="zh-CN"/>
        </w:rPr>
        <w:t>one</w:t>
      </w:r>
      <w:r w:rsidRPr="00B33F3F">
        <w:rPr>
          <w:rFonts w:ascii="Arial" w:eastAsia="Times New Roman" w:hAnsi="Arial"/>
          <w:color w:val="00B050"/>
          <w:sz w:val="22"/>
          <w:szCs w:val="22"/>
          <w:shd w:val="clear" w:color="auto" w:fill="FFFFFF"/>
          <w:lang w:val="en-GB" w:eastAsia="zh-CN"/>
        </w:rPr>
        <w:t> table </w:t>
      </w:r>
      <w:r w:rsidRPr="00B33F3F">
        <w:rPr>
          <w:rFonts w:ascii="Arial" w:eastAsia="Times New Roman" w:hAnsi="Arial"/>
          <w:b/>
          <w:bCs/>
          <w:color w:val="00B050"/>
          <w:sz w:val="22"/>
          <w:szCs w:val="22"/>
          <w:shd w:val="clear" w:color="auto" w:fill="FFFFFF"/>
          <w:lang w:val="en-GB" w:eastAsia="zh-CN"/>
        </w:rPr>
        <w:t>OR one</w:t>
      </w:r>
      <w:r w:rsidRPr="00B33F3F">
        <w:rPr>
          <w:rFonts w:ascii="Arial" w:eastAsia="Times New Roman" w:hAnsi="Arial"/>
          <w:color w:val="00B050"/>
          <w:sz w:val="22"/>
          <w:szCs w:val="22"/>
          <w:shd w:val="clear" w:color="auto" w:fill="FFFFFF"/>
          <w:lang w:val="en-GB" w:eastAsia="zh-CN"/>
        </w:rPr>
        <w:t> graph to your abstract, but 400 characters will be deducted from the maximum number of characters allowed. Tables must be uploaded as an image; so you must create your table and convert it into an image in order to include it in your abstract. </w:t>
      </w:r>
    </w:p>
    <w:p w14:paraId="7ED1D5CB" w14:textId="4F660BBC" w:rsidR="005800CF" w:rsidRPr="005800CF" w:rsidRDefault="005800CF" w:rsidP="002D17AE">
      <w:pPr>
        <w:shd w:val="clear" w:color="auto" w:fill="FFFFFF"/>
        <w:spacing w:before="100" w:beforeAutospacing="1" w:after="100" w:afterAutospacing="1"/>
        <w:outlineLvl w:val="0"/>
        <w:rPr>
          <w:rFonts w:ascii="Times" w:eastAsia="Times New Roman" w:hAnsi="Times" w:cs="Times New Roman"/>
          <w:color w:val="333333"/>
          <w:sz w:val="27"/>
          <w:szCs w:val="27"/>
          <w:lang w:val="en-GB" w:eastAsia="zh-CN"/>
        </w:rPr>
      </w:pPr>
      <w:r>
        <w:rPr>
          <w:rFonts w:ascii="Times" w:eastAsia="Times New Roman" w:hAnsi="Times" w:cs="Times New Roman"/>
          <w:color w:val="333333"/>
          <w:sz w:val="27"/>
          <w:szCs w:val="27"/>
          <w:lang w:val="en-GB" w:eastAsia="zh-CN"/>
        </w:rPr>
        <w:t>EASD Abstract</w:t>
      </w:r>
    </w:p>
    <w:p w14:paraId="6F9BC8C7" w14:textId="10A5BC0F" w:rsidR="000839FD" w:rsidRPr="004D032E" w:rsidRDefault="000839FD" w:rsidP="00631B5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4D032E">
        <w:rPr>
          <w:rFonts w:ascii="Arial" w:eastAsia="?????? Pro W3" w:hAnsi="Arial"/>
          <w:color w:val="000000"/>
          <w:sz w:val="22"/>
          <w:szCs w:val="22"/>
          <w:lang w:val="en-GB"/>
        </w:rPr>
        <w:t>The</w:t>
      </w:r>
      <w:r>
        <w:rPr>
          <w:rFonts w:ascii="Arial" w:eastAsia="?????? Pro W3" w:hAnsi="Arial"/>
          <w:color w:val="000000"/>
          <w:sz w:val="22"/>
          <w:szCs w:val="22"/>
          <w:lang w:val="en-GB"/>
        </w:rPr>
        <w:t xml:space="preserve"> </w:t>
      </w:r>
      <w:r w:rsidR="00172ACB">
        <w:rPr>
          <w:rFonts w:ascii="Arial" w:eastAsia="?????? Pro W3" w:hAnsi="Arial"/>
          <w:color w:val="000000"/>
          <w:sz w:val="22"/>
          <w:szCs w:val="22"/>
          <w:lang w:val="en-GB"/>
        </w:rPr>
        <w:t xml:space="preserve">metabolic </w:t>
      </w:r>
      <w:r w:rsidRPr="004D032E">
        <w:rPr>
          <w:rFonts w:ascii="Arial" w:eastAsia="?????? Pro W3" w:hAnsi="Arial"/>
          <w:color w:val="000000"/>
          <w:sz w:val="22"/>
          <w:szCs w:val="22"/>
          <w:lang w:val="en-GB"/>
        </w:rPr>
        <w:t xml:space="preserve">effects of </w:t>
      </w:r>
      <w:r w:rsidR="00172ACB">
        <w:rPr>
          <w:rFonts w:ascii="Arial" w:eastAsia="?????? Pro W3" w:hAnsi="Arial"/>
          <w:color w:val="000000"/>
          <w:sz w:val="22"/>
          <w:szCs w:val="22"/>
          <w:lang w:val="en-GB"/>
        </w:rPr>
        <w:t>an SGLT2 inhibitor (</w:t>
      </w:r>
      <w:proofErr w:type="spellStart"/>
      <w:r w:rsidR="00631B5D">
        <w:rPr>
          <w:rFonts w:ascii="Arial" w:eastAsia="?????? Pro W3" w:hAnsi="Arial"/>
          <w:color w:val="000000"/>
          <w:sz w:val="22"/>
          <w:szCs w:val="22"/>
          <w:lang w:val="en-GB"/>
        </w:rPr>
        <w:t>dapagliflozin</w:t>
      </w:r>
      <w:proofErr w:type="spellEnd"/>
      <w:r w:rsidR="00172ACB">
        <w:rPr>
          <w:rFonts w:ascii="Arial" w:eastAsia="?????? Pro W3" w:hAnsi="Arial"/>
          <w:color w:val="000000"/>
          <w:sz w:val="22"/>
          <w:szCs w:val="22"/>
          <w:lang w:val="en-GB"/>
        </w:rPr>
        <w:t>)</w:t>
      </w:r>
      <w:r w:rsidR="00631B5D">
        <w:rPr>
          <w:rFonts w:ascii="Arial" w:eastAsia="?????? Pro W3" w:hAnsi="Arial"/>
          <w:color w:val="000000"/>
          <w:sz w:val="22"/>
          <w:szCs w:val="22"/>
          <w:lang w:val="en-GB"/>
        </w:rPr>
        <w:t xml:space="preserve"> </w:t>
      </w:r>
      <w:r w:rsidR="00172ACB">
        <w:rPr>
          <w:rFonts w:ascii="Arial" w:hAnsi="Arial"/>
          <w:sz w:val="22"/>
          <w:szCs w:val="22"/>
        </w:rPr>
        <w:t xml:space="preserve">during </w:t>
      </w:r>
      <w:r w:rsidRPr="004D032E">
        <w:rPr>
          <w:rFonts w:ascii="Arial" w:hAnsi="Arial"/>
          <w:sz w:val="22"/>
          <w:szCs w:val="22"/>
        </w:rPr>
        <w:t>a period of</w:t>
      </w:r>
      <w:r w:rsidR="00172ACB">
        <w:rPr>
          <w:rFonts w:ascii="Arial" w:hAnsi="Arial"/>
          <w:sz w:val="22"/>
          <w:szCs w:val="22"/>
        </w:rPr>
        <w:t xml:space="preserve"> acute</w:t>
      </w:r>
      <w:r w:rsidRPr="004D032E">
        <w:rPr>
          <w:rFonts w:ascii="Arial" w:hAnsi="Arial"/>
          <w:sz w:val="22"/>
          <w:szCs w:val="22"/>
        </w:rPr>
        <w:t xml:space="preserve"> insulin withdrawal</w:t>
      </w:r>
      <w:r w:rsidR="00172ACB">
        <w:rPr>
          <w:rFonts w:ascii="Arial" w:hAnsi="Arial"/>
          <w:sz w:val="22"/>
          <w:szCs w:val="22"/>
        </w:rPr>
        <w:t xml:space="preserve"> and development of ketoacidosis</w:t>
      </w:r>
      <w:r w:rsidRPr="004D032E">
        <w:rPr>
          <w:rFonts w:ascii="Arial" w:hAnsi="Arial"/>
          <w:sz w:val="22"/>
          <w:szCs w:val="22"/>
        </w:rPr>
        <w:t xml:space="preserve"> in p</w:t>
      </w:r>
      <w:r w:rsidR="00631B5D">
        <w:rPr>
          <w:rFonts w:ascii="Arial" w:hAnsi="Arial"/>
          <w:sz w:val="22"/>
          <w:szCs w:val="22"/>
        </w:rPr>
        <w:t>eople</w:t>
      </w:r>
      <w:r w:rsidRPr="004D032E">
        <w:rPr>
          <w:rFonts w:ascii="Arial" w:hAnsi="Arial"/>
          <w:sz w:val="22"/>
          <w:szCs w:val="22"/>
        </w:rPr>
        <w:t xml:space="preserve"> with type 1 diabetes.</w:t>
      </w:r>
    </w:p>
    <w:p w14:paraId="467265D1" w14:textId="77777777" w:rsidR="000839FD" w:rsidRPr="004D032E" w:rsidRDefault="000839FD" w:rsidP="007C50C6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2DB8CF94" w14:textId="15A8301A" w:rsidR="000839FD" w:rsidRPr="004D032E" w:rsidRDefault="000839FD" w:rsidP="007C50C6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vertAlign w:val="superscript"/>
        </w:rPr>
      </w:pPr>
      <w:r w:rsidRPr="004D032E">
        <w:rPr>
          <w:rFonts w:ascii="Arial" w:hAnsi="Arial"/>
          <w:sz w:val="22"/>
          <w:szCs w:val="22"/>
        </w:rPr>
        <w:t>Roselle Herring</w:t>
      </w:r>
      <w:r w:rsidRPr="004D032E">
        <w:rPr>
          <w:rFonts w:ascii="Arial" w:hAnsi="Arial"/>
          <w:sz w:val="22"/>
          <w:szCs w:val="22"/>
          <w:vertAlign w:val="superscript"/>
        </w:rPr>
        <w:t>1</w:t>
      </w:r>
      <w:r w:rsidRPr="004D032E">
        <w:rPr>
          <w:rFonts w:ascii="Arial" w:hAnsi="Arial"/>
          <w:sz w:val="22"/>
          <w:szCs w:val="22"/>
        </w:rPr>
        <w:t>, Fariba Shojaee-Moradie</w:t>
      </w:r>
      <w:r w:rsidRPr="004D032E">
        <w:rPr>
          <w:rFonts w:ascii="Arial" w:hAnsi="Arial"/>
          <w:sz w:val="22"/>
          <w:szCs w:val="22"/>
          <w:vertAlign w:val="superscript"/>
        </w:rPr>
        <w:t>2</w:t>
      </w:r>
      <w:r w:rsidRPr="004D032E">
        <w:rPr>
          <w:rFonts w:ascii="Arial" w:hAnsi="Arial"/>
          <w:sz w:val="22"/>
          <w:szCs w:val="22"/>
        </w:rPr>
        <w:t xml:space="preserve">, </w:t>
      </w:r>
      <w:r w:rsidR="00631B5D">
        <w:rPr>
          <w:rFonts w:ascii="Arial" w:hAnsi="Arial"/>
          <w:sz w:val="22"/>
          <w:szCs w:val="22"/>
        </w:rPr>
        <w:t>Robert Garesse</w:t>
      </w:r>
      <w:r w:rsidR="00631B5D" w:rsidRPr="00E346CE">
        <w:rPr>
          <w:rFonts w:ascii="Arial" w:hAnsi="Arial"/>
          <w:sz w:val="22"/>
          <w:szCs w:val="22"/>
          <w:vertAlign w:val="superscript"/>
        </w:rPr>
        <w:t>1</w:t>
      </w:r>
      <w:r w:rsidR="00631B5D">
        <w:rPr>
          <w:rFonts w:ascii="Arial" w:hAnsi="Arial"/>
          <w:sz w:val="22"/>
          <w:szCs w:val="22"/>
        </w:rPr>
        <w:t>, Mary Stevenage</w:t>
      </w:r>
      <w:r w:rsidR="00631B5D" w:rsidRPr="00E346CE">
        <w:rPr>
          <w:rFonts w:ascii="Arial" w:hAnsi="Arial"/>
          <w:sz w:val="22"/>
          <w:szCs w:val="22"/>
          <w:vertAlign w:val="superscript"/>
        </w:rPr>
        <w:t>1</w:t>
      </w:r>
      <w:r w:rsidR="00631B5D">
        <w:rPr>
          <w:rFonts w:ascii="Arial" w:hAnsi="Arial"/>
          <w:sz w:val="22"/>
          <w:szCs w:val="22"/>
        </w:rPr>
        <w:t xml:space="preserve">, </w:t>
      </w:r>
      <w:r w:rsidRPr="004D032E">
        <w:rPr>
          <w:rFonts w:ascii="Arial" w:hAnsi="Arial"/>
          <w:sz w:val="22"/>
          <w:szCs w:val="22"/>
        </w:rPr>
        <w:t>Nicola Jackson</w:t>
      </w:r>
      <w:r w:rsidRPr="004D032E">
        <w:rPr>
          <w:rFonts w:ascii="Arial" w:hAnsi="Arial"/>
          <w:sz w:val="22"/>
          <w:szCs w:val="22"/>
          <w:vertAlign w:val="superscript"/>
        </w:rPr>
        <w:t>2</w:t>
      </w:r>
      <w:r w:rsidRPr="004D032E">
        <w:rPr>
          <w:rFonts w:ascii="Arial" w:hAnsi="Arial"/>
          <w:sz w:val="22"/>
          <w:szCs w:val="22"/>
        </w:rPr>
        <w:t xml:space="preserve">, </w:t>
      </w:r>
      <w:r w:rsidR="007F5536">
        <w:rPr>
          <w:rFonts w:ascii="Arial" w:hAnsi="Arial"/>
          <w:sz w:val="22"/>
          <w:szCs w:val="22"/>
        </w:rPr>
        <w:t>Lucy Coppin</w:t>
      </w:r>
      <w:r w:rsidR="008B7BB5" w:rsidRPr="008B7BB5">
        <w:rPr>
          <w:rFonts w:ascii="Arial" w:hAnsi="Arial"/>
          <w:sz w:val="22"/>
          <w:szCs w:val="22"/>
          <w:vertAlign w:val="superscript"/>
        </w:rPr>
        <w:t>2</w:t>
      </w:r>
      <w:r w:rsidR="007F5536">
        <w:rPr>
          <w:rFonts w:ascii="Arial" w:hAnsi="Arial"/>
          <w:sz w:val="22"/>
          <w:szCs w:val="22"/>
        </w:rPr>
        <w:t>, Barbara A. Fielding</w:t>
      </w:r>
      <w:r w:rsidR="008B7BB5" w:rsidRPr="008B7BB5">
        <w:rPr>
          <w:rFonts w:ascii="Arial" w:hAnsi="Arial"/>
          <w:sz w:val="22"/>
          <w:szCs w:val="22"/>
          <w:vertAlign w:val="superscript"/>
        </w:rPr>
        <w:t>2</w:t>
      </w:r>
      <w:r w:rsidR="007F5536">
        <w:rPr>
          <w:rFonts w:ascii="Arial" w:hAnsi="Arial"/>
          <w:sz w:val="22"/>
          <w:szCs w:val="22"/>
        </w:rPr>
        <w:t xml:space="preserve">, </w:t>
      </w:r>
      <w:proofErr w:type="spellStart"/>
      <w:r w:rsidRPr="004D032E">
        <w:rPr>
          <w:rFonts w:ascii="Arial" w:hAnsi="Arial"/>
          <w:sz w:val="22"/>
          <w:szCs w:val="22"/>
        </w:rPr>
        <w:t>A.Margot</w:t>
      </w:r>
      <w:proofErr w:type="spellEnd"/>
      <w:r w:rsidRPr="004D032E">
        <w:rPr>
          <w:rFonts w:ascii="Arial" w:hAnsi="Arial"/>
          <w:sz w:val="22"/>
          <w:szCs w:val="22"/>
        </w:rPr>
        <w:t xml:space="preserve"> Umpleby</w:t>
      </w:r>
      <w:r w:rsidRPr="004D032E">
        <w:rPr>
          <w:rFonts w:ascii="Arial" w:hAnsi="Arial"/>
          <w:sz w:val="22"/>
          <w:szCs w:val="22"/>
          <w:vertAlign w:val="superscript"/>
        </w:rPr>
        <w:t>2</w:t>
      </w:r>
      <w:r w:rsidR="00631B5D">
        <w:rPr>
          <w:rFonts w:ascii="Arial" w:hAnsi="Arial"/>
          <w:sz w:val="22"/>
          <w:szCs w:val="22"/>
        </w:rPr>
        <w:t xml:space="preserve">, </w:t>
      </w:r>
      <w:r w:rsidRPr="004D032E">
        <w:rPr>
          <w:rFonts w:ascii="Arial" w:hAnsi="Arial"/>
          <w:sz w:val="22"/>
          <w:szCs w:val="22"/>
        </w:rPr>
        <w:t>David L Russell-Jones</w:t>
      </w:r>
      <w:r w:rsidR="00631B5D">
        <w:rPr>
          <w:rFonts w:ascii="Arial" w:hAnsi="Arial"/>
          <w:sz w:val="22"/>
          <w:szCs w:val="22"/>
          <w:vertAlign w:val="superscript"/>
        </w:rPr>
        <w:t xml:space="preserve"> </w:t>
      </w:r>
      <w:r w:rsidR="00631B5D">
        <w:rPr>
          <w:rFonts w:ascii="Arial" w:hAnsi="Arial"/>
          <w:sz w:val="22"/>
          <w:szCs w:val="22"/>
        </w:rPr>
        <w:t>and Melanie Davies</w:t>
      </w:r>
      <w:r w:rsidR="00631B5D" w:rsidRPr="00E346CE">
        <w:rPr>
          <w:rFonts w:ascii="Arial" w:hAnsi="Arial"/>
          <w:sz w:val="22"/>
          <w:szCs w:val="22"/>
          <w:vertAlign w:val="superscript"/>
        </w:rPr>
        <w:t>3</w:t>
      </w:r>
    </w:p>
    <w:p w14:paraId="260033A3" w14:textId="77777777" w:rsidR="000839FD" w:rsidRPr="000D6CAA" w:rsidRDefault="000839FD" w:rsidP="007C50C6">
      <w:pPr>
        <w:widowControl w:val="0"/>
        <w:autoSpaceDE w:val="0"/>
        <w:autoSpaceDN w:val="0"/>
        <w:adjustRightInd w:val="0"/>
        <w:rPr>
          <w:rFonts w:ascii="Arial" w:hAnsi="Arial"/>
          <w:vertAlign w:val="superscript"/>
        </w:rPr>
      </w:pPr>
    </w:p>
    <w:p w14:paraId="70C9CA01" w14:textId="77777777" w:rsidR="000839FD" w:rsidRDefault="000839FD" w:rsidP="004D032E">
      <w:pPr>
        <w:widowControl w:val="0"/>
        <w:autoSpaceDE w:val="0"/>
        <w:autoSpaceDN w:val="0"/>
        <w:adjustRightInd w:val="0"/>
        <w:rPr>
          <w:rFonts w:ascii="Arial" w:hAnsi="Arial"/>
          <w:vertAlign w:val="superscript"/>
        </w:rPr>
      </w:pPr>
      <w:r w:rsidRPr="000D6CAA">
        <w:rPr>
          <w:rFonts w:ascii="Arial" w:hAnsi="Arial"/>
          <w:vertAlign w:val="superscript"/>
        </w:rPr>
        <w:t>1.</w:t>
      </w:r>
      <w:r>
        <w:rPr>
          <w:rFonts w:ascii="Arial" w:hAnsi="Arial"/>
          <w:vertAlign w:val="superscript"/>
        </w:rPr>
        <w:t xml:space="preserve"> Centre for Endocrinology, Diabetes and Research. </w:t>
      </w:r>
      <w:r w:rsidRPr="000D6CAA">
        <w:rPr>
          <w:rFonts w:ascii="Arial" w:hAnsi="Arial"/>
          <w:vertAlign w:val="superscript"/>
        </w:rPr>
        <w:t>Royal Surrey County Hospital. Guildford</w:t>
      </w:r>
      <w:r>
        <w:rPr>
          <w:rFonts w:ascii="Arial" w:hAnsi="Arial"/>
          <w:vertAlign w:val="superscript"/>
        </w:rPr>
        <w:t>, United Kingdom</w:t>
      </w:r>
    </w:p>
    <w:p w14:paraId="085787BF" w14:textId="77777777" w:rsidR="000839FD" w:rsidRDefault="000839FD" w:rsidP="004D032E">
      <w:pPr>
        <w:widowControl w:val="0"/>
        <w:autoSpaceDE w:val="0"/>
        <w:autoSpaceDN w:val="0"/>
        <w:adjustRightInd w:val="0"/>
        <w:rPr>
          <w:rFonts w:ascii="Arial" w:hAnsi="Arial"/>
          <w:bCs/>
          <w:vertAlign w:val="superscript"/>
        </w:rPr>
      </w:pPr>
      <w:r w:rsidRPr="000D6CAA">
        <w:rPr>
          <w:rFonts w:ascii="Arial" w:hAnsi="Arial"/>
          <w:vertAlign w:val="superscript"/>
        </w:rPr>
        <w:t xml:space="preserve">2. </w:t>
      </w:r>
      <w:r>
        <w:rPr>
          <w:rFonts w:ascii="Arial" w:hAnsi="Arial"/>
          <w:vertAlign w:val="superscript"/>
        </w:rPr>
        <w:t xml:space="preserve">Diabetes and Metabolic Medicine. </w:t>
      </w:r>
      <w:r w:rsidRPr="000D6CAA">
        <w:rPr>
          <w:rFonts w:ascii="Arial" w:hAnsi="Arial"/>
          <w:vertAlign w:val="superscript"/>
        </w:rPr>
        <w:t xml:space="preserve">University of Surrey, </w:t>
      </w:r>
      <w:r w:rsidRPr="00C91B95">
        <w:rPr>
          <w:rFonts w:ascii="Arial" w:hAnsi="Arial"/>
          <w:bCs/>
          <w:vertAlign w:val="superscript"/>
        </w:rPr>
        <w:t>Guildford</w:t>
      </w:r>
      <w:r>
        <w:rPr>
          <w:rFonts w:ascii="Arial" w:hAnsi="Arial"/>
          <w:bCs/>
          <w:vertAlign w:val="superscript"/>
        </w:rPr>
        <w:t>. United Kingdom</w:t>
      </w:r>
      <w:r w:rsidRPr="00C91B95">
        <w:rPr>
          <w:rFonts w:ascii="Arial" w:hAnsi="Arial"/>
          <w:bCs/>
          <w:vertAlign w:val="superscript"/>
        </w:rPr>
        <w:t xml:space="preserve">. </w:t>
      </w:r>
    </w:p>
    <w:p w14:paraId="724B9230" w14:textId="7239B99D" w:rsidR="00631B5D" w:rsidRPr="00C91B95" w:rsidRDefault="00631B5D" w:rsidP="004D032E">
      <w:pPr>
        <w:widowControl w:val="0"/>
        <w:autoSpaceDE w:val="0"/>
        <w:autoSpaceDN w:val="0"/>
        <w:adjustRightInd w:val="0"/>
        <w:rPr>
          <w:rFonts w:ascii="Arial" w:hAnsi="Arial"/>
          <w:bCs/>
          <w:vertAlign w:val="superscript"/>
        </w:rPr>
      </w:pPr>
      <w:r>
        <w:rPr>
          <w:rFonts w:ascii="Arial" w:hAnsi="Arial"/>
          <w:bCs/>
          <w:vertAlign w:val="superscript"/>
        </w:rPr>
        <w:t xml:space="preserve">3. </w:t>
      </w:r>
      <w:r w:rsidRPr="00E346CE">
        <w:rPr>
          <w:rFonts w:ascii="Arial" w:hAnsi="Arial"/>
          <w:vertAlign w:val="superscript"/>
        </w:rPr>
        <w:t>Diabetes Research Centre / Department of Health Sciences</w:t>
      </w:r>
      <w:r>
        <w:rPr>
          <w:rFonts w:ascii="Arial" w:hAnsi="Arial"/>
          <w:vertAlign w:val="superscript"/>
        </w:rPr>
        <w:t>,</w:t>
      </w:r>
      <w:r w:rsidRPr="00631B5D">
        <w:rPr>
          <w:rFonts w:ascii="Arial" w:hAnsi="Arial"/>
          <w:bCs/>
          <w:vertAlign w:val="superscript"/>
        </w:rPr>
        <w:t xml:space="preserve"> </w:t>
      </w:r>
      <w:r>
        <w:rPr>
          <w:rFonts w:ascii="Arial" w:hAnsi="Arial"/>
          <w:bCs/>
          <w:vertAlign w:val="superscript"/>
        </w:rPr>
        <w:t xml:space="preserve">University of Leicester </w:t>
      </w:r>
    </w:p>
    <w:p w14:paraId="20FF55C6" w14:textId="77777777" w:rsidR="000839FD" w:rsidRPr="00EC3947" w:rsidRDefault="000839FD" w:rsidP="007C50C6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824523"/>
          <w:sz w:val="28"/>
          <w:szCs w:val="28"/>
        </w:rPr>
      </w:pPr>
    </w:p>
    <w:p w14:paraId="0EBF8D8E" w14:textId="77777777" w:rsidR="005800CF" w:rsidRPr="00B33F3F" w:rsidRDefault="005800CF" w:rsidP="002D17AE">
      <w:pPr>
        <w:outlineLvl w:val="0"/>
        <w:rPr>
          <w:rFonts w:ascii="Arial" w:hAnsi="Arial"/>
          <w:sz w:val="22"/>
          <w:szCs w:val="22"/>
          <w:u w:val="single"/>
        </w:rPr>
      </w:pPr>
      <w:r w:rsidRPr="00B33F3F">
        <w:rPr>
          <w:rFonts w:ascii="Arial" w:hAnsi="Arial"/>
          <w:sz w:val="22"/>
          <w:szCs w:val="22"/>
          <w:u w:val="single"/>
        </w:rPr>
        <w:t>Background and aims</w:t>
      </w:r>
    </w:p>
    <w:p w14:paraId="368F3FCF" w14:textId="77777777" w:rsidR="005800CF" w:rsidRDefault="005800CF" w:rsidP="00E346CE">
      <w:pPr>
        <w:rPr>
          <w:rFonts w:ascii="Arial" w:hAnsi="Arial"/>
          <w:sz w:val="22"/>
          <w:szCs w:val="22"/>
        </w:rPr>
      </w:pPr>
    </w:p>
    <w:p w14:paraId="632470D6" w14:textId="740BF710" w:rsidR="00CB3A84" w:rsidRPr="00E346CE" w:rsidRDefault="00CB3A84" w:rsidP="00CB3A84">
      <w:pPr>
        <w:rPr>
          <w:rFonts w:ascii="Arial" w:hAnsi="Arial"/>
          <w:sz w:val="22"/>
          <w:szCs w:val="22"/>
        </w:rPr>
      </w:pPr>
      <w:r w:rsidRPr="00E346CE">
        <w:rPr>
          <w:rFonts w:ascii="Arial" w:hAnsi="Arial"/>
          <w:sz w:val="22"/>
          <w:szCs w:val="22"/>
        </w:rPr>
        <w:t>SGLT</w:t>
      </w:r>
      <w:r w:rsidRPr="00E346CE">
        <w:rPr>
          <w:rFonts w:ascii="Arial" w:hAnsi="Arial"/>
          <w:sz w:val="22"/>
          <w:szCs w:val="22"/>
          <w:vertAlign w:val="subscript"/>
        </w:rPr>
        <w:t xml:space="preserve">2 </w:t>
      </w:r>
      <w:r w:rsidRPr="00E346CE">
        <w:rPr>
          <w:rFonts w:ascii="Arial" w:hAnsi="Arial"/>
          <w:sz w:val="22"/>
          <w:szCs w:val="22"/>
        </w:rPr>
        <w:t xml:space="preserve">inhibitors may </w:t>
      </w:r>
      <w:r>
        <w:rPr>
          <w:rFonts w:ascii="Arial" w:hAnsi="Arial"/>
          <w:sz w:val="22"/>
          <w:szCs w:val="22"/>
        </w:rPr>
        <w:t xml:space="preserve">offer advantages in the management of people with type1 diabetes with </w:t>
      </w:r>
      <w:r w:rsidRPr="00E346CE">
        <w:rPr>
          <w:rFonts w:ascii="Arial" w:hAnsi="Arial"/>
          <w:sz w:val="22"/>
          <w:szCs w:val="22"/>
        </w:rPr>
        <w:t>improve</w:t>
      </w:r>
      <w:r>
        <w:rPr>
          <w:rFonts w:ascii="Arial" w:hAnsi="Arial"/>
          <w:sz w:val="22"/>
          <w:szCs w:val="22"/>
        </w:rPr>
        <w:t>ment in</w:t>
      </w:r>
      <w:r w:rsidRPr="00E346CE">
        <w:rPr>
          <w:rFonts w:ascii="Arial" w:hAnsi="Arial"/>
          <w:sz w:val="22"/>
          <w:szCs w:val="22"/>
        </w:rPr>
        <w:t xml:space="preserve"> glycemic control</w:t>
      </w:r>
      <w:r>
        <w:rPr>
          <w:rFonts w:ascii="Arial" w:hAnsi="Arial"/>
          <w:sz w:val="22"/>
          <w:szCs w:val="22"/>
        </w:rPr>
        <w:t xml:space="preserve"> and</w:t>
      </w:r>
      <w:r w:rsidRPr="00E346CE">
        <w:rPr>
          <w:rFonts w:ascii="Arial" w:hAnsi="Arial"/>
          <w:sz w:val="22"/>
          <w:szCs w:val="22"/>
        </w:rPr>
        <w:t>, reduc</w:t>
      </w:r>
      <w:r>
        <w:rPr>
          <w:rFonts w:ascii="Arial" w:hAnsi="Arial"/>
          <w:sz w:val="22"/>
          <w:szCs w:val="22"/>
        </w:rPr>
        <w:t>tions in</w:t>
      </w:r>
      <w:r w:rsidRPr="00E346CE">
        <w:rPr>
          <w:rFonts w:ascii="Arial" w:hAnsi="Arial"/>
          <w:sz w:val="22"/>
          <w:szCs w:val="22"/>
        </w:rPr>
        <w:t xml:space="preserve"> hypoglycemic events, insulin doses and weight. </w:t>
      </w:r>
      <w:r>
        <w:rPr>
          <w:rFonts w:ascii="Arial" w:hAnsi="Arial"/>
          <w:sz w:val="22"/>
          <w:szCs w:val="22"/>
        </w:rPr>
        <w:t>S</w:t>
      </w:r>
      <w:r w:rsidRPr="00E346CE">
        <w:rPr>
          <w:rFonts w:ascii="Arial" w:hAnsi="Arial"/>
          <w:sz w:val="22"/>
          <w:szCs w:val="22"/>
        </w:rPr>
        <w:t>ignificant safety issues</w:t>
      </w:r>
      <w:r>
        <w:rPr>
          <w:rFonts w:ascii="Arial" w:hAnsi="Arial"/>
          <w:sz w:val="22"/>
          <w:szCs w:val="22"/>
        </w:rPr>
        <w:t xml:space="preserve"> have been highlighted in clinical trials with increased rates of ketoacidosis</w:t>
      </w:r>
      <w:r w:rsidRPr="00E346CE">
        <w:rPr>
          <w:rFonts w:ascii="Arial" w:hAnsi="Arial"/>
          <w:sz w:val="22"/>
          <w:szCs w:val="22"/>
        </w:rPr>
        <w:t>. Using stable isotope techniques this study explore</w:t>
      </w:r>
      <w:r>
        <w:rPr>
          <w:rFonts w:ascii="Arial" w:hAnsi="Arial"/>
          <w:sz w:val="22"/>
          <w:szCs w:val="22"/>
        </w:rPr>
        <w:t>d</w:t>
      </w:r>
      <w:r w:rsidRPr="00E346CE">
        <w:rPr>
          <w:rFonts w:ascii="Arial" w:hAnsi="Arial"/>
          <w:sz w:val="22"/>
          <w:szCs w:val="22"/>
        </w:rPr>
        <w:t xml:space="preserve"> the effect of </w:t>
      </w:r>
      <w:proofErr w:type="spellStart"/>
      <w:r w:rsidRPr="00E346CE">
        <w:rPr>
          <w:rFonts w:ascii="Arial" w:hAnsi="Arial"/>
          <w:sz w:val="22"/>
          <w:szCs w:val="22"/>
        </w:rPr>
        <w:t>dapagliflozin</w:t>
      </w:r>
      <w:proofErr w:type="spellEnd"/>
      <w:r w:rsidRPr="00E346CE">
        <w:rPr>
          <w:rFonts w:ascii="Arial" w:hAnsi="Arial"/>
          <w:sz w:val="22"/>
          <w:szCs w:val="22"/>
        </w:rPr>
        <w:t xml:space="preserve"> on glucose flux, lipolysis and ketone body concentration </w:t>
      </w:r>
      <w:r w:rsidRPr="00E346CE">
        <w:rPr>
          <w:rFonts w:ascii="Arial" w:eastAsia="?????? Pro W3" w:hAnsi="Arial"/>
          <w:sz w:val="22"/>
          <w:szCs w:val="22"/>
        </w:rPr>
        <w:t xml:space="preserve">during </w:t>
      </w:r>
      <w:r>
        <w:rPr>
          <w:rFonts w:ascii="Arial" w:eastAsia="?????? Pro W3" w:hAnsi="Arial"/>
          <w:sz w:val="22"/>
          <w:szCs w:val="22"/>
        </w:rPr>
        <w:t xml:space="preserve">acute </w:t>
      </w:r>
      <w:r w:rsidRPr="00E346CE">
        <w:rPr>
          <w:rFonts w:ascii="Arial" w:eastAsia="?????? Pro W3" w:hAnsi="Arial"/>
          <w:sz w:val="22"/>
          <w:szCs w:val="22"/>
        </w:rPr>
        <w:t xml:space="preserve">insulin withdrawal in people with </w:t>
      </w:r>
      <w:r>
        <w:rPr>
          <w:rFonts w:ascii="Arial" w:eastAsia="?????? Pro W3" w:hAnsi="Arial"/>
          <w:sz w:val="22"/>
          <w:szCs w:val="22"/>
        </w:rPr>
        <w:t>type 1 diabetes</w:t>
      </w:r>
      <w:r w:rsidR="001B120B">
        <w:rPr>
          <w:rFonts w:ascii="Arial" w:eastAsia="?????? Pro W3" w:hAnsi="Arial"/>
          <w:sz w:val="22"/>
          <w:szCs w:val="22"/>
        </w:rPr>
        <w:t>.</w:t>
      </w:r>
      <w:r w:rsidRPr="00E346CE">
        <w:rPr>
          <w:rFonts w:ascii="Arial" w:hAnsi="Arial"/>
          <w:sz w:val="22"/>
          <w:szCs w:val="22"/>
        </w:rPr>
        <w:t xml:space="preserve"> </w:t>
      </w:r>
    </w:p>
    <w:p w14:paraId="7E8A46EC" w14:textId="676BD29D" w:rsidR="00882011" w:rsidRPr="00072472" w:rsidRDefault="00882011" w:rsidP="00E346CE">
      <w:pPr>
        <w:rPr>
          <w:rFonts w:ascii="Arial" w:hAnsi="Arial"/>
          <w:sz w:val="22"/>
          <w:szCs w:val="22"/>
        </w:rPr>
      </w:pPr>
    </w:p>
    <w:p w14:paraId="1613CB4F" w14:textId="77777777" w:rsidR="005800CF" w:rsidRPr="008B7BB5" w:rsidRDefault="005800CF" w:rsidP="002D17AE">
      <w:pPr>
        <w:widowControl w:val="0"/>
        <w:autoSpaceDE w:val="0"/>
        <w:autoSpaceDN w:val="0"/>
        <w:adjustRightInd w:val="0"/>
        <w:spacing w:after="200"/>
        <w:outlineLvl w:val="0"/>
        <w:rPr>
          <w:rFonts w:ascii="Arial" w:hAnsi="Arial"/>
          <w:sz w:val="22"/>
          <w:szCs w:val="22"/>
          <w:u w:val="single"/>
        </w:rPr>
      </w:pPr>
      <w:r w:rsidRPr="008B7BB5">
        <w:rPr>
          <w:rFonts w:ascii="Arial" w:hAnsi="Arial"/>
          <w:sz w:val="22"/>
          <w:szCs w:val="22"/>
          <w:u w:val="single"/>
        </w:rPr>
        <w:t>Methods</w:t>
      </w:r>
    </w:p>
    <w:p w14:paraId="19CFBC34" w14:textId="238D2BDE" w:rsidR="00882011" w:rsidRPr="005019D5" w:rsidRDefault="00CB3A84" w:rsidP="001F4B15">
      <w:pPr>
        <w:spacing w:after="160" w:line="259" w:lineRule="auto"/>
      </w:pPr>
      <w:r>
        <w:rPr>
          <w:rFonts w:ascii="Arial" w:hAnsi="Arial"/>
          <w:sz w:val="22"/>
          <w:szCs w:val="22"/>
        </w:rPr>
        <w:t>A double</w:t>
      </w:r>
      <w:r w:rsidR="001B120B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blind placebo controlled c</w:t>
      </w:r>
      <w:r w:rsidRPr="00DF789F">
        <w:rPr>
          <w:rFonts w:ascii="Arial" w:hAnsi="Arial"/>
          <w:sz w:val="22"/>
          <w:szCs w:val="22"/>
        </w:rPr>
        <w:t xml:space="preserve">ross over </w:t>
      </w:r>
      <w:r>
        <w:rPr>
          <w:rFonts w:ascii="Arial" w:hAnsi="Arial"/>
          <w:sz w:val="22"/>
          <w:szCs w:val="22"/>
        </w:rPr>
        <w:t>study</w:t>
      </w:r>
      <w:r w:rsidRPr="00DF789F">
        <w:rPr>
          <w:rFonts w:ascii="Arial" w:hAnsi="Arial"/>
          <w:sz w:val="22"/>
          <w:szCs w:val="22"/>
        </w:rPr>
        <w:t xml:space="preserve"> with a 4</w:t>
      </w:r>
      <w:r>
        <w:rPr>
          <w:rFonts w:ascii="Arial" w:hAnsi="Arial"/>
          <w:sz w:val="22"/>
          <w:szCs w:val="22"/>
        </w:rPr>
        <w:t>-</w:t>
      </w:r>
      <w:r w:rsidRPr="00DF789F">
        <w:rPr>
          <w:rFonts w:ascii="Arial" w:hAnsi="Arial"/>
          <w:sz w:val="22"/>
          <w:szCs w:val="22"/>
        </w:rPr>
        <w:t>week wash out period</w:t>
      </w:r>
      <w:r>
        <w:rPr>
          <w:rFonts w:ascii="Arial" w:hAnsi="Arial"/>
          <w:sz w:val="22"/>
          <w:szCs w:val="22"/>
        </w:rPr>
        <w:t xml:space="preserve"> was performed in</w:t>
      </w:r>
      <w:r w:rsidRPr="00DF789F">
        <w:rPr>
          <w:rFonts w:ascii="Arial" w:hAnsi="Arial"/>
          <w:sz w:val="22"/>
          <w:szCs w:val="22"/>
        </w:rPr>
        <w:t xml:space="preserve"> </w:t>
      </w:r>
      <w:r w:rsidRPr="000C6FD1">
        <w:rPr>
          <w:rFonts w:ascii="Arial" w:hAnsi="Arial"/>
          <w:sz w:val="22"/>
          <w:szCs w:val="22"/>
        </w:rPr>
        <w:t xml:space="preserve">12 People (4M &amp; 8F) </w:t>
      </w:r>
      <w:r w:rsidRPr="00A768B4">
        <w:rPr>
          <w:rFonts w:ascii="Arial" w:hAnsi="Arial"/>
          <w:sz w:val="22"/>
          <w:szCs w:val="22"/>
        </w:rPr>
        <w:t>with type 1 diabetes (age 40.7±3.9 y, BMI 26.2±1.5 kg/m</w:t>
      </w:r>
      <w:r w:rsidRPr="00A768B4">
        <w:rPr>
          <w:rFonts w:ascii="Arial" w:hAnsi="Arial"/>
          <w:sz w:val="22"/>
          <w:szCs w:val="22"/>
          <w:vertAlign w:val="superscript"/>
        </w:rPr>
        <w:t>2</w:t>
      </w:r>
      <w:r w:rsidRPr="00A768B4">
        <w:rPr>
          <w:rFonts w:ascii="Arial" w:hAnsi="Arial"/>
          <w:sz w:val="22"/>
          <w:szCs w:val="22"/>
        </w:rPr>
        <w:t>) using insulin pump therapy</w:t>
      </w:r>
      <w:r>
        <w:rPr>
          <w:rFonts w:ascii="Arial" w:hAnsi="Arial"/>
          <w:sz w:val="22"/>
          <w:szCs w:val="22"/>
        </w:rPr>
        <w:t>.  Subjects</w:t>
      </w:r>
      <w:r w:rsidRPr="00A768B4">
        <w:rPr>
          <w:rFonts w:ascii="Arial" w:hAnsi="Arial"/>
          <w:sz w:val="22"/>
          <w:szCs w:val="22"/>
        </w:rPr>
        <w:t xml:space="preserve"> </w:t>
      </w:r>
      <w:r w:rsidR="00072472" w:rsidRPr="00A768B4">
        <w:rPr>
          <w:rFonts w:ascii="Arial" w:hAnsi="Arial"/>
          <w:sz w:val="22"/>
          <w:szCs w:val="22"/>
        </w:rPr>
        <w:t xml:space="preserve">received </w:t>
      </w:r>
      <w:proofErr w:type="spellStart"/>
      <w:r w:rsidR="00631B5D" w:rsidRPr="00A768B4">
        <w:rPr>
          <w:rFonts w:ascii="Arial" w:hAnsi="Arial"/>
          <w:sz w:val="22"/>
          <w:szCs w:val="22"/>
        </w:rPr>
        <w:t>dapagliflozin</w:t>
      </w:r>
      <w:proofErr w:type="spellEnd"/>
      <w:r w:rsidR="00631B5D" w:rsidRPr="00A768B4">
        <w:rPr>
          <w:rFonts w:ascii="Arial" w:hAnsi="Arial"/>
          <w:sz w:val="22"/>
          <w:szCs w:val="22"/>
        </w:rPr>
        <w:t xml:space="preserve"> or placebo in random order </w:t>
      </w:r>
      <w:r w:rsidR="000F79BA" w:rsidRPr="00A768B4">
        <w:rPr>
          <w:rFonts w:ascii="Arial" w:hAnsi="Arial"/>
          <w:sz w:val="22"/>
          <w:szCs w:val="22"/>
        </w:rPr>
        <w:t>for 7 days</w:t>
      </w:r>
      <w:r w:rsidR="00A768B4">
        <w:rPr>
          <w:rFonts w:ascii="Arial" w:hAnsi="Arial"/>
          <w:sz w:val="22"/>
          <w:szCs w:val="22"/>
        </w:rPr>
        <w:t>. On day 7</w:t>
      </w:r>
      <w:r w:rsidR="00DF789F">
        <w:rPr>
          <w:rFonts w:ascii="Arial" w:hAnsi="Arial"/>
          <w:sz w:val="22"/>
          <w:szCs w:val="22"/>
        </w:rPr>
        <w:t>,</w:t>
      </w:r>
      <w:r w:rsidR="00A768B4">
        <w:rPr>
          <w:rFonts w:ascii="Arial" w:hAnsi="Arial"/>
          <w:sz w:val="22"/>
          <w:szCs w:val="22"/>
        </w:rPr>
        <w:t xml:space="preserve"> t</w:t>
      </w:r>
      <w:r w:rsidR="009A309C" w:rsidRPr="00E346CE">
        <w:rPr>
          <w:rFonts w:ascii="Arial" w:hAnsi="Arial"/>
          <w:sz w:val="22"/>
          <w:szCs w:val="22"/>
        </w:rPr>
        <w:t xml:space="preserve">hey </w:t>
      </w:r>
      <w:r w:rsidR="000839FD" w:rsidRPr="00E346CE">
        <w:rPr>
          <w:rFonts w:ascii="Arial" w:hAnsi="Arial"/>
          <w:sz w:val="22"/>
          <w:szCs w:val="22"/>
        </w:rPr>
        <w:t xml:space="preserve">were transferred to a soluble variable insulin infusion to maintain blood glucose at 5 </w:t>
      </w:r>
      <w:proofErr w:type="spellStart"/>
      <w:r w:rsidR="000839FD" w:rsidRPr="00E346CE">
        <w:rPr>
          <w:rFonts w:ascii="Arial" w:hAnsi="Arial"/>
          <w:sz w:val="22"/>
          <w:szCs w:val="22"/>
        </w:rPr>
        <w:t>mmol</w:t>
      </w:r>
      <w:proofErr w:type="spellEnd"/>
      <w:r w:rsidR="000839FD" w:rsidRPr="00E346CE">
        <w:rPr>
          <w:rFonts w:ascii="Arial" w:hAnsi="Arial"/>
          <w:sz w:val="22"/>
          <w:szCs w:val="22"/>
        </w:rPr>
        <w:t>/l. [6,6-</w:t>
      </w:r>
      <w:r w:rsidR="000839FD" w:rsidRPr="00E346CE">
        <w:rPr>
          <w:rFonts w:ascii="Arial" w:hAnsi="Arial"/>
          <w:sz w:val="22"/>
          <w:szCs w:val="22"/>
          <w:vertAlign w:val="superscript"/>
        </w:rPr>
        <w:t>2</w:t>
      </w:r>
      <w:r w:rsidR="000839FD" w:rsidRPr="00E346CE">
        <w:rPr>
          <w:rFonts w:ascii="Arial" w:hAnsi="Arial"/>
          <w:sz w:val="22"/>
          <w:szCs w:val="22"/>
        </w:rPr>
        <w:t>H</w:t>
      </w:r>
      <w:proofErr w:type="gramStart"/>
      <w:r w:rsidR="000839FD" w:rsidRPr="00E346CE">
        <w:rPr>
          <w:rFonts w:ascii="Arial" w:hAnsi="Arial"/>
          <w:sz w:val="22"/>
          <w:szCs w:val="22"/>
          <w:vertAlign w:val="subscript"/>
        </w:rPr>
        <w:t>2</w:t>
      </w:r>
      <w:r w:rsidR="000839FD" w:rsidRPr="00E346CE">
        <w:rPr>
          <w:rFonts w:ascii="Arial" w:hAnsi="Arial"/>
          <w:sz w:val="22"/>
          <w:szCs w:val="22"/>
        </w:rPr>
        <w:t>]glucose</w:t>
      </w:r>
      <w:proofErr w:type="gramEnd"/>
      <w:r w:rsidR="00631B5D" w:rsidRPr="00E346CE">
        <w:rPr>
          <w:rFonts w:ascii="Arial" w:hAnsi="Arial"/>
          <w:sz w:val="22"/>
          <w:szCs w:val="22"/>
        </w:rPr>
        <w:t xml:space="preserve"> </w:t>
      </w:r>
      <w:r w:rsidR="00113533">
        <w:rPr>
          <w:rFonts w:ascii="Arial" w:hAnsi="Arial"/>
          <w:sz w:val="22"/>
          <w:szCs w:val="22"/>
        </w:rPr>
        <w:t xml:space="preserve">was infused </w:t>
      </w:r>
      <w:r w:rsidR="00B2531B">
        <w:rPr>
          <w:rFonts w:ascii="Arial" w:hAnsi="Arial"/>
          <w:sz w:val="22"/>
          <w:szCs w:val="22"/>
        </w:rPr>
        <w:t xml:space="preserve">throughout </w:t>
      </w:r>
      <w:r w:rsidR="00113533">
        <w:rPr>
          <w:rFonts w:ascii="Arial" w:hAnsi="Arial"/>
          <w:sz w:val="22"/>
          <w:szCs w:val="22"/>
        </w:rPr>
        <w:t xml:space="preserve">to measure glucose Ra and glucose Rd </w:t>
      </w:r>
      <w:r w:rsidR="00631B5D" w:rsidRPr="00E346CE">
        <w:rPr>
          <w:rFonts w:ascii="Arial" w:hAnsi="Arial"/>
          <w:sz w:val="22"/>
          <w:szCs w:val="22"/>
        </w:rPr>
        <w:t xml:space="preserve">and </w:t>
      </w:r>
      <w:r w:rsidR="00B2531B">
        <w:rPr>
          <w:rFonts w:ascii="Arial" w:hAnsi="Arial"/>
          <w:sz w:val="22"/>
          <w:szCs w:val="22"/>
        </w:rPr>
        <w:t xml:space="preserve">[1,1,2,3,3 </w:t>
      </w:r>
      <w:r w:rsidR="00B2531B" w:rsidRPr="000D26E5">
        <w:rPr>
          <w:rFonts w:ascii="Arial" w:hAnsi="Arial"/>
          <w:sz w:val="22"/>
          <w:szCs w:val="22"/>
          <w:vertAlign w:val="superscript"/>
        </w:rPr>
        <w:t>5</w:t>
      </w:r>
      <w:r w:rsidR="00B2531B" w:rsidRPr="00230D54">
        <w:rPr>
          <w:rFonts w:ascii="Arial" w:hAnsi="Arial"/>
          <w:sz w:val="22"/>
          <w:szCs w:val="22"/>
        </w:rPr>
        <w:t>H</w:t>
      </w:r>
      <w:r w:rsidR="00B2531B" w:rsidRPr="000D26E5">
        <w:rPr>
          <w:rFonts w:ascii="Arial" w:hAnsi="Arial"/>
          <w:sz w:val="22"/>
          <w:szCs w:val="22"/>
          <w:vertAlign w:val="subscript"/>
        </w:rPr>
        <w:t>2</w:t>
      </w:r>
      <w:r w:rsidR="00B2531B">
        <w:rPr>
          <w:rFonts w:ascii="Arial" w:hAnsi="Arial"/>
          <w:sz w:val="22"/>
          <w:szCs w:val="22"/>
        </w:rPr>
        <w:t>]</w:t>
      </w:r>
      <w:r w:rsidR="00631B5D" w:rsidRPr="00E346CE">
        <w:rPr>
          <w:rFonts w:ascii="Arial" w:hAnsi="Arial"/>
          <w:sz w:val="22"/>
          <w:szCs w:val="22"/>
        </w:rPr>
        <w:t>glycerol</w:t>
      </w:r>
      <w:r w:rsidR="000839FD" w:rsidRPr="00E346CE">
        <w:rPr>
          <w:rFonts w:ascii="Arial" w:hAnsi="Arial"/>
          <w:sz w:val="22"/>
          <w:szCs w:val="22"/>
        </w:rPr>
        <w:t xml:space="preserve"> </w:t>
      </w:r>
      <w:r w:rsidR="00113533">
        <w:rPr>
          <w:rFonts w:ascii="Arial" w:hAnsi="Arial"/>
          <w:sz w:val="22"/>
          <w:szCs w:val="22"/>
        </w:rPr>
        <w:t>to measure lipolysis</w:t>
      </w:r>
      <w:r w:rsidR="000839FD" w:rsidRPr="00E346CE">
        <w:rPr>
          <w:rFonts w:ascii="Arial" w:hAnsi="Arial"/>
          <w:sz w:val="22"/>
          <w:szCs w:val="22"/>
        </w:rPr>
        <w:t>. At isotopic steady state insulin was withdrawn</w:t>
      </w:r>
      <w:r w:rsidR="009A309C" w:rsidRPr="00E346CE">
        <w:rPr>
          <w:rFonts w:ascii="Arial" w:hAnsi="Arial"/>
          <w:sz w:val="22"/>
          <w:szCs w:val="22"/>
        </w:rPr>
        <w:t xml:space="preserve">, </w:t>
      </w:r>
      <w:r w:rsidR="00343152">
        <w:rPr>
          <w:rFonts w:ascii="Arial" w:hAnsi="Arial"/>
          <w:sz w:val="22"/>
          <w:szCs w:val="22"/>
          <w:lang w:eastAsia="zh-CN"/>
        </w:rPr>
        <w:t xml:space="preserve">study </w:t>
      </w:r>
      <w:r w:rsidR="00072472" w:rsidRPr="00E346CE">
        <w:rPr>
          <w:rFonts w:ascii="Arial" w:hAnsi="Arial"/>
          <w:sz w:val="22"/>
          <w:szCs w:val="22"/>
          <w:lang w:eastAsia="zh-CN"/>
        </w:rPr>
        <w:t>medication</w:t>
      </w:r>
      <w:r w:rsidR="009A309C" w:rsidRPr="00E346CE">
        <w:rPr>
          <w:rFonts w:ascii="Arial" w:hAnsi="Arial"/>
          <w:sz w:val="22"/>
          <w:szCs w:val="22"/>
        </w:rPr>
        <w:t xml:space="preserve"> given </w:t>
      </w:r>
      <w:r w:rsidR="000839FD" w:rsidRPr="00E346CE">
        <w:rPr>
          <w:rFonts w:ascii="Arial" w:hAnsi="Arial"/>
          <w:sz w:val="22"/>
          <w:szCs w:val="22"/>
        </w:rPr>
        <w:t xml:space="preserve">and blood glucose allowed to increase. </w:t>
      </w:r>
      <w:r w:rsidR="009A309C" w:rsidRPr="00E346CE">
        <w:rPr>
          <w:rFonts w:ascii="Arial" w:hAnsi="Arial"/>
          <w:sz w:val="22"/>
          <w:szCs w:val="22"/>
        </w:rPr>
        <w:t xml:space="preserve">Measurements were taken for plasma glucose and glycerol enrichment, NEFA, beta </w:t>
      </w:r>
      <w:proofErr w:type="spellStart"/>
      <w:r w:rsidR="009A309C" w:rsidRPr="00E346CE">
        <w:rPr>
          <w:rFonts w:ascii="Arial" w:hAnsi="Arial"/>
          <w:sz w:val="22"/>
          <w:szCs w:val="22"/>
        </w:rPr>
        <w:t>hydroxybutyrate</w:t>
      </w:r>
      <w:proofErr w:type="spellEnd"/>
      <w:r w:rsidR="00A768B4">
        <w:rPr>
          <w:rFonts w:ascii="Arial" w:hAnsi="Arial"/>
          <w:sz w:val="22"/>
          <w:szCs w:val="22"/>
        </w:rPr>
        <w:t xml:space="preserve"> (</w:t>
      </w:r>
      <w:r w:rsidR="00A768B4" w:rsidRPr="005019D5">
        <w:rPr>
          <w:rFonts w:ascii="Times New Roman" w:eastAsia="Times New Roman" w:hAnsi="Times New Roman" w:cs="Times New Roman"/>
          <w:lang w:eastAsia="en-GB"/>
        </w:rPr>
        <w:t>BOHB</w:t>
      </w:r>
      <w:r w:rsidR="00A768B4">
        <w:rPr>
          <w:rFonts w:ascii="Times New Roman" w:eastAsia="Times New Roman" w:hAnsi="Times New Roman" w:cs="Times New Roman"/>
          <w:lang w:eastAsia="en-GB"/>
        </w:rPr>
        <w:t>)</w:t>
      </w:r>
      <w:r w:rsidR="009A309C" w:rsidRPr="00E346CE">
        <w:rPr>
          <w:rFonts w:ascii="Arial" w:hAnsi="Arial"/>
          <w:sz w:val="22"/>
          <w:szCs w:val="22"/>
        </w:rPr>
        <w:t xml:space="preserve">, </w:t>
      </w:r>
      <w:proofErr w:type="spellStart"/>
      <w:r w:rsidR="00113533">
        <w:rPr>
          <w:rFonts w:ascii="Arial" w:hAnsi="Arial"/>
          <w:sz w:val="22"/>
          <w:szCs w:val="22"/>
        </w:rPr>
        <w:t>glycagon</w:t>
      </w:r>
      <w:proofErr w:type="spellEnd"/>
      <w:r w:rsidR="009A309C" w:rsidRPr="00E346CE">
        <w:rPr>
          <w:rFonts w:ascii="Arial" w:hAnsi="Arial"/>
          <w:sz w:val="22"/>
          <w:szCs w:val="22"/>
        </w:rPr>
        <w:t xml:space="preserve"> and</w:t>
      </w:r>
      <w:r w:rsidR="008B7BB5">
        <w:rPr>
          <w:rFonts w:ascii="Arial" w:hAnsi="Arial"/>
          <w:sz w:val="22"/>
          <w:szCs w:val="22"/>
        </w:rPr>
        <w:t xml:space="preserve"> spot</w:t>
      </w:r>
      <w:r w:rsidR="009A309C" w:rsidRPr="00E346CE">
        <w:rPr>
          <w:rFonts w:ascii="Arial" w:hAnsi="Arial"/>
          <w:sz w:val="22"/>
          <w:szCs w:val="22"/>
        </w:rPr>
        <w:t xml:space="preserve"> urine for glucose</w:t>
      </w:r>
      <w:r w:rsidR="00113533">
        <w:rPr>
          <w:rFonts w:ascii="Arial" w:hAnsi="Arial"/>
          <w:sz w:val="22"/>
          <w:szCs w:val="22"/>
        </w:rPr>
        <w:t xml:space="preserve">. </w:t>
      </w:r>
      <w:r w:rsidR="000839FD" w:rsidRPr="00072472">
        <w:rPr>
          <w:rFonts w:ascii="Arial" w:hAnsi="Arial"/>
          <w:sz w:val="22"/>
          <w:szCs w:val="22"/>
        </w:rPr>
        <w:t xml:space="preserve">The study was terminated </w:t>
      </w:r>
      <w:r w:rsidR="00A46CE6">
        <w:rPr>
          <w:rFonts w:ascii="Arial" w:hAnsi="Arial"/>
          <w:sz w:val="22"/>
          <w:szCs w:val="22"/>
        </w:rPr>
        <w:t>a</w:t>
      </w:r>
      <w:r w:rsidR="00667114" w:rsidRPr="00E346CE">
        <w:rPr>
          <w:rFonts w:ascii="Arial" w:hAnsi="Arial"/>
          <w:sz w:val="22"/>
          <w:szCs w:val="22"/>
        </w:rPr>
        <w:t xml:space="preserve">t 600 min or in the event of </w:t>
      </w:r>
      <w:r w:rsidR="00A8797A" w:rsidRPr="005019D5">
        <w:rPr>
          <w:rFonts w:ascii="Arial" w:hAnsi="Arial"/>
          <w:sz w:val="22"/>
          <w:szCs w:val="22"/>
        </w:rPr>
        <w:t>one of the rescue parameters being reached;</w:t>
      </w:r>
      <w:r w:rsidR="00A8797A" w:rsidRPr="00E346CE">
        <w:rPr>
          <w:rFonts w:ascii="Arial" w:hAnsi="Arial"/>
          <w:sz w:val="22"/>
          <w:szCs w:val="22"/>
        </w:rPr>
        <w:t xml:space="preserve"> </w:t>
      </w:r>
      <w:r w:rsidR="00667114" w:rsidRPr="00E346CE">
        <w:rPr>
          <w:rFonts w:ascii="Arial" w:hAnsi="Arial"/>
          <w:sz w:val="22"/>
          <w:szCs w:val="22"/>
        </w:rPr>
        <w:t>blood glucose of 18mmol/L, bicarbonate &lt;15mmol/L</w:t>
      </w:r>
      <w:r w:rsidR="00A46CE6">
        <w:rPr>
          <w:rFonts w:ascii="Arial" w:hAnsi="Arial"/>
          <w:sz w:val="22"/>
          <w:szCs w:val="22"/>
        </w:rPr>
        <w:t xml:space="preserve">, </w:t>
      </w:r>
      <w:r w:rsidR="00667114" w:rsidRPr="00E346CE">
        <w:rPr>
          <w:rFonts w:ascii="Arial" w:hAnsi="Arial"/>
          <w:sz w:val="22"/>
          <w:szCs w:val="22"/>
        </w:rPr>
        <w:t xml:space="preserve">venous pH &lt;7.35 or point of care capillary beta </w:t>
      </w:r>
      <w:proofErr w:type="spellStart"/>
      <w:r w:rsidR="000F79BA">
        <w:rPr>
          <w:rFonts w:ascii="Arial" w:hAnsi="Arial"/>
          <w:sz w:val="22"/>
          <w:szCs w:val="22"/>
        </w:rPr>
        <w:t>h</w:t>
      </w:r>
      <w:r w:rsidR="00667114" w:rsidRPr="00E346CE">
        <w:rPr>
          <w:rFonts w:ascii="Arial" w:hAnsi="Arial"/>
          <w:sz w:val="22"/>
          <w:szCs w:val="22"/>
        </w:rPr>
        <w:t>ydroxybutyrate</w:t>
      </w:r>
      <w:proofErr w:type="spellEnd"/>
      <w:r w:rsidR="00667114" w:rsidRPr="00E346CE">
        <w:rPr>
          <w:rFonts w:ascii="Arial" w:hAnsi="Arial"/>
          <w:sz w:val="22"/>
          <w:szCs w:val="22"/>
        </w:rPr>
        <w:t xml:space="preserve"> level of &gt;5.0</w:t>
      </w:r>
      <w:r w:rsidR="00A46CE6">
        <w:rPr>
          <w:rFonts w:ascii="Arial" w:hAnsi="Arial"/>
          <w:sz w:val="22"/>
          <w:szCs w:val="22"/>
        </w:rPr>
        <w:t>mmol/L</w:t>
      </w:r>
      <w:r w:rsidR="00113533">
        <w:rPr>
          <w:rFonts w:ascii="Arial" w:hAnsi="Arial"/>
          <w:sz w:val="22"/>
          <w:szCs w:val="22"/>
        </w:rPr>
        <w:t xml:space="preserve">. </w:t>
      </w:r>
      <w:r w:rsidR="001F4B15">
        <w:rPr>
          <w:rFonts w:ascii="Arial" w:hAnsi="Arial"/>
          <w:sz w:val="22"/>
          <w:szCs w:val="22"/>
        </w:rPr>
        <w:t xml:space="preserve">Data was modelled using the Steele Equation. </w:t>
      </w:r>
    </w:p>
    <w:p w14:paraId="3A076ABF" w14:textId="77777777" w:rsidR="00E346CE" w:rsidRDefault="00E346CE" w:rsidP="002D17AE">
      <w:pPr>
        <w:widowControl w:val="0"/>
        <w:autoSpaceDE w:val="0"/>
        <w:autoSpaceDN w:val="0"/>
        <w:adjustRightInd w:val="0"/>
        <w:spacing w:after="200"/>
        <w:outlineLvl w:val="0"/>
        <w:rPr>
          <w:rFonts w:ascii="Arial" w:hAnsi="Arial"/>
          <w:sz w:val="22"/>
          <w:szCs w:val="22"/>
          <w:u w:val="single"/>
        </w:rPr>
      </w:pPr>
      <w:r w:rsidRPr="008B7BB5">
        <w:rPr>
          <w:rFonts w:ascii="Arial" w:hAnsi="Arial"/>
          <w:sz w:val="22"/>
          <w:szCs w:val="22"/>
          <w:u w:val="single"/>
        </w:rPr>
        <w:t>Results</w:t>
      </w:r>
    </w:p>
    <w:p w14:paraId="508117D4" w14:textId="77777777" w:rsidR="005019D5" w:rsidRPr="00AF5BEA" w:rsidRDefault="005019D5" w:rsidP="005450EB">
      <w:pPr>
        <w:widowControl w:val="0"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u w:val="single"/>
          <w:lang w:eastAsia="en-GB"/>
        </w:rPr>
      </w:pPr>
      <w:r w:rsidRPr="00AF5BEA">
        <w:rPr>
          <w:rFonts w:ascii="Times New Roman" w:eastAsia="Times New Roman" w:hAnsi="Times New Roman" w:cs="Times New Roman"/>
          <w:u w:val="single"/>
          <w:lang w:eastAsia="en-GB"/>
        </w:rPr>
        <w:t xml:space="preserve">Baseline </w:t>
      </w:r>
    </w:p>
    <w:p w14:paraId="5EA0FD5A" w14:textId="09F3A171" w:rsidR="007B7BCB" w:rsidRPr="00DB6794" w:rsidRDefault="00A46CE6" w:rsidP="000C24F6">
      <w:pPr>
        <w:widowControl w:val="0"/>
        <w:autoSpaceDE w:val="0"/>
        <w:autoSpaceDN w:val="0"/>
        <w:adjustRightInd w:val="0"/>
        <w:spacing w:after="200"/>
        <w:rPr>
          <w:rFonts w:ascii="Arial" w:eastAsia="Times New Roman" w:hAnsi="Arial"/>
          <w:sz w:val="22"/>
          <w:szCs w:val="22"/>
          <w:lang w:eastAsia="en-GB"/>
        </w:rPr>
      </w:pPr>
      <w:r w:rsidRPr="00DB6794">
        <w:rPr>
          <w:rFonts w:ascii="Arial" w:eastAsia="Times New Roman" w:hAnsi="Arial"/>
          <w:sz w:val="22"/>
          <w:szCs w:val="22"/>
          <w:lang w:eastAsia="en-GB"/>
        </w:rPr>
        <w:t>Glucose Ra (</w:t>
      </w:r>
      <w:proofErr w:type="spellStart"/>
      <w:r w:rsidRPr="00DB6794">
        <w:rPr>
          <w:rFonts w:ascii="Arial" w:eastAsia="Times New Roman" w:hAnsi="Arial"/>
          <w:sz w:val="22"/>
          <w:szCs w:val="22"/>
          <w:lang w:eastAsia="en-GB"/>
        </w:rPr>
        <w:t>micromol</w:t>
      </w:r>
      <w:proofErr w:type="spellEnd"/>
      <w:r w:rsidRPr="00DB6794">
        <w:rPr>
          <w:rFonts w:ascii="Arial" w:eastAsia="Times New Roman" w:hAnsi="Arial"/>
          <w:sz w:val="22"/>
          <w:szCs w:val="22"/>
          <w:lang w:eastAsia="en-GB"/>
        </w:rPr>
        <w:t>/min/kg) at 0 min</w:t>
      </w:r>
      <w:r w:rsidRPr="000C24F6">
        <w:rPr>
          <w:rFonts w:ascii="Arial" w:hAnsi="Arial"/>
          <w:color w:val="101010"/>
          <w:sz w:val="22"/>
          <w:szCs w:val="22"/>
          <w:lang w:eastAsia="zh-CN"/>
        </w:rPr>
        <w:t xml:space="preserve"> was </w:t>
      </w:r>
      <w:r w:rsidRPr="00DB6794">
        <w:rPr>
          <w:rFonts w:ascii="Arial" w:eastAsia="Times New Roman" w:hAnsi="Arial"/>
          <w:sz w:val="22"/>
          <w:szCs w:val="22"/>
          <w:lang w:eastAsia="en-GB"/>
        </w:rPr>
        <w:t xml:space="preserve">higher with </w:t>
      </w:r>
      <w:proofErr w:type="spellStart"/>
      <w:r w:rsidRPr="00DB6794">
        <w:rPr>
          <w:rFonts w:ascii="Arial" w:eastAsia="Times New Roman" w:hAnsi="Arial"/>
          <w:sz w:val="22"/>
          <w:szCs w:val="22"/>
          <w:lang w:eastAsia="en-GB"/>
        </w:rPr>
        <w:t>dapagliflozin</w:t>
      </w:r>
      <w:proofErr w:type="spellEnd"/>
      <w:r w:rsidRPr="00DB6794">
        <w:rPr>
          <w:rFonts w:ascii="Arial" w:eastAsia="Times New Roman" w:hAnsi="Arial"/>
          <w:sz w:val="22"/>
          <w:szCs w:val="22"/>
          <w:lang w:eastAsia="en-GB"/>
        </w:rPr>
        <w:t xml:space="preserve"> compared with </w:t>
      </w:r>
      <w:r w:rsidRPr="00DB6794">
        <w:rPr>
          <w:rFonts w:ascii="Arial" w:eastAsia="Times New Roman" w:hAnsi="Arial"/>
          <w:sz w:val="22"/>
          <w:szCs w:val="22"/>
          <w:lang w:eastAsia="en-GB"/>
        </w:rPr>
        <w:lastRenderedPageBreak/>
        <w:t xml:space="preserve">placebo </w:t>
      </w:r>
      <w:r w:rsidR="000C24F6" w:rsidRPr="00DB6794">
        <w:rPr>
          <w:rFonts w:ascii="Arial" w:eastAsia="Times New Roman" w:hAnsi="Arial"/>
          <w:sz w:val="22"/>
          <w:szCs w:val="22"/>
          <w:lang w:eastAsia="en-GB"/>
        </w:rPr>
        <w:t xml:space="preserve">13.1 ± 0 vs </w:t>
      </w:r>
      <w:r w:rsidRPr="00DB6794">
        <w:rPr>
          <w:rFonts w:ascii="Arial" w:eastAsia="Times New Roman" w:hAnsi="Arial"/>
          <w:sz w:val="22"/>
          <w:szCs w:val="22"/>
          <w:lang w:eastAsia="en-GB"/>
        </w:rPr>
        <w:t xml:space="preserve">11.68 ± 0.65 p=0.011 </w:t>
      </w:r>
      <w:r w:rsidR="00682A16" w:rsidRPr="00DB6794">
        <w:rPr>
          <w:rFonts w:ascii="Arial" w:eastAsia="Times New Roman" w:hAnsi="Arial"/>
          <w:sz w:val="22"/>
          <w:szCs w:val="22"/>
          <w:lang w:eastAsia="en-GB"/>
        </w:rPr>
        <w:t>and glucagon/i</w:t>
      </w:r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nsulin (ng/</w:t>
      </w:r>
      <w:proofErr w:type="spellStart"/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pmol</w:t>
      </w:r>
      <w:proofErr w:type="spellEnd"/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 xml:space="preserve">) at 0 min </w:t>
      </w:r>
      <w:r w:rsidRPr="00DB6794">
        <w:rPr>
          <w:rFonts w:ascii="Arial" w:eastAsia="Times New Roman" w:hAnsi="Arial"/>
          <w:sz w:val="22"/>
          <w:szCs w:val="22"/>
          <w:lang w:eastAsia="en-GB"/>
        </w:rPr>
        <w:t xml:space="preserve">was </w:t>
      </w:r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0.28 ± 0.06 vs 0.16 ± 0.02 p=0.031</w:t>
      </w:r>
      <w:r w:rsidR="00A768B4" w:rsidRPr="00DB6794">
        <w:rPr>
          <w:rFonts w:ascii="Arial" w:eastAsia="Times New Roman" w:hAnsi="Arial"/>
          <w:sz w:val="22"/>
          <w:szCs w:val="22"/>
          <w:lang w:eastAsia="en-GB"/>
        </w:rPr>
        <w:t>, respectively</w:t>
      </w:r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.</w:t>
      </w:r>
      <w:r w:rsidR="00682A16" w:rsidRPr="00DB6794">
        <w:rPr>
          <w:rFonts w:ascii="Arial" w:eastAsia="Times New Roman" w:hAnsi="Arial"/>
          <w:sz w:val="22"/>
          <w:szCs w:val="22"/>
          <w:lang w:eastAsia="en-GB"/>
        </w:rPr>
        <w:t xml:space="preserve"> </w:t>
      </w:r>
      <w:r w:rsidR="00DF789F" w:rsidRPr="00DB6794">
        <w:rPr>
          <w:rFonts w:ascii="Arial" w:eastAsia="Times New Roman" w:hAnsi="Arial"/>
          <w:sz w:val="22"/>
          <w:szCs w:val="22"/>
          <w:lang w:eastAsia="en-GB"/>
        </w:rPr>
        <w:t>The s</w:t>
      </w:r>
      <w:r w:rsidR="00682A16" w:rsidRPr="00DB6794">
        <w:rPr>
          <w:rFonts w:ascii="Arial" w:eastAsia="Times New Roman" w:hAnsi="Arial"/>
          <w:sz w:val="22"/>
          <w:szCs w:val="22"/>
          <w:lang w:eastAsia="en-GB"/>
        </w:rPr>
        <w:t xml:space="preserve">tatistical </w:t>
      </w:r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differences were</w:t>
      </w:r>
      <w:r w:rsidR="005450EB" w:rsidRPr="00DB6794">
        <w:rPr>
          <w:rFonts w:ascii="Arial" w:eastAsia="Times New Roman" w:hAnsi="Arial"/>
          <w:sz w:val="22"/>
          <w:szCs w:val="22"/>
          <w:lang w:eastAsia="en-GB"/>
        </w:rPr>
        <w:t xml:space="preserve"> lost during </w:t>
      </w:r>
      <w:r w:rsidR="007B7BCB" w:rsidRPr="00DB6794">
        <w:rPr>
          <w:rFonts w:ascii="Arial" w:eastAsia="Times New Roman" w:hAnsi="Arial"/>
          <w:sz w:val="22"/>
          <w:szCs w:val="22"/>
          <w:lang w:eastAsia="en-GB"/>
        </w:rPr>
        <w:t>insulin withdrawal.</w:t>
      </w:r>
    </w:p>
    <w:p w14:paraId="74CCC790" w14:textId="77777777" w:rsidR="005019D5" w:rsidRPr="00AF5BEA" w:rsidRDefault="005019D5" w:rsidP="005019D5">
      <w:pPr>
        <w:widowControl w:val="0"/>
        <w:autoSpaceDE w:val="0"/>
        <w:autoSpaceDN w:val="0"/>
        <w:adjustRightInd w:val="0"/>
        <w:spacing w:after="200"/>
        <w:rPr>
          <w:rFonts w:ascii="Arial" w:hAnsi="Arial"/>
          <w:sz w:val="22"/>
          <w:szCs w:val="22"/>
          <w:u w:val="single"/>
        </w:rPr>
      </w:pPr>
      <w:r w:rsidRPr="00AF5BEA">
        <w:rPr>
          <w:rFonts w:ascii="Arial" w:hAnsi="Arial"/>
          <w:sz w:val="22"/>
          <w:szCs w:val="22"/>
          <w:u w:val="single"/>
        </w:rPr>
        <w:t>Following insulin withdrawal</w:t>
      </w:r>
    </w:p>
    <w:p w14:paraId="3029A01B" w14:textId="5053636F" w:rsidR="00343152" w:rsidRDefault="005019D5" w:rsidP="003F5093">
      <w:pPr>
        <w:widowControl w:val="0"/>
        <w:autoSpaceDE w:val="0"/>
        <w:autoSpaceDN w:val="0"/>
        <w:adjustRightInd w:val="0"/>
        <w:spacing w:after="200"/>
        <w:rPr>
          <w:rFonts w:ascii="Arial" w:eastAsia="Times New Roman" w:hAnsi="Arial"/>
          <w:sz w:val="22"/>
          <w:szCs w:val="22"/>
          <w:lang w:eastAsia="en-GB"/>
        </w:rPr>
      </w:pPr>
      <w:r w:rsidRPr="00950C78">
        <w:rPr>
          <w:rFonts w:ascii="Arial" w:hAnsi="Arial"/>
          <w:sz w:val="22"/>
          <w:szCs w:val="22"/>
        </w:rPr>
        <w:t xml:space="preserve">Plasma </w:t>
      </w:r>
      <w:r w:rsidR="003F5093">
        <w:rPr>
          <w:rFonts w:ascii="Arial" w:hAnsi="Arial"/>
          <w:color w:val="101010"/>
          <w:sz w:val="22"/>
          <w:szCs w:val="22"/>
          <w:lang w:eastAsia="zh-CN"/>
        </w:rPr>
        <w:t>g</w:t>
      </w:r>
      <w:r w:rsidRPr="00950C78">
        <w:rPr>
          <w:rFonts w:ascii="Arial" w:hAnsi="Arial"/>
          <w:color w:val="101010"/>
          <w:sz w:val="22"/>
          <w:szCs w:val="22"/>
          <w:lang w:eastAsia="zh-CN"/>
        </w:rPr>
        <w:t xml:space="preserve">lucose concentration at end point was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8.5 ± 0.7mmol/L for 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dapagliflozin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 and 14.4 ± 1.1 for placebo p=0.0005.</w:t>
      </w:r>
      <w:r w:rsidR="00343152">
        <w:rPr>
          <w:rFonts w:ascii="Arial" w:eastAsia="Times New Roman" w:hAnsi="Arial"/>
          <w:sz w:val="22"/>
          <w:szCs w:val="22"/>
          <w:lang w:eastAsia="en-GB"/>
        </w:rPr>
        <w:t xml:space="preserve"> </w:t>
      </w:r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>Urinary glucose excretion during 0-120 min (</w:t>
      </w:r>
      <w:proofErr w:type="spellStart"/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>micromol</w:t>
      </w:r>
      <w:proofErr w:type="spellEnd"/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 xml:space="preserve">/kg/min) (n=6) for </w:t>
      </w:r>
      <w:proofErr w:type="spellStart"/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>dapagliflozin</w:t>
      </w:r>
      <w:proofErr w:type="spellEnd"/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 xml:space="preserve"> 5.</w:t>
      </w:r>
      <w:r w:rsidR="00B2531B">
        <w:rPr>
          <w:rFonts w:ascii="Arial" w:eastAsia="Times New Roman" w:hAnsi="Arial"/>
          <w:sz w:val="22"/>
          <w:szCs w:val="22"/>
          <w:lang w:eastAsia="en-GB"/>
        </w:rPr>
        <w:t>10</w:t>
      </w:r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 xml:space="preserve"> ± 0.8</w:t>
      </w:r>
      <w:r w:rsidR="00B2531B">
        <w:rPr>
          <w:rFonts w:ascii="Arial" w:eastAsia="Times New Roman" w:hAnsi="Arial"/>
          <w:sz w:val="22"/>
          <w:szCs w:val="22"/>
          <w:lang w:eastAsia="en-GB"/>
        </w:rPr>
        <w:t>0</w:t>
      </w:r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 xml:space="preserve"> vs 0.029 ± 0.01</w:t>
      </w:r>
      <w:r w:rsidR="00950C78" w:rsidRPr="00950C78">
        <w:rPr>
          <w:rFonts w:ascii="Arial" w:eastAsia="Times New Roman" w:hAnsi="Arial"/>
          <w:sz w:val="22"/>
          <w:szCs w:val="22"/>
          <w:lang w:eastAsia="en-GB"/>
        </w:rPr>
        <w:t xml:space="preserve"> </w:t>
      </w:r>
      <w:r w:rsidR="000C6FD1" w:rsidRPr="00950C78">
        <w:rPr>
          <w:rFonts w:ascii="Arial" w:eastAsia="Times New Roman" w:hAnsi="Arial"/>
          <w:sz w:val="22"/>
          <w:szCs w:val="22"/>
          <w:lang w:eastAsia="en-GB"/>
        </w:rPr>
        <w:t xml:space="preserve">p=0.003. </w:t>
      </w:r>
    </w:p>
    <w:p w14:paraId="542AC92F" w14:textId="07A6432B" w:rsidR="007B7BCB" w:rsidRPr="00950C78" w:rsidRDefault="007B7BCB" w:rsidP="00343152">
      <w:pPr>
        <w:widowControl w:val="0"/>
        <w:autoSpaceDE w:val="0"/>
        <w:autoSpaceDN w:val="0"/>
        <w:adjustRightInd w:val="0"/>
        <w:spacing w:after="200"/>
        <w:rPr>
          <w:rFonts w:ascii="Arial" w:eastAsia="Times New Roman" w:hAnsi="Arial"/>
          <w:sz w:val="22"/>
          <w:szCs w:val="22"/>
          <w:lang w:eastAsia="en-GB"/>
        </w:rPr>
      </w:pPr>
      <w:r w:rsidRPr="00950C78">
        <w:rPr>
          <w:rFonts w:ascii="Arial" w:eastAsia="Times New Roman" w:hAnsi="Arial"/>
          <w:sz w:val="22"/>
          <w:szCs w:val="22"/>
          <w:lang w:eastAsia="en-GB"/>
        </w:rPr>
        <w:t>AUC</w:t>
      </w:r>
      <w:r w:rsidRPr="00950C78">
        <w:rPr>
          <w:rFonts w:ascii="Arial" w:eastAsia="Times New Roman" w:hAnsi="Arial"/>
          <w:sz w:val="22"/>
          <w:szCs w:val="22"/>
          <w:vertAlign w:val="subscript"/>
          <w:lang w:eastAsia="en-GB"/>
        </w:rPr>
        <w:t xml:space="preserve">0-180 min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Glu</w:t>
      </w:r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>cose Rd (</w:t>
      </w:r>
      <w:proofErr w:type="spellStart"/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>micromol</w:t>
      </w:r>
      <w:proofErr w:type="spellEnd"/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 xml:space="preserve">/min/kg *min)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was higher for 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dapagliflozin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 2727± 222 vs 2006 ± 140 for placebo</w:t>
      </w:r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 xml:space="preserve"> p=0.0004</w:t>
      </w:r>
      <w:r w:rsidR="00CB1760">
        <w:rPr>
          <w:rFonts w:ascii="Arial" w:eastAsia="Times New Roman" w:hAnsi="Arial"/>
          <w:sz w:val="22"/>
          <w:szCs w:val="22"/>
          <w:lang w:eastAsia="en-GB"/>
        </w:rPr>
        <w:t>.</w:t>
      </w:r>
    </w:p>
    <w:p w14:paraId="67CBF06D" w14:textId="15D3644F" w:rsidR="00AD77F6" w:rsidRPr="00AD77F6" w:rsidRDefault="00A8797A" w:rsidP="00AD77F6">
      <w:pPr>
        <w:rPr>
          <w:rFonts w:ascii="Times New Roman" w:eastAsia="Times New Roman" w:hAnsi="Times New Roman" w:cs="Times New Roman"/>
          <w:lang w:val="en-GB" w:eastAsia="zh-CN"/>
        </w:rPr>
      </w:pPr>
      <w:r w:rsidRPr="00950C78">
        <w:rPr>
          <w:rFonts w:ascii="Arial" w:eastAsia="Times New Roman" w:hAnsi="Arial"/>
          <w:sz w:val="22"/>
          <w:szCs w:val="22"/>
          <w:lang w:eastAsia="en-GB"/>
        </w:rPr>
        <w:t>AUC</w:t>
      </w:r>
      <w:r w:rsidRPr="00950C78">
        <w:rPr>
          <w:rFonts w:ascii="Arial" w:eastAsia="Times New Roman" w:hAnsi="Arial"/>
          <w:sz w:val="22"/>
          <w:szCs w:val="22"/>
          <w:vertAlign w:val="subscript"/>
          <w:lang w:eastAsia="en-GB"/>
        </w:rPr>
        <w:t xml:space="preserve">0-180 min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BOHB (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mmol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/L*min) was significantly different 149 ± 26 for 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dapagliflo</w:t>
      </w:r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>zin</w:t>
      </w:r>
      <w:proofErr w:type="spellEnd"/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 xml:space="preserve"> vs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12 ± 18</w:t>
      </w:r>
      <w:r w:rsidR="00682A16" w:rsidRPr="00950C78">
        <w:rPr>
          <w:rFonts w:ascii="Arial" w:eastAsia="Times New Roman" w:hAnsi="Arial"/>
          <w:sz w:val="22"/>
          <w:szCs w:val="22"/>
          <w:lang w:eastAsia="en-GB"/>
        </w:rPr>
        <w:t xml:space="preserve"> for placebo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 p=0.044.</w:t>
      </w:r>
      <w:r w:rsidR="00AD77F6">
        <w:rPr>
          <w:rFonts w:ascii="Arial" w:eastAsia="Times New Roman" w:hAnsi="Arial"/>
          <w:sz w:val="22"/>
          <w:szCs w:val="22"/>
          <w:lang w:eastAsia="en-GB"/>
        </w:rPr>
        <w:t xml:space="preserve"> </w:t>
      </w:r>
    </w:p>
    <w:p w14:paraId="0BB6E6FE" w14:textId="51CED7BA" w:rsidR="00A7155E" w:rsidRPr="00AF5BEA" w:rsidRDefault="00A7155E" w:rsidP="00950C78">
      <w:pPr>
        <w:widowControl w:val="0"/>
        <w:autoSpaceDE w:val="0"/>
        <w:autoSpaceDN w:val="0"/>
        <w:adjustRightInd w:val="0"/>
        <w:spacing w:after="200"/>
        <w:rPr>
          <w:rFonts w:ascii="Arial" w:eastAsia="Times New Roman" w:hAnsi="Arial"/>
          <w:sz w:val="22"/>
          <w:szCs w:val="22"/>
          <w:lang w:val="en-GB" w:eastAsia="en-GB"/>
        </w:rPr>
      </w:pPr>
    </w:p>
    <w:p w14:paraId="05C1530E" w14:textId="2A1A8200" w:rsidR="00A7155E" w:rsidRDefault="00B2531B" w:rsidP="00A7155E">
      <w:r>
        <w:rPr>
          <w:noProof/>
          <w:lang w:val="en-GB" w:eastAsia="zh-CN"/>
        </w:rPr>
        <w:drawing>
          <wp:inline distT="0" distB="0" distL="0" distR="0" wp14:anchorId="17A94CB6" wp14:editId="54F0A7CD">
            <wp:extent cx="5105400" cy="30099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F4EF41" w14:textId="41782C69" w:rsidR="003F5093" w:rsidRDefault="00A7155E" w:rsidP="00A7155E">
      <w:pPr>
        <w:rPr>
          <w:rFonts w:ascii="Arial" w:hAnsi="Arial"/>
          <w:sz w:val="22"/>
          <w:szCs w:val="22"/>
        </w:rPr>
      </w:pPr>
      <w:r w:rsidRPr="00AF5BEA">
        <w:rPr>
          <w:rFonts w:ascii="Arial" w:hAnsi="Arial"/>
          <w:sz w:val="22"/>
          <w:szCs w:val="22"/>
        </w:rPr>
        <w:t xml:space="preserve">Figure 1- Concentration of beta </w:t>
      </w:r>
      <w:proofErr w:type="spellStart"/>
      <w:r w:rsidRPr="00AF5BEA">
        <w:rPr>
          <w:rFonts w:ascii="Arial" w:hAnsi="Arial"/>
          <w:sz w:val="22"/>
          <w:szCs w:val="22"/>
        </w:rPr>
        <w:t>hydroxybutyrate</w:t>
      </w:r>
      <w:proofErr w:type="spellEnd"/>
      <w:r w:rsidRPr="00AF5BEA">
        <w:rPr>
          <w:rFonts w:ascii="Arial" w:hAnsi="Arial"/>
          <w:sz w:val="22"/>
          <w:szCs w:val="22"/>
        </w:rPr>
        <w:t xml:space="preserve"> (</w:t>
      </w:r>
      <w:proofErr w:type="spellStart"/>
      <w:r w:rsidRPr="00AF5BEA">
        <w:rPr>
          <w:rFonts w:ascii="Arial" w:hAnsi="Arial"/>
          <w:sz w:val="22"/>
          <w:szCs w:val="22"/>
        </w:rPr>
        <w:t>mmol</w:t>
      </w:r>
      <w:proofErr w:type="spellEnd"/>
      <w:r w:rsidRPr="00AF5BEA">
        <w:rPr>
          <w:rFonts w:ascii="Arial" w:hAnsi="Arial"/>
          <w:sz w:val="22"/>
          <w:szCs w:val="22"/>
        </w:rPr>
        <w:t xml:space="preserve">/L) at arrival (-120), at equilibrium (0 min) and after insulin withdrawal at 0 to 600 min at the end of 7 days treatment with either </w:t>
      </w:r>
      <w:proofErr w:type="spellStart"/>
      <w:r w:rsidRPr="00AF5BEA">
        <w:rPr>
          <w:rFonts w:ascii="Arial" w:hAnsi="Arial"/>
          <w:sz w:val="22"/>
          <w:szCs w:val="22"/>
        </w:rPr>
        <w:t>dapagliflozin</w:t>
      </w:r>
      <w:proofErr w:type="spellEnd"/>
      <w:r w:rsidRPr="00AF5BEA">
        <w:rPr>
          <w:rFonts w:ascii="Arial" w:hAnsi="Arial"/>
          <w:sz w:val="22"/>
          <w:szCs w:val="22"/>
        </w:rPr>
        <w:t xml:space="preserve"> (o) or placebo (</w:t>
      </w:r>
      <w:r w:rsidRPr="00AF5BEA">
        <w:rPr>
          <w:rFonts w:ascii="Arial" w:hAnsi="Arial"/>
          <w:sz w:val="22"/>
          <w:szCs w:val="22"/>
        </w:rPr>
        <w:sym w:font="Symbol" w:char="F0B7"/>
      </w:r>
      <w:r w:rsidRPr="00AF5BEA">
        <w:rPr>
          <w:rFonts w:ascii="Arial" w:hAnsi="Arial"/>
          <w:sz w:val="22"/>
          <w:szCs w:val="22"/>
        </w:rPr>
        <w:t xml:space="preserve">).  </w:t>
      </w:r>
      <w:proofErr w:type="spellStart"/>
      <w:r w:rsidRPr="00AF5BEA">
        <w:rPr>
          <w:rFonts w:ascii="Arial" w:hAnsi="Arial"/>
          <w:sz w:val="22"/>
          <w:szCs w:val="22"/>
        </w:rPr>
        <w:t>Dapagliflozin</w:t>
      </w:r>
      <w:proofErr w:type="spellEnd"/>
      <w:r w:rsidRPr="00AF5BEA">
        <w:rPr>
          <w:rFonts w:ascii="Arial" w:hAnsi="Arial"/>
          <w:sz w:val="22"/>
          <w:szCs w:val="22"/>
        </w:rPr>
        <w:t xml:space="preserve"> or placebo was administered at 0 min. Study was terminated when one of the rescue parameters was reached. Results are mean ± SEM. </w:t>
      </w:r>
    </w:p>
    <w:p w14:paraId="03FE4878" w14:textId="77777777" w:rsidR="00950C78" w:rsidRDefault="00950C78" w:rsidP="00DB6794">
      <w:pPr>
        <w:rPr>
          <w:rFonts w:ascii="Arial" w:hAnsi="Arial"/>
          <w:color w:val="101010"/>
          <w:sz w:val="22"/>
          <w:szCs w:val="22"/>
          <w:lang w:eastAsia="zh-CN"/>
        </w:rPr>
      </w:pPr>
    </w:p>
    <w:p w14:paraId="15C30E9D" w14:textId="4504FA95" w:rsidR="003F5093" w:rsidRPr="00DB6794" w:rsidRDefault="003F5093" w:rsidP="003F5093">
      <w:pPr>
        <w:widowControl w:val="0"/>
        <w:autoSpaceDE w:val="0"/>
        <w:autoSpaceDN w:val="0"/>
        <w:adjustRightInd w:val="0"/>
        <w:spacing w:after="200"/>
        <w:rPr>
          <w:rFonts w:ascii="Arial" w:eastAsia="Times New Roman" w:hAnsi="Arial"/>
          <w:sz w:val="22"/>
          <w:szCs w:val="22"/>
          <w:lang w:eastAsia="en-GB"/>
        </w:rPr>
      </w:pPr>
      <w:r w:rsidRPr="00950C78">
        <w:rPr>
          <w:rFonts w:ascii="Arial" w:hAnsi="Arial"/>
          <w:color w:val="101010"/>
          <w:sz w:val="22"/>
          <w:szCs w:val="22"/>
          <w:lang w:eastAsia="zh-CN"/>
        </w:rPr>
        <w:t>T</w:t>
      </w:r>
      <w:r w:rsidR="00DB6794">
        <w:rPr>
          <w:rFonts w:ascii="Arial" w:hAnsi="Arial"/>
          <w:color w:val="101010"/>
          <w:sz w:val="22"/>
          <w:szCs w:val="22"/>
          <w:lang w:eastAsia="zh-CN"/>
        </w:rPr>
        <w:t>here was no</w:t>
      </w:r>
      <w:r w:rsidRPr="00950C78">
        <w:rPr>
          <w:rFonts w:ascii="Arial" w:hAnsi="Arial"/>
          <w:color w:val="101010"/>
          <w:sz w:val="22"/>
          <w:szCs w:val="22"/>
          <w:lang w:eastAsia="zh-CN"/>
        </w:rPr>
        <w:t xml:space="preserve"> </w:t>
      </w:r>
      <w:r w:rsidR="001F4B15">
        <w:rPr>
          <w:rFonts w:ascii="Arial" w:hAnsi="Arial"/>
          <w:color w:val="101010"/>
          <w:sz w:val="22"/>
          <w:szCs w:val="22"/>
          <w:lang w:eastAsia="zh-CN"/>
        </w:rPr>
        <w:t xml:space="preserve">statistical </w:t>
      </w:r>
      <w:r w:rsidRPr="00950C78">
        <w:rPr>
          <w:rFonts w:ascii="Arial" w:hAnsi="Arial"/>
          <w:color w:val="101010"/>
          <w:sz w:val="22"/>
          <w:szCs w:val="22"/>
          <w:lang w:eastAsia="zh-CN"/>
        </w:rPr>
        <w:t xml:space="preserve">difference in </w:t>
      </w:r>
      <w:proofErr w:type="spellStart"/>
      <w:r w:rsidRPr="00950C78">
        <w:rPr>
          <w:rFonts w:ascii="Arial" w:hAnsi="Arial"/>
          <w:color w:val="101010"/>
          <w:sz w:val="22"/>
          <w:szCs w:val="22"/>
          <w:lang w:eastAsia="zh-CN"/>
        </w:rPr>
        <w:t>lipoplysis</w:t>
      </w:r>
      <w:proofErr w:type="spellEnd"/>
      <w:r w:rsidRPr="00950C78">
        <w:rPr>
          <w:rFonts w:ascii="Arial" w:hAnsi="Arial"/>
          <w:color w:val="101010"/>
          <w:sz w:val="22"/>
          <w:szCs w:val="22"/>
          <w:lang w:eastAsia="zh-CN"/>
        </w:rPr>
        <w:t xml:space="preserve"> with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AUC</w:t>
      </w:r>
      <w:r w:rsidRPr="00950C78">
        <w:rPr>
          <w:rFonts w:ascii="Arial" w:eastAsia="Times New Roman" w:hAnsi="Arial"/>
          <w:sz w:val="22"/>
          <w:szCs w:val="22"/>
          <w:vertAlign w:val="subscript"/>
          <w:lang w:eastAsia="en-GB"/>
        </w:rPr>
        <w:t xml:space="preserve">0-180 min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Glycerol Ra (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micromol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/min/kg *min) 585 ±7 7 for 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dapagliflozin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 xml:space="preserve"> vs 543 ± 56 placebo p=0.22 and AUC</w:t>
      </w:r>
      <w:r w:rsidRPr="00950C78">
        <w:rPr>
          <w:rFonts w:ascii="Arial" w:eastAsia="Times New Roman" w:hAnsi="Arial"/>
          <w:sz w:val="22"/>
          <w:szCs w:val="22"/>
          <w:vertAlign w:val="subscript"/>
          <w:lang w:eastAsia="en-GB"/>
        </w:rPr>
        <w:t xml:space="preserve">0-180 min </w:t>
      </w:r>
      <w:r w:rsidRPr="00950C78">
        <w:rPr>
          <w:rFonts w:ascii="Arial" w:eastAsia="Times New Roman" w:hAnsi="Arial"/>
          <w:sz w:val="22"/>
          <w:szCs w:val="22"/>
          <w:lang w:eastAsia="en-GB"/>
        </w:rPr>
        <w:t>NEFA (</w:t>
      </w:r>
      <w:proofErr w:type="spellStart"/>
      <w:r w:rsidRPr="00950C78">
        <w:rPr>
          <w:rFonts w:ascii="Arial" w:eastAsia="Times New Roman" w:hAnsi="Arial"/>
          <w:sz w:val="22"/>
          <w:szCs w:val="22"/>
          <w:lang w:eastAsia="en-GB"/>
        </w:rPr>
        <w:t>mmol</w:t>
      </w:r>
      <w:proofErr w:type="spellEnd"/>
      <w:r w:rsidRPr="00950C78">
        <w:rPr>
          <w:rFonts w:ascii="Arial" w:eastAsia="Times New Roman" w:hAnsi="Arial"/>
          <w:sz w:val="22"/>
          <w:szCs w:val="22"/>
          <w:lang w:eastAsia="en-GB"/>
        </w:rPr>
        <w:t>/L*min) 192 ± 15 vs 188 ± 14 p=0.55.</w:t>
      </w:r>
    </w:p>
    <w:p w14:paraId="42B664F6" w14:textId="46D5F81A" w:rsidR="00E346CE" w:rsidRPr="00B33F3F" w:rsidRDefault="00E346CE" w:rsidP="00950C78">
      <w:pPr>
        <w:widowControl w:val="0"/>
        <w:autoSpaceDE w:val="0"/>
        <w:autoSpaceDN w:val="0"/>
        <w:adjustRightInd w:val="0"/>
        <w:spacing w:after="200"/>
        <w:rPr>
          <w:rFonts w:ascii="Arial" w:hAnsi="Arial"/>
          <w:sz w:val="22"/>
          <w:szCs w:val="22"/>
          <w:u w:val="single"/>
        </w:rPr>
      </w:pPr>
      <w:r w:rsidRPr="00B33F3F">
        <w:rPr>
          <w:rFonts w:ascii="Arial" w:hAnsi="Arial"/>
          <w:sz w:val="22"/>
          <w:szCs w:val="22"/>
          <w:u w:val="single"/>
        </w:rPr>
        <w:t>Conclusion</w:t>
      </w:r>
    </w:p>
    <w:p w14:paraId="044FFED4" w14:textId="4174278F" w:rsidR="00846D18" w:rsidRPr="00AF5BEA" w:rsidRDefault="00DF789F" w:rsidP="001F4B15">
      <w:pPr>
        <w:rPr>
          <w:rFonts w:ascii="Arial" w:eastAsia="Times New Roman" w:hAnsi="Arial"/>
          <w:sz w:val="22"/>
          <w:szCs w:val="22"/>
          <w:lang w:val="en-GB" w:eastAsia="zh-CN"/>
        </w:rPr>
      </w:pPr>
      <w:r w:rsidRPr="00846D18">
        <w:rPr>
          <w:rFonts w:ascii="Arial" w:hAnsi="Arial"/>
          <w:color w:val="101010"/>
          <w:sz w:val="22"/>
          <w:szCs w:val="22"/>
          <w:lang w:eastAsia="zh-CN"/>
        </w:rPr>
        <w:t>During insulin withdrawal</w:t>
      </w:r>
      <w:r w:rsidR="00343152" w:rsidRPr="00846D18">
        <w:rPr>
          <w:rFonts w:ascii="Arial" w:eastAsia="?????? Pro W3" w:hAnsi="Arial"/>
          <w:sz w:val="22"/>
          <w:szCs w:val="22"/>
        </w:rPr>
        <w:t xml:space="preserve"> </w:t>
      </w:r>
      <w:r w:rsidRPr="00846D18">
        <w:rPr>
          <w:rFonts w:ascii="Arial" w:hAnsi="Arial"/>
          <w:color w:val="101010"/>
          <w:sz w:val="22"/>
          <w:szCs w:val="22"/>
          <w:lang w:eastAsia="zh-CN"/>
        </w:rPr>
        <w:t>l</w:t>
      </w:r>
      <w:r w:rsidR="000C6FD1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ipolysis was not significantly different </w:t>
      </w:r>
      <w:r w:rsidRPr="00846D18">
        <w:rPr>
          <w:rFonts w:ascii="Arial" w:hAnsi="Arial"/>
          <w:color w:val="101010"/>
          <w:sz w:val="22"/>
          <w:szCs w:val="22"/>
          <w:lang w:eastAsia="zh-CN"/>
        </w:rPr>
        <w:t xml:space="preserve">between </w:t>
      </w:r>
      <w:proofErr w:type="spellStart"/>
      <w:r w:rsidRPr="00846D18">
        <w:rPr>
          <w:rFonts w:ascii="Arial" w:hAnsi="Arial"/>
          <w:color w:val="101010"/>
          <w:sz w:val="22"/>
          <w:szCs w:val="22"/>
          <w:lang w:eastAsia="zh-CN"/>
        </w:rPr>
        <w:t>dapagliflozin</w:t>
      </w:r>
      <w:proofErr w:type="spellEnd"/>
      <w:r w:rsidRPr="00846D18">
        <w:rPr>
          <w:rFonts w:ascii="Arial" w:hAnsi="Arial"/>
          <w:color w:val="101010"/>
          <w:sz w:val="22"/>
          <w:szCs w:val="22"/>
          <w:lang w:eastAsia="zh-CN"/>
        </w:rPr>
        <w:t xml:space="preserve"> and placebo </w:t>
      </w:r>
      <w:r w:rsidR="000C6FD1" w:rsidRPr="00846D18">
        <w:rPr>
          <w:rFonts w:ascii="Arial" w:hAnsi="Arial"/>
          <w:color w:val="101010"/>
          <w:sz w:val="22"/>
          <w:szCs w:val="22"/>
          <w:lang w:eastAsia="zh-CN"/>
        </w:rPr>
        <w:t>but b</w:t>
      </w:r>
      <w:r w:rsidR="001061CD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eta </w:t>
      </w:r>
      <w:proofErr w:type="spellStart"/>
      <w:r w:rsidR="001061CD" w:rsidRPr="00846D18">
        <w:rPr>
          <w:rFonts w:ascii="Arial" w:hAnsi="Arial"/>
          <w:color w:val="101010"/>
          <w:sz w:val="22"/>
          <w:szCs w:val="22"/>
          <w:lang w:eastAsia="zh-CN"/>
        </w:rPr>
        <w:t>hydroxybutyrate</w:t>
      </w:r>
      <w:proofErr w:type="spellEnd"/>
      <w:r w:rsidR="001061CD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 </w:t>
      </w:r>
      <w:r w:rsidR="00F1225F">
        <w:rPr>
          <w:rFonts w:ascii="Arial" w:hAnsi="Arial"/>
          <w:color w:val="101010"/>
          <w:sz w:val="22"/>
          <w:szCs w:val="22"/>
          <w:lang w:eastAsia="zh-CN"/>
        </w:rPr>
        <w:t xml:space="preserve">was </w:t>
      </w:r>
      <w:r w:rsidR="00A2719F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significantly higher with </w:t>
      </w:r>
      <w:proofErr w:type="spellStart"/>
      <w:r w:rsidR="00A2719F" w:rsidRPr="00846D18">
        <w:rPr>
          <w:rFonts w:ascii="Arial" w:hAnsi="Arial"/>
          <w:color w:val="101010"/>
          <w:sz w:val="22"/>
          <w:szCs w:val="22"/>
          <w:lang w:eastAsia="zh-CN"/>
        </w:rPr>
        <w:t>dapagliflozin</w:t>
      </w:r>
      <w:proofErr w:type="spellEnd"/>
      <w:r w:rsidR="00A2719F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 </w:t>
      </w:r>
      <w:r w:rsidR="000C6FD1" w:rsidRPr="00846D18">
        <w:rPr>
          <w:rFonts w:ascii="Arial" w:hAnsi="Arial"/>
          <w:color w:val="101010"/>
          <w:sz w:val="22"/>
          <w:szCs w:val="22"/>
          <w:lang w:eastAsia="zh-CN"/>
        </w:rPr>
        <w:t xml:space="preserve">suggesting </w:t>
      </w:r>
      <w:bookmarkStart w:id="0" w:name="_GoBack"/>
      <w:r w:rsidR="00BB3EC1">
        <w:rPr>
          <w:rFonts w:ascii="Arial" w:hAnsi="Arial"/>
          <w:color w:val="101010"/>
          <w:sz w:val="22"/>
          <w:szCs w:val="22"/>
          <w:lang w:eastAsia="zh-CN"/>
        </w:rPr>
        <w:t xml:space="preserve">a potential </w:t>
      </w:r>
      <w:bookmarkEnd w:id="0"/>
      <w:r w:rsidR="00846D18" w:rsidRPr="00AF5BEA">
        <w:rPr>
          <w:rFonts w:ascii="Arial" w:eastAsia="Times New Roman" w:hAnsi="Arial"/>
          <w:color w:val="000000"/>
          <w:sz w:val="22"/>
          <w:szCs w:val="22"/>
        </w:rPr>
        <w:t xml:space="preserve">metabolic switch to </w:t>
      </w:r>
      <w:proofErr w:type="spellStart"/>
      <w:r w:rsidR="00846D18" w:rsidRPr="00AF5BEA">
        <w:rPr>
          <w:rFonts w:ascii="Arial" w:eastAsia="Times New Roman" w:hAnsi="Arial"/>
          <w:color w:val="000000"/>
          <w:sz w:val="22"/>
          <w:szCs w:val="22"/>
        </w:rPr>
        <w:t>ketogenesis</w:t>
      </w:r>
      <w:proofErr w:type="spellEnd"/>
      <w:r w:rsidR="00846D18" w:rsidRPr="00AF5BEA">
        <w:rPr>
          <w:rFonts w:ascii="Arial" w:eastAsia="Times New Roman" w:hAnsi="Arial"/>
          <w:color w:val="000000"/>
          <w:sz w:val="22"/>
          <w:szCs w:val="22"/>
        </w:rPr>
        <w:t xml:space="preserve"> within the liver</w:t>
      </w:r>
      <w:r w:rsidR="00CB1760">
        <w:rPr>
          <w:rFonts w:ascii="Arial" w:eastAsia="Times New Roman" w:hAnsi="Arial"/>
          <w:color w:val="000000"/>
          <w:sz w:val="22"/>
          <w:szCs w:val="22"/>
        </w:rPr>
        <w:t>.</w:t>
      </w:r>
      <w:r w:rsidR="00BD6C91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320E56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>G</w:t>
      </w:r>
      <w:r w:rsidR="00846D18" w:rsidRPr="00AF5BEA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>lucagon insulin ratio</w:t>
      </w:r>
      <w:r w:rsidR="00320E56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 xml:space="preserve"> was higher at baseline</w:t>
      </w:r>
      <w:r w:rsidR="00BD6C91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 xml:space="preserve"> and lost during insulin withdraw</w:t>
      </w:r>
      <w:r w:rsidR="00EE6363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>al</w:t>
      </w:r>
      <w:r w:rsidR="00320E56">
        <w:rPr>
          <w:rFonts w:ascii="Arial" w:eastAsia="Times New Roman" w:hAnsi="Arial"/>
          <w:color w:val="000000"/>
          <w:sz w:val="22"/>
          <w:szCs w:val="22"/>
          <w:lang w:val="en-GB" w:eastAsia="zh-CN"/>
        </w:rPr>
        <w:t>.</w:t>
      </w:r>
    </w:p>
    <w:p w14:paraId="0C5DF736" w14:textId="77777777" w:rsidR="000839FD" w:rsidRPr="00EC642A" w:rsidRDefault="000839FD" w:rsidP="003A571B">
      <w:pPr>
        <w:jc w:val="both"/>
        <w:rPr>
          <w:rFonts w:ascii="Arial" w:hAnsi="Arial"/>
          <w:sz w:val="22"/>
          <w:szCs w:val="22"/>
        </w:rPr>
      </w:pPr>
    </w:p>
    <w:sectPr w:rsidR="000839FD" w:rsidRPr="00EC642A" w:rsidSect="000B4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CC6A" w14:textId="77777777" w:rsidR="00B12E38" w:rsidRDefault="00B12E38" w:rsidP="00950C78">
      <w:r>
        <w:separator/>
      </w:r>
    </w:p>
  </w:endnote>
  <w:endnote w:type="continuationSeparator" w:id="0">
    <w:p w14:paraId="16EAD914" w14:textId="77777777" w:rsidR="00B12E38" w:rsidRDefault="00B12E38" w:rsidP="0095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1D18" w14:textId="77777777" w:rsidR="00B12E38" w:rsidRDefault="00B12E38" w:rsidP="00950C78">
      <w:r>
        <w:separator/>
      </w:r>
    </w:p>
  </w:footnote>
  <w:footnote w:type="continuationSeparator" w:id="0">
    <w:p w14:paraId="38C03AD6" w14:textId="77777777" w:rsidR="00B12E38" w:rsidRDefault="00B12E38" w:rsidP="0095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2E3D"/>
    <w:multiLevelType w:val="multilevel"/>
    <w:tmpl w:val="4740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C6"/>
    <w:rsid w:val="000371C2"/>
    <w:rsid w:val="00051083"/>
    <w:rsid w:val="00057B25"/>
    <w:rsid w:val="00072472"/>
    <w:rsid w:val="00074C78"/>
    <w:rsid w:val="00083861"/>
    <w:rsid w:val="000839FD"/>
    <w:rsid w:val="000A12F8"/>
    <w:rsid w:val="000A13FB"/>
    <w:rsid w:val="000B4B77"/>
    <w:rsid w:val="000C24F6"/>
    <w:rsid w:val="000C6FD1"/>
    <w:rsid w:val="000D207A"/>
    <w:rsid w:val="000D28E9"/>
    <w:rsid w:val="000D6CAA"/>
    <w:rsid w:val="000D7549"/>
    <w:rsid w:val="000E16FF"/>
    <w:rsid w:val="000F79BA"/>
    <w:rsid w:val="001061CD"/>
    <w:rsid w:val="00113533"/>
    <w:rsid w:val="00120FCB"/>
    <w:rsid w:val="001308CE"/>
    <w:rsid w:val="00172ACB"/>
    <w:rsid w:val="00190B4D"/>
    <w:rsid w:val="001A00A5"/>
    <w:rsid w:val="001A2015"/>
    <w:rsid w:val="001B120B"/>
    <w:rsid w:val="001D222E"/>
    <w:rsid w:val="001D45EB"/>
    <w:rsid w:val="001E3649"/>
    <w:rsid w:val="001E37A4"/>
    <w:rsid w:val="001F4B15"/>
    <w:rsid w:val="002134E8"/>
    <w:rsid w:val="002242C3"/>
    <w:rsid w:val="002348F1"/>
    <w:rsid w:val="00236081"/>
    <w:rsid w:val="0024414A"/>
    <w:rsid w:val="002527FA"/>
    <w:rsid w:val="00283123"/>
    <w:rsid w:val="002B1245"/>
    <w:rsid w:val="002B2FF0"/>
    <w:rsid w:val="002D17AE"/>
    <w:rsid w:val="002D2C88"/>
    <w:rsid w:val="002D3689"/>
    <w:rsid w:val="00300FA8"/>
    <w:rsid w:val="00312C1D"/>
    <w:rsid w:val="00313B32"/>
    <w:rsid w:val="0032014B"/>
    <w:rsid w:val="00320E56"/>
    <w:rsid w:val="00343152"/>
    <w:rsid w:val="003445B7"/>
    <w:rsid w:val="003A571B"/>
    <w:rsid w:val="003A5E31"/>
    <w:rsid w:val="003B3CA3"/>
    <w:rsid w:val="003C3D92"/>
    <w:rsid w:val="003D18C8"/>
    <w:rsid w:val="003E1513"/>
    <w:rsid w:val="003E23D0"/>
    <w:rsid w:val="003E69B8"/>
    <w:rsid w:val="003F5093"/>
    <w:rsid w:val="00426DA9"/>
    <w:rsid w:val="00437A6A"/>
    <w:rsid w:val="00443C22"/>
    <w:rsid w:val="00482371"/>
    <w:rsid w:val="00485FD2"/>
    <w:rsid w:val="0049254C"/>
    <w:rsid w:val="00497206"/>
    <w:rsid w:val="004C19D4"/>
    <w:rsid w:val="004C3779"/>
    <w:rsid w:val="004C3EA4"/>
    <w:rsid w:val="004D032E"/>
    <w:rsid w:val="004E59F2"/>
    <w:rsid w:val="004F377C"/>
    <w:rsid w:val="005019D5"/>
    <w:rsid w:val="0053044E"/>
    <w:rsid w:val="00536044"/>
    <w:rsid w:val="005450EB"/>
    <w:rsid w:val="00552B66"/>
    <w:rsid w:val="005643F8"/>
    <w:rsid w:val="005800CF"/>
    <w:rsid w:val="00580A2B"/>
    <w:rsid w:val="0059505A"/>
    <w:rsid w:val="0059622D"/>
    <w:rsid w:val="005B1045"/>
    <w:rsid w:val="005B19A6"/>
    <w:rsid w:val="005B6A16"/>
    <w:rsid w:val="005F672F"/>
    <w:rsid w:val="00603C53"/>
    <w:rsid w:val="00610FEA"/>
    <w:rsid w:val="00615157"/>
    <w:rsid w:val="00631B5D"/>
    <w:rsid w:val="00651E1D"/>
    <w:rsid w:val="0065222E"/>
    <w:rsid w:val="00652B9E"/>
    <w:rsid w:val="00667114"/>
    <w:rsid w:val="00682A16"/>
    <w:rsid w:val="006937AC"/>
    <w:rsid w:val="006C7934"/>
    <w:rsid w:val="006D4A4B"/>
    <w:rsid w:val="00740345"/>
    <w:rsid w:val="00772DCE"/>
    <w:rsid w:val="00776008"/>
    <w:rsid w:val="00780AB3"/>
    <w:rsid w:val="00784EE3"/>
    <w:rsid w:val="00793B9C"/>
    <w:rsid w:val="007B4650"/>
    <w:rsid w:val="007B7BCB"/>
    <w:rsid w:val="007C50C6"/>
    <w:rsid w:val="007E5748"/>
    <w:rsid w:val="007F5536"/>
    <w:rsid w:val="00846D18"/>
    <w:rsid w:val="00882011"/>
    <w:rsid w:val="008B7BB5"/>
    <w:rsid w:val="008C169C"/>
    <w:rsid w:val="008C2B5D"/>
    <w:rsid w:val="008D65B7"/>
    <w:rsid w:val="008E4EB5"/>
    <w:rsid w:val="008F6F7F"/>
    <w:rsid w:val="00905117"/>
    <w:rsid w:val="009212BD"/>
    <w:rsid w:val="00946DBE"/>
    <w:rsid w:val="00950C78"/>
    <w:rsid w:val="009653F0"/>
    <w:rsid w:val="00980CDB"/>
    <w:rsid w:val="009825B4"/>
    <w:rsid w:val="00982E4D"/>
    <w:rsid w:val="00991CBB"/>
    <w:rsid w:val="009A309C"/>
    <w:rsid w:val="009E4409"/>
    <w:rsid w:val="00A2719F"/>
    <w:rsid w:val="00A40195"/>
    <w:rsid w:val="00A45ED3"/>
    <w:rsid w:val="00A46CE6"/>
    <w:rsid w:val="00A6376B"/>
    <w:rsid w:val="00A7155E"/>
    <w:rsid w:val="00A768B4"/>
    <w:rsid w:val="00A8797A"/>
    <w:rsid w:val="00AB6278"/>
    <w:rsid w:val="00AD35A4"/>
    <w:rsid w:val="00AD77F6"/>
    <w:rsid w:val="00AE1617"/>
    <w:rsid w:val="00AF5BEA"/>
    <w:rsid w:val="00AF6EE8"/>
    <w:rsid w:val="00B12E38"/>
    <w:rsid w:val="00B2531B"/>
    <w:rsid w:val="00B2549D"/>
    <w:rsid w:val="00B33F3F"/>
    <w:rsid w:val="00B65185"/>
    <w:rsid w:val="00BB3EC1"/>
    <w:rsid w:val="00BC1DAB"/>
    <w:rsid w:val="00BC4AE5"/>
    <w:rsid w:val="00BD6C91"/>
    <w:rsid w:val="00BF389A"/>
    <w:rsid w:val="00C33B34"/>
    <w:rsid w:val="00C55016"/>
    <w:rsid w:val="00C66EB4"/>
    <w:rsid w:val="00C80D63"/>
    <w:rsid w:val="00C91B95"/>
    <w:rsid w:val="00CB1760"/>
    <w:rsid w:val="00CB3A84"/>
    <w:rsid w:val="00CC71BF"/>
    <w:rsid w:val="00CD4517"/>
    <w:rsid w:val="00CE177E"/>
    <w:rsid w:val="00D03ED6"/>
    <w:rsid w:val="00D5221B"/>
    <w:rsid w:val="00D64160"/>
    <w:rsid w:val="00D77170"/>
    <w:rsid w:val="00D82FFD"/>
    <w:rsid w:val="00D9397A"/>
    <w:rsid w:val="00D95886"/>
    <w:rsid w:val="00D96F09"/>
    <w:rsid w:val="00DB6794"/>
    <w:rsid w:val="00DF789F"/>
    <w:rsid w:val="00E00E6A"/>
    <w:rsid w:val="00E04BD7"/>
    <w:rsid w:val="00E14C02"/>
    <w:rsid w:val="00E346CE"/>
    <w:rsid w:val="00E47CC6"/>
    <w:rsid w:val="00E7036E"/>
    <w:rsid w:val="00EC3947"/>
    <w:rsid w:val="00EC642A"/>
    <w:rsid w:val="00ED252F"/>
    <w:rsid w:val="00EE6363"/>
    <w:rsid w:val="00F02CBC"/>
    <w:rsid w:val="00F0725F"/>
    <w:rsid w:val="00F1225F"/>
    <w:rsid w:val="00F74F1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3D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D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36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882011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5800CF"/>
    <w:rPr>
      <w:b/>
      <w:bCs/>
    </w:rPr>
  </w:style>
  <w:style w:type="table" w:styleId="TableGrid">
    <w:name w:val="Table Grid"/>
    <w:basedOn w:val="TableNormal"/>
    <w:uiPriority w:val="39"/>
    <w:locked/>
    <w:rsid w:val="007B7BC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7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92178869432366"/>
          <c:y val="0.111816007176318"/>
          <c:w val="0.842234888549379"/>
          <c:h val="0.754343001428619"/>
        </c:manualLayout>
      </c:layout>
      <c:scatterChart>
        <c:scatterStyle val="lineMarker"/>
        <c:varyColors val="0"/>
        <c:ser>
          <c:idx val="0"/>
          <c:order val="0"/>
          <c:tx>
            <c:strRef>
              <c:f>BoHB_IMPvPL!$AM$7</c:f>
              <c:strCache>
                <c:ptCount val="1"/>
                <c:pt idx="0">
                  <c:v>BOHB-IMP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x"/>
            <c:errBarType val="both"/>
            <c:errValType val="fixedVal"/>
            <c:noEndCap val="0"/>
            <c:val val="1.0"/>
          </c:errBars>
          <c:errBars>
            <c:errDir val="y"/>
            <c:errBarType val="plus"/>
            <c:errValType val="cust"/>
            <c:noEndCap val="0"/>
            <c:plus>
              <c:numRef>
                <c:f>BoHB_IMPvPL!$O$8:$O$30</c:f>
                <c:numCache>
                  <c:formatCode>General</c:formatCode>
                  <c:ptCount val="23"/>
                  <c:pt idx="0">
                    <c:v>0.056064069191354</c:v>
                  </c:pt>
                  <c:pt idx="1">
                    <c:v>0.107746373236615</c:v>
                  </c:pt>
                  <c:pt idx="2">
                    <c:v>0.111156971560276</c:v>
                  </c:pt>
                  <c:pt idx="3">
                    <c:v>0.111968871203951</c:v>
                  </c:pt>
                  <c:pt idx="4">
                    <c:v>0.124326119478746</c:v>
                  </c:pt>
                  <c:pt idx="5">
                    <c:v>0.149669510816095</c:v>
                  </c:pt>
                  <c:pt idx="6">
                    <c:v>0.156958327559106</c:v>
                  </c:pt>
                  <c:pt idx="7">
                    <c:v>0.16387442689496</c:v>
                  </c:pt>
                  <c:pt idx="8">
                    <c:v>0.176424232404402</c:v>
                  </c:pt>
                  <c:pt idx="9">
                    <c:v>0.186149534964128</c:v>
                  </c:pt>
                  <c:pt idx="10">
                    <c:v>0.205894768246059</c:v>
                  </c:pt>
                  <c:pt idx="11">
                    <c:v>0.261743896325466</c:v>
                  </c:pt>
                  <c:pt idx="12">
                    <c:v>0.267479575514539</c:v>
                  </c:pt>
                  <c:pt idx="13">
                    <c:v>0.250927575496901</c:v>
                  </c:pt>
                  <c:pt idx="14">
                    <c:v>0.303430269059831</c:v>
                  </c:pt>
                  <c:pt idx="15">
                    <c:v>0.292076646057541</c:v>
                  </c:pt>
                  <c:pt idx="16">
                    <c:v>0.30923769333727</c:v>
                  </c:pt>
                  <c:pt idx="17">
                    <c:v>0.242974352263316</c:v>
                  </c:pt>
                  <c:pt idx="18">
                    <c:v>0.316787233034422</c:v>
                  </c:pt>
                  <c:pt idx="19">
                    <c:v>0.332989116687997</c:v>
                  </c:pt>
                  <c:pt idx="20">
                    <c:v>0.387348508579341</c:v>
                  </c:pt>
                  <c:pt idx="21">
                    <c:v>0.3392290102335</c:v>
                  </c:pt>
                  <c:pt idx="22">
                    <c:v>0.336467229572213</c:v>
                  </c:pt>
                </c:numCache>
              </c:numRef>
            </c:plus>
            <c:spPr>
              <a:ln w="19050" cap="rnd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BoHB_IMPvPL!$Z$8:$Z$31</c:f>
              <c:numCache>
                <c:formatCode>General</c:formatCode>
                <c:ptCount val="24"/>
                <c:pt idx="0">
                  <c:v>-120.0</c:v>
                </c:pt>
                <c:pt idx="1">
                  <c:v>0.0</c:v>
                </c:pt>
                <c:pt idx="2">
                  <c:v>20.0</c:v>
                </c:pt>
                <c:pt idx="3">
                  <c:v>40.0</c:v>
                </c:pt>
                <c:pt idx="4">
                  <c:v>60.0</c:v>
                </c:pt>
                <c:pt idx="5">
                  <c:v>80.0</c:v>
                </c:pt>
                <c:pt idx="6">
                  <c:v>100.0</c:v>
                </c:pt>
                <c:pt idx="7">
                  <c:v>120.0</c:v>
                </c:pt>
                <c:pt idx="8">
                  <c:v>140.0</c:v>
                </c:pt>
                <c:pt idx="9">
                  <c:v>160.0</c:v>
                </c:pt>
                <c:pt idx="10">
                  <c:v>180.0</c:v>
                </c:pt>
                <c:pt idx="11">
                  <c:v>210.0</c:v>
                </c:pt>
                <c:pt idx="12">
                  <c:v>240.0</c:v>
                </c:pt>
                <c:pt idx="13">
                  <c:v>270.0</c:v>
                </c:pt>
                <c:pt idx="14">
                  <c:v>300.0</c:v>
                </c:pt>
                <c:pt idx="15">
                  <c:v>330.0</c:v>
                </c:pt>
                <c:pt idx="16">
                  <c:v>360.0</c:v>
                </c:pt>
                <c:pt idx="17">
                  <c:v>390.0</c:v>
                </c:pt>
                <c:pt idx="18">
                  <c:v>420.0</c:v>
                </c:pt>
                <c:pt idx="19">
                  <c:v>450.0</c:v>
                </c:pt>
                <c:pt idx="20">
                  <c:v>480.0</c:v>
                </c:pt>
                <c:pt idx="21">
                  <c:v>510.0</c:v>
                </c:pt>
                <c:pt idx="22">
                  <c:v>540.0</c:v>
                </c:pt>
                <c:pt idx="23">
                  <c:v>600.0</c:v>
                </c:pt>
              </c:numCache>
            </c:numRef>
          </c:xVal>
          <c:yVal>
            <c:numRef>
              <c:f>BoHB_IMPvPL!$AM$8:$AM$31</c:f>
              <c:numCache>
                <c:formatCode>0.00</c:formatCode>
                <c:ptCount val="24"/>
                <c:pt idx="0">
                  <c:v>0.185898333333333</c:v>
                </c:pt>
                <c:pt idx="1">
                  <c:v>0.3874875</c:v>
                </c:pt>
                <c:pt idx="2">
                  <c:v>0.391050833333333</c:v>
                </c:pt>
                <c:pt idx="3">
                  <c:v>0.512683333333333</c:v>
                </c:pt>
                <c:pt idx="4">
                  <c:v>0.692772083333333</c:v>
                </c:pt>
                <c:pt idx="5">
                  <c:v>0.791718333333333</c:v>
                </c:pt>
                <c:pt idx="6">
                  <c:v>0.919845</c:v>
                </c:pt>
                <c:pt idx="7">
                  <c:v>1.020985</c:v>
                </c:pt>
                <c:pt idx="8">
                  <c:v>1.079009166666667</c:v>
                </c:pt>
                <c:pt idx="9">
                  <c:v>1.212900833333333</c:v>
                </c:pt>
                <c:pt idx="10">
                  <c:v>1.3090525</c:v>
                </c:pt>
                <c:pt idx="11">
                  <c:v>1.333965</c:v>
                </c:pt>
                <c:pt idx="12">
                  <c:v>1.421607222222222</c:v>
                </c:pt>
                <c:pt idx="13">
                  <c:v>1.415425555555555</c:v>
                </c:pt>
                <c:pt idx="14">
                  <c:v>1.691215416666667</c:v>
                </c:pt>
                <c:pt idx="15">
                  <c:v>1.704415</c:v>
                </c:pt>
                <c:pt idx="16">
                  <c:v>1.880215</c:v>
                </c:pt>
                <c:pt idx="17">
                  <c:v>2.343366</c:v>
                </c:pt>
                <c:pt idx="18">
                  <c:v>2.326535</c:v>
                </c:pt>
                <c:pt idx="19">
                  <c:v>2.52918</c:v>
                </c:pt>
                <c:pt idx="20">
                  <c:v>2.759262</c:v>
                </c:pt>
                <c:pt idx="21">
                  <c:v>3.60931</c:v>
                </c:pt>
                <c:pt idx="22">
                  <c:v>3.827320000000001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BoHB_IMPvPL!$AO$7</c:f>
              <c:strCache>
                <c:ptCount val="1"/>
                <c:pt idx="0">
                  <c:v>BOHB-Placebo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x"/>
            <c:errBarType val="both"/>
            <c:errValType val="fixedVal"/>
            <c:noEndCap val="0"/>
            <c:val val="1.0"/>
          </c:errBars>
          <c:errBars>
            <c:errDir val="y"/>
            <c:errBarType val="minus"/>
            <c:errValType val="cust"/>
            <c:noEndCap val="0"/>
            <c:minus>
              <c:numRef>
                <c:f>BoHB_IMPvPL!$O$40:$O$65</c:f>
                <c:numCache>
                  <c:formatCode>General</c:formatCode>
                  <c:ptCount val="26"/>
                  <c:pt idx="0">
                    <c:v>0.020322347318959</c:v>
                  </c:pt>
                  <c:pt idx="1">
                    <c:v>0.0482218589856071</c:v>
                  </c:pt>
                  <c:pt idx="2">
                    <c:v>0.0512984541400527</c:v>
                  </c:pt>
                  <c:pt idx="3">
                    <c:v>0.0711619070879316</c:v>
                  </c:pt>
                  <c:pt idx="4">
                    <c:v>0.088671390286554</c:v>
                  </c:pt>
                  <c:pt idx="5">
                    <c:v>0.0973746127191764</c:v>
                  </c:pt>
                  <c:pt idx="6">
                    <c:v>0.113290250004795</c:v>
                  </c:pt>
                  <c:pt idx="7">
                    <c:v>0.13167091693484</c:v>
                  </c:pt>
                  <c:pt idx="8">
                    <c:v>0.128305776359286</c:v>
                  </c:pt>
                  <c:pt idx="9">
                    <c:v>0.146089999694693</c:v>
                  </c:pt>
                  <c:pt idx="10">
                    <c:v>0.15477977186791</c:v>
                  </c:pt>
                  <c:pt idx="11">
                    <c:v>0.184502826831702</c:v>
                  </c:pt>
                  <c:pt idx="12">
                    <c:v>0.174834156458236</c:v>
                  </c:pt>
                  <c:pt idx="13">
                    <c:v>0.205920047009746</c:v>
                  </c:pt>
                  <c:pt idx="14">
                    <c:v>0.209698039008495</c:v>
                  </c:pt>
                  <c:pt idx="15">
                    <c:v>0.212866798600921</c:v>
                  </c:pt>
                  <c:pt idx="16">
                    <c:v>0.249814359279367</c:v>
                  </c:pt>
                  <c:pt idx="17">
                    <c:v>0.238194034687509</c:v>
                  </c:pt>
                  <c:pt idx="18">
                    <c:v>0.285333564137584</c:v>
                  </c:pt>
                  <c:pt idx="19">
                    <c:v>0.305653731442002</c:v>
                  </c:pt>
                  <c:pt idx="20">
                    <c:v>0.40544324736433</c:v>
                  </c:pt>
                  <c:pt idx="21">
                    <c:v>0.485632003158428</c:v>
                  </c:pt>
                  <c:pt idx="22">
                    <c:v>0.572738095140353</c:v>
                  </c:pt>
                  <c:pt idx="23">
                    <c:v>0.384344999999996</c:v>
                  </c:pt>
                  <c:pt idx="24">
                    <c:v>0.316788925716722</c:v>
                  </c:pt>
                  <c:pt idx="25">
                    <c:v>40.15987620207086</c:v>
                  </c:pt>
                </c:numCache>
              </c:numRef>
            </c:minus>
          </c:errBars>
          <c:xVal>
            <c:numRef>
              <c:f>BoHB_IMPvPL!$A$40:$A$63</c:f>
              <c:numCache>
                <c:formatCode>General</c:formatCode>
                <c:ptCount val="24"/>
                <c:pt idx="0">
                  <c:v>-120.0</c:v>
                </c:pt>
                <c:pt idx="1">
                  <c:v>0.0</c:v>
                </c:pt>
                <c:pt idx="2">
                  <c:v>20.0</c:v>
                </c:pt>
                <c:pt idx="3">
                  <c:v>40.0</c:v>
                </c:pt>
                <c:pt idx="4">
                  <c:v>60.0</c:v>
                </c:pt>
                <c:pt idx="5">
                  <c:v>80.0</c:v>
                </c:pt>
                <c:pt idx="6">
                  <c:v>100.0</c:v>
                </c:pt>
                <c:pt idx="7">
                  <c:v>120.0</c:v>
                </c:pt>
                <c:pt idx="8">
                  <c:v>140.0</c:v>
                </c:pt>
                <c:pt idx="9">
                  <c:v>160.0</c:v>
                </c:pt>
                <c:pt idx="10">
                  <c:v>180.0</c:v>
                </c:pt>
                <c:pt idx="11">
                  <c:v>210.0</c:v>
                </c:pt>
                <c:pt idx="12">
                  <c:v>240.0</c:v>
                </c:pt>
                <c:pt idx="13">
                  <c:v>270.0</c:v>
                </c:pt>
                <c:pt idx="14">
                  <c:v>300.0</c:v>
                </c:pt>
                <c:pt idx="15">
                  <c:v>330.0</c:v>
                </c:pt>
                <c:pt idx="16">
                  <c:v>360.0</c:v>
                </c:pt>
                <c:pt idx="17">
                  <c:v>390.0</c:v>
                </c:pt>
                <c:pt idx="18">
                  <c:v>420.0</c:v>
                </c:pt>
                <c:pt idx="19">
                  <c:v>450.0</c:v>
                </c:pt>
                <c:pt idx="20">
                  <c:v>480.0</c:v>
                </c:pt>
                <c:pt idx="21">
                  <c:v>510.0</c:v>
                </c:pt>
                <c:pt idx="22">
                  <c:v>540.0</c:v>
                </c:pt>
                <c:pt idx="23">
                  <c:v>600.0</c:v>
                </c:pt>
              </c:numCache>
            </c:numRef>
          </c:xVal>
          <c:yVal>
            <c:numRef>
              <c:f>BoHB_IMPvPL!$AO$8:$AO$31</c:f>
              <c:numCache>
                <c:formatCode>0.00</c:formatCode>
                <c:ptCount val="24"/>
                <c:pt idx="0">
                  <c:v>0.0933245833333334</c:v>
                </c:pt>
                <c:pt idx="1">
                  <c:v>0.160260833333333</c:v>
                </c:pt>
                <c:pt idx="2">
                  <c:v>0.1853625</c:v>
                </c:pt>
                <c:pt idx="3">
                  <c:v>0.347574166666667</c:v>
                </c:pt>
                <c:pt idx="4">
                  <c:v>0.54199875</c:v>
                </c:pt>
                <c:pt idx="5">
                  <c:v>0.609695833333334</c:v>
                </c:pt>
                <c:pt idx="6">
                  <c:v>0.735809166666667</c:v>
                </c:pt>
                <c:pt idx="7">
                  <c:v>0.879455416666667</c:v>
                </c:pt>
                <c:pt idx="8">
                  <c:v>0.9144775</c:v>
                </c:pt>
                <c:pt idx="9">
                  <c:v>0.9996525</c:v>
                </c:pt>
                <c:pt idx="10">
                  <c:v>1.102045833333334</c:v>
                </c:pt>
                <c:pt idx="11">
                  <c:v>1.076806666666667</c:v>
                </c:pt>
                <c:pt idx="12">
                  <c:v>1.05097888888889</c:v>
                </c:pt>
                <c:pt idx="13">
                  <c:v>1.060031111111111</c:v>
                </c:pt>
                <c:pt idx="14">
                  <c:v>1.169051666666667</c:v>
                </c:pt>
                <c:pt idx="15">
                  <c:v>1.3004225</c:v>
                </c:pt>
                <c:pt idx="16">
                  <c:v>1.4851</c:v>
                </c:pt>
                <c:pt idx="17">
                  <c:v>1.82752</c:v>
                </c:pt>
                <c:pt idx="18">
                  <c:v>1.87806</c:v>
                </c:pt>
                <c:pt idx="19">
                  <c:v>1.753132</c:v>
                </c:pt>
                <c:pt idx="20">
                  <c:v>1.8494875</c:v>
                </c:pt>
                <c:pt idx="21">
                  <c:v>1.64579</c:v>
                </c:pt>
                <c:pt idx="22">
                  <c:v>3.12974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905361632"/>
        <c:axId val="-1905359088"/>
      </c:scatterChart>
      <c:valAx>
        <c:axId val="-1905361632"/>
        <c:scaling>
          <c:orientation val="minMax"/>
          <c:max val="600.0"/>
          <c:min val="-120.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Time (min)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/>
            </a:pPr>
            <a:endParaRPr lang="en-GB"/>
          </a:p>
        </c:txPr>
        <c:crossAx val="-1905359088"/>
        <c:crosses val="autoZero"/>
        <c:crossBetween val="midCat"/>
        <c:majorUnit val="60.0"/>
      </c:valAx>
      <c:valAx>
        <c:axId val="-19053590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Beta hydroxybutyrate (mmol/L)</a:t>
                </a:r>
              </a:p>
            </c:rich>
          </c:tx>
          <c:layout>
            <c:manualLayout>
              <c:xMode val="edge"/>
              <c:yMode val="edge"/>
              <c:x val="0.0249890312218435"/>
              <c:y val="0.12943054586531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/>
            </a:pPr>
            <a:endParaRPr lang="en-GB"/>
          </a:p>
        </c:txPr>
        <c:crossAx val="-190536163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GB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UK abstract 2013</vt:lpstr>
    </vt:vector>
  </TitlesOfParts>
  <Company>Roselle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UK abstract 2013</dc:title>
  <dc:creator>roselle herring</dc:creator>
  <cp:lastModifiedBy>Roselle Herring</cp:lastModifiedBy>
  <cp:revision>12</cp:revision>
  <cp:lastPrinted>2019-03-26T08:27:00Z</cp:lastPrinted>
  <dcterms:created xsi:type="dcterms:W3CDTF">2019-03-28T10:44:00Z</dcterms:created>
  <dcterms:modified xsi:type="dcterms:W3CDTF">2019-04-01T08:38:00Z</dcterms:modified>
</cp:coreProperties>
</file>